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February 3, 2020.</w:t>
      </w:r>
    </w:p>
    <w:p>
      <w:pPr>
        <w:spacing w:after="0" w:line="4" w:lineRule="exact"/>
        <w:rPr>
          <w:sz w:val="24"/>
          <w:szCs w:val="24"/>
          <w:color w:val="auto"/>
        </w:rPr>
      </w:pPr>
    </w:p>
    <w:p>
      <w:pPr>
        <w:jc w:val="right"/>
        <w:ind w:right="20"/>
        <w:spacing w:after="0"/>
        <w:rPr>
          <w:sz w:val="20"/>
          <w:szCs w:val="20"/>
          <w:color w:val="auto"/>
        </w:rPr>
      </w:pPr>
      <w:r>
        <w:rPr>
          <w:rFonts w:ascii="Arial" w:cs="Arial" w:eastAsia="Arial" w:hAnsi="Arial"/>
          <w:sz w:val="14"/>
          <w:szCs w:val="14"/>
          <w:b w:val="1"/>
          <w:bCs w:val="1"/>
          <w:color w:val="auto"/>
        </w:rPr>
        <w:t>Registration No. 333-235968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26670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52705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6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72390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98"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AMENDMENT NO. 1 TO</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S-1</w:t>
      </w:r>
    </w:p>
    <w:p>
      <w:pPr>
        <w:spacing w:after="0" w:line="1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REGISTRATION STATEMENT</w:t>
      </w:r>
    </w:p>
    <w:p>
      <w:pPr>
        <w:spacing w:after="0" w:line="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Revolution Medicines,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-305435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6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64135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9" w:lineRule="exact"/>
        <w:rPr>
          <w:sz w:val="24"/>
          <w:szCs w:val="24"/>
          <w:color w:val="auto"/>
        </w:rPr>
      </w:pPr>
    </w:p>
    <w:tbl>
      <w:tblPr>
        <w:tblLayout w:type="fixed"/>
        <w:tblInd w:w="1120" w:type="dxa"/>
        <w:tblCellMar>
          <w:top w:w="0" w:type="dxa"/>
          <w:left w:w="0" w:type="dxa"/>
          <w:bottom w:w="0" w:type="dxa"/>
          <w:right w:w="0" w:type="dxa"/>
        </w:tblCellMar>
      </w:tblPr>
      <w:tr>
        <w:trPr>
          <w:trHeight w:val="161"/>
        </w:trPr>
        <w:tc>
          <w:tcPr>
            <w:tcW w:w="2820" w:type="dxa"/>
            <w:vAlign w:val="bottom"/>
          </w:tcPr>
          <w:p>
            <w:pPr>
              <w:jc w:val="center"/>
              <w:ind w:right="832"/>
              <w:spacing w:after="0"/>
              <w:rPr>
                <w:sz w:val="20"/>
                <w:szCs w:val="20"/>
                <w:color w:val="auto"/>
              </w:rPr>
            </w:pPr>
            <w:r>
              <w:rPr>
                <w:rFonts w:ascii="Arial" w:cs="Arial" w:eastAsia="Arial" w:hAnsi="Arial"/>
                <w:sz w:val="14"/>
                <w:szCs w:val="14"/>
                <w:b w:val="1"/>
                <w:bCs w:val="1"/>
                <w:color w:val="auto"/>
                <w:w w:val="97"/>
              </w:rPr>
              <w:t>Delaware</w:t>
            </w:r>
          </w:p>
        </w:tc>
        <w:tc>
          <w:tcPr>
            <w:tcW w:w="3840" w:type="dxa"/>
            <w:vAlign w:val="bottom"/>
          </w:tcPr>
          <w:p>
            <w:pPr>
              <w:jc w:val="right"/>
              <w:ind w:right="1732"/>
              <w:spacing w:after="0"/>
              <w:rPr>
                <w:sz w:val="20"/>
                <w:szCs w:val="20"/>
                <w:color w:val="auto"/>
              </w:rPr>
            </w:pPr>
            <w:r>
              <w:rPr>
                <w:rFonts w:ascii="Arial" w:cs="Arial" w:eastAsia="Arial" w:hAnsi="Arial"/>
                <w:sz w:val="14"/>
                <w:szCs w:val="14"/>
                <w:b w:val="1"/>
                <w:bCs w:val="1"/>
                <w:color w:val="auto"/>
              </w:rPr>
              <w:t>2836</w:t>
            </w:r>
          </w:p>
        </w:tc>
        <w:tc>
          <w:tcPr>
            <w:tcW w:w="2400" w:type="dxa"/>
            <w:vAlign w:val="bottom"/>
          </w:tcPr>
          <w:p>
            <w:pPr>
              <w:jc w:val="center"/>
              <w:ind w:left="892"/>
              <w:spacing w:after="0"/>
              <w:rPr>
                <w:sz w:val="20"/>
                <w:szCs w:val="20"/>
                <w:color w:val="auto"/>
              </w:rPr>
            </w:pPr>
            <w:r>
              <w:rPr>
                <w:rFonts w:ascii="Arial" w:cs="Arial" w:eastAsia="Arial" w:hAnsi="Arial"/>
                <w:sz w:val="14"/>
                <w:szCs w:val="14"/>
                <w:b w:val="1"/>
                <w:bCs w:val="1"/>
                <w:color w:val="auto"/>
                <w:w w:val="96"/>
              </w:rPr>
              <w:t>47-2029180</w:t>
            </w:r>
          </w:p>
        </w:tc>
      </w:tr>
      <w:tr>
        <w:trPr>
          <w:trHeight w:val="149"/>
        </w:trPr>
        <w:tc>
          <w:tcPr>
            <w:tcW w:w="2820" w:type="dxa"/>
            <w:vAlign w:val="bottom"/>
          </w:tcPr>
          <w:p>
            <w:pPr>
              <w:jc w:val="center"/>
              <w:ind w:right="852"/>
              <w:spacing w:after="0" w:line="149" w:lineRule="exact"/>
              <w:rPr>
                <w:sz w:val="20"/>
                <w:szCs w:val="20"/>
                <w:color w:val="auto"/>
              </w:rPr>
            </w:pPr>
            <w:r>
              <w:rPr>
                <w:rFonts w:ascii="Arial" w:cs="Arial" w:eastAsia="Arial" w:hAnsi="Arial"/>
                <w:sz w:val="14"/>
                <w:szCs w:val="14"/>
                <w:b w:val="1"/>
                <w:bCs w:val="1"/>
                <w:color w:val="auto"/>
                <w:w w:val="96"/>
              </w:rPr>
              <w:t>(State or other jurisdiction of</w:t>
            </w:r>
          </w:p>
        </w:tc>
        <w:tc>
          <w:tcPr>
            <w:tcW w:w="3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(Primary Standard Industrial</w:t>
            </w:r>
          </w:p>
        </w:tc>
        <w:tc>
          <w:tcPr>
            <w:tcW w:w="240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49"/>
        </w:trPr>
        <w:tc>
          <w:tcPr>
            <w:tcW w:w="2820" w:type="dxa"/>
            <w:vAlign w:val="bottom"/>
          </w:tcPr>
          <w:p>
            <w:pPr>
              <w:jc w:val="center"/>
              <w:ind w:right="832"/>
              <w:spacing w:after="0" w:line="149" w:lineRule="exact"/>
              <w:rPr>
                <w:sz w:val="20"/>
                <w:szCs w:val="20"/>
                <w:color w:val="auto"/>
              </w:rPr>
            </w:pPr>
            <w:r>
              <w:rPr>
                <w:rFonts w:ascii="Arial" w:cs="Arial" w:eastAsia="Arial" w:hAnsi="Arial"/>
                <w:sz w:val="14"/>
                <w:szCs w:val="14"/>
                <w:b w:val="1"/>
                <w:bCs w:val="1"/>
                <w:color w:val="auto"/>
                <w:w w:val="96"/>
              </w:rPr>
              <w:t>incorporation or organization)</w:t>
            </w:r>
          </w:p>
        </w:tc>
        <w:tc>
          <w:tcPr>
            <w:tcW w:w="3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Classification Code Number)</w:t>
            </w:r>
          </w:p>
        </w:tc>
        <w:tc>
          <w:tcPr>
            <w:tcW w:w="2400" w:type="dxa"/>
            <w:vAlign w:val="bottom"/>
          </w:tcPr>
          <w:p>
            <w:pPr>
              <w:jc w:val="center"/>
              <w:ind w:left="892"/>
              <w:spacing w:after="0" w:line="149" w:lineRule="exact"/>
              <w:rPr>
                <w:sz w:val="20"/>
                <w:szCs w:val="20"/>
                <w:color w:val="auto"/>
              </w:rPr>
            </w:pPr>
            <w:r>
              <w:rPr>
                <w:rFonts w:ascii="Arial" w:cs="Arial" w:eastAsia="Arial" w:hAnsi="Arial"/>
                <w:sz w:val="14"/>
                <w:szCs w:val="14"/>
                <w:b w:val="1"/>
                <w:bCs w:val="1"/>
                <w:color w:val="auto"/>
                <w:w w:val="96"/>
              </w:rPr>
              <w:t>Identification Number)</w:t>
            </w:r>
          </w:p>
        </w:tc>
      </w:tr>
      <w:tr>
        <w:trPr>
          <w:trHeight w:val="149"/>
        </w:trPr>
        <w:tc>
          <w:tcPr>
            <w:tcW w:w="2820" w:type="dxa"/>
            <w:vAlign w:val="bottom"/>
          </w:tcPr>
          <w:p>
            <w:pPr>
              <w:spacing w:after="0"/>
              <w:rPr>
                <w:sz w:val="12"/>
                <w:szCs w:val="12"/>
                <w:color w:val="auto"/>
              </w:rPr>
            </w:pPr>
          </w:p>
        </w:tc>
        <w:tc>
          <w:tcPr>
            <w:tcW w:w="3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700 Saginaw Drive</w:t>
            </w:r>
          </w:p>
        </w:tc>
        <w:tc>
          <w:tcPr>
            <w:tcW w:w="2400" w:type="dxa"/>
            <w:vAlign w:val="bottom"/>
          </w:tcPr>
          <w:p>
            <w:pPr>
              <w:spacing w:after="0"/>
              <w:rPr>
                <w:sz w:val="12"/>
                <w:szCs w:val="12"/>
                <w:color w:val="auto"/>
              </w:rPr>
            </w:pPr>
          </w:p>
        </w:tc>
      </w:tr>
      <w:tr>
        <w:trPr>
          <w:trHeight w:val="149"/>
        </w:trPr>
        <w:tc>
          <w:tcPr>
            <w:tcW w:w="2820" w:type="dxa"/>
            <w:vAlign w:val="bottom"/>
          </w:tcPr>
          <w:p>
            <w:pPr>
              <w:spacing w:after="0"/>
              <w:rPr>
                <w:sz w:val="12"/>
                <w:szCs w:val="12"/>
                <w:color w:val="auto"/>
              </w:rPr>
            </w:pPr>
          </w:p>
        </w:tc>
        <w:tc>
          <w:tcPr>
            <w:tcW w:w="38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Redwood City, California 94063</w:t>
            </w:r>
          </w:p>
        </w:tc>
        <w:tc>
          <w:tcPr>
            <w:tcW w:w="2400" w:type="dxa"/>
            <w:vAlign w:val="bottom"/>
          </w:tcPr>
          <w:p>
            <w:pPr>
              <w:spacing w:after="0"/>
              <w:rPr>
                <w:sz w:val="12"/>
                <w:szCs w:val="12"/>
                <w:color w:val="auto"/>
              </w:rPr>
            </w:pPr>
          </w:p>
        </w:tc>
      </w:tr>
      <w:tr>
        <w:trPr>
          <w:trHeight w:val="178"/>
        </w:trPr>
        <w:tc>
          <w:tcPr>
            <w:tcW w:w="2820" w:type="dxa"/>
            <w:vAlign w:val="bottom"/>
          </w:tcPr>
          <w:p>
            <w:pPr>
              <w:spacing w:after="0"/>
              <w:rPr>
                <w:sz w:val="15"/>
                <w:szCs w:val="15"/>
                <w:color w:val="auto"/>
              </w:rPr>
            </w:pPr>
          </w:p>
        </w:tc>
        <w:tc>
          <w:tcPr>
            <w:tcW w:w="3840" w:type="dxa"/>
            <w:vAlign w:val="bottom"/>
          </w:tcPr>
          <w:p>
            <w:pPr>
              <w:jc w:val="right"/>
              <w:ind w:right="1412"/>
              <w:spacing w:after="0"/>
              <w:rPr>
                <w:sz w:val="20"/>
                <w:szCs w:val="20"/>
                <w:color w:val="auto"/>
              </w:rPr>
            </w:pPr>
            <w:r>
              <w:rPr>
                <w:rFonts w:ascii="Arial" w:cs="Arial" w:eastAsia="Arial" w:hAnsi="Arial"/>
                <w:sz w:val="14"/>
                <w:szCs w:val="14"/>
                <w:b w:val="1"/>
                <w:bCs w:val="1"/>
                <w:color w:val="auto"/>
              </w:rPr>
              <w:t>(650) 481-6801</w:t>
            </w:r>
          </w:p>
        </w:tc>
        <w:tc>
          <w:tcPr>
            <w:tcW w:w="2400" w:type="dxa"/>
            <w:vAlign w:val="bottom"/>
          </w:tcPr>
          <w:p>
            <w:pPr>
              <w:spacing w:after="0"/>
              <w:rPr>
                <w:sz w:val="15"/>
                <w:szCs w:val="15"/>
                <w:color w:val="auto"/>
              </w:rPr>
            </w:pPr>
          </w:p>
        </w:tc>
      </w:tr>
    </w:tbl>
    <w:p>
      <w:pPr>
        <w:spacing w:after="0" w:line="1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80010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0"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Mark A. Goldsmith, M.D., Ph.D.</w:t>
      </w:r>
    </w:p>
    <w:p>
      <w:pPr>
        <w:jc w:val="center"/>
        <w:ind w:right="-17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Revolution Medicines, Inc.</w:t>
      </w:r>
    </w:p>
    <w:p>
      <w:pPr>
        <w:jc w:val="center"/>
        <w:ind w:right="-179"/>
        <w:spacing w:after="0" w:line="221" w:lineRule="auto"/>
        <w:rPr>
          <w:sz w:val="20"/>
          <w:szCs w:val="20"/>
          <w:color w:val="auto"/>
        </w:rPr>
      </w:pPr>
      <w:r>
        <w:rPr>
          <w:rFonts w:ascii="Arial" w:cs="Arial" w:eastAsia="Arial" w:hAnsi="Arial"/>
          <w:sz w:val="14"/>
          <w:szCs w:val="14"/>
          <w:b w:val="1"/>
          <w:bCs w:val="1"/>
          <w:color w:val="auto"/>
        </w:rPr>
        <w:t>700 Saginaw Drive</w:t>
      </w:r>
    </w:p>
    <w:p>
      <w:pPr>
        <w:jc w:val="center"/>
        <w:ind w:right="-179"/>
        <w:spacing w:after="0" w:line="222" w:lineRule="auto"/>
        <w:rPr>
          <w:sz w:val="20"/>
          <w:szCs w:val="20"/>
          <w:color w:val="auto"/>
        </w:rPr>
      </w:pPr>
      <w:r>
        <w:rPr>
          <w:rFonts w:ascii="Arial" w:cs="Arial" w:eastAsia="Arial" w:hAnsi="Arial"/>
          <w:sz w:val="14"/>
          <w:szCs w:val="14"/>
          <w:b w:val="1"/>
          <w:bCs w:val="1"/>
          <w:color w:val="auto"/>
        </w:rPr>
        <w:t>Redwood City, California 94063</w:t>
      </w:r>
    </w:p>
    <w:p>
      <w:pPr>
        <w:jc w:val="center"/>
        <w:ind w:right="-179"/>
        <w:spacing w:after="0" w:line="221" w:lineRule="auto"/>
        <w:rPr>
          <w:sz w:val="20"/>
          <w:szCs w:val="20"/>
          <w:color w:val="auto"/>
        </w:rPr>
      </w:pPr>
      <w:r>
        <w:rPr>
          <w:rFonts w:ascii="Arial" w:cs="Arial" w:eastAsia="Arial" w:hAnsi="Arial"/>
          <w:sz w:val="14"/>
          <w:szCs w:val="14"/>
          <w:b w:val="1"/>
          <w:bCs w:val="1"/>
          <w:color w:val="auto"/>
        </w:rPr>
        <w:t>(650) 481-6801</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60960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0" w:lineRule="exact"/>
        <w:rPr>
          <w:sz w:val="24"/>
          <w:szCs w:val="24"/>
          <w:color w:val="auto"/>
        </w:rPr>
      </w:pPr>
    </w:p>
    <w:tbl>
      <w:tblPr>
        <w:tblLayout w:type="fixed"/>
        <w:tblInd w:w="1160" w:type="dxa"/>
        <w:tblCellMar>
          <w:top w:w="0" w:type="dxa"/>
          <w:left w:w="0" w:type="dxa"/>
          <w:bottom w:w="0" w:type="dxa"/>
          <w:right w:w="0" w:type="dxa"/>
        </w:tblCellMar>
      </w:tblPr>
      <w:tr>
        <w:trPr>
          <w:trHeight w:val="176"/>
        </w:trPr>
        <w:tc>
          <w:tcPr>
            <w:tcW w:w="2560" w:type="dxa"/>
            <w:vAlign w:val="bottom"/>
          </w:tcPr>
          <w:p>
            <w:pPr>
              <w:spacing w:after="0"/>
              <w:rPr>
                <w:sz w:val="15"/>
                <w:szCs w:val="15"/>
                <w:color w:val="auto"/>
              </w:rPr>
            </w:pPr>
          </w:p>
        </w:tc>
        <w:tc>
          <w:tcPr>
            <w:tcW w:w="4240" w:type="dxa"/>
            <w:vAlign w:val="bottom"/>
          </w:tcPr>
          <w:p>
            <w:pPr>
              <w:ind w:left="1660"/>
              <w:spacing w:after="0"/>
              <w:rPr>
                <w:sz w:val="20"/>
                <w:szCs w:val="20"/>
                <w:color w:val="auto"/>
              </w:rPr>
            </w:pPr>
            <w:r>
              <w:rPr>
                <w:rFonts w:ascii="Arial" w:cs="Arial" w:eastAsia="Arial" w:hAnsi="Arial"/>
                <w:sz w:val="14"/>
                <w:szCs w:val="14"/>
                <w:b w:val="1"/>
                <w:bCs w:val="1"/>
                <w:i w:val="1"/>
                <w:iCs w:val="1"/>
                <w:color w:val="auto"/>
              </w:rPr>
              <w:t>Copies to:</w:t>
            </w:r>
          </w:p>
        </w:tc>
        <w:tc>
          <w:tcPr>
            <w:tcW w:w="2480" w:type="dxa"/>
            <w:vAlign w:val="bottom"/>
          </w:tcPr>
          <w:p>
            <w:pPr>
              <w:spacing w:after="0"/>
              <w:rPr>
                <w:sz w:val="15"/>
                <w:szCs w:val="15"/>
                <w:color w:val="auto"/>
              </w:rPr>
            </w:pPr>
          </w:p>
        </w:tc>
      </w:tr>
      <w:tr>
        <w:trPr>
          <w:trHeight w:val="149"/>
        </w:trPr>
        <w:tc>
          <w:tcPr>
            <w:tcW w:w="256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96"/>
              </w:rPr>
              <w:t>Mark V. Roeder</w:t>
            </w:r>
          </w:p>
        </w:tc>
        <w:tc>
          <w:tcPr>
            <w:tcW w:w="42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6"/>
              </w:rPr>
              <w:t>Margaret Horn</w:t>
            </w:r>
          </w:p>
        </w:tc>
        <w:tc>
          <w:tcPr>
            <w:tcW w:w="2480" w:type="dxa"/>
            <w:vAlign w:val="bottom"/>
          </w:tcPr>
          <w:p>
            <w:pPr>
              <w:jc w:val="center"/>
              <w:ind w:left="592"/>
              <w:spacing w:after="0" w:line="149" w:lineRule="exact"/>
              <w:rPr>
                <w:sz w:val="20"/>
                <w:szCs w:val="20"/>
                <w:color w:val="auto"/>
              </w:rPr>
            </w:pPr>
            <w:r>
              <w:rPr>
                <w:rFonts w:ascii="Arial" w:cs="Arial" w:eastAsia="Arial" w:hAnsi="Arial"/>
                <w:sz w:val="14"/>
                <w:szCs w:val="14"/>
                <w:b w:val="1"/>
                <w:bCs w:val="1"/>
                <w:color w:val="auto"/>
                <w:w w:val="95"/>
              </w:rPr>
              <w:t>Alan F. Denenberg</w:t>
            </w:r>
          </w:p>
        </w:tc>
      </w:tr>
      <w:tr>
        <w:trPr>
          <w:trHeight w:val="149"/>
        </w:trPr>
        <w:tc>
          <w:tcPr>
            <w:tcW w:w="2560" w:type="dxa"/>
            <w:vAlign w:val="bottom"/>
          </w:tcPr>
          <w:p>
            <w:pPr>
              <w:jc w:val="center"/>
              <w:ind w:right="652"/>
              <w:spacing w:after="0" w:line="149" w:lineRule="exact"/>
              <w:rPr>
                <w:sz w:val="20"/>
                <w:szCs w:val="20"/>
                <w:color w:val="auto"/>
              </w:rPr>
            </w:pPr>
            <w:r>
              <w:rPr>
                <w:rFonts w:ascii="Arial" w:cs="Arial" w:eastAsia="Arial" w:hAnsi="Arial"/>
                <w:sz w:val="14"/>
                <w:szCs w:val="14"/>
                <w:b w:val="1"/>
                <w:bCs w:val="1"/>
                <w:color w:val="auto"/>
                <w:w w:val="96"/>
              </w:rPr>
              <w:t>John C. Williams</w:t>
            </w:r>
          </w:p>
        </w:tc>
        <w:tc>
          <w:tcPr>
            <w:tcW w:w="42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6"/>
              </w:rPr>
              <w:t>Chief Operating Officer and General Counsel</w:t>
            </w:r>
          </w:p>
        </w:tc>
        <w:tc>
          <w:tcPr>
            <w:tcW w:w="2480" w:type="dxa"/>
            <w:vAlign w:val="bottom"/>
          </w:tcPr>
          <w:p>
            <w:pPr>
              <w:jc w:val="center"/>
              <w:ind w:left="592"/>
              <w:spacing w:after="0" w:line="149" w:lineRule="exact"/>
              <w:rPr>
                <w:sz w:val="20"/>
                <w:szCs w:val="20"/>
                <w:color w:val="auto"/>
              </w:rPr>
            </w:pPr>
            <w:r>
              <w:rPr>
                <w:rFonts w:ascii="Arial" w:cs="Arial" w:eastAsia="Arial" w:hAnsi="Arial"/>
                <w:sz w:val="14"/>
                <w:szCs w:val="14"/>
                <w:b w:val="1"/>
                <w:bCs w:val="1"/>
                <w:color w:val="auto"/>
                <w:w w:val="96"/>
              </w:rPr>
              <w:t>Stephen Salmon</w:t>
            </w:r>
          </w:p>
        </w:tc>
      </w:tr>
      <w:tr>
        <w:trPr>
          <w:trHeight w:val="149"/>
        </w:trPr>
        <w:tc>
          <w:tcPr>
            <w:tcW w:w="256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96"/>
              </w:rPr>
              <w:t>Latham &amp; Watkins LLP</w:t>
            </w:r>
          </w:p>
        </w:tc>
        <w:tc>
          <w:tcPr>
            <w:tcW w:w="424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6"/>
              </w:rPr>
              <w:t>Revolution Medicines, Inc.</w:t>
            </w:r>
          </w:p>
        </w:tc>
        <w:tc>
          <w:tcPr>
            <w:tcW w:w="2480" w:type="dxa"/>
            <w:vAlign w:val="bottom"/>
          </w:tcPr>
          <w:p>
            <w:pPr>
              <w:jc w:val="center"/>
              <w:ind w:left="592"/>
              <w:spacing w:after="0" w:line="149" w:lineRule="exact"/>
              <w:rPr>
                <w:sz w:val="20"/>
                <w:szCs w:val="20"/>
                <w:color w:val="auto"/>
              </w:rPr>
            </w:pPr>
            <w:r>
              <w:rPr>
                <w:rFonts w:ascii="Arial" w:cs="Arial" w:eastAsia="Arial" w:hAnsi="Arial"/>
                <w:sz w:val="14"/>
                <w:szCs w:val="14"/>
                <w:b w:val="1"/>
                <w:bCs w:val="1"/>
                <w:color w:val="auto"/>
                <w:w w:val="96"/>
              </w:rPr>
              <w:t>Davis Polk &amp; Wardwell LLP</w:t>
            </w:r>
          </w:p>
        </w:tc>
      </w:tr>
      <w:tr>
        <w:trPr>
          <w:trHeight w:val="149"/>
        </w:trPr>
        <w:tc>
          <w:tcPr>
            <w:tcW w:w="2560" w:type="dxa"/>
            <w:vAlign w:val="bottom"/>
          </w:tcPr>
          <w:p>
            <w:pPr>
              <w:jc w:val="center"/>
              <w:ind w:right="672"/>
              <w:spacing w:after="0" w:line="149" w:lineRule="exact"/>
              <w:rPr>
                <w:sz w:val="20"/>
                <w:szCs w:val="20"/>
                <w:color w:val="auto"/>
              </w:rPr>
            </w:pPr>
            <w:r>
              <w:rPr>
                <w:rFonts w:ascii="Arial" w:cs="Arial" w:eastAsia="Arial" w:hAnsi="Arial"/>
                <w:sz w:val="14"/>
                <w:szCs w:val="14"/>
                <w:b w:val="1"/>
                <w:bCs w:val="1"/>
                <w:color w:val="auto"/>
                <w:w w:val="96"/>
              </w:rPr>
              <w:t>140 Scott Drive</w:t>
            </w:r>
          </w:p>
        </w:tc>
        <w:tc>
          <w:tcPr>
            <w:tcW w:w="42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7"/>
              </w:rPr>
              <w:t>700 Saginaw Drive</w:t>
            </w:r>
          </w:p>
        </w:tc>
        <w:tc>
          <w:tcPr>
            <w:tcW w:w="2480" w:type="dxa"/>
            <w:vAlign w:val="bottom"/>
          </w:tcPr>
          <w:p>
            <w:pPr>
              <w:jc w:val="center"/>
              <w:ind w:left="572"/>
              <w:spacing w:after="0" w:line="149" w:lineRule="exact"/>
              <w:rPr>
                <w:sz w:val="20"/>
                <w:szCs w:val="20"/>
                <w:color w:val="auto"/>
              </w:rPr>
            </w:pPr>
            <w:r>
              <w:rPr>
                <w:rFonts w:ascii="Arial" w:cs="Arial" w:eastAsia="Arial" w:hAnsi="Arial"/>
                <w:sz w:val="14"/>
                <w:szCs w:val="14"/>
                <w:b w:val="1"/>
                <w:bCs w:val="1"/>
                <w:color w:val="auto"/>
                <w:w w:val="96"/>
              </w:rPr>
              <w:t>1600 El Camino Real</w:t>
            </w:r>
          </w:p>
        </w:tc>
      </w:tr>
      <w:tr>
        <w:trPr>
          <w:trHeight w:val="149"/>
        </w:trPr>
        <w:tc>
          <w:tcPr>
            <w:tcW w:w="2560" w:type="dxa"/>
            <w:vAlign w:val="bottom"/>
          </w:tcPr>
          <w:p>
            <w:pPr>
              <w:jc w:val="center"/>
              <w:ind w:right="652"/>
              <w:spacing w:after="0" w:line="149" w:lineRule="exact"/>
              <w:rPr>
                <w:sz w:val="20"/>
                <w:szCs w:val="20"/>
                <w:color w:val="auto"/>
              </w:rPr>
            </w:pPr>
            <w:r>
              <w:rPr>
                <w:rFonts w:ascii="Arial" w:cs="Arial" w:eastAsia="Arial" w:hAnsi="Arial"/>
                <w:sz w:val="14"/>
                <w:szCs w:val="14"/>
                <w:b w:val="1"/>
                <w:bCs w:val="1"/>
                <w:color w:val="auto"/>
                <w:w w:val="96"/>
              </w:rPr>
              <w:t>Menlo Park, California 94025</w:t>
            </w:r>
          </w:p>
        </w:tc>
        <w:tc>
          <w:tcPr>
            <w:tcW w:w="42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5"/>
              </w:rPr>
              <w:t>Redwood City, California 94063</w:t>
            </w:r>
          </w:p>
        </w:tc>
        <w:tc>
          <w:tcPr>
            <w:tcW w:w="2480" w:type="dxa"/>
            <w:vAlign w:val="bottom"/>
          </w:tcPr>
          <w:p>
            <w:pPr>
              <w:jc w:val="center"/>
              <w:ind w:left="572"/>
              <w:spacing w:after="0" w:line="149" w:lineRule="exact"/>
              <w:rPr>
                <w:sz w:val="20"/>
                <w:szCs w:val="20"/>
                <w:color w:val="auto"/>
              </w:rPr>
            </w:pPr>
            <w:r>
              <w:rPr>
                <w:rFonts w:ascii="Arial" w:cs="Arial" w:eastAsia="Arial" w:hAnsi="Arial"/>
                <w:sz w:val="14"/>
                <w:szCs w:val="14"/>
                <w:b w:val="1"/>
                <w:bCs w:val="1"/>
                <w:color w:val="auto"/>
                <w:w w:val="96"/>
              </w:rPr>
              <w:t>Menlo Park, California 94025</w:t>
            </w:r>
          </w:p>
        </w:tc>
      </w:tr>
      <w:tr>
        <w:trPr>
          <w:trHeight w:val="178"/>
        </w:trPr>
        <w:tc>
          <w:tcPr>
            <w:tcW w:w="2560" w:type="dxa"/>
            <w:vAlign w:val="bottom"/>
          </w:tcPr>
          <w:p>
            <w:pPr>
              <w:jc w:val="center"/>
              <w:ind w:right="652"/>
              <w:spacing w:after="0"/>
              <w:rPr>
                <w:sz w:val="20"/>
                <w:szCs w:val="20"/>
                <w:color w:val="auto"/>
              </w:rPr>
            </w:pPr>
            <w:r>
              <w:rPr>
                <w:rFonts w:ascii="Arial" w:cs="Arial" w:eastAsia="Arial" w:hAnsi="Arial"/>
                <w:sz w:val="14"/>
                <w:szCs w:val="14"/>
                <w:b w:val="1"/>
                <w:bCs w:val="1"/>
                <w:color w:val="auto"/>
                <w:w w:val="96"/>
              </w:rPr>
              <w:t>(650) 328-4600</w:t>
            </w:r>
          </w:p>
        </w:tc>
        <w:tc>
          <w:tcPr>
            <w:tcW w:w="4240" w:type="dxa"/>
            <w:vAlign w:val="bottom"/>
          </w:tcPr>
          <w:p>
            <w:pPr>
              <w:jc w:val="center"/>
              <w:ind w:left="12"/>
              <w:spacing w:after="0"/>
              <w:rPr>
                <w:sz w:val="20"/>
                <w:szCs w:val="20"/>
                <w:color w:val="auto"/>
              </w:rPr>
            </w:pPr>
            <w:r>
              <w:rPr>
                <w:rFonts w:ascii="Arial" w:cs="Arial" w:eastAsia="Arial" w:hAnsi="Arial"/>
                <w:sz w:val="14"/>
                <w:szCs w:val="14"/>
                <w:b w:val="1"/>
                <w:bCs w:val="1"/>
                <w:color w:val="auto"/>
                <w:w w:val="96"/>
              </w:rPr>
              <w:t>(650) 481-6801</w:t>
            </w:r>
          </w:p>
        </w:tc>
        <w:tc>
          <w:tcPr>
            <w:tcW w:w="2480" w:type="dxa"/>
            <w:vAlign w:val="bottom"/>
          </w:tcPr>
          <w:p>
            <w:pPr>
              <w:jc w:val="center"/>
              <w:ind w:left="572"/>
              <w:spacing w:after="0"/>
              <w:rPr>
                <w:sz w:val="20"/>
                <w:szCs w:val="20"/>
                <w:color w:val="auto"/>
              </w:rPr>
            </w:pPr>
            <w:r>
              <w:rPr>
                <w:rFonts w:ascii="Arial" w:cs="Arial" w:eastAsia="Arial" w:hAnsi="Arial"/>
                <w:sz w:val="14"/>
                <w:szCs w:val="14"/>
                <w:b w:val="1"/>
                <w:bCs w:val="1"/>
                <w:color w:val="auto"/>
                <w:w w:val="96"/>
              </w:rPr>
              <w:t>(650) 752-2000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69215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12" w:lineRule="exact"/>
        <w:rPr>
          <w:sz w:val="24"/>
          <w:szCs w:val="24"/>
          <w:color w:val="auto"/>
        </w:rPr>
      </w:pPr>
    </w:p>
    <w:p>
      <w:pPr>
        <w:ind w:left="200"/>
        <w:spacing w:after="0"/>
        <w:rPr>
          <w:sz w:val="20"/>
          <w:szCs w:val="20"/>
          <w:color w:val="auto"/>
        </w:rPr>
      </w:pPr>
      <w:r>
        <w:rPr>
          <w:rFonts w:ascii="Arial" w:cs="Arial" w:eastAsia="Arial" w:hAnsi="Arial"/>
          <w:sz w:val="14"/>
          <w:szCs w:val="14"/>
          <w:color w:val="auto"/>
        </w:rPr>
        <w:t xml:space="preserve">Approximate date of commencement of proposed sale to the public: </w:t>
      </w:r>
      <w:r>
        <w:rPr>
          <w:rFonts w:ascii="Arial" w:cs="Arial" w:eastAsia="Arial" w:hAnsi="Arial"/>
          <w:sz w:val="14"/>
          <w:szCs w:val="14"/>
          <w:b w:val="1"/>
          <w:bCs w:val="1"/>
          <w:color w:val="auto"/>
        </w:rPr>
        <w:t>As soon as practicable after the effective date of this registration statement.</w:t>
      </w:r>
    </w:p>
    <w:p>
      <w:pPr>
        <w:spacing w:after="0" w:line="31" w:lineRule="exact"/>
        <w:rPr>
          <w:sz w:val="24"/>
          <w:szCs w:val="24"/>
          <w:color w:val="auto"/>
        </w:rPr>
      </w:pPr>
    </w:p>
    <w:p>
      <w:pPr>
        <w:ind w:left="200" w:right="420"/>
        <w:spacing w:after="0" w:line="162"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120"/>
        <w:spacing w:after="0" w:line="162"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8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80"/>
        <w:spacing w:after="0" w:line="162"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200" w:right="480"/>
        <w:spacing w:after="0" w:line="23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tbl>
      <w:tblPr>
        <w:tblLayout w:type="fixed"/>
        <w:tblInd w:w="200" w:type="dxa"/>
        <w:tblCellMar>
          <w:top w:w="0" w:type="dxa"/>
          <w:left w:w="0" w:type="dxa"/>
          <w:bottom w:w="0" w:type="dxa"/>
          <w:right w:w="0" w:type="dxa"/>
        </w:tblCellMar>
      </w:tblPr>
      <w:tr>
        <w:trPr>
          <w:trHeight w:val="155"/>
        </w:trPr>
        <w:tc>
          <w:tcPr>
            <w:tcW w:w="1560" w:type="dxa"/>
            <w:vAlign w:val="bottom"/>
          </w:tcPr>
          <w:p>
            <w:pPr>
              <w:spacing w:after="0" w:line="155" w:lineRule="exact"/>
              <w:rPr>
                <w:sz w:val="20"/>
                <w:szCs w:val="20"/>
                <w:color w:val="auto"/>
              </w:rPr>
            </w:pPr>
            <w:r>
              <w:rPr>
                <w:rFonts w:ascii="Arial" w:cs="Arial" w:eastAsia="Arial" w:hAnsi="Arial"/>
                <w:sz w:val="14"/>
                <w:szCs w:val="14"/>
                <w:color w:val="auto"/>
              </w:rPr>
              <w:t>Large accelerated filer</w:t>
            </w:r>
          </w:p>
        </w:tc>
        <w:tc>
          <w:tcPr>
            <w:tcW w:w="37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00"/>
              <w:spacing w:after="0" w:line="155" w:lineRule="exact"/>
              <w:rPr>
                <w:sz w:val="20"/>
                <w:szCs w:val="20"/>
                <w:color w:val="auto"/>
              </w:rPr>
            </w:pPr>
            <w:r>
              <w:rPr>
                <w:rFonts w:ascii="Arial" w:cs="Arial" w:eastAsia="Arial" w:hAnsi="Arial"/>
                <w:sz w:val="14"/>
                <w:szCs w:val="14"/>
                <w:color w:val="auto"/>
              </w:rPr>
              <w:t>Accelerated filer</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6"/>
        </w:trPr>
        <w:tc>
          <w:tcPr>
            <w:tcW w:w="1560" w:type="dxa"/>
            <w:vAlign w:val="bottom"/>
          </w:tcPr>
          <w:p>
            <w:pPr>
              <w:spacing w:after="0"/>
              <w:rPr>
                <w:sz w:val="20"/>
                <w:szCs w:val="20"/>
                <w:color w:val="auto"/>
              </w:rPr>
            </w:pPr>
            <w:r>
              <w:rPr>
                <w:rFonts w:ascii="Arial" w:cs="Arial" w:eastAsia="Arial" w:hAnsi="Arial"/>
                <w:sz w:val="14"/>
                <w:szCs w:val="14"/>
                <w:color w:val="auto"/>
              </w:rPr>
              <w:t>Non-accelerated filer</w:t>
            </w:r>
          </w:p>
        </w:tc>
        <w:tc>
          <w:tcPr>
            <w:tcW w:w="37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260" w:type="dxa"/>
            <w:vAlign w:val="bottom"/>
          </w:tcPr>
          <w:p>
            <w:pPr>
              <w:ind w:left="3400"/>
              <w:spacing w:after="0"/>
              <w:rPr>
                <w:sz w:val="20"/>
                <w:szCs w:val="20"/>
                <w:color w:val="auto"/>
              </w:rPr>
            </w:pPr>
            <w:r>
              <w:rPr>
                <w:rFonts w:ascii="Arial" w:cs="Arial" w:eastAsia="Arial" w:hAnsi="Arial"/>
                <w:sz w:val="14"/>
                <w:szCs w:val="14"/>
                <w:color w:val="auto"/>
              </w:rPr>
              <w:t>Smaller reporting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1"/>
        </w:trPr>
        <w:tc>
          <w:tcPr>
            <w:tcW w:w="1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5260" w:type="dxa"/>
            <w:vAlign w:val="bottom"/>
          </w:tcPr>
          <w:p>
            <w:pPr>
              <w:ind w:left="3400"/>
              <w:spacing w:after="0"/>
              <w:rPr>
                <w:sz w:val="20"/>
                <w:szCs w:val="20"/>
                <w:color w:val="auto"/>
              </w:rPr>
            </w:pPr>
            <w:r>
              <w:rPr>
                <w:rFonts w:ascii="Arial" w:cs="Arial" w:eastAsia="Arial" w:hAnsi="Arial"/>
                <w:sz w:val="14"/>
                <w:szCs w:val="14"/>
                <w:color w:val="auto"/>
              </w:rPr>
              <w:t>Emerging growth company</w:t>
            </w:r>
          </w:p>
        </w:tc>
        <w:tc>
          <w:tcPr>
            <w:tcW w:w="3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71"/>
              </w:rPr>
              <w:t>☒</w:t>
            </w:r>
          </w:p>
        </w:tc>
      </w:tr>
    </w:tbl>
    <w:p>
      <w:pPr>
        <w:jc w:val="both"/>
        <w:ind w:left="200" w:right="80"/>
        <w:spacing w:after="0" w:line="16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60325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9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17"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42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110"/>
        </w:trPr>
        <w:tc>
          <w:tcPr>
            <w:tcW w:w="20" w:type="dxa"/>
            <w:vAlign w:val="bottom"/>
          </w:tcPr>
          <w:p>
            <w:pPr>
              <w:spacing w:after="0"/>
              <w:rPr>
                <w:sz w:val="9"/>
                <w:szCs w:val="9"/>
                <w:color w:val="auto"/>
              </w:rPr>
            </w:pPr>
          </w:p>
        </w:tc>
        <w:tc>
          <w:tcPr>
            <w:tcW w:w="442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Proposed maximum</w:t>
            </w:r>
          </w:p>
        </w:tc>
        <w:tc>
          <w:tcPr>
            <w:tcW w:w="164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rPr>
              <w:t>Proposed maximum</w:t>
            </w:r>
          </w:p>
        </w:tc>
        <w:tc>
          <w:tcPr>
            <w:tcW w:w="164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4420" w:type="dxa"/>
            <w:vAlign w:val="bottom"/>
            <w:tcBorders>
              <w:right w:val="single" w:sz="8" w:color="auto"/>
            </w:tcBorders>
          </w:tcPr>
          <w:p>
            <w:pPr>
              <w:spacing w:after="0"/>
              <w:rPr>
                <w:sz w:val="12"/>
                <w:szCs w:val="12"/>
                <w:color w:val="auto"/>
              </w:rPr>
            </w:pPr>
          </w:p>
        </w:tc>
        <w:tc>
          <w:tcPr>
            <w:tcW w:w="1660" w:type="dxa"/>
            <w:vAlign w:val="bottom"/>
            <w:tcBorders>
              <w:right w:val="single" w:sz="8" w:color="auto"/>
            </w:tcBorders>
          </w:tcPr>
          <w:p>
            <w:pPr>
              <w:jc w:val="center"/>
              <w:ind w:left="12"/>
              <w:spacing w:after="0" w:line="149" w:lineRule="exact"/>
              <w:rPr>
                <w:sz w:val="20"/>
                <w:szCs w:val="20"/>
                <w:color w:val="auto"/>
              </w:rPr>
            </w:pPr>
            <w:r>
              <w:rPr>
                <w:rFonts w:ascii="Arial" w:cs="Arial" w:eastAsia="Arial" w:hAnsi="Arial"/>
                <w:sz w:val="14"/>
                <w:szCs w:val="14"/>
                <w:b w:val="1"/>
                <w:bCs w:val="1"/>
                <w:color w:val="auto"/>
                <w:w w:val="94"/>
              </w:rPr>
              <w:t>Amount</w:t>
            </w:r>
          </w:p>
        </w:tc>
        <w:tc>
          <w:tcPr>
            <w:tcW w:w="16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aggregate offering</w:t>
            </w: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aggregate</w:t>
            </w:r>
          </w:p>
        </w:tc>
        <w:tc>
          <w:tcPr>
            <w:tcW w:w="1640" w:type="dxa"/>
            <w:vAlign w:val="bottom"/>
          </w:tcPr>
          <w:p>
            <w:pPr>
              <w:jc w:val="center"/>
              <w:ind w:left="12"/>
              <w:spacing w:after="0" w:line="149" w:lineRule="exact"/>
              <w:rPr>
                <w:sz w:val="20"/>
                <w:szCs w:val="20"/>
                <w:color w:val="auto"/>
              </w:rPr>
            </w:pPr>
            <w:r>
              <w:rPr>
                <w:rFonts w:ascii="Arial" w:cs="Arial" w:eastAsia="Arial" w:hAnsi="Arial"/>
                <w:sz w:val="14"/>
                <w:szCs w:val="14"/>
                <w:b w:val="1"/>
                <w:bCs w:val="1"/>
                <w:color w:val="auto"/>
                <w:w w:val="97"/>
              </w:rPr>
              <w:t>Amount of</w:t>
            </w:r>
          </w:p>
        </w:tc>
      </w:tr>
      <w:tr>
        <w:trPr>
          <w:trHeight w:val="176"/>
        </w:trPr>
        <w:tc>
          <w:tcPr>
            <w:tcW w:w="20" w:type="dxa"/>
            <w:vAlign w:val="bottom"/>
          </w:tcPr>
          <w:p>
            <w:pPr>
              <w:spacing w:after="0"/>
              <w:rPr>
                <w:sz w:val="15"/>
                <w:szCs w:val="15"/>
                <w:color w:val="auto"/>
              </w:rPr>
            </w:pPr>
          </w:p>
        </w:tc>
        <w:tc>
          <w:tcPr>
            <w:tcW w:w="44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1660" w:type="dxa"/>
            <w:vAlign w:val="bottom"/>
            <w:tcBorders>
              <w:bottom w:val="single" w:sz="8" w:color="auto"/>
              <w:right w:val="single" w:sz="8" w:color="auto"/>
            </w:tcBorders>
          </w:tcPr>
          <w:p>
            <w:pPr>
              <w:jc w:val="center"/>
              <w:ind w:left="12"/>
              <w:spacing w:after="0"/>
              <w:rPr>
                <w:sz w:val="20"/>
                <w:szCs w:val="20"/>
                <w:color w:val="auto"/>
              </w:rPr>
            </w:pPr>
            <w:r>
              <w:rPr>
                <w:rFonts w:ascii="Arial" w:cs="Arial" w:eastAsia="Arial" w:hAnsi="Arial"/>
                <w:sz w:val="14"/>
                <w:szCs w:val="14"/>
                <w:b w:val="1"/>
                <w:bCs w:val="1"/>
                <w:color w:val="auto"/>
                <w:w w:val="96"/>
              </w:rPr>
              <w:t>to be registered(1)</w:t>
            </w:r>
          </w:p>
        </w:tc>
        <w:tc>
          <w:tcPr>
            <w:tcW w:w="16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price per share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 price(2)</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registration fee(3)</w:t>
            </w:r>
          </w:p>
        </w:tc>
      </w:tr>
      <w:tr>
        <w:trPr>
          <w:trHeight w:val="142"/>
        </w:trPr>
        <w:tc>
          <w:tcPr>
            <w:tcW w:w="20" w:type="dxa"/>
            <w:vAlign w:val="bottom"/>
            <w:tcBorders>
              <w:bottom w:val="single" w:sz="8" w:color="auto"/>
            </w:tcBorders>
          </w:tcPr>
          <w:p>
            <w:pPr>
              <w:spacing w:after="0"/>
              <w:rPr>
                <w:sz w:val="12"/>
                <w:szCs w:val="12"/>
                <w:color w:val="auto"/>
              </w:rPr>
            </w:pPr>
          </w:p>
        </w:tc>
        <w:tc>
          <w:tcPr>
            <w:tcW w:w="44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 per share</w:t>
            </w:r>
          </w:p>
        </w:tc>
        <w:tc>
          <w:tcPr>
            <w:tcW w:w="1660" w:type="dxa"/>
            <w:vAlign w:val="bottom"/>
            <w:tcBorders>
              <w:bottom w:val="single" w:sz="8" w:color="auto"/>
              <w:right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4"/>
              </w:rPr>
              <w:t>11,500,000</w:t>
            </w:r>
          </w:p>
        </w:tc>
        <w:tc>
          <w:tcPr>
            <w:tcW w:w="1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$16.00</w:t>
            </w:r>
          </w:p>
        </w:tc>
        <w:tc>
          <w:tcPr>
            <w:tcW w:w="16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$184,000,000</w:t>
            </w:r>
          </w:p>
        </w:tc>
        <w:tc>
          <w:tcPr>
            <w:tcW w:w="1640" w:type="dxa"/>
            <w:vAlign w:val="bottom"/>
            <w:tcBorders>
              <w:bottom w:val="single" w:sz="8" w:color="auto"/>
            </w:tcBorders>
          </w:tcPr>
          <w:p>
            <w:pPr>
              <w:jc w:val="center"/>
              <w:ind w:left="12"/>
              <w:spacing w:after="0" w:line="142" w:lineRule="exact"/>
              <w:rPr>
                <w:sz w:val="20"/>
                <w:szCs w:val="20"/>
                <w:color w:val="auto"/>
              </w:rPr>
            </w:pPr>
            <w:r>
              <w:rPr>
                <w:rFonts w:ascii="Arial" w:cs="Arial" w:eastAsia="Arial" w:hAnsi="Arial"/>
                <w:sz w:val="14"/>
                <w:szCs w:val="14"/>
                <w:color w:val="auto"/>
                <w:w w:val="96"/>
              </w:rPr>
              <w:t>$23,883.20</w:t>
            </w:r>
          </w:p>
        </w:tc>
      </w:tr>
      <w:tr>
        <w:trPr>
          <w:trHeight w:val="20"/>
        </w:trPr>
        <w:tc>
          <w:tcPr>
            <w:tcW w:w="20" w:type="dxa"/>
            <w:vAlign w:val="bottom"/>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40" w:lineRule="exact"/>
        <w:rPr>
          <w:sz w:val="24"/>
          <w:szCs w:val="2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1,500,000 shares of common stock that the underwriters have the option to purchase.</w:t>
      </w:r>
    </w:p>
    <w:p>
      <w:pPr>
        <w:spacing w:after="0" w:line="14" w:lineRule="exact"/>
        <w:rPr>
          <w:rFonts w:ascii="Arial" w:cs="Arial" w:eastAsia="Arial" w:hAnsi="Arial"/>
          <w:sz w:val="14"/>
          <w:szCs w:val="14"/>
          <w:color w:val="auto"/>
        </w:rPr>
      </w:pPr>
    </w:p>
    <w:p>
      <w:pPr>
        <w:ind w:left="520" w:hanging="316"/>
        <w:spacing w:after="0"/>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457(a) under the Securities Act of 1933, as amended.</w:t>
      </w:r>
    </w:p>
    <w:p>
      <w:pPr>
        <w:spacing w:after="0" w:line="14" w:lineRule="exact"/>
        <w:rPr>
          <w:rFonts w:ascii="Arial" w:cs="Arial" w:eastAsia="Arial" w:hAnsi="Arial"/>
          <w:sz w:val="14"/>
          <w:szCs w:val="14"/>
          <w:color w:val="auto"/>
        </w:rPr>
      </w:pPr>
    </w:p>
    <w:p>
      <w:pPr>
        <w:ind w:left="520" w:right="100" w:hanging="316"/>
        <w:spacing w:after="0" w:line="231" w:lineRule="auto"/>
        <w:tabs>
          <w:tab w:leader="none" w:pos="52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 previously paid a total of $12,980 in connection with the previous filing of the Registration Statement. In accordance with Rule 457(a), an additional registration fee of $10,903.20 is being paid with this amendment to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60960</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0" w:lineRule="exact"/>
        <w:rPr>
          <w:sz w:val="24"/>
          <w:szCs w:val="24"/>
          <w:color w:val="auto"/>
        </w:rPr>
      </w:pPr>
    </w:p>
    <w:p>
      <w:pPr>
        <w:ind w:left="200" w:right="40"/>
        <w:spacing w:after="0" w:line="236"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26035</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52070</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220"/>
        <w:spacing w:after="0" w:line="244" w:lineRule="auto"/>
        <w:rPr>
          <w:sz w:val="20"/>
          <w:szCs w:val="20"/>
          <w:color w:val="auto"/>
        </w:rPr>
      </w:pPr>
      <w:r>
        <w:rPr>
          <w:rFonts w:ascii="Arial" w:cs="Arial" w:eastAsia="Arial" w:hAnsi="Arial"/>
          <w:sz w:val="18"/>
          <w:szCs w:val="18"/>
          <w:b w:val="1"/>
          <w:bCs w:val="1"/>
          <w:color w:val="CC06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jurisdiction where such offer or sale is not permitted.</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CC062A"/>
        </w:rPr>
        <w:t>Subject to completion, dated February 3, 2020</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Preliminary prospectus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32"/>
          <w:szCs w:val="32"/>
          <w:b w:val="1"/>
          <w:bCs w:val="1"/>
          <w:i w:val="1"/>
          <w:i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175260</wp:posOffset>
            </wp:positionV>
            <wp:extent cx="203263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326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200"/>
        <w:spacing w:after="0"/>
        <w:rPr>
          <w:sz w:val="20"/>
          <w:szCs w:val="20"/>
          <w:color w:val="auto"/>
        </w:rPr>
      </w:pPr>
      <w:r>
        <w:rPr>
          <w:rFonts w:ascii="Arial" w:cs="Arial" w:eastAsia="Arial" w:hAnsi="Arial"/>
          <w:sz w:val="32"/>
          <w:szCs w:val="32"/>
          <w:b w:val="1"/>
          <w:bCs w:val="1"/>
          <w:i w:val="1"/>
          <w:iCs w:val="1"/>
          <w:color w:val="auto"/>
        </w:rPr>
        <w:t>Common stock</w:t>
      </w:r>
    </w:p>
    <w:p>
      <w:pPr>
        <w:spacing w:after="0" w:line="212"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This is the initial public offering of shares of common stock of Revolution Medicines, Inc. We are selling 10,000,000 shares of our common stock. The estimated initial public offering price is between $14.00 and $16.00 per share.</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Prior to this offering, there has been no public market for our common stock.</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applied to list our common stock on the Nasdaq Global Market under the symbol “RVMD.”</w:t>
      </w:r>
    </w:p>
    <w:p>
      <w:pPr>
        <w:spacing w:after="0" w:line="158" w:lineRule="exact"/>
        <w:rPr>
          <w:sz w:val="20"/>
          <w:szCs w:val="20"/>
          <w:color w:val="auto"/>
        </w:rPr>
      </w:pPr>
    </w:p>
    <w:p>
      <w:pPr>
        <w:ind w:left="200" w:right="700"/>
        <w:spacing w:after="0" w:line="239"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public company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6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spacing w:after="0"/>
              <w:rPr>
                <w:sz w:val="19"/>
                <w:szCs w:val="19"/>
                <w:color w:val="auto"/>
              </w:rPr>
            </w:pPr>
          </w:p>
        </w:tc>
        <w:tc>
          <w:tcPr>
            <w:tcW w:w="4220" w:type="dxa"/>
            <w:vAlign w:val="bottom"/>
            <w:tcBorders>
              <w:bottom w:val="single" w:sz="8" w:color="auto"/>
            </w:tcBorders>
          </w:tcPr>
          <w:p>
            <w:pPr>
              <w:ind w:left="3120"/>
              <w:spacing w:after="0"/>
              <w:rPr>
                <w:sz w:val="20"/>
                <w:szCs w:val="20"/>
                <w:color w:val="auto"/>
              </w:rPr>
            </w:pPr>
            <w:r>
              <w:rPr>
                <w:rFonts w:ascii="Arial" w:cs="Arial" w:eastAsia="Arial" w:hAnsi="Arial"/>
                <w:sz w:val="18"/>
                <w:szCs w:val="18"/>
                <w:b w:val="1"/>
                <w:bCs w:val="1"/>
                <w:color w:val="auto"/>
              </w:rPr>
              <w:t>Per share</w:t>
            </w:r>
          </w:p>
        </w:tc>
        <w:tc>
          <w:tcPr>
            <w:tcW w:w="110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Total</w:t>
            </w:r>
          </w:p>
        </w:tc>
      </w:tr>
      <w:tr>
        <w:trPr>
          <w:trHeight w:val="115"/>
        </w:trPr>
        <w:tc>
          <w:tcPr>
            <w:tcW w:w="20" w:type="dxa"/>
            <w:vAlign w:val="bottom"/>
          </w:tcPr>
          <w:p>
            <w:pPr>
              <w:spacing w:after="0"/>
              <w:rPr>
                <w:sz w:val="10"/>
                <w:szCs w:val="10"/>
                <w:color w:val="auto"/>
              </w:rPr>
            </w:pPr>
          </w:p>
        </w:tc>
        <w:tc>
          <w:tcPr>
            <w:tcW w:w="5700" w:type="dxa"/>
            <w:vAlign w:val="bottom"/>
          </w:tcPr>
          <w:p>
            <w:pPr>
              <w:spacing w:after="0"/>
              <w:rPr>
                <w:sz w:val="10"/>
                <w:szCs w:val="10"/>
                <w:color w:val="auto"/>
              </w:rPr>
            </w:pPr>
          </w:p>
        </w:tc>
        <w:tc>
          <w:tcPr>
            <w:tcW w:w="4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4220" w:type="dxa"/>
            <w:vAlign w:val="bottom"/>
            <w:shd w:val="clear" w:color="auto" w:fill="CCEEFF"/>
          </w:tcPr>
          <w:p>
            <w:pPr>
              <w:ind w:left="3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349"/>
        </w:trPr>
        <w:tc>
          <w:tcPr>
            <w:tcW w:w="5720" w:type="dxa"/>
            <w:vAlign w:val="bottom"/>
            <w:gridSpan w:val="2"/>
          </w:tcPr>
          <w:p>
            <w:pPr>
              <w:spacing w:after="0"/>
              <w:rPr>
                <w:sz w:val="20"/>
                <w:szCs w:val="20"/>
                <w:color w:val="auto"/>
              </w:rPr>
            </w:pPr>
            <w:r>
              <w:rPr>
                <w:rFonts w:ascii="Arial" w:cs="Arial" w:eastAsia="Arial" w:hAnsi="Arial"/>
                <w:sz w:val="18"/>
                <w:szCs w:val="18"/>
                <w:color w:val="auto"/>
              </w:rPr>
              <w:t>Underwriting discounts(1)</w:t>
            </w:r>
          </w:p>
        </w:tc>
        <w:tc>
          <w:tcPr>
            <w:tcW w:w="4220" w:type="dxa"/>
            <w:vAlign w:val="bottom"/>
          </w:tcPr>
          <w:p>
            <w:pPr>
              <w:ind w:left="3120"/>
              <w:spacing w:after="0"/>
              <w:rPr>
                <w:sz w:val="20"/>
                <w:szCs w:val="20"/>
                <w:color w:val="auto"/>
              </w:rPr>
            </w:pPr>
            <w:r>
              <w:rPr>
                <w:rFonts w:ascii="Arial" w:cs="Arial" w:eastAsia="Arial" w:hAnsi="Arial"/>
                <w:sz w:val="18"/>
                <w:szCs w:val="18"/>
                <w:color w:val="auto"/>
              </w:rPr>
              <w:t>$</w:t>
            </w:r>
          </w:p>
        </w:tc>
        <w:tc>
          <w:tcPr>
            <w:tcW w:w="1040" w:type="dxa"/>
            <w:vAlign w:val="bottom"/>
          </w:tcPr>
          <w:p>
            <w:pPr>
              <w:ind w:left="2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124"/>
        </w:trPr>
        <w:tc>
          <w:tcPr>
            <w:tcW w:w="5720" w:type="dxa"/>
            <w:vAlign w:val="bottom"/>
            <w:gridSpan w:val="2"/>
          </w:tcPr>
          <w:p>
            <w:pPr>
              <w:spacing w:after="0"/>
              <w:rPr>
                <w:sz w:val="10"/>
                <w:szCs w:val="10"/>
                <w:color w:val="auto"/>
              </w:rPr>
            </w:pPr>
          </w:p>
        </w:tc>
        <w:tc>
          <w:tcPr>
            <w:tcW w:w="42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4220" w:type="dxa"/>
            <w:vAlign w:val="bottom"/>
            <w:shd w:val="clear" w:color="auto" w:fill="CCEEFF"/>
          </w:tcPr>
          <w:p>
            <w:pPr>
              <w:ind w:left="3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Borders>
              <w:bottom w:val="single" w:sz="8" w:color="auto"/>
            </w:tcBorders>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hanging="316"/>
        <w:spacing w:after="0"/>
        <w:tabs>
          <w:tab w:leader="none" w:pos="5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the section titled “Underwriting” beginning on page 216 for additional information regarding compensation payable to the underwriters.</w:t>
      </w:r>
    </w:p>
    <w:p>
      <w:pPr>
        <w:spacing w:after="0" w:line="153"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We have granted the underwriters an option to purchase up to an additional 1,500,000 shares from us at the initial public offering price less the underwriting discounts and commissions. The underwriters may exercise this right at any time within 30 days after the date of this prospectus.</w:t>
      </w:r>
    </w:p>
    <w:p>
      <w:pPr>
        <w:spacing w:after="0" w:line="132" w:lineRule="exact"/>
        <w:rPr>
          <w:sz w:val="20"/>
          <w:szCs w:val="20"/>
          <w:color w:val="auto"/>
        </w:rPr>
      </w:pPr>
    </w:p>
    <w:p>
      <w:pPr>
        <w:ind w:left="200" w:right="36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the section titled “</w:t>
      </w:r>
      <w:hyperlink w:anchor="page16">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12 to read about factors you should consider before buying shares of our common stock.</w:t>
      </w:r>
    </w:p>
    <w:p>
      <w:pPr>
        <w:spacing w:after="0" w:line="112" w:lineRule="exact"/>
        <w:rPr>
          <w:sz w:val="20"/>
          <w:szCs w:val="20"/>
          <w:color w:val="auto"/>
        </w:rPr>
      </w:pPr>
    </w:p>
    <w:p>
      <w:pPr>
        <w:ind w:left="200" w:right="80"/>
        <w:spacing w:after="0" w:line="328" w:lineRule="auto"/>
        <w:rPr>
          <w:sz w:val="20"/>
          <w:szCs w:val="20"/>
          <w:color w:val="auto"/>
        </w:rPr>
      </w:pPr>
      <w:r>
        <w:rPr>
          <w:rFonts w:ascii="Arial" w:cs="Arial" w:eastAsia="Arial" w:hAnsi="Arial"/>
          <w:sz w:val="16"/>
          <w:szCs w:val="16"/>
          <w:b w:val="1"/>
          <w:bCs w:val="1"/>
          <w:color w:val="auto"/>
        </w:rPr>
        <w:t>Neither the Securities and Exchange Commission nor any other state securities commission has approved or disapproved of these securities, or passed upon the adequacy or accuracy of this prospectus. Any representation to the contrary is a criminal offense.</w:t>
      </w:r>
    </w:p>
    <w:p>
      <w:pPr>
        <w:spacing w:after="0" w:line="86" w:lineRule="exact"/>
        <w:rPr>
          <w:sz w:val="20"/>
          <w:szCs w:val="20"/>
          <w:color w:val="auto"/>
        </w:rPr>
      </w:pPr>
    </w:p>
    <w:tbl>
      <w:tblPr>
        <w:tblLayout w:type="fixed"/>
        <w:tblInd w:w="200" w:type="dxa"/>
        <w:tblCellMar>
          <w:top w:w="0" w:type="dxa"/>
          <w:left w:w="0" w:type="dxa"/>
          <w:bottom w:w="0" w:type="dxa"/>
          <w:right w:w="0" w:type="dxa"/>
        </w:tblCellMar>
      </w:tblPr>
      <w:tr>
        <w:trPr>
          <w:trHeight w:val="211"/>
        </w:trPr>
        <w:tc>
          <w:tcPr>
            <w:tcW w:w="7440" w:type="dxa"/>
            <w:vAlign w:val="bottom"/>
          </w:tcPr>
          <w:p>
            <w:pPr>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1040" w:type="dxa"/>
            <w:vAlign w:val="bottom"/>
          </w:tcPr>
          <w:p>
            <w:pPr>
              <w:jc w:val="right"/>
              <w:spacing w:after="0"/>
              <w:rPr>
                <w:sz w:val="20"/>
                <w:szCs w:val="20"/>
                <w:color w:val="auto"/>
              </w:rPr>
            </w:pPr>
            <w:r>
              <w:rPr>
                <w:rFonts w:ascii="Arial" w:cs="Arial" w:eastAsia="Arial" w:hAnsi="Arial"/>
                <w:sz w:val="18"/>
                <w:szCs w:val="18"/>
                <w:color w:val="auto"/>
              </w:rPr>
              <w:t>, 2020.</w:t>
            </w: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22" w:lineRule="exact"/>
        <w:rPr>
          <w:sz w:val="20"/>
          <w:szCs w:val="20"/>
          <w:color w:val="auto"/>
        </w:rPr>
      </w:pPr>
    </w:p>
    <w:p>
      <w:pPr>
        <w:ind w:left="200"/>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160"/>
        <w:spacing w:after="0"/>
        <w:rPr>
          <w:sz w:val="20"/>
          <w:szCs w:val="20"/>
          <w:color w:val="auto"/>
        </w:rPr>
      </w:pPr>
      <w:r>
        <w:rPr>
          <w:rFonts w:ascii="Arial" w:cs="Arial" w:eastAsia="Arial" w:hAnsi="Arial"/>
          <w:sz w:val="32"/>
          <w:szCs w:val="32"/>
          <w:b w:val="1"/>
          <w:bCs w:val="1"/>
          <w:color w:val="auto"/>
        </w:rPr>
        <w:t>Cowen</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140"/>
        <w:spacing w:after="0"/>
        <w:rPr>
          <w:sz w:val="20"/>
          <w:szCs w:val="20"/>
          <w:color w:val="auto"/>
        </w:rPr>
      </w:pPr>
      <w:r>
        <w:rPr>
          <w:rFonts w:ascii="Arial" w:cs="Arial" w:eastAsia="Arial" w:hAnsi="Arial"/>
          <w:sz w:val="32"/>
          <w:szCs w:val="32"/>
          <w:b w:val="1"/>
          <w:bCs w:val="1"/>
          <w:color w:val="auto"/>
        </w:rPr>
        <w:t>SVB Leerink</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Guggenheim Securities</w:t>
      </w:r>
    </w:p>
    <w:p>
      <w:pPr>
        <w:spacing w:after="0" w:line="190" w:lineRule="exact"/>
        <w:rPr>
          <w:sz w:val="20"/>
          <w:szCs w:val="20"/>
          <w:color w:val="auto"/>
        </w:rPr>
      </w:pPr>
    </w:p>
    <w:p>
      <w:pPr>
        <w:sectPr>
          <w:pgSz w:w="11900" w:h="16838" w:orient="portrait"/>
          <w:cols w:equalWidth="0" w:num="4">
            <w:col w:w="2160" w:space="720"/>
            <w:col w:w="1220" w:space="720"/>
            <w:col w:w="2060" w:space="720"/>
            <w:col w:w="364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6"/>
          <w:szCs w:val="16"/>
          <w:b w:val="1"/>
          <w:bCs w:val="1"/>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2020</w:t>
      </w:r>
    </w:p>
    <w:p>
      <w:pPr>
        <w:sectPr>
          <w:pgSz w:w="11900" w:h="16838" w:orient="portrait"/>
          <w:cols w:equalWidth="0" w:num="2">
            <w:col w:w="1780" w:space="720"/>
            <w:col w:w="8740"/>
          </w:cols>
          <w:pgMar w:left="240" w:top="459" w:right="4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8940" w:type="dxa"/>
            <w:vAlign w:val="bottom"/>
            <w:gridSpan w:val="23"/>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Prospectus summary</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1780" w:type="dxa"/>
            <w:vAlign w:val="bottom"/>
            <w:tcBorders>
              <w:top w:val="single" w:sz="8" w:color="0000EE"/>
            </w:tcBorders>
            <w:gridSpan w:val="9"/>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Risk factors</w:t>
              </w:r>
            </w:hyperlink>
          </w:p>
        </w:tc>
        <w:tc>
          <w:tcPr>
            <w:tcW w:w="7160" w:type="dxa"/>
            <w:vAlign w:val="bottom"/>
            <w:gridSpan w:val="14"/>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Special note regarding forward-looking statements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50"/>
        </w:trPr>
        <w:tc>
          <w:tcPr>
            <w:tcW w:w="4240" w:type="dxa"/>
            <w:vAlign w:val="bottom"/>
            <w:tcBorders>
              <w:top w:val="single" w:sz="8" w:color="0000EE"/>
            </w:tcBorders>
            <w:gridSpan w:val="18"/>
          </w:tcPr>
          <w:p>
            <w:pPr>
              <w:spacing w:after="0"/>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Market and industry data</w:t>
              </w:r>
            </w:hyperlink>
          </w:p>
        </w:tc>
        <w:tc>
          <w:tcPr>
            <w:tcW w:w="4700" w:type="dxa"/>
            <w:vAlign w:val="bottom"/>
            <w:gridSpan w:val="5"/>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50"/>
        </w:trPr>
        <w:tc>
          <w:tcPr>
            <w:tcW w:w="208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Use of proceeds</w:t>
              </w:r>
            </w:hyperlink>
          </w:p>
        </w:tc>
        <w:tc>
          <w:tcPr>
            <w:tcW w:w="6860" w:type="dxa"/>
            <w:vAlign w:val="bottom"/>
            <w:gridSpan w:val="12"/>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50"/>
        </w:trPr>
        <w:tc>
          <w:tcPr>
            <w:tcW w:w="136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79">
              <w:r>
                <w:rPr>
                  <w:rFonts w:ascii="Arial" w:cs="Arial" w:eastAsia="Arial" w:hAnsi="Arial"/>
                  <w:sz w:val="18"/>
                  <w:szCs w:val="18"/>
                  <w:b w:val="1"/>
                  <w:bCs w:val="1"/>
                  <w:color w:val="0000EE"/>
                </w:rPr>
                <w:t>Dividend policy</w:t>
              </w:r>
            </w:hyperlink>
          </w:p>
        </w:tc>
        <w:tc>
          <w:tcPr>
            <w:tcW w:w="7580" w:type="dxa"/>
            <w:vAlign w:val="bottom"/>
            <w:gridSpan w:val="15"/>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0"/>
        </w:trPr>
        <w:tc>
          <w:tcPr>
            <w:tcW w:w="130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80">
              <w:r>
                <w:rPr>
                  <w:rFonts w:ascii="Arial" w:cs="Arial" w:eastAsia="Arial" w:hAnsi="Arial"/>
                  <w:sz w:val="18"/>
                  <w:szCs w:val="18"/>
                  <w:b w:val="1"/>
                  <w:bCs w:val="1"/>
                  <w:color w:val="0000EE"/>
                </w:rPr>
                <w:t>Capitalization</w:t>
              </w:r>
            </w:hyperlink>
          </w:p>
        </w:tc>
        <w:tc>
          <w:tcPr>
            <w:tcW w:w="7640" w:type="dxa"/>
            <w:vAlign w:val="bottom"/>
            <w:gridSpan w:val="16"/>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50"/>
        </w:trPr>
        <w:tc>
          <w:tcPr>
            <w:tcW w:w="66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5"/>
              </w:rPr>
            </w:pPr>
            <w:hyperlink w:anchor="page82">
              <w:r>
                <w:rPr>
                  <w:rFonts w:ascii="Arial" w:cs="Arial" w:eastAsia="Arial" w:hAnsi="Arial"/>
                  <w:sz w:val="18"/>
                  <w:szCs w:val="18"/>
                  <w:b w:val="1"/>
                  <w:bCs w:val="1"/>
                  <w:color w:val="0000EE"/>
                  <w:w w:val="95"/>
                </w:rPr>
                <w:t>Dilution</w:t>
              </w:r>
            </w:hyperlink>
          </w:p>
        </w:tc>
        <w:tc>
          <w:tcPr>
            <w:tcW w:w="480" w:type="dxa"/>
            <w:vAlign w:val="bottom"/>
            <w:tcBorders>
              <w:top w:val="single" w:sz="8" w:color="0000EE"/>
            </w:tcBorders>
            <w:gridSpan w:val="4"/>
          </w:tcPr>
          <w:p>
            <w:pPr>
              <w:spacing w:after="0"/>
              <w:rPr>
                <w:sz w:val="21"/>
                <w:szCs w:val="21"/>
                <w:color w:val="auto"/>
              </w:rPr>
            </w:pPr>
          </w:p>
        </w:tc>
        <w:tc>
          <w:tcPr>
            <w:tcW w:w="7800" w:type="dxa"/>
            <w:vAlign w:val="bottom"/>
            <w:gridSpan w:val="17"/>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85">
              <w:r>
                <w:rPr>
                  <w:rFonts w:ascii="Arial" w:cs="Arial" w:eastAsia="Arial" w:hAnsi="Arial"/>
                  <w:sz w:val="18"/>
                  <w:szCs w:val="18"/>
                  <w:b w:val="1"/>
                  <w:bCs w:val="1"/>
                  <w:color w:val="0000EE"/>
                </w:rPr>
                <w:t>Selected consolidated financial data</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0"/>
        </w:trPr>
        <w:tc>
          <w:tcPr>
            <w:tcW w:w="6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87">
              <w:r>
                <w:rPr>
                  <w:rFonts w:ascii="Arial" w:cs="Arial" w:eastAsia="Arial" w:hAnsi="Arial"/>
                  <w:sz w:val="18"/>
                  <w:szCs w:val="18"/>
                  <w:b w:val="1"/>
                  <w:bCs w:val="1"/>
                  <w:color w:val="0000EE"/>
                </w:rPr>
                <w:t>Unaudited pro forma condensed combined financial statements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0"/>
        </w:trPr>
        <w:tc>
          <w:tcPr>
            <w:tcW w:w="6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94">
              <w:r>
                <w:rPr>
                  <w:rFonts w:ascii="Arial" w:cs="Arial" w:eastAsia="Arial" w:hAnsi="Arial"/>
                  <w:sz w:val="18"/>
                  <w:szCs w:val="18"/>
                  <w:b w:val="1"/>
                  <w:bCs w:val="1"/>
                  <w:color w:val="0000EE"/>
                </w:rPr>
                <w:t>Management’s discussion and analysis of financial condition and results of operations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50"/>
        </w:trPr>
        <w:tc>
          <w:tcPr>
            <w:tcW w:w="7240" w:type="dxa"/>
            <w:vAlign w:val="bottom"/>
            <w:tcBorders>
              <w:top w:val="single" w:sz="8" w:color="0000EE"/>
            </w:tcBorders>
            <w:gridSpan w:val="22"/>
          </w:tcPr>
          <w:p>
            <w:pPr>
              <w:spacing w:after="0"/>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Business</w:t>
              </w:r>
            </w:hyperlink>
          </w:p>
        </w:tc>
        <w:tc>
          <w:tcPr>
            <w:tcW w:w="17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6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1080" w:type="dxa"/>
            <w:vAlign w:val="bottom"/>
            <w:tcBorders>
              <w:bottom w:val="single" w:sz="8" w:color="0000EE"/>
            </w:tcBorders>
            <w:gridSpan w:val="5"/>
          </w:tcPr>
          <w:p>
            <w:pPr>
              <w:spacing w:after="0"/>
              <w:rPr>
                <w:rFonts w:ascii="Arial" w:cs="Arial" w:eastAsia="Arial" w:hAnsi="Arial"/>
                <w:sz w:val="18"/>
                <w:szCs w:val="18"/>
                <w:b w:val="1"/>
                <w:bCs w:val="1"/>
                <w:color w:val="0000EE"/>
                <w:w w:val="96"/>
              </w:rPr>
            </w:pPr>
            <w:hyperlink w:anchor="page175">
              <w:r>
                <w:rPr>
                  <w:rFonts w:ascii="Arial" w:cs="Arial" w:eastAsia="Arial" w:hAnsi="Arial"/>
                  <w:sz w:val="18"/>
                  <w:szCs w:val="18"/>
                  <w:b w:val="1"/>
                  <w:bCs w:val="1"/>
                  <w:color w:val="0000EE"/>
                  <w:w w:val="96"/>
                </w:rPr>
                <w:t>Management</w:t>
              </w:r>
            </w:hyperlink>
          </w:p>
        </w:tc>
        <w:tc>
          <w:tcPr>
            <w:tcW w:w="7860" w:type="dxa"/>
            <w:vAlign w:val="bottom"/>
            <w:gridSpan w:val="18"/>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50"/>
        </w:trPr>
        <w:tc>
          <w:tcPr>
            <w:tcW w:w="3140" w:type="dxa"/>
            <w:vAlign w:val="bottom"/>
            <w:tcBorders>
              <w:bottom w:val="single" w:sz="8" w:color="0000EE"/>
            </w:tcBorders>
            <w:gridSpan w:val="16"/>
          </w:tcPr>
          <w:p>
            <w:pPr>
              <w:spacing w:after="0"/>
              <w:rPr>
                <w:rFonts w:ascii="Arial" w:cs="Arial" w:eastAsia="Arial" w:hAnsi="Arial"/>
                <w:sz w:val="18"/>
                <w:szCs w:val="18"/>
                <w:b w:val="1"/>
                <w:bCs w:val="1"/>
                <w:color w:val="0000EE"/>
                <w:w w:val="97"/>
              </w:rPr>
            </w:pPr>
            <w:hyperlink w:anchor="page184">
              <w:r>
                <w:rPr>
                  <w:rFonts w:ascii="Arial" w:cs="Arial" w:eastAsia="Arial" w:hAnsi="Arial"/>
                  <w:sz w:val="18"/>
                  <w:szCs w:val="18"/>
                  <w:b w:val="1"/>
                  <w:bCs w:val="1"/>
                  <w:color w:val="0000EE"/>
                  <w:w w:val="97"/>
                </w:rPr>
                <w:t>Executive and director compensation</w:t>
              </w:r>
            </w:hyperlink>
          </w:p>
        </w:tc>
        <w:tc>
          <w:tcPr>
            <w:tcW w:w="5800" w:type="dxa"/>
            <w:vAlign w:val="bottom"/>
            <w:gridSpan w:val="7"/>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199">
              <w:r>
                <w:rPr>
                  <w:rFonts w:ascii="Arial" w:cs="Arial" w:eastAsia="Arial" w:hAnsi="Arial"/>
                  <w:sz w:val="18"/>
                  <w:szCs w:val="18"/>
                  <w:b w:val="1"/>
                  <w:bCs w:val="1"/>
                  <w:color w:val="0000EE"/>
                </w:rPr>
                <w:t>Certain relationships and related party transactions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50"/>
        </w:trPr>
        <w:tc>
          <w:tcPr>
            <w:tcW w:w="4300" w:type="dxa"/>
            <w:vAlign w:val="bottom"/>
            <w:tcBorders>
              <w:top w:val="single" w:sz="8" w:color="0000EE"/>
            </w:tcBorders>
            <w:gridSpan w:val="19"/>
          </w:tcPr>
          <w:p>
            <w:pPr>
              <w:spacing w:after="0"/>
              <w:rPr>
                <w:rFonts w:ascii="Arial" w:cs="Arial" w:eastAsia="Arial" w:hAnsi="Arial"/>
                <w:sz w:val="18"/>
                <w:szCs w:val="18"/>
                <w:b w:val="1"/>
                <w:bCs w:val="1"/>
                <w:color w:val="0000EE"/>
              </w:rPr>
            </w:pPr>
            <w:hyperlink w:anchor="page204">
              <w:r>
                <w:rPr>
                  <w:rFonts w:ascii="Arial" w:cs="Arial" w:eastAsia="Arial" w:hAnsi="Arial"/>
                  <w:sz w:val="18"/>
                  <w:szCs w:val="18"/>
                  <w:b w:val="1"/>
                  <w:bCs w:val="1"/>
                  <w:color w:val="0000EE"/>
                </w:rPr>
                <w:t>Principal stockholders</w:t>
              </w:r>
            </w:hyperlink>
          </w:p>
        </w:tc>
        <w:tc>
          <w:tcPr>
            <w:tcW w:w="4640" w:type="dxa"/>
            <w:vAlign w:val="bottom"/>
            <w:gridSpan w:val="4"/>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6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gridSpan w:val="4"/>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2300" w:type="dxa"/>
            <w:vAlign w:val="bottom"/>
            <w:tcBorders>
              <w:bottom w:val="single" w:sz="8" w:color="0000EE"/>
            </w:tcBorders>
            <w:gridSpan w:val="12"/>
          </w:tcPr>
          <w:p>
            <w:pPr>
              <w:spacing w:after="0"/>
              <w:rPr>
                <w:rFonts w:ascii="Arial" w:cs="Arial" w:eastAsia="Arial" w:hAnsi="Arial"/>
                <w:sz w:val="18"/>
                <w:szCs w:val="18"/>
                <w:b w:val="1"/>
                <w:bCs w:val="1"/>
                <w:color w:val="0000EE"/>
                <w:w w:val="96"/>
              </w:rPr>
            </w:pPr>
            <w:hyperlink w:anchor="page207">
              <w:r>
                <w:rPr>
                  <w:rFonts w:ascii="Arial" w:cs="Arial" w:eastAsia="Arial" w:hAnsi="Arial"/>
                  <w:sz w:val="18"/>
                  <w:szCs w:val="18"/>
                  <w:b w:val="1"/>
                  <w:bCs w:val="1"/>
                  <w:color w:val="0000EE"/>
                  <w:w w:val="96"/>
                </w:rPr>
                <w:t>Description of capital stock</w:t>
              </w:r>
            </w:hyperlink>
          </w:p>
        </w:tc>
        <w:tc>
          <w:tcPr>
            <w:tcW w:w="6640" w:type="dxa"/>
            <w:vAlign w:val="bottom"/>
            <w:gridSpan w:val="11"/>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203</w:t>
            </w: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213">
              <w:r>
                <w:rPr>
                  <w:rFonts w:ascii="Arial" w:cs="Arial" w:eastAsia="Arial" w:hAnsi="Arial"/>
                  <w:sz w:val="18"/>
                  <w:szCs w:val="18"/>
                  <w:b w:val="1"/>
                  <w:bCs w:val="1"/>
                  <w:color w:val="0000EE"/>
                </w:rPr>
                <w:t>Shares eligible for future sale</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0"/>
        </w:trPr>
        <w:tc>
          <w:tcPr>
            <w:tcW w:w="6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320" w:type="dxa"/>
            <w:vAlign w:val="bottom"/>
            <w:gridSpan w:val="7"/>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36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216">
              <w:r>
                <w:rPr>
                  <w:rFonts w:ascii="Arial" w:cs="Arial" w:eastAsia="Arial" w:hAnsi="Arial"/>
                  <w:sz w:val="18"/>
                  <w:szCs w:val="18"/>
                  <w:b w:val="1"/>
                  <w:bCs w:val="1"/>
                  <w:color w:val="0000EE"/>
                </w:rPr>
                <w:t>Material U.S. federal income tax consequences to non-U.S. holders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50"/>
        </w:trPr>
        <w:tc>
          <w:tcPr>
            <w:tcW w:w="5580" w:type="dxa"/>
            <w:vAlign w:val="bottom"/>
            <w:tcBorders>
              <w:top w:val="single" w:sz="8" w:color="0000EE"/>
            </w:tcBorders>
            <w:gridSpan w:val="21"/>
          </w:tcPr>
          <w:p>
            <w:pPr>
              <w:spacing w:after="0"/>
              <w:rPr>
                <w:rFonts w:ascii="Arial" w:cs="Arial" w:eastAsia="Arial" w:hAnsi="Arial"/>
                <w:sz w:val="18"/>
                <w:szCs w:val="18"/>
                <w:b w:val="1"/>
                <w:bCs w:val="1"/>
                <w:color w:val="0000EE"/>
              </w:rPr>
            </w:pPr>
            <w:hyperlink w:anchor="page220">
              <w:r>
                <w:rPr>
                  <w:rFonts w:ascii="Arial" w:cs="Arial" w:eastAsia="Arial" w:hAnsi="Arial"/>
                  <w:sz w:val="18"/>
                  <w:szCs w:val="18"/>
                  <w:b w:val="1"/>
                  <w:bCs w:val="1"/>
                  <w:color w:val="0000EE"/>
                </w:rPr>
                <w:t>Underwriting</w:t>
              </w:r>
            </w:hyperlink>
          </w:p>
        </w:tc>
        <w:tc>
          <w:tcPr>
            <w:tcW w:w="3360" w:type="dxa"/>
            <w:vAlign w:val="bottom"/>
            <w:gridSpan w:val="2"/>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0"/>
        </w:trPr>
        <w:tc>
          <w:tcPr>
            <w:tcW w:w="64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80" w:type="dxa"/>
            <w:vAlign w:val="bottom"/>
            <w:gridSpan w:val="9"/>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231">
              <w:r>
                <w:rPr>
                  <w:rFonts w:ascii="Arial" w:cs="Arial" w:eastAsia="Arial" w:hAnsi="Arial"/>
                  <w:sz w:val="18"/>
                  <w:szCs w:val="18"/>
                  <w:b w:val="1"/>
                  <w:bCs w:val="1"/>
                  <w:color w:val="0000EE"/>
                </w:rPr>
                <w:t>Legal matters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50"/>
        </w:trPr>
        <w:tc>
          <w:tcPr>
            <w:tcW w:w="1140" w:type="dxa"/>
            <w:vAlign w:val="bottom"/>
            <w:tcBorders>
              <w:top w:val="single" w:sz="8" w:color="0000EE"/>
            </w:tcBorders>
            <w:gridSpan w:val="6"/>
          </w:tcPr>
          <w:p>
            <w:pPr>
              <w:spacing w:after="0"/>
              <w:rPr>
                <w:rFonts w:ascii="Arial" w:cs="Arial" w:eastAsia="Arial" w:hAnsi="Arial"/>
                <w:sz w:val="18"/>
                <w:szCs w:val="18"/>
                <w:b w:val="1"/>
                <w:bCs w:val="1"/>
                <w:color w:val="0000EE"/>
              </w:rPr>
            </w:pPr>
            <w:hyperlink w:anchor="page231">
              <w:r>
                <w:rPr>
                  <w:rFonts w:ascii="Arial" w:cs="Arial" w:eastAsia="Arial" w:hAnsi="Arial"/>
                  <w:sz w:val="18"/>
                  <w:szCs w:val="18"/>
                  <w:b w:val="1"/>
                  <w:bCs w:val="1"/>
                  <w:color w:val="0000EE"/>
                </w:rPr>
                <w:t>Experts</w:t>
              </w:r>
            </w:hyperlink>
          </w:p>
        </w:tc>
        <w:tc>
          <w:tcPr>
            <w:tcW w:w="7800" w:type="dxa"/>
            <w:vAlign w:val="bottom"/>
            <w:gridSpan w:val="17"/>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0"/>
        </w:trPr>
        <w:tc>
          <w:tcPr>
            <w:tcW w:w="640" w:type="dxa"/>
            <w:vAlign w:val="bottom"/>
            <w:shd w:val="clear" w:color="auto" w:fill="0000EE"/>
          </w:tcPr>
          <w:p>
            <w:pPr>
              <w:spacing w:after="0" w:line="20" w:lineRule="exact"/>
              <w:rPr>
                <w:sz w:val="1"/>
                <w:szCs w:val="1"/>
                <w:color w:val="auto"/>
              </w:rPr>
            </w:pPr>
          </w:p>
        </w:tc>
        <w:tc>
          <w:tcPr>
            <w:tcW w:w="2480" w:type="dxa"/>
            <w:vAlign w:val="bottom"/>
            <w:gridSpan w:val="14"/>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0" w:type="dxa"/>
            <w:vAlign w:val="bottom"/>
            <w:gridSpan w:val="6"/>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0"/>
        </w:trPr>
        <w:tc>
          <w:tcPr>
            <w:tcW w:w="3120" w:type="dxa"/>
            <w:vAlign w:val="bottom"/>
            <w:tcBorders>
              <w:bottom w:val="single" w:sz="8" w:color="0000EE"/>
            </w:tcBorders>
            <w:gridSpan w:val="15"/>
          </w:tcPr>
          <w:p>
            <w:pPr>
              <w:spacing w:after="0"/>
              <w:rPr>
                <w:rFonts w:ascii="Arial" w:cs="Arial" w:eastAsia="Arial" w:hAnsi="Arial"/>
                <w:sz w:val="18"/>
                <w:szCs w:val="18"/>
                <w:b w:val="1"/>
                <w:bCs w:val="1"/>
                <w:color w:val="0000EE"/>
                <w:w w:val="97"/>
              </w:rPr>
            </w:pPr>
            <w:hyperlink w:anchor="page231">
              <w:r>
                <w:rPr>
                  <w:rFonts w:ascii="Arial" w:cs="Arial" w:eastAsia="Arial" w:hAnsi="Arial"/>
                  <w:sz w:val="18"/>
                  <w:szCs w:val="18"/>
                  <w:b w:val="1"/>
                  <w:bCs w:val="1"/>
                  <w:color w:val="0000EE"/>
                  <w:w w:val="97"/>
                </w:rPr>
                <w:t>Where you can find more information</w:t>
              </w:r>
            </w:hyperlink>
          </w:p>
        </w:tc>
        <w:tc>
          <w:tcPr>
            <w:tcW w:w="5820" w:type="dxa"/>
            <w:vAlign w:val="bottom"/>
            <w:gridSpan w:val="8"/>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50"/>
        </w:trPr>
        <w:tc>
          <w:tcPr>
            <w:tcW w:w="8940" w:type="dxa"/>
            <w:vAlign w:val="bottom"/>
            <w:gridSpan w:val="23"/>
          </w:tcPr>
          <w:p>
            <w:pPr>
              <w:spacing w:after="0"/>
              <w:rPr>
                <w:rFonts w:ascii="Arial" w:cs="Arial" w:eastAsia="Arial" w:hAnsi="Arial"/>
                <w:sz w:val="18"/>
                <w:szCs w:val="18"/>
                <w:b w:val="1"/>
                <w:bCs w:val="1"/>
                <w:color w:val="0000EE"/>
              </w:rPr>
            </w:pPr>
            <w:hyperlink w:anchor="page233">
              <w:r>
                <w:rPr>
                  <w:rFonts w:ascii="Arial" w:cs="Arial" w:eastAsia="Arial" w:hAnsi="Arial"/>
                  <w:sz w:val="18"/>
                  <w:szCs w:val="18"/>
                  <w:b w:val="1"/>
                  <w:bCs w:val="1"/>
                  <w:color w:val="0000EE"/>
                </w:rPr>
                <w:t>Index to consolidated financial statements</w:t>
              </w:r>
            </w:hyperlink>
          </w:p>
        </w:tc>
        <w:tc>
          <w:tcPr>
            <w:tcW w:w="20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20"/>
        </w:trPr>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bl>
    <w:p>
      <w:pPr>
        <w:spacing w:after="0" w:line="12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Neither we nor the underwriters have authorized anyone to provide you with information that is different from that contained in this prospectus or in any free writing prospectus we may authorize to be delivered or made available to you. We and the underwriters take no responsibility for, and can provide no assurance as to the reliability of, any other information that others may give you. We and the underwriters are offering to sell shares of common stock and seeking offers to buy shares of common stock only in jurisdictions where offers and sales are permitted. The information contained in this prospectus is accurate only as of the date on the front of this prospectus, or other earlier date stated in this prospectus, regardless of the time of delivery of this prospectus or any sale of shares of our common stock. Our business, financial condition, results of operations and prospects may have changed since that date.</w:t>
      </w:r>
    </w:p>
    <w:p>
      <w:pPr>
        <w:spacing w:after="0" w:line="101" w:lineRule="exact"/>
        <w:rPr>
          <w:sz w:val="20"/>
          <w:szCs w:val="20"/>
          <w:color w:val="auto"/>
        </w:rPr>
      </w:pPr>
    </w:p>
    <w:p>
      <w:pPr>
        <w:ind w:left="200" w:right="380"/>
        <w:spacing w:after="0" w:line="237" w:lineRule="auto"/>
        <w:rPr>
          <w:sz w:val="20"/>
          <w:szCs w:val="20"/>
          <w:color w:val="auto"/>
        </w:rPr>
      </w:pPr>
      <w:r>
        <w:rPr>
          <w:rFonts w:ascii="Arial" w:cs="Arial" w:eastAsia="Arial" w:hAnsi="Arial"/>
          <w:sz w:val="18"/>
          <w:szCs w:val="18"/>
          <w:color w:val="auto"/>
        </w:rPr>
        <w:t>No action is being taken in any jurisdiction outside the United States to permit a public offering of our common stock or possession or distribution of this prospectus in that jurisdiction. Persons who come into possession of this prospectus in jurisdictions outside the United States are required to inform themselves about and to observe any restrictions as to this offering and the distribution of this prospectus applicable to that jurisdiction.</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4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Revolution Medicines</w:t>
      </w:r>
      <w:r>
        <w:rPr>
          <w:rFonts w:ascii="Arial" w:cs="Arial" w:eastAsia="Arial" w:hAnsi="Arial"/>
          <w:sz w:val="11"/>
          <w:szCs w:val="11"/>
          <w:color w:val="auto"/>
        </w:rPr>
        <w:t>®</w:t>
      </w:r>
      <w:r>
        <w:rPr>
          <w:rFonts w:ascii="Arial" w:cs="Arial" w:eastAsia="Arial" w:hAnsi="Arial"/>
          <w:sz w:val="18"/>
          <w:szCs w:val="18"/>
          <w:color w:val="auto"/>
        </w:rPr>
        <w:t xml:space="preserve"> and our logo are some of our trademarks used in this prospectus. This prospectus also includes trademarks, tradenames and service marks that are the property of other organizations. Solely for convenience, our trademarks, service marks and tradenames referred to in this prospectus may appear without the </w:t>
      </w:r>
      <w:r>
        <w:rPr>
          <w:rFonts w:ascii="Arial" w:cs="Arial" w:eastAsia="Arial" w:hAnsi="Arial"/>
          <w:sz w:val="11"/>
          <w:szCs w:val="11"/>
          <w:color w:val="auto"/>
        </w:rPr>
        <w:t>®</w:t>
      </w:r>
      <w:r>
        <w:rPr>
          <w:rFonts w:ascii="Arial" w:cs="Arial" w:eastAsia="Arial" w:hAnsi="Arial"/>
          <w:sz w:val="18"/>
          <w:szCs w:val="18"/>
          <w:color w:val="auto"/>
        </w:rPr>
        <w:t xml:space="preserve"> and </w:t>
      </w:r>
      <w:r>
        <w:rPr>
          <w:rFonts w:ascii="Arial" w:cs="Arial" w:eastAsia="Arial" w:hAnsi="Arial"/>
          <w:sz w:val="11"/>
          <w:szCs w:val="11"/>
          <w:color w:val="auto"/>
        </w:rPr>
        <w:t>™</w:t>
      </w:r>
      <w:r>
        <w:rPr>
          <w:rFonts w:ascii="Arial" w:cs="Arial" w:eastAsia="Arial" w:hAnsi="Arial"/>
          <w:sz w:val="18"/>
          <w:szCs w:val="18"/>
          <w:color w:val="auto"/>
        </w:rPr>
        <w:t xml:space="preserve"> symbol, but those references are not intended to indicate, in any way, that we will not assert, to the fullest extent under applicable law, our rights, or the right of the applicable licensor to these trademarks, service marks and tradenames.</w:t>
      </w:r>
    </w:p>
    <w:p>
      <w:pPr>
        <w:spacing w:after="0" w:line="81"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24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31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2145" cy="453199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Prospectus summary</w:t>
      </w:r>
    </w:p>
    <w:p>
      <w:pPr>
        <w:spacing w:after="0" w:line="140" w:lineRule="exact"/>
        <w:rPr>
          <w:sz w:val="20"/>
          <w:szCs w:val="20"/>
          <w:color w:val="auto"/>
        </w:rPr>
      </w:pPr>
    </w:p>
    <w:p>
      <w:pPr>
        <w:ind w:left="380"/>
        <w:spacing w:after="0" w:line="239"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does not contain all of the information you should consider before investing in our common stock. You should read this entire prospectus carefully, especially the section in this prospectus titled “Risk factors” and our consolidated financial statements and the related notes thereto included at the end of this prospectus, before making an investment decision. As used in this prospectus, unless the context otherwise requires, references to “we,” “us,” “our,” “our company,” “the Company” and “Revolution Medicines” refer to Revolution Medicines, Inc. and its subsidiary taken as a whole, and references to “Warp Drive” refer to its wholly-owned subsidiary Warp Drive Bio, Inc.</w:t>
      </w:r>
    </w:p>
    <w:p>
      <w:pPr>
        <w:spacing w:after="0" w:line="177"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Overview</w:t>
      </w:r>
    </w:p>
    <w:p>
      <w:pPr>
        <w:spacing w:after="0" w:line="116" w:lineRule="exact"/>
        <w:rPr>
          <w:sz w:val="20"/>
          <w:szCs w:val="20"/>
          <w:color w:val="auto"/>
        </w:rPr>
      </w:pPr>
    </w:p>
    <w:p>
      <w:pPr>
        <w:ind w:left="380" w:right="20"/>
        <w:spacing w:after="0" w:line="247" w:lineRule="auto"/>
        <w:rPr>
          <w:sz w:val="20"/>
          <w:szCs w:val="20"/>
          <w:color w:val="auto"/>
        </w:rPr>
      </w:pPr>
      <w:r>
        <w:rPr>
          <w:rFonts w:ascii="Arial" w:cs="Arial" w:eastAsia="Arial" w:hAnsi="Arial"/>
          <w:sz w:val="17"/>
          <w:szCs w:val="17"/>
          <w:color w:val="auto"/>
        </w:rPr>
        <w:t xml:space="preserve">We are a clinical-stage precision oncology company focused on developing novel targeted therapies to inhibit elusive, high-value </w:t>
      </w:r>
      <w:r>
        <w:rPr>
          <w:rFonts w:ascii="Arial" w:cs="Arial" w:eastAsia="Arial" w:hAnsi="Arial"/>
          <w:sz w:val="17"/>
          <w:szCs w:val="17"/>
          <w:i w:val="1"/>
          <w:iCs w:val="1"/>
          <w:color w:val="auto"/>
        </w:rPr>
        <w:t>frontier</w:t>
      </w:r>
      <w:r>
        <w:rPr>
          <w:rFonts w:ascii="Arial" w:cs="Arial" w:eastAsia="Arial" w:hAnsi="Arial"/>
          <w:sz w:val="17"/>
          <w:szCs w:val="17"/>
          <w:color w:val="auto"/>
        </w:rPr>
        <w:t xml:space="preserve"> targets within notorious growth and survival pathways, with particular emphasis on the RAS and mTOR signaling pathways. We define </w:t>
      </w:r>
      <w:r>
        <w:rPr>
          <w:rFonts w:ascii="Arial" w:cs="Arial" w:eastAsia="Arial" w:hAnsi="Arial"/>
          <w:sz w:val="17"/>
          <w:szCs w:val="17"/>
          <w:i w:val="1"/>
          <w:iCs w:val="1"/>
          <w:color w:val="auto"/>
        </w:rPr>
        <w:t xml:space="preserve">frontier </w:t>
      </w:r>
      <w:r>
        <w:rPr>
          <w:rFonts w:ascii="Arial" w:cs="Arial" w:eastAsia="Arial" w:hAnsi="Arial"/>
          <w:sz w:val="17"/>
          <w:szCs w:val="17"/>
          <w:color w:val="auto"/>
        </w:rPr>
        <w:t>targets as proteins that play an important role in cancer and for which there is either: no approved drug that directly inhibits it,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one or more approved drugs that directly inhibit it but through a mechanism of action that may not enable suppression of the full range of its biologic contributions to cancer. 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 Our most advanced product candidate, RMC-4630, is a potent and selective inhibitor of SHP2, based on preclinical evidence described in this prospectus under the heading “Business—Our pipeline—Our SHP2 inhibitor, RMC-4630—Preclinical profile of RMC-4630.” SHP2 is a central node in the RAS signaling pathway. In collaboration with Sanofi, we are evaluating RMC-4630 in a multi-cohort Phase 1/2 clinical program. This RMC-4630 Phase 1/2 program currently consists of two active clinical trials: RMC-4630-01, a Phase 1 study of RMC-4630 as a single agent, and RMC-4630-02, a Phase 1b/2 study of RMC-4630 in combination with the MEK inhibitor cobimetinib (Cotellic). In this prospectus, we report preliminary data from 63 patients who had enrolled in our Phase 1 study and received RMC-4630 as monotherapy as of November 6, 2019 and from eight patients who had enrolled in our Phase 1b/2 combination study and received RMC-4630 as of November 14, 2019. Leveraging our proprietary tri-complex technology platform, we are also developing a portfolio of mutant-selective RAS inhibitors that we believe are the first potent, selective, cell-active inhibitors of the active, GTP-bound form of RAS, or RAS(ON). These inhibitors also have exhibited anti-tumor activity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in preclinical models. Initially, we will prioritize four mutant RAS(ON) targets—KRAS</w:t>
      </w:r>
      <w:r>
        <w:rPr>
          <w:rFonts w:ascii="Arial" w:cs="Arial" w:eastAsia="Arial" w:hAnsi="Arial"/>
          <w:sz w:val="21"/>
          <w:szCs w:val="21"/>
          <w:color w:val="auto"/>
          <w:vertAlign w:val="superscript"/>
        </w:rPr>
        <w:t>G12C</w:t>
      </w:r>
      <w:r>
        <w:rPr>
          <w:rFonts w:ascii="Arial" w:cs="Arial" w:eastAsia="Arial" w:hAnsi="Arial"/>
          <w:sz w:val="17"/>
          <w:szCs w:val="17"/>
          <w:color w:val="auto"/>
        </w:rPr>
        <w:t>, KRAS</w:t>
      </w:r>
      <w:r>
        <w:rPr>
          <w:rFonts w:ascii="Arial" w:cs="Arial" w:eastAsia="Arial" w:hAnsi="Arial"/>
          <w:sz w:val="21"/>
          <w:szCs w:val="21"/>
          <w:color w:val="auto"/>
          <w:vertAlign w:val="superscript"/>
        </w:rPr>
        <w:t>G13C</w:t>
      </w:r>
      <w:r>
        <w:rPr>
          <w:rFonts w:ascii="Arial" w:cs="Arial" w:eastAsia="Arial" w:hAnsi="Arial"/>
          <w:sz w:val="17"/>
          <w:szCs w:val="17"/>
          <w:color w:val="auto"/>
        </w:rPr>
        <w:t>, KRAS</w:t>
      </w:r>
      <w:r>
        <w:rPr>
          <w:rFonts w:ascii="Arial" w:cs="Arial" w:eastAsia="Arial" w:hAnsi="Arial"/>
          <w:sz w:val="21"/>
          <w:szCs w:val="21"/>
          <w:color w:val="auto"/>
          <w:vertAlign w:val="superscript"/>
        </w:rPr>
        <w:t>G12D</w:t>
      </w:r>
      <w:r>
        <w:rPr>
          <w:rFonts w:ascii="Arial" w:cs="Arial" w:eastAsia="Arial" w:hAnsi="Arial"/>
          <w:sz w:val="17"/>
          <w:szCs w:val="17"/>
          <w:color w:val="auto"/>
        </w:rPr>
        <w:t xml:space="preserve"> and NRAS</w:t>
      </w:r>
      <w:r>
        <w:rPr>
          <w:rFonts w:ascii="Arial" w:cs="Arial" w:eastAsia="Arial" w:hAnsi="Arial"/>
          <w:sz w:val="21"/>
          <w:szCs w:val="21"/>
          <w:color w:val="auto"/>
          <w:vertAlign w:val="superscript"/>
        </w:rPr>
        <w:t>G12C</w:t>
      </w:r>
      <w:r>
        <w:rPr>
          <w:rFonts w:ascii="Arial" w:cs="Arial" w:eastAsia="Arial" w:hAnsi="Arial"/>
          <w:sz w:val="17"/>
          <w:szCs w:val="17"/>
          <w:color w:val="auto"/>
        </w:rPr>
        <w:t>—and expect to nominate our first development candidate in 2020. Our pipeline also includes inhibitors of other key nodes within the RAS and mTOR signaling pathways, such as SOS1 and mTORC1. Our pipeline includes one product candidate that is in clinical development and all of our other programs are in the preclinical stage.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165"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466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546671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summarizes our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80" w:right="100"/>
        <w:spacing w:after="0" w:line="281" w:lineRule="auto"/>
        <w:rPr>
          <w:sz w:val="20"/>
          <w:szCs w:val="20"/>
          <w:color w:val="auto"/>
        </w:rPr>
      </w:pPr>
      <w:r>
        <w:rPr>
          <w:rFonts w:ascii="Arial" w:cs="Arial" w:eastAsia="Arial" w:hAnsi="Arial"/>
          <w:sz w:val="16"/>
          <w:szCs w:val="16"/>
          <w:color w:val="auto"/>
        </w:rPr>
        <w:t>Under our collaboration on our SHP2 program with Sanofi,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 For all other programs, we retain worldwide commercial rights.</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opportunity and innovation engine</w:t>
      </w:r>
    </w:p>
    <w:p>
      <w:pPr>
        <w:spacing w:after="0" w:line="134" w:lineRule="exact"/>
        <w:rPr>
          <w:sz w:val="20"/>
          <w:szCs w:val="20"/>
          <w:color w:val="auto"/>
        </w:rPr>
      </w:pPr>
    </w:p>
    <w:p>
      <w:pPr>
        <w:ind w:left="380"/>
        <w:spacing w:after="0" w:line="268" w:lineRule="auto"/>
        <w:rPr>
          <w:sz w:val="20"/>
          <w:szCs w:val="20"/>
          <w:color w:val="auto"/>
        </w:rPr>
      </w:pPr>
      <w:r>
        <w:rPr>
          <w:rFonts w:ascii="Arial" w:cs="Arial" w:eastAsia="Arial" w:hAnsi="Arial"/>
          <w:sz w:val="16"/>
          <w:szCs w:val="16"/>
          <w:color w:val="auto"/>
        </w:rPr>
        <w:t>The RAS and mTOR signaling cascades are among the most frequently exploited by human cancers, where mutations in key nodes in these pathways cause excessive or aberrant signaling and cell growth. For example, mutations in RAS proteins account for approximately 30% of all human cancers in the United States, many of which are fatal. According to the National Cancer Institute, KRAS protein mutations occur in up to 35% of lung, 45% of colon and 95% of pancreatic cancers. Cancers caused by RAS-pathway mutations exhibit a phenomenon called “oncogene addiction,” in which tumor cells become highly dependent on signaling through the RAS pathway to survive. The importance of the RAS pathway in cancer has led to the development of several targeted therapies that can profoundly inhibit tumor growth and cause regressions in some instances. However, cancer cells can eventually develop adaptive resistance, losing sensitivity to treatment by hijacking other cell signaling circuitry to circumvent the inhibition and restore RAS-dependent signaling. The need to overcome this resistance in treating RAS-dependent tumors has led to the use of combination regimens designed to inhibit the RAS signaling pathway at multiple nodes simultaneously in an attempt to prolong the depth and durability of clinical benefit.</w:t>
      </w:r>
    </w:p>
    <w:p>
      <w:pPr>
        <w:spacing w:after="0" w:line="79" w:lineRule="exact"/>
        <w:rPr>
          <w:sz w:val="20"/>
          <w:szCs w:val="20"/>
          <w:color w:val="auto"/>
        </w:rPr>
      </w:pPr>
    </w:p>
    <w:p>
      <w:pPr>
        <w:jc w:val="both"/>
        <w:ind w:left="380" w:right="220"/>
        <w:spacing w:after="0" w:line="281" w:lineRule="auto"/>
        <w:rPr>
          <w:sz w:val="20"/>
          <w:szCs w:val="20"/>
          <w:color w:val="auto"/>
        </w:rPr>
      </w:pPr>
      <w:r>
        <w:rPr>
          <w:rFonts w:ascii="Arial" w:cs="Arial" w:eastAsia="Arial" w:hAnsi="Arial"/>
          <w:sz w:val="16"/>
          <w:szCs w:val="16"/>
          <w:color w:val="auto"/>
        </w:rPr>
        <w:t xml:space="preserve">Despite recent progress in targeted therapies, we believe there is a significant need and opportunity to further improve the treatment of certain cancers. We have built an innovation engine consisting of three complementary drivers that enable us to discover and develop targeted therapies for elusive, high-value </w:t>
      </w:r>
      <w:r>
        <w:rPr>
          <w:rFonts w:ascii="Arial" w:cs="Arial" w:eastAsia="Arial" w:hAnsi="Arial"/>
          <w:sz w:val="16"/>
          <w:szCs w:val="16"/>
          <w:i w:val="1"/>
          <w:iCs w:val="1"/>
          <w:color w:val="auto"/>
        </w:rPr>
        <w:t>frontier</w:t>
      </w:r>
      <w:r>
        <w:rPr>
          <w:rFonts w:ascii="Arial" w:cs="Arial" w:eastAsia="Arial" w:hAnsi="Arial"/>
          <w:sz w:val="16"/>
          <w:szCs w:val="16"/>
          <w:color w:val="auto"/>
        </w:rPr>
        <w:t xml:space="preserve"> cancer targets within notorious growth and survival pathways:</w:t>
      </w:r>
    </w:p>
    <w:p>
      <w:pPr>
        <w:spacing w:after="0" w:line="61" w:lineRule="exact"/>
        <w:rPr>
          <w:sz w:val="20"/>
          <w:szCs w:val="20"/>
          <w:color w:val="auto"/>
        </w:rPr>
      </w:pPr>
    </w:p>
    <w:p>
      <w:pPr>
        <w:ind w:left="580" w:right="480" w:hanging="194"/>
        <w:spacing w:after="0" w:line="264"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Deep </w:t>
      </w:r>
      <w:r>
        <w:rPr>
          <w:rFonts w:ascii="Arial" w:cs="Arial" w:eastAsia="Arial" w:hAnsi="Arial"/>
          <w:sz w:val="18"/>
          <w:szCs w:val="18"/>
          <w:b w:val="1"/>
          <w:bCs w:val="1"/>
          <w:color w:val="auto"/>
        </w:rPr>
        <w:t>chemical biology and cancer pharmacology know-how</w:t>
      </w:r>
      <w:r>
        <w:rPr>
          <w:rFonts w:ascii="Arial" w:cs="Arial" w:eastAsia="Arial" w:hAnsi="Arial"/>
          <w:sz w:val="18"/>
          <w:szCs w:val="18"/>
          <w:color w:val="auto"/>
        </w:rPr>
        <w:t>, including assays and proprietary tool compounds, to define the critical vulnerabilities of “frontier” RAS and mTOR pathway targets and associated signaling circuits in cancer cells;</w:t>
      </w:r>
    </w:p>
    <w:p>
      <w:pPr>
        <w:spacing w:after="0" w:line="13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75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60756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80" w:right="180" w:hanging="194"/>
        <w:spacing w:after="0" w:line="264" w:lineRule="auto"/>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Sophisticated </w:t>
      </w:r>
      <w:r>
        <w:rPr>
          <w:rFonts w:ascii="Arial" w:cs="Arial" w:eastAsia="Arial" w:hAnsi="Arial"/>
          <w:sz w:val="18"/>
          <w:szCs w:val="18"/>
          <w:b w:val="1"/>
          <w:bCs w:val="1"/>
          <w:color w:val="auto"/>
        </w:rPr>
        <w:t>structure-based drug discovery capabilities</w:t>
      </w:r>
      <w:r>
        <w:rPr>
          <w:rFonts w:ascii="Arial" w:cs="Arial" w:eastAsia="Arial" w:hAnsi="Arial"/>
          <w:sz w:val="18"/>
          <w:szCs w:val="18"/>
          <w:color w:val="auto"/>
        </w:rPr>
        <w:t xml:space="preserve">, including proven </w:t>
      </w:r>
      <w:r>
        <w:rPr>
          <w:rFonts w:ascii="Arial" w:cs="Arial" w:eastAsia="Arial" w:hAnsi="Arial"/>
          <w:sz w:val="18"/>
          <w:szCs w:val="18"/>
          <w:b w:val="1"/>
          <w:bCs w:val="1"/>
          <w:color w:val="auto"/>
        </w:rPr>
        <w:t>access to complex chemical space</w:t>
      </w:r>
      <w:r>
        <w:rPr>
          <w:rFonts w:ascii="Arial" w:cs="Arial" w:eastAsia="Arial" w:hAnsi="Arial"/>
          <w:sz w:val="18"/>
          <w:szCs w:val="18"/>
          <w:color w:val="auto"/>
        </w:rPr>
        <w:t>, to create drug candidates tailored to unconventional binding sites on elusive cancer targets; and</w:t>
      </w:r>
    </w:p>
    <w:p>
      <w:pPr>
        <w:spacing w:after="0" w:line="71" w:lineRule="exact"/>
        <w:rPr>
          <w:rFonts w:ascii="Arial" w:cs="Arial" w:eastAsia="Arial" w:hAnsi="Arial"/>
          <w:sz w:val="18"/>
          <w:szCs w:val="18"/>
          <w:color w:val="auto"/>
        </w:rPr>
      </w:pPr>
    </w:p>
    <w:p>
      <w:pPr>
        <w:ind w:left="580" w:right="180" w:hanging="194"/>
        <w:spacing w:after="0" w:line="328" w:lineRule="auto"/>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Astute </w:t>
      </w:r>
      <w:r>
        <w:rPr>
          <w:rFonts w:ascii="Arial" w:cs="Arial" w:eastAsia="Arial" w:hAnsi="Arial"/>
          <w:sz w:val="16"/>
          <w:szCs w:val="16"/>
          <w:b w:val="1"/>
          <w:bCs w:val="1"/>
          <w:color w:val="auto"/>
        </w:rPr>
        <w:t>precision medicine approach</w:t>
      </w:r>
      <w:r>
        <w:rPr>
          <w:rFonts w:ascii="Arial" w:cs="Arial" w:eastAsia="Arial" w:hAnsi="Arial"/>
          <w:sz w:val="16"/>
          <w:szCs w:val="16"/>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32" w:lineRule="exact"/>
        <w:rPr>
          <w:sz w:val="20"/>
          <w:szCs w:val="20"/>
          <w:color w:val="auto"/>
        </w:rPr>
      </w:pPr>
    </w:p>
    <w:p>
      <w:pPr>
        <w:ind w:left="380"/>
        <w:spacing w:after="0" w:line="270" w:lineRule="auto"/>
        <w:rPr>
          <w:sz w:val="20"/>
          <w:szCs w:val="20"/>
          <w:color w:val="auto"/>
        </w:rPr>
      </w:pPr>
      <w:r>
        <w:rPr>
          <w:rFonts w:ascii="Arial" w:cs="Arial" w:eastAsia="Arial" w:hAnsi="Arial"/>
          <w:sz w:val="16"/>
          <w:szCs w:val="16"/>
          <w:color w:val="auto"/>
        </w:rPr>
        <w:t>Focusing these drivers on a cohesive set of related disease targets provides biological, chemical and translational insights that can be leveraged to maximize the efficiency and effectiveness of our discovery and development efforts. We have built a portfolio of compounds that inhibit select signaling nodes within these pathways, including clinical targets that previously have been difficult or impossible to drug. To date, our discovery and development efforts have focused on SHP2, RAS, SOS1 and mTORC1 (these targets are shaded dark green or blue in the figure below). We believe our current and future product candidates, when used in specialized dosing paradigms and rational in-pathway combinations, will have the potential to promote profound and sustainable clinical benefit, combat adaptive resistance mechanisms and, in some cases, supplant the current standard of care for patients with tumors driven by these pathways.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product candidates</w:t>
      </w:r>
    </w:p>
    <w:p>
      <w:pPr>
        <w:spacing w:after="0" w:line="11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RMC-4630, a SHP2 inhibitor</w:t>
      </w:r>
    </w:p>
    <w:p>
      <w:pPr>
        <w:spacing w:after="0" w:line="124" w:lineRule="exact"/>
        <w:rPr>
          <w:sz w:val="20"/>
          <w:szCs w:val="20"/>
          <w:color w:val="auto"/>
        </w:rPr>
      </w:pPr>
    </w:p>
    <w:p>
      <w:pPr>
        <w:ind w:left="380"/>
        <w:spacing w:after="0" w:line="237" w:lineRule="auto"/>
        <w:rPr>
          <w:sz w:val="20"/>
          <w:szCs w:val="20"/>
          <w:color w:val="auto"/>
        </w:rPr>
      </w:pPr>
      <w:r>
        <w:rPr>
          <w:rFonts w:ascii="Arial" w:cs="Arial" w:eastAsia="Arial" w:hAnsi="Arial"/>
          <w:sz w:val="18"/>
          <w:szCs w:val="18"/>
          <w:color w:val="auto"/>
        </w:rPr>
        <w:t>Our most advanced product candidate, RMC-4630, is a potent and selective inhibitor of SHP2, based on preclinical evidence described in this prospectus. SHP2 is a protein that plays a central role in modulating cell survival and growth by transmitting signals from upstream receptor tyrosine kinases, or RTKs, to RAS. In collaboration with Sanofi, we are evaluating RMC-4630 in a multi-cohort Phase 1/2 clinical program. This</w:t>
      </w:r>
    </w:p>
    <w:p>
      <w:pPr>
        <w:spacing w:after="0" w:line="15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184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02145" cy="51841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80" w:right="300"/>
        <w:spacing w:after="0" w:line="236" w:lineRule="auto"/>
        <w:rPr>
          <w:sz w:val="20"/>
          <w:szCs w:val="20"/>
          <w:color w:val="auto"/>
        </w:rPr>
      </w:pPr>
      <w:r>
        <w:rPr>
          <w:rFonts w:ascii="Arial" w:cs="Arial" w:eastAsia="Arial" w:hAnsi="Arial"/>
          <w:sz w:val="18"/>
          <w:szCs w:val="18"/>
          <w:color w:val="auto"/>
        </w:rPr>
        <w:t>RMC-4630 Phase 1/2 program currently consists of two active clinical trials: RMC-4630-01, a Phase 1 study of RMC-4630 as a single agent, and RMC-4630-02, a Phase 1b/2 study of RMC-4630 in combination with the MEK inhibitor cobimetinib. In this prospectus, we report preliminary data from 63 patients who had enrolled in our Phase 1 study and received RMC-4630 as a monotherapy as of November 6, 2019 and from eight patients who had enrolled in our Phase 1b/2 combination study and received RMC-4630 as of November 14, 2019.</w:t>
      </w:r>
    </w:p>
    <w:p>
      <w:pPr>
        <w:spacing w:after="0" w:line="103" w:lineRule="exact"/>
        <w:rPr>
          <w:sz w:val="20"/>
          <w:szCs w:val="20"/>
          <w:color w:val="auto"/>
        </w:rPr>
      </w:pPr>
    </w:p>
    <w:p>
      <w:pPr>
        <w:ind w:left="380" w:right="40"/>
        <w:spacing w:after="0" w:line="235" w:lineRule="auto"/>
        <w:rPr>
          <w:sz w:val="20"/>
          <w:szCs w:val="20"/>
          <w:color w:val="auto"/>
        </w:rPr>
      </w:pPr>
      <w:r>
        <w:rPr>
          <w:rFonts w:ascii="Arial" w:cs="Arial" w:eastAsia="Arial" w:hAnsi="Arial"/>
          <w:sz w:val="18"/>
          <w:szCs w:val="18"/>
          <w:color w:val="auto"/>
        </w:rPr>
        <w:t>The RMC-4630-01 study is evaluating the safety, pharmacokinetics and pharmacodynamic effects of RMC-4630 as a single agent under two different dosing schedules: daily and twice weekly dosing. Fourteen patients were treated on an intermittent schedule and 49 were treated with the daily schedule. Although both dosing regimens have been reasonably well tolerated, daily dosing has been associated with more frequent and severe adverse events than the intermittent schedule. Adverse events in both schedules were consistent with the expected mechanistic effects of the product candidate; including anemia, thrombocytopenia, edema, fatigue and diarrhea. The RMC-4630-02 study is evaluating the safety, tolerability and pharmacokinetics of RMC-4630 and cobimetinib using intermittent dosing of RMC-4630 with daily dosing of cobimetinib. An alternative schedule using intermittent dosing of both RMC-4630 and cobimetinib is planned, but has not begun dosing. Adverse events were consistent with the expected mechanistic effects of both SHP2 inhibition and MEK inhibition and are similar in nature to those observed in the RMC-4630-01 study.</w:t>
      </w:r>
    </w:p>
    <w:p>
      <w:pPr>
        <w:spacing w:after="0" w:line="107" w:lineRule="exact"/>
        <w:rPr>
          <w:sz w:val="20"/>
          <w:szCs w:val="20"/>
          <w:color w:val="auto"/>
        </w:rPr>
      </w:pPr>
    </w:p>
    <w:p>
      <w:pPr>
        <w:ind w:left="380" w:right="120"/>
        <w:spacing w:after="0" w:line="229" w:lineRule="auto"/>
        <w:rPr>
          <w:sz w:val="20"/>
          <w:szCs w:val="20"/>
          <w:color w:val="auto"/>
        </w:rPr>
      </w:pPr>
      <w:r>
        <w:rPr>
          <w:rFonts w:ascii="Arial" w:cs="Arial" w:eastAsia="Arial" w:hAnsi="Arial"/>
          <w:sz w:val="17"/>
          <w:szCs w:val="17"/>
          <w:color w:val="auto"/>
        </w:rPr>
        <w:t>We also plan to explore the potential clinical benefit of RMC-4630 in combination with other in-pathway agents such as RTK (initially EGFR) and KRAS</w:t>
      </w:r>
      <w:r>
        <w:rPr>
          <w:rFonts w:ascii="Arial" w:cs="Arial" w:eastAsia="Arial" w:hAnsi="Arial"/>
          <w:sz w:val="21"/>
          <w:szCs w:val="21"/>
          <w:color w:val="auto"/>
          <w:vertAlign w:val="superscript"/>
        </w:rPr>
        <w:t>G12C</w:t>
      </w:r>
      <w:r>
        <w:rPr>
          <w:rFonts w:ascii="Arial" w:cs="Arial" w:eastAsia="Arial" w:hAnsi="Arial"/>
          <w:sz w:val="17"/>
          <w:szCs w:val="17"/>
          <w:color w:val="auto"/>
        </w:rPr>
        <w:t xml:space="preserve"> inhibitors as well as in combination with PD-1 inhibitors. In November 2019, we entered into an agreement with Amgen to evaluate the combination of RMC-4630 and Amgen’s KRAS</w:t>
      </w:r>
      <w:r>
        <w:rPr>
          <w:rFonts w:ascii="Arial" w:cs="Arial" w:eastAsia="Arial" w:hAnsi="Arial"/>
          <w:sz w:val="21"/>
          <w:szCs w:val="21"/>
          <w:color w:val="auto"/>
          <w:vertAlign w:val="superscript"/>
        </w:rPr>
        <w:t>G12C</w:t>
      </w:r>
      <w:r>
        <w:rPr>
          <w:rFonts w:ascii="Arial" w:cs="Arial" w:eastAsia="Arial" w:hAnsi="Arial"/>
          <w:sz w:val="17"/>
          <w:szCs w:val="17"/>
          <w:color w:val="auto"/>
        </w:rPr>
        <w:t xml:space="preserve"> (OFF) inhibitor AMG 510 in a Phase 1b trial that will be conducted by Amgen. Although we are at an early stage of clinical testing and product candidate development, we believe RMC-4630 is well-positioned to become the backbone of targeted therapy combinations for the treatment of various RAS-dependent tumors.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RAS(ON) portfolio</w:t>
      </w:r>
    </w:p>
    <w:p>
      <w:pPr>
        <w:spacing w:after="0" w:line="124" w:lineRule="exact"/>
        <w:rPr>
          <w:sz w:val="20"/>
          <w:szCs w:val="20"/>
          <w:color w:val="auto"/>
        </w:rPr>
      </w:pPr>
    </w:p>
    <w:p>
      <w:pPr>
        <w:ind w:left="380"/>
        <w:spacing w:after="0" w:line="227" w:lineRule="auto"/>
        <w:rPr>
          <w:sz w:val="20"/>
          <w:szCs w:val="20"/>
          <w:color w:val="auto"/>
        </w:rPr>
      </w:pPr>
      <w:r>
        <w:rPr>
          <w:rFonts w:ascii="Arial" w:cs="Arial" w:eastAsia="Arial" w:hAnsi="Arial"/>
          <w:sz w:val="18"/>
          <w:szCs w:val="18"/>
          <w:color w:val="auto"/>
        </w:rPr>
        <w:t>We are also developing a portfolio of what we believe to be the first potent, selective and cell-active inhibitors of mutant RAS(ON) proteins. Historically, direct inhibition of any RAS protein has been challenging due to a lack of tractable, or “druggable,” binding pockets. Recently, selective inhibitors of inactive, GDP-bound forms of RAS, or RAS(OFF), have demonstrated encouraging preliminary anti-tumor effects and thus provide clinical validation for targeting mutant RAS in cancer. Our small molecule inhibitors of mutant RAS(ON) are derived from our proprietary tri-complex technology platform, which enables us to target proteins lacking intrinsic drug binding sites by inducing new druggable pockets. In tumor cells that are addicted to high levels of RAS activation, we believe that selective inhibitors of RAS(ON) will suppress cell growth and survival and be less susceptible to adaptive resistance mechanisms recognized for RAS(OFF) inhibitors. Initially, we will prioritize four mutant RAS(ON) targets—KRAS</w:t>
      </w:r>
      <w:r>
        <w:rPr>
          <w:rFonts w:ascii="Arial" w:cs="Arial" w:eastAsia="Arial" w:hAnsi="Arial"/>
          <w:sz w:val="22"/>
          <w:szCs w:val="22"/>
          <w:color w:val="auto"/>
          <w:vertAlign w:val="superscript"/>
        </w:rPr>
        <w:t>G12C</w:t>
      </w:r>
      <w:r>
        <w:rPr>
          <w:rFonts w:ascii="Arial" w:cs="Arial" w:eastAsia="Arial" w:hAnsi="Arial"/>
          <w:sz w:val="18"/>
          <w:szCs w:val="18"/>
          <w:color w:val="auto"/>
        </w:rPr>
        <w:t>, KRAS</w:t>
      </w:r>
      <w:r>
        <w:rPr>
          <w:rFonts w:ascii="Arial" w:cs="Arial" w:eastAsia="Arial" w:hAnsi="Arial"/>
          <w:sz w:val="22"/>
          <w:szCs w:val="22"/>
          <w:color w:val="auto"/>
          <w:vertAlign w:val="superscript"/>
        </w:rPr>
        <w:t>G13C</w:t>
      </w:r>
      <w:r>
        <w:rPr>
          <w:rFonts w:ascii="Arial" w:cs="Arial" w:eastAsia="Arial" w:hAnsi="Arial"/>
          <w:sz w:val="18"/>
          <w:szCs w:val="18"/>
          <w:color w:val="auto"/>
        </w:rPr>
        <w:t>, KRAS</w:t>
      </w:r>
      <w:r>
        <w:rPr>
          <w:rFonts w:ascii="Arial" w:cs="Arial" w:eastAsia="Arial" w:hAnsi="Arial"/>
          <w:sz w:val="22"/>
          <w:szCs w:val="22"/>
          <w:color w:val="auto"/>
          <w:vertAlign w:val="superscript"/>
        </w:rPr>
        <w:t>G12D</w:t>
      </w:r>
      <w:r>
        <w:rPr>
          <w:rFonts w:ascii="Arial" w:cs="Arial" w:eastAsia="Arial" w:hAnsi="Arial"/>
          <w:sz w:val="18"/>
          <w:szCs w:val="18"/>
          <w:color w:val="auto"/>
        </w:rPr>
        <w:t xml:space="preserve"> and NRAS</w:t>
      </w:r>
      <w:r>
        <w:rPr>
          <w:rFonts w:ascii="Arial" w:cs="Arial" w:eastAsia="Arial" w:hAnsi="Arial"/>
          <w:sz w:val="22"/>
          <w:szCs w:val="22"/>
          <w:color w:val="auto"/>
          <w:vertAlign w:val="superscript"/>
        </w:rPr>
        <w:t>G12C</w:t>
      </w:r>
      <w:r>
        <w:rPr>
          <w:rFonts w:ascii="Arial" w:cs="Arial" w:eastAsia="Arial" w:hAnsi="Arial"/>
          <w:sz w:val="18"/>
          <w:szCs w:val="18"/>
          <w:color w:val="auto"/>
        </w:rPr>
        <w:t>—and expect to nominate our first development candidate in 2020. We plan to evaluate our RAS(ON) inhibitors alone and in combination with other approved drugs and investigational new drugs, particularly in-pathway agents. We believe that targeted inhibition of various oncogenic RAS(ON) mutants represents a highly differentiated approach for treating the large population of patients with diverse RAS mutations, including non-small cell lung cancer, or NSCLC, colorectal, pancreatic and other cancers.</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SOS1 and 4EBP1/mTORC1 programs</w:t>
      </w:r>
    </w:p>
    <w:p>
      <w:pPr>
        <w:spacing w:after="0" w:line="124" w:lineRule="exact"/>
        <w:rPr>
          <w:sz w:val="20"/>
          <w:szCs w:val="20"/>
          <w:color w:val="auto"/>
        </w:rPr>
      </w:pPr>
    </w:p>
    <w:p>
      <w:pPr>
        <w:ind w:left="380" w:right="140"/>
        <w:spacing w:after="0" w:line="239" w:lineRule="auto"/>
        <w:rPr>
          <w:sz w:val="20"/>
          <w:szCs w:val="20"/>
          <w:color w:val="auto"/>
        </w:rPr>
      </w:pPr>
      <w:r>
        <w:rPr>
          <w:rFonts w:ascii="Arial" w:cs="Arial" w:eastAsia="Arial" w:hAnsi="Arial"/>
          <w:sz w:val="18"/>
          <w:szCs w:val="18"/>
          <w:color w:val="auto"/>
        </w:rPr>
        <w:t>We have two preclinical programs targeting other key nodes in the RAS and mTOR signaling pathways. Our program targeting SOS1, a protein that plays a key role in converting RAS(OFF) to RAS(ON) in cells, is currently</w:t>
      </w:r>
    </w:p>
    <w:p>
      <w:pPr>
        <w:spacing w:after="0" w:line="15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712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2145" cy="47123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380" w:right="60"/>
        <w:spacing w:after="0" w:line="237" w:lineRule="auto"/>
        <w:rPr>
          <w:sz w:val="20"/>
          <w:szCs w:val="20"/>
          <w:color w:val="auto"/>
        </w:rPr>
      </w:pPr>
      <w:r>
        <w:rPr>
          <w:rFonts w:ascii="Arial" w:cs="Arial" w:eastAsia="Arial" w:hAnsi="Arial"/>
          <w:sz w:val="18"/>
          <w:szCs w:val="18"/>
          <w:color w:val="auto"/>
        </w:rPr>
        <w:t>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team</w:t>
      </w:r>
    </w:p>
    <w:p>
      <w:pPr>
        <w:spacing w:after="0" w:line="134" w:lineRule="exact"/>
        <w:rPr>
          <w:sz w:val="20"/>
          <w:szCs w:val="20"/>
          <w:color w:val="auto"/>
        </w:rPr>
      </w:pPr>
    </w:p>
    <w:p>
      <w:pPr>
        <w:ind w:left="380"/>
        <w:spacing w:after="0" w:line="232" w:lineRule="auto"/>
        <w:rPr>
          <w:sz w:val="20"/>
          <w:szCs w:val="20"/>
          <w:color w:val="auto"/>
        </w:rPr>
      </w:pPr>
      <w:r>
        <w:rPr>
          <w:rFonts w:ascii="Arial" w:cs="Arial" w:eastAsia="Arial" w:hAnsi="Arial"/>
          <w:sz w:val="18"/>
          <w:szCs w:val="18"/>
          <w:color w:val="auto"/>
        </w:rPr>
        <w:t>Our management team has significant experience in oncology and in progressing products from early stage research to clinical trials, and ultimately to regulatory approval and commercialization. Dr. Steve Kelsey, our President of Research and Development, was previously President of Onkaido Therapeutics, a Moderna venture focused on oncology mRNA therapeutics, and has held senior positions at Medivation, Geron and Genentech, where he played a significant role in the development of Perjeta, Kadcyla and Erivedge. Our President and Chief Executive Officer, Dr. Mark Goldsmith, served as Chief Executive Officer of Constellation Pharmaceuticals, where he led the creation of its oncology pipeline and drove the development of a strategic alliance with Genentech. He also has led four other companies spanning early discovery through development, including Global Blood Therapeutics, where he led the discovery and early development of voxelotor. Our company was founded and continues to be supported by three world-class scientific advisors: Dr. Kevan Shokat (Professor and Chair of the Department of Cellular and Molecular Pharmacology at University of California, San Francisco, Professor of Chemistry at the University of California, Berkeley and an investigator at the Howard Hughes Medical Institute), Dr. Martin Burke (Professor of Chemistry at the University of Illinois at Urbana-Champaign) and Dr. Michael Fischbach (Associate Professor in the Department of Bioengineering at Stanford University and a Stanford ChEM-H Institute Scholar). Dr. Shokat is widely recognized for his seminal contributions to the field of kinase biology, using chemistry, protein engineering and genetic tools to pioneer novel therapeutic approaches to target key signaling pathways in cancer. He led the discovery of the first KRAS</w:t>
      </w:r>
      <w:r>
        <w:rPr>
          <w:rFonts w:ascii="Arial" w:cs="Arial" w:eastAsia="Arial" w:hAnsi="Arial"/>
          <w:sz w:val="22"/>
          <w:szCs w:val="22"/>
          <w:color w:val="auto"/>
          <w:vertAlign w:val="superscript"/>
        </w:rPr>
        <w:t>G12C</w:t>
      </w:r>
      <w:r>
        <w:rPr>
          <w:rFonts w:ascii="Arial" w:cs="Arial" w:eastAsia="Arial" w:hAnsi="Arial"/>
          <w:sz w:val="18"/>
          <w:szCs w:val="18"/>
          <w:color w:val="auto"/>
        </w:rPr>
        <w:t>(OFF) inhibitor. We are also supported by a leading syndicate of investors, which include our founding investor, Third Rock Ventures, and BVF, Casdin Capital, Cormorant, Deerfield, Fidelity, Nextech, Tavistock, The Column Group and Vivo Ventures.</w:t>
      </w:r>
    </w:p>
    <w:p>
      <w:pPr>
        <w:spacing w:after="0" w:line="176"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Our strategy</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Our goal is to develop novel targeted therapies to outsmart cancer for the benefit of patients. We plan to pursue the following strategies:</w:t>
      </w:r>
    </w:p>
    <w:p>
      <w:pPr>
        <w:spacing w:after="0" w:line="122" w:lineRule="exact"/>
        <w:rPr>
          <w:sz w:val="20"/>
          <w:szCs w:val="20"/>
          <w:color w:val="auto"/>
        </w:rPr>
      </w:pPr>
    </w:p>
    <w:p>
      <w:pPr>
        <w:ind w:left="580" w:hanging="19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Deploy our innovation engine against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oncology targets;</w:t>
      </w:r>
    </w:p>
    <w:p>
      <w:pPr>
        <w:spacing w:after="0" w:line="135" w:lineRule="exact"/>
        <w:rPr>
          <w:rFonts w:ascii="Arial" w:cs="Arial" w:eastAsia="Arial" w:hAnsi="Arial"/>
          <w:sz w:val="18"/>
          <w:szCs w:val="18"/>
          <w:color w:val="auto"/>
        </w:rPr>
      </w:pPr>
    </w:p>
    <w:p>
      <w:pPr>
        <w:ind w:left="580" w:right="940" w:hanging="194"/>
        <w:spacing w:after="0" w:line="239" w:lineRule="auto"/>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our proprietary SHP2 inhibitor, RMC-4630, as the backbone of targeted therapy combinations for the treatment of RAS-dependent tumors;</w:t>
      </w:r>
    </w:p>
    <w:p>
      <w:pPr>
        <w:spacing w:after="0" w:line="114" w:lineRule="exact"/>
        <w:rPr>
          <w:rFonts w:ascii="Arial" w:cs="Arial" w:eastAsia="Arial" w:hAnsi="Arial"/>
          <w:sz w:val="18"/>
          <w:szCs w:val="18"/>
          <w:color w:val="auto"/>
        </w:rPr>
      </w:pPr>
    </w:p>
    <w:p>
      <w:pPr>
        <w:ind w:left="580" w:hanging="19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Pioneer mutant selective RAS(ON) inhibition across multiple genetically defined cancers;</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Maximize the global value of our programs by continuing to execute synergistic and value-creating transactions; and</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our culture of tireless commitment to patients.</w:t>
      </w:r>
    </w:p>
    <w:p>
      <w:pPr>
        <w:spacing w:after="0" w:line="15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209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2145" cy="520954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Risks related to our business</w:t>
      </w:r>
    </w:p>
    <w:p>
      <w:pPr>
        <w:spacing w:after="0" w:line="134" w:lineRule="exact"/>
        <w:rPr>
          <w:sz w:val="20"/>
          <w:szCs w:val="20"/>
          <w:color w:val="auto"/>
        </w:rPr>
      </w:pPr>
    </w:p>
    <w:p>
      <w:pPr>
        <w:ind w:left="380" w:right="380"/>
        <w:spacing w:after="0" w:line="239" w:lineRule="auto"/>
        <w:rPr>
          <w:sz w:val="20"/>
          <w:szCs w:val="20"/>
          <w:color w:val="auto"/>
        </w:rPr>
      </w:pPr>
      <w:r>
        <w:rPr>
          <w:rFonts w:ascii="Arial" w:cs="Arial" w:eastAsia="Arial" w:hAnsi="Arial"/>
          <w:sz w:val="18"/>
          <w:szCs w:val="18"/>
          <w:color w:val="auto"/>
        </w:rPr>
        <w:t>Our ability to execute our business strategy is subject to numerous risks, including those described in the section titled “Risk factors” immediately following this prospectus summary. These risks include the following, among others:</w:t>
      </w:r>
    </w:p>
    <w:p>
      <w:pPr>
        <w:spacing w:after="0" w:line="114" w:lineRule="exact"/>
        <w:rPr>
          <w:sz w:val="20"/>
          <w:szCs w:val="20"/>
          <w:color w:val="auto"/>
        </w:rPr>
      </w:pPr>
    </w:p>
    <w:p>
      <w:pPr>
        <w:ind w:left="580" w:right="300" w:hanging="194"/>
        <w:spacing w:after="0" w:line="28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83" w:lineRule="exact"/>
        <w:rPr>
          <w:rFonts w:ascii="Arial" w:cs="Arial" w:eastAsia="Arial" w:hAnsi="Arial"/>
          <w:sz w:val="16"/>
          <w:szCs w:val="16"/>
          <w:color w:val="auto"/>
        </w:rPr>
      </w:pPr>
    </w:p>
    <w:p>
      <w:pPr>
        <w:ind w:left="580" w:hanging="194"/>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17" w:lineRule="exact"/>
        <w:rPr>
          <w:rFonts w:ascii="Arial" w:cs="Arial" w:eastAsia="Arial" w:hAnsi="Arial"/>
          <w:sz w:val="18"/>
          <w:szCs w:val="18"/>
          <w:color w:val="auto"/>
        </w:rPr>
      </w:pPr>
    </w:p>
    <w:p>
      <w:pPr>
        <w:ind w:left="580" w:right="20" w:hanging="194"/>
        <w:spacing w:after="0" w:line="23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13" w:lineRule="exact"/>
        <w:rPr>
          <w:rFonts w:ascii="Arial" w:cs="Arial" w:eastAsia="Arial" w:hAnsi="Arial"/>
          <w:sz w:val="18"/>
          <w:szCs w:val="18"/>
          <w:color w:val="auto"/>
        </w:rPr>
      </w:pPr>
    </w:p>
    <w:p>
      <w:pPr>
        <w:ind w:left="580" w:right="120" w:hanging="194"/>
        <w:spacing w:after="0" w:line="23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114" w:lineRule="exact"/>
        <w:rPr>
          <w:rFonts w:ascii="Arial" w:cs="Arial" w:eastAsia="Arial" w:hAnsi="Arial"/>
          <w:sz w:val="18"/>
          <w:szCs w:val="18"/>
          <w:color w:val="auto"/>
        </w:rPr>
      </w:pPr>
    </w:p>
    <w:p>
      <w:pPr>
        <w:ind w:left="580" w:right="240" w:hanging="194"/>
        <w:spacing w:after="0" w:line="23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be adversely affected.</w:t>
      </w:r>
    </w:p>
    <w:p>
      <w:pPr>
        <w:spacing w:after="0" w:line="114" w:lineRule="exact"/>
        <w:rPr>
          <w:rFonts w:ascii="Arial" w:cs="Arial" w:eastAsia="Arial" w:hAnsi="Arial"/>
          <w:sz w:val="18"/>
          <w:szCs w:val="18"/>
          <w:color w:val="auto"/>
        </w:rPr>
      </w:pPr>
    </w:p>
    <w:p>
      <w:pPr>
        <w:ind w:left="580" w:right="60" w:hanging="194"/>
        <w:spacing w:after="0" w:line="238"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w:t>
      </w:r>
    </w:p>
    <w:p>
      <w:pPr>
        <w:spacing w:after="0" w:line="113" w:lineRule="exact"/>
        <w:rPr>
          <w:rFonts w:ascii="Arial" w:cs="Arial" w:eastAsia="Arial" w:hAnsi="Arial"/>
          <w:sz w:val="18"/>
          <w:szCs w:val="18"/>
          <w:color w:val="auto"/>
        </w:rPr>
      </w:pPr>
    </w:p>
    <w:p>
      <w:pPr>
        <w:ind w:left="580" w:right="140" w:hanging="194"/>
        <w:spacing w:after="0" w:line="23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developing RMC-4630 in combination with Roche’s cobimetinib, and may in the future, develop RMC-4630 and other product candidates in combination with other therapies, such as Amgen’s AMG 510, which exposes us to additional risks.</w:t>
      </w:r>
    </w:p>
    <w:p>
      <w:pPr>
        <w:spacing w:after="0" w:line="114" w:lineRule="exact"/>
        <w:rPr>
          <w:rFonts w:ascii="Arial" w:cs="Arial" w:eastAsia="Arial" w:hAnsi="Arial"/>
          <w:sz w:val="18"/>
          <w:szCs w:val="18"/>
          <w:color w:val="auto"/>
        </w:rPr>
      </w:pPr>
    </w:p>
    <w:p>
      <w:pPr>
        <w:ind w:left="580" w:right="240" w:hanging="194"/>
        <w:spacing w:after="0" w:line="239"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14" w:lineRule="exact"/>
        <w:rPr>
          <w:rFonts w:ascii="Arial" w:cs="Arial" w:eastAsia="Arial" w:hAnsi="Arial"/>
          <w:sz w:val="18"/>
          <w:szCs w:val="18"/>
          <w:color w:val="auto"/>
        </w:rPr>
      </w:pPr>
    </w:p>
    <w:p>
      <w:pPr>
        <w:jc w:val="both"/>
        <w:ind w:left="580" w:right="20" w:hanging="194"/>
        <w:spacing w:after="0" w:line="281" w:lineRule="auto"/>
        <w:tabs>
          <w:tab w:leader="none" w:pos="58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142"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Corporate information</w:t>
      </w:r>
    </w:p>
    <w:p>
      <w:pPr>
        <w:spacing w:after="0" w:line="134" w:lineRule="exact"/>
        <w:rPr>
          <w:sz w:val="20"/>
          <w:szCs w:val="20"/>
          <w:color w:val="auto"/>
        </w:rPr>
      </w:pPr>
    </w:p>
    <w:p>
      <w:pPr>
        <w:ind w:left="380" w:right="740"/>
        <w:spacing w:after="0" w:line="239" w:lineRule="auto"/>
        <w:rPr>
          <w:sz w:val="20"/>
          <w:szCs w:val="20"/>
          <w:color w:val="auto"/>
        </w:rPr>
      </w:pPr>
      <w:r>
        <w:rPr>
          <w:rFonts w:ascii="Arial" w:cs="Arial" w:eastAsia="Arial" w:hAnsi="Arial"/>
          <w:sz w:val="18"/>
          <w:szCs w:val="18"/>
          <w:color w:val="auto"/>
        </w:rPr>
        <w:t>We were founded in October 2014 as a Delaware corporation. Our principal executive offices are located at 700 Saginaw Drive, Redwood City, California 94063, and our telephone number is (650) 481-6801.</w:t>
      </w:r>
    </w:p>
    <w:p>
      <w:pPr>
        <w:spacing w:after="0" w:line="101" w:lineRule="exact"/>
        <w:rPr>
          <w:sz w:val="20"/>
          <w:szCs w:val="20"/>
          <w:color w:val="auto"/>
        </w:rPr>
      </w:pPr>
    </w:p>
    <w:p>
      <w:pPr>
        <w:ind w:left="380"/>
        <w:spacing w:after="0" w:line="239" w:lineRule="auto"/>
        <w:rPr>
          <w:sz w:val="20"/>
          <w:szCs w:val="20"/>
          <w:color w:val="auto"/>
        </w:rPr>
      </w:pPr>
      <w:r>
        <w:rPr>
          <w:rFonts w:ascii="Arial" w:cs="Arial" w:eastAsia="Arial" w:hAnsi="Arial"/>
          <w:sz w:val="18"/>
          <w:szCs w:val="18"/>
          <w:color w:val="auto"/>
        </w:rPr>
        <w:t>Our website address is www.revmed.com. The information on, or that can be accessed through, our website is not part of this prospectus and is not incorporated by reference herein. We have included our website address as an inactive textual reference only.</w:t>
      </w:r>
    </w:p>
    <w:p>
      <w:pPr>
        <w:spacing w:after="0" w:line="15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3058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2145" cy="330581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380"/>
        <w:spacing w:after="0"/>
        <w:rPr>
          <w:sz w:val="20"/>
          <w:szCs w:val="20"/>
          <w:color w:val="auto"/>
        </w:rPr>
      </w:pPr>
      <w:r>
        <w:rPr>
          <w:rFonts w:ascii="Arial" w:cs="Arial" w:eastAsia="Arial" w:hAnsi="Arial"/>
          <w:sz w:val="22"/>
          <w:szCs w:val="22"/>
          <w:b w:val="1"/>
          <w:bCs w:val="1"/>
          <w:color w:val="auto"/>
        </w:rPr>
        <w:t>Implications of being an emerging growth company</w:t>
      </w:r>
    </w:p>
    <w:p>
      <w:pPr>
        <w:spacing w:after="0" w:line="13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We are an emerging growth company as defined in the Jumpstart Our Business Startups Act of 2012, or the JOBS Act. We will remain</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an emerging growth company until the earliest of: (1) the last day of the fiscal year following the fifth anniversary of the consummation of</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this offering, (2) the last day of the fiscal year in which we have total annual gross revenue of at least $1.07 billion, (3) the last day of the</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fiscal year in which we are deemed to be a “large accelerated filer” as defined in Rule 12b-2 under the Securities Exchange Act of 1934,</w:t>
      </w:r>
    </w:p>
    <w:p>
      <w:pPr>
        <w:spacing w:after="0" w:line="1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as amended, or the Exchange Act, which would occur if the market value of our common stock held by non-affiliates exceeded</w:t>
      </w:r>
    </w:p>
    <w:p>
      <w:pPr>
        <w:ind w:left="380"/>
        <w:spacing w:after="0"/>
        <w:rPr>
          <w:sz w:val="20"/>
          <w:szCs w:val="20"/>
          <w:color w:val="auto"/>
        </w:rPr>
      </w:pPr>
      <w:r>
        <w:rPr>
          <w:rFonts w:ascii="Arial" w:cs="Arial" w:eastAsia="Arial" w:hAnsi="Arial"/>
          <w:sz w:val="16"/>
          <w:szCs w:val="16"/>
          <w:color w:val="auto"/>
        </w:rPr>
        <w:t>$700.0 million as of the last business day of the second fiscal quarter of such year or (4) the date on which we have issued more than</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 billion in non-convertible debt securities during the prior three-year period. An emerging growth company may take advantage of</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specified reduced reporting requirements and is relieved of certain other significant requirements that are otherwise generally applicable</w:t>
      </w:r>
    </w:p>
    <w:p>
      <w:pPr>
        <w:spacing w:after="0" w:line="1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public companies. As an emerging growth company:</w:t>
      </w:r>
    </w:p>
    <w:p>
      <w:pPr>
        <w:spacing w:after="0" w:line="117" w:lineRule="exact"/>
        <w:rPr>
          <w:sz w:val="20"/>
          <w:szCs w:val="20"/>
          <w:color w:val="auto"/>
        </w:rPr>
      </w:pPr>
    </w:p>
    <w:p>
      <w:pPr>
        <w:ind w:left="580" w:right="640" w:hanging="194"/>
        <w:spacing w:after="0" w:line="239"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present in this prospectus only two years of audited annual financial statements, plus any required unaudited financial statements, and related management’s discussion and analysis of financial condition and results of operations;</w:t>
      </w:r>
    </w:p>
    <w:p>
      <w:pPr>
        <w:spacing w:after="0" w:line="114" w:lineRule="exact"/>
        <w:rPr>
          <w:rFonts w:ascii="Arial" w:cs="Arial" w:eastAsia="Arial" w:hAnsi="Arial"/>
          <w:sz w:val="18"/>
          <w:szCs w:val="18"/>
          <w:color w:val="auto"/>
        </w:rPr>
      </w:pPr>
    </w:p>
    <w:p>
      <w:pPr>
        <w:ind w:left="580" w:right="100" w:hanging="194"/>
        <w:spacing w:after="0" w:line="299" w:lineRule="auto"/>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will avail ourselves of the exemption from the requirement to obtain an attestation and report from our independent registered public accounting firm on the assessment of our internal control over financial reporting pursuant to the Sarbanes-Oxley Act of 2002;</w:t>
      </w:r>
    </w:p>
    <w:p>
      <w:pPr>
        <w:spacing w:after="0" w:line="68" w:lineRule="exact"/>
        <w:rPr>
          <w:rFonts w:ascii="Arial" w:cs="Arial" w:eastAsia="Arial" w:hAnsi="Arial"/>
          <w:sz w:val="16"/>
          <w:szCs w:val="16"/>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 and</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not require stockholder non-binding advisory votes on executive compensation or golden parachute arrangements.</w:t>
      </w:r>
    </w:p>
    <w:p>
      <w:pPr>
        <w:spacing w:after="0" w:line="104" w:lineRule="exact"/>
        <w:rPr>
          <w:sz w:val="20"/>
          <w:szCs w:val="20"/>
          <w:color w:val="auto"/>
        </w:rPr>
      </w:pPr>
    </w:p>
    <w:p>
      <w:pPr>
        <w:ind w:left="380"/>
        <w:spacing w:after="0" w:line="236"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15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240" w:top="459" w:right="71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218440</wp:posOffset>
            </wp:positionV>
            <wp:extent cx="7002145" cy="53124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5312410"/>
                    </a:xfrm>
                    <a:prstGeom prst="rect">
                      <a:avLst/>
                    </a:prstGeom>
                    <a:noFill/>
                  </pic:spPr>
                </pic:pic>
              </a:graphicData>
            </a:graphic>
          </wp:anchor>
        </w:drawing>
      </w:r>
    </w:p>
    <w:p>
      <w:pPr>
        <w:sectPr>
          <w:pgSz w:w="11900" w:h="16838" w:orient="portrait"/>
          <w:cols w:equalWidth="0" w:num="1">
            <w:col w:w="11020"/>
          </w:cols>
          <w:pgMar w:left="240" w:top="459" w:right="6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The offering</w:t>
      </w:r>
    </w:p>
    <w:p>
      <w:pPr>
        <w:spacing w:after="0" w:line="14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Common stock offered by us</w:t>
      </w:r>
    </w:p>
    <w:p>
      <w:pPr>
        <w:spacing w:after="0" w:line="131" w:lineRule="exact"/>
        <w:rPr>
          <w:sz w:val="20"/>
          <w:szCs w:val="20"/>
          <w:color w:val="auto"/>
        </w:rPr>
      </w:pPr>
    </w:p>
    <w:p>
      <w:pPr>
        <w:ind w:left="380" w:right="140"/>
        <w:spacing w:after="0" w:line="328" w:lineRule="auto"/>
        <w:rPr>
          <w:sz w:val="20"/>
          <w:szCs w:val="20"/>
          <w:color w:val="auto"/>
        </w:rPr>
      </w:pPr>
      <w:r>
        <w:rPr>
          <w:rFonts w:ascii="Arial" w:cs="Arial" w:eastAsia="Arial" w:hAnsi="Arial"/>
          <w:sz w:val="16"/>
          <w:szCs w:val="16"/>
          <w:b w:val="1"/>
          <w:bCs w:val="1"/>
          <w:color w:val="auto"/>
        </w:rPr>
        <w:t>Underwriters’ option to purchase additional shares from us</w:t>
      </w:r>
    </w:p>
    <w:p>
      <w:pPr>
        <w:spacing w:after="0" w:line="37" w:lineRule="exact"/>
        <w:rPr>
          <w:sz w:val="20"/>
          <w:szCs w:val="20"/>
          <w:color w:val="auto"/>
        </w:rPr>
      </w:pPr>
    </w:p>
    <w:p>
      <w:pPr>
        <w:ind w:left="380" w:right="100"/>
        <w:spacing w:after="0" w:line="328" w:lineRule="auto"/>
        <w:rPr>
          <w:sz w:val="20"/>
          <w:szCs w:val="20"/>
          <w:color w:val="auto"/>
        </w:rPr>
      </w:pPr>
      <w:r>
        <w:rPr>
          <w:rFonts w:ascii="Arial" w:cs="Arial" w:eastAsia="Arial" w:hAnsi="Arial"/>
          <w:sz w:val="16"/>
          <w:szCs w:val="16"/>
          <w:b w:val="1"/>
          <w:bCs w:val="1"/>
          <w:color w:val="auto"/>
        </w:rPr>
        <w:t>Common stock to be outstanding immediately after this offering</w:t>
      </w:r>
    </w:p>
    <w:p>
      <w:pPr>
        <w:spacing w:after="0" w:line="37"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10,000,000 shares</w:t>
      </w:r>
    </w:p>
    <w:p>
      <w:pPr>
        <w:spacing w:after="0" w:line="131"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We have granted the underwriters a 30-day option to purchase up to 1,500,000 additional shares at the initial public offering price, less underwriting discounts and commissions.</w:t>
      </w:r>
    </w:p>
    <w:p>
      <w:pPr>
        <w:spacing w:after="0" w:line="82"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52,902,309 shares (or 54,402,309 shares if the underwriters exercise in full their option to purchase additional shares)</w:t>
      </w:r>
    </w:p>
    <w:p>
      <w:pPr>
        <w:spacing w:after="0" w:line="128"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We estimate that the net proceeds from this offering will be approximately $136.3 million, or approximately $157.2 million if the underwriters exercise their option to purchase additional shares in full, at an assumed initial public offering price of $15.00 per share, the midpoint of the price range set forth on the cover of this prospectus, after deducting the underwriting discounts and commissions and estimated offering expenses payable by us.</w:t>
      </w:r>
    </w:p>
    <w:p>
      <w:pPr>
        <w:spacing w:after="0" w:line="8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currently expect to use the net proceeds from this offering to fund the development of our multiple RAS programs, including our RAS(ON) portfolio and our SOS1 program, and our 4EBP1/mTORC1 program and other general corporate purposes, which may include the hiring of additional personnel, capital expenditures and the costs of operating as a public company. See “Use of proceeds” on page 73 for a more complete description of the intended use of proceeds from this offering.</w:t>
      </w:r>
    </w:p>
    <w:p>
      <w:pPr>
        <w:spacing w:after="0" w:line="116"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See “Risk factors” beginning on page 12 and other information included in this prospectus for a discussion of factors that you should consider carefully before deciding to invest in our common stock.</w:t>
      </w:r>
    </w:p>
    <w:p>
      <w:pPr>
        <w:spacing w:after="0" w:line="92" w:lineRule="exact"/>
        <w:rPr>
          <w:sz w:val="20"/>
          <w:szCs w:val="20"/>
          <w:color w:val="auto"/>
        </w:rPr>
      </w:pPr>
    </w:p>
    <w:p>
      <w:pPr>
        <w:sectPr>
          <w:pgSz w:w="11900" w:h="16838" w:orient="portrait"/>
          <w:cols w:equalWidth="0" w:num="2">
            <w:col w:w="3280" w:space="720"/>
            <w:col w:w="7020"/>
          </w:cols>
          <w:pgMar w:left="240" w:top="459" w:right="639" w:bottom="1440" w:gutter="0" w:footer="0" w:header="0"/>
          <w:type w:val="continuous"/>
        </w:sectPr>
      </w:pPr>
    </w:p>
    <w:p>
      <w:pPr>
        <w:ind w:left="380"/>
        <w:spacing w:after="0"/>
        <w:tabs>
          <w:tab w:leader="none" w:pos="3980" w:val="left"/>
        </w:tabs>
        <w:rPr>
          <w:sz w:val="20"/>
          <w:szCs w:val="20"/>
          <w:color w:val="auto"/>
        </w:rPr>
      </w:pPr>
      <w:r>
        <w:rPr>
          <w:rFonts w:ascii="Arial" w:cs="Arial" w:eastAsia="Arial" w:hAnsi="Arial"/>
          <w:sz w:val="18"/>
          <w:szCs w:val="18"/>
          <w:b w:val="1"/>
          <w:bCs w:val="1"/>
          <w:color w:val="auto"/>
        </w:rPr>
        <w:t>Proposed Nasdaq Global Market symbol</w:t>
      </w:r>
      <w:r>
        <w:rPr>
          <w:sz w:val="20"/>
          <w:szCs w:val="20"/>
          <w:color w:val="auto"/>
        </w:rPr>
        <w:tab/>
      </w:r>
      <w:r>
        <w:rPr>
          <w:rFonts w:ascii="Arial" w:cs="Arial" w:eastAsia="Arial" w:hAnsi="Arial"/>
          <w:sz w:val="16"/>
          <w:szCs w:val="16"/>
          <w:color w:val="auto"/>
        </w:rPr>
        <w:t>“RVMD”</w:t>
      </w:r>
    </w:p>
    <w:p>
      <w:pPr>
        <w:spacing w:after="0" w:line="139" w:lineRule="exact"/>
        <w:rPr>
          <w:sz w:val="20"/>
          <w:szCs w:val="20"/>
          <w:color w:val="auto"/>
        </w:rPr>
      </w:pPr>
    </w:p>
    <w:p>
      <w:pPr>
        <w:ind w:left="380"/>
        <w:spacing w:after="0" w:line="239" w:lineRule="auto"/>
        <w:rPr>
          <w:sz w:val="20"/>
          <w:szCs w:val="20"/>
          <w:color w:val="auto"/>
        </w:rPr>
      </w:pPr>
      <w:r>
        <w:rPr>
          <w:rFonts w:ascii="Arial" w:cs="Arial" w:eastAsia="Arial" w:hAnsi="Arial"/>
          <w:sz w:val="18"/>
          <w:szCs w:val="18"/>
          <w:color w:val="auto"/>
        </w:rPr>
        <w:t>The number of shares of common stock to be outstanding after this offering is based on 42,902,309 shares of common stock outstanding as of September 30, 2019, and excludes the following:</w:t>
      </w:r>
    </w:p>
    <w:p>
      <w:pPr>
        <w:spacing w:after="0" w:line="114" w:lineRule="exact"/>
        <w:rPr>
          <w:sz w:val="20"/>
          <w:szCs w:val="20"/>
          <w:color w:val="auto"/>
        </w:rPr>
      </w:pPr>
    </w:p>
    <w:p>
      <w:pPr>
        <w:ind w:left="580" w:right="580" w:hanging="194"/>
        <w:spacing w:after="0" w:line="239"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4,670,745 shares of common stock issuable upon the exercise of outstanding stock options as of September 30, 2019 having a weighted-average exercise price of $3.36 per share;</w:t>
      </w:r>
    </w:p>
    <w:p>
      <w:pPr>
        <w:spacing w:after="0" w:line="114" w:lineRule="exact"/>
        <w:rPr>
          <w:rFonts w:ascii="Arial" w:cs="Arial" w:eastAsia="Arial" w:hAnsi="Arial"/>
          <w:sz w:val="18"/>
          <w:szCs w:val="18"/>
          <w:color w:val="auto"/>
        </w:rPr>
      </w:pPr>
    </w:p>
    <w:p>
      <w:pPr>
        <w:ind w:left="580" w:right="260" w:hanging="194"/>
        <w:spacing w:after="0" w:line="239"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277,012 shares of common stock issuable upon the exercise of stock options granted after September 30, 2019 having a weighted-average exercise price of $7.50 per share;</w:t>
      </w:r>
    </w:p>
    <w:p>
      <w:pPr>
        <w:spacing w:after="0" w:line="114" w:lineRule="exact"/>
        <w:rPr>
          <w:rFonts w:ascii="Arial" w:cs="Arial" w:eastAsia="Arial" w:hAnsi="Arial"/>
          <w:sz w:val="18"/>
          <w:szCs w:val="18"/>
          <w:color w:val="auto"/>
        </w:rPr>
      </w:pPr>
    </w:p>
    <w:p>
      <w:pPr>
        <w:ind w:left="580" w:right="140" w:hanging="194"/>
        <w:spacing w:after="0" w:line="238"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1,041,448 shares of common stock reserved for issuance pursuant to future awards under our 2014 Equity Incentive Plan, as amended, as of September 30, 2019, which will become available for issuance under our 2020 Incentive Award Plan on the day prior to the effectiveness of the registration statement to which this prospectus relates;</w:t>
      </w:r>
    </w:p>
    <w:p>
      <w:pPr>
        <w:spacing w:after="0" w:line="113" w:lineRule="exact"/>
        <w:rPr>
          <w:rFonts w:ascii="Arial" w:cs="Arial" w:eastAsia="Arial" w:hAnsi="Arial"/>
          <w:sz w:val="18"/>
          <w:szCs w:val="18"/>
          <w:color w:val="auto"/>
        </w:rPr>
      </w:pPr>
    </w:p>
    <w:p>
      <w:pPr>
        <w:ind w:left="580" w:right="140" w:hanging="194"/>
        <w:spacing w:after="0" w:line="239" w:lineRule="auto"/>
        <w:tabs>
          <w:tab w:leader="none" w:pos="580" w:val="left"/>
        </w:tabs>
        <w:numPr>
          <w:ilvl w:val="0"/>
          <w:numId w:val="8"/>
        </w:numPr>
        <w:rPr>
          <w:rFonts w:ascii="Arial" w:cs="Arial" w:eastAsia="Arial" w:hAnsi="Arial"/>
          <w:sz w:val="18"/>
          <w:szCs w:val="18"/>
          <w:color w:val="auto"/>
        </w:rPr>
      </w:pPr>
      <w:r>
        <w:rPr>
          <w:rFonts w:ascii="Arial" w:cs="Arial" w:eastAsia="Arial" w:hAnsi="Arial"/>
          <w:sz w:val="18"/>
          <w:szCs w:val="18"/>
          <w:color w:val="auto"/>
        </w:rPr>
        <w:t>5,771,197 shares of common stock reserved for issuance pursuant to future awards under our 2020 Incentive Award Plan, as well as any automatic increases in the number of shares of common stock reserved for future</w:t>
      </w:r>
    </w:p>
    <w:p>
      <w:pPr>
        <w:spacing w:after="0" w:line="15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240" w:top="459" w:right="6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3058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330581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580" w:right="200"/>
        <w:spacing w:after="0" w:line="238" w:lineRule="auto"/>
        <w:rPr>
          <w:sz w:val="20"/>
          <w:szCs w:val="20"/>
          <w:color w:val="auto"/>
        </w:rPr>
      </w:pPr>
      <w:r>
        <w:rPr>
          <w:rFonts w:ascii="Arial" w:cs="Arial" w:eastAsia="Arial" w:hAnsi="Arial"/>
          <w:sz w:val="18"/>
          <w:szCs w:val="18"/>
          <w:color w:val="auto"/>
        </w:rPr>
        <w:t>issuance under this plan, which will become effective on the day prior to the effectiveness of the registration statement to which this prospectus relates, of which options to purchase 481,600 shares of common stock at an exercise price equal to the initial public offering price set forth on the cover of this prospectus will be granted coincident with this offering; and</w:t>
      </w:r>
    </w:p>
    <w:p>
      <w:pPr>
        <w:spacing w:after="0" w:line="114" w:lineRule="exact"/>
        <w:rPr>
          <w:sz w:val="20"/>
          <w:szCs w:val="20"/>
          <w:color w:val="auto"/>
        </w:rPr>
      </w:pPr>
    </w:p>
    <w:p>
      <w:pPr>
        <w:ind w:left="580" w:right="180" w:hanging="194"/>
        <w:spacing w:after="0" w:line="238"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528,959 shares of common stock reserved for issuance under our 2020 Employee Stock Purchase Plan, as well as any automatic increases in the number of shares of our common stock reserved for future issuance under this plan, which will become effective on the day prior to the effectiveness of the registration statement to which this prospectus relates.</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addition, unless we specifically state otherwise, all information in this prospectus reflects and assumes the following:</w:t>
      </w:r>
    </w:p>
    <w:p>
      <w:pPr>
        <w:spacing w:after="0" w:line="117" w:lineRule="exact"/>
        <w:rPr>
          <w:sz w:val="20"/>
          <w:szCs w:val="20"/>
          <w:color w:val="auto"/>
        </w:rPr>
      </w:pPr>
    </w:p>
    <w:p>
      <w:pPr>
        <w:ind w:left="580" w:right="120" w:hanging="194"/>
        <w:spacing w:after="0" w:line="23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1-for-4.8661 reverse stock split of our common stock and preferred stock to be effected prior to the effectiveness of the registration statement of which this prospectus is a part;</w:t>
      </w:r>
    </w:p>
    <w:p>
      <w:pPr>
        <w:spacing w:after="0" w:line="114" w:lineRule="exact"/>
        <w:rPr>
          <w:rFonts w:ascii="Arial" w:cs="Arial" w:eastAsia="Arial" w:hAnsi="Arial"/>
          <w:sz w:val="18"/>
          <w:szCs w:val="18"/>
          <w:color w:val="auto"/>
        </w:rPr>
      </w:pPr>
    </w:p>
    <w:p>
      <w:pPr>
        <w:ind w:left="580" w:right="320" w:hanging="194"/>
        <w:spacing w:after="0" w:line="23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conversion of all 39,600,423 shares of our outstanding preferred stock as of September 30, 2019 into an equivalent number of shares of common stock immediately upon the consummation of this offering;</w:t>
      </w:r>
    </w:p>
    <w:p>
      <w:pPr>
        <w:spacing w:after="0" w:line="114" w:lineRule="exact"/>
        <w:rPr>
          <w:rFonts w:ascii="Arial" w:cs="Arial" w:eastAsia="Arial" w:hAnsi="Arial"/>
          <w:sz w:val="18"/>
          <w:szCs w:val="18"/>
          <w:color w:val="auto"/>
        </w:rPr>
      </w:pPr>
    </w:p>
    <w:p>
      <w:pPr>
        <w:ind w:left="580" w:hanging="194"/>
        <w:spacing w:after="0" w:line="239"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in Delaware and the adoption of our amended and restated bylaws, each of which will occur immediately upon the consummation of this offering;</w:t>
      </w:r>
    </w:p>
    <w:p>
      <w:pPr>
        <w:spacing w:after="0" w:line="114" w:lineRule="exact"/>
        <w:rPr>
          <w:rFonts w:ascii="Arial" w:cs="Arial" w:eastAsia="Arial" w:hAnsi="Arial"/>
          <w:sz w:val="18"/>
          <w:szCs w:val="18"/>
          <w:color w:val="auto"/>
        </w:rPr>
      </w:pPr>
    </w:p>
    <w:p>
      <w:pPr>
        <w:ind w:left="580" w:hanging="194"/>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outstanding stock options subsequent to September 30, 2019; and</w:t>
      </w:r>
    </w:p>
    <w:p>
      <w:pPr>
        <w:spacing w:after="0" w:line="117" w:lineRule="exact"/>
        <w:rPr>
          <w:rFonts w:ascii="Arial" w:cs="Arial" w:eastAsia="Arial" w:hAnsi="Arial"/>
          <w:sz w:val="18"/>
          <w:szCs w:val="18"/>
          <w:color w:val="auto"/>
        </w:rPr>
      </w:pPr>
    </w:p>
    <w:p>
      <w:pPr>
        <w:ind w:left="580" w:hanging="194"/>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exercise of the underwriters’ option to purchase additional shares of common stock.</w:t>
      </w:r>
    </w:p>
    <w:p>
      <w:pPr>
        <w:spacing w:after="0" w:line="104" w:lineRule="exact"/>
        <w:rPr>
          <w:sz w:val="20"/>
          <w:szCs w:val="20"/>
          <w:color w:val="auto"/>
        </w:rPr>
      </w:pPr>
    </w:p>
    <w:p>
      <w:pPr>
        <w:ind w:left="380" w:right="20"/>
        <w:spacing w:after="0" w:line="236" w:lineRule="auto"/>
        <w:rPr>
          <w:sz w:val="20"/>
          <w:szCs w:val="20"/>
          <w:color w:val="auto"/>
        </w:rPr>
      </w:pPr>
      <w:r>
        <w:rPr>
          <w:rFonts w:ascii="Arial" w:cs="Arial" w:eastAsia="Arial" w:hAnsi="Arial"/>
          <w:sz w:val="18"/>
          <w:szCs w:val="18"/>
          <w:color w:val="auto"/>
        </w:rPr>
        <w:t>Unless otherwise specified and unless the context otherwise requires, we refer to our Series A, Series B and Series C redeemable convertible preferred stock collectively as “preferred stock” in this prospectus. For financial reporting purposes and in the financial tables included in this prospectus, we refer to our Series A, Series B and Series C redeemable convertible preferred stock collectively as “redeemable convertible preferred stock,” as more fully explained in Note 8 to our consolidated financial statements included in this prospectus.</w:t>
      </w:r>
    </w:p>
    <w:p>
      <w:pPr>
        <w:spacing w:after="0" w:line="157"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240" w:top="459"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569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55695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Arial" w:cs="Arial" w:eastAsia="Arial" w:hAnsi="Arial"/>
          <w:sz w:val="32"/>
          <w:szCs w:val="32"/>
          <w:b w:val="1"/>
          <w:bCs w:val="1"/>
          <w:color w:val="auto"/>
        </w:rPr>
        <w:t>Summary consolidated financial data</w:t>
      </w:r>
    </w:p>
    <w:p>
      <w:pPr>
        <w:spacing w:after="0" w:line="140" w:lineRule="exact"/>
        <w:rPr>
          <w:sz w:val="20"/>
          <w:szCs w:val="20"/>
          <w:color w:val="auto"/>
        </w:rPr>
      </w:pPr>
    </w:p>
    <w:p>
      <w:pPr>
        <w:ind w:left="380" w:right="20"/>
        <w:spacing w:after="0" w:line="243" w:lineRule="auto"/>
        <w:rPr>
          <w:sz w:val="20"/>
          <w:szCs w:val="20"/>
          <w:color w:val="auto"/>
        </w:rPr>
      </w:pPr>
      <w:r>
        <w:rPr>
          <w:rFonts w:ascii="Arial" w:cs="Arial" w:eastAsia="Arial" w:hAnsi="Arial"/>
          <w:sz w:val="18"/>
          <w:szCs w:val="18"/>
          <w:i w:val="1"/>
          <w:iCs w:val="1"/>
          <w:color w:val="auto"/>
        </w:rPr>
        <w:t>The following tables present our summary consolidated financial data. You should read this data together with our consolidated financial statements and related notes appearing elsewhere in this prospectus and the information under the captions “Selected consolidated financial data,” “Unaudited pro forma condensed combined financial statements” and “Management’s discussion and analysis of financial condition and results of operations.”</w:t>
      </w:r>
    </w:p>
    <w:p>
      <w:pPr>
        <w:spacing w:after="0" w:line="98" w:lineRule="exact"/>
        <w:rPr>
          <w:sz w:val="20"/>
          <w:szCs w:val="20"/>
          <w:color w:val="auto"/>
        </w:rPr>
      </w:pPr>
    </w:p>
    <w:p>
      <w:pPr>
        <w:ind w:left="380" w:right="20"/>
        <w:spacing w:after="0" w:line="268" w:lineRule="auto"/>
        <w:rPr>
          <w:sz w:val="20"/>
          <w:szCs w:val="20"/>
          <w:color w:val="auto"/>
        </w:rPr>
      </w:pPr>
      <w:r>
        <w:rPr>
          <w:rFonts w:ascii="Arial" w:cs="Arial" w:eastAsia="Arial" w:hAnsi="Arial"/>
          <w:sz w:val="16"/>
          <w:szCs w:val="16"/>
          <w:color w:val="auto"/>
        </w:rPr>
        <w:t>We have derived the following consolidated summary statements of operations data for the years ended December 31, 2017 and 2018 (except for the pro forma net loss per share and the pro forma share information) from our audited consolidated financial statements and related notes appearing elsewhere in this prospectus. The summary consolidated statements of operations data for the nine months ended September 30, 2018 and 2019 and the summary consolidated balance sheet data as of September 30, 2019 are derived from our unaudited interim consolidated financial statements included elsewhere in this prospectus. The unaudited interim financial statements have been prepared in accordance with generally accepted accounting principles in the United States and on the same basis as the audited consolidated financial statements and, in the opinion of management, reflect all adjustments, which include only normal recurring adjustments, necessary to state fairly our financial position as of September 30, 2019 and the results of operations for the nine months ended September 30, 2018 and 2019. Our historical results are not necessarily indicative of our future results and results for the nine months ended September 30, 2019 are not necessarily indicative of results to be expected for the full year.</w:t>
      </w:r>
    </w:p>
    <w:p>
      <w:pPr>
        <w:spacing w:after="0" w:line="33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r>
      <w:tr>
        <w:trPr>
          <w:trHeight w:val="165"/>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7"/>
              </w:rPr>
              <w:t>Year ended December 31,</w:t>
            </w:r>
          </w:p>
        </w:tc>
        <w:tc>
          <w:tcPr>
            <w:tcW w:w="80" w:type="dxa"/>
            <w:vAlign w:val="bottom"/>
          </w:tcPr>
          <w:p>
            <w:pPr>
              <w:spacing w:after="0"/>
              <w:rPr>
                <w:sz w:val="14"/>
                <w:szCs w:val="14"/>
                <w:color w:val="auto"/>
              </w:rPr>
            </w:pPr>
          </w:p>
        </w:tc>
        <w:tc>
          <w:tcPr>
            <w:tcW w:w="18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September 30,</w:t>
            </w:r>
          </w:p>
        </w:tc>
      </w:tr>
      <w:tr>
        <w:trPr>
          <w:trHeight w:val="223"/>
        </w:trPr>
        <w:tc>
          <w:tcPr>
            <w:tcW w:w="64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auto"/>
            </w:tcBorders>
          </w:tcPr>
          <w:p>
            <w:pPr>
              <w:spacing w:after="0"/>
              <w:rPr>
                <w:sz w:val="19"/>
                <w:szCs w:val="19"/>
                <w:color w:val="auto"/>
              </w:rPr>
            </w:pPr>
          </w:p>
        </w:tc>
      </w:tr>
      <w:tr>
        <w:trPr>
          <w:trHeight w:val="172"/>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100" w:type="dxa"/>
            <w:vAlign w:val="bottom"/>
            <w:gridSpan w:val="9"/>
          </w:tcPr>
          <w:p>
            <w:pPr>
              <w:jc w:val="right"/>
              <w:ind w:right="600"/>
              <w:spacing w:after="0"/>
              <w:rPr>
                <w:sz w:val="20"/>
                <w:szCs w:val="20"/>
                <w:color w:val="auto"/>
              </w:rPr>
            </w:pPr>
            <w:r>
              <w:rPr>
                <w:rFonts w:ascii="Arial" w:cs="Arial" w:eastAsia="Arial" w:hAnsi="Arial"/>
                <w:sz w:val="14"/>
                <w:szCs w:val="14"/>
                <w:b w:val="1"/>
                <w:bCs w:val="1"/>
                <w:color w:val="auto"/>
              </w:rPr>
              <w:t>(in thousands, except share and per share data)</w:t>
            </w:r>
          </w:p>
        </w:tc>
      </w:tr>
      <w:tr>
        <w:trPr>
          <w:trHeight w:val="38"/>
        </w:trPr>
        <w:tc>
          <w:tcPr>
            <w:tcW w:w="6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6440" w:type="dxa"/>
            <w:vAlign w:val="bottom"/>
          </w:tcPr>
          <w:p>
            <w:pPr>
              <w:ind w:left="20"/>
              <w:spacing w:after="0" w:line="149" w:lineRule="exact"/>
              <w:rPr>
                <w:sz w:val="20"/>
                <w:szCs w:val="20"/>
                <w:color w:val="auto"/>
              </w:rPr>
            </w:pPr>
            <w:r>
              <w:rPr>
                <w:rFonts w:ascii="Arial" w:cs="Arial" w:eastAsia="Arial" w:hAnsi="Arial"/>
                <w:sz w:val="14"/>
                <w:szCs w:val="14"/>
                <w:color w:val="auto"/>
              </w:rPr>
              <w:t>Revenue:</w:t>
            </w: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Collaboration revenue, related party</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19,420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9,818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37,953</w:t>
            </w:r>
          </w:p>
        </w:tc>
      </w:tr>
      <w:tr>
        <w:trPr>
          <w:trHeight w:val="149"/>
        </w:trPr>
        <w:tc>
          <w:tcPr>
            <w:tcW w:w="6440" w:type="dxa"/>
            <w:vAlign w:val="bottom"/>
          </w:tcPr>
          <w:p>
            <w:pPr>
              <w:ind w:left="220"/>
              <w:spacing w:after="0" w:line="149" w:lineRule="exact"/>
              <w:rPr>
                <w:sz w:val="20"/>
                <w:szCs w:val="20"/>
                <w:color w:val="auto"/>
              </w:rPr>
            </w:pPr>
            <w:r>
              <w:rPr>
                <w:rFonts w:ascii="Arial" w:cs="Arial" w:eastAsia="Arial" w:hAnsi="Arial"/>
                <w:sz w:val="14"/>
                <w:szCs w:val="14"/>
                <w:color w:val="auto"/>
              </w:rPr>
              <w:t>Collaboration revenue, other</w:t>
            </w:r>
          </w:p>
        </w:tc>
        <w:tc>
          <w:tcPr>
            <w:tcW w:w="10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745</w:t>
            </w:r>
          </w:p>
        </w:tc>
        <w:tc>
          <w:tcPr>
            <w:tcW w:w="8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revenue</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20,165</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9,818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37,953</w:t>
            </w:r>
          </w:p>
        </w:tc>
      </w:tr>
      <w:tr>
        <w:trPr>
          <w:trHeight w:val="216"/>
        </w:trPr>
        <w:tc>
          <w:tcPr>
            <w:tcW w:w="64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Research and development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26,586</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51,084</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32,903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64,265</w:t>
            </w:r>
          </w:p>
        </w:tc>
      </w:tr>
      <w:tr>
        <w:trPr>
          <w:trHeight w:val="149"/>
        </w:trPr>
        <w:tc>
          <w:tcPr>
            <w:tcW w:w="6440" w:type="dxa"/>
            <w:vAlign w:val="bottom"/>
          </w:tcPr>
          <w:p>
            <w:pPr>
              <w:ind w:left="220"/>
              <w:spacing w:after="0" w:line="149" w:lineRule="exact"/>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4,543</w:t>
            </w:r>
          </w:p>
        </w:tc>
        <w:tc>
          <w:tcPr>
            <w:tcW w:w="12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9,410</w:t>
            </w:r>
          </w:p>
        </w:tc>
        <w:tc>
          <w:tcPr>
            <w:tcW w:w="8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5,575</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8,244</w:t>
            </w: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operating expenses</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31,129</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60,494</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38,478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72,509</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440" w:type="dxa"/>
            <w:vAlign w:val="bottom"/>
          </w:tcPr>
          <w:p>
            <w:pPr>
              <w:ind w:left="20"/>
              <w:spacing w:after="0" w:line="155" w:lineRule="exact"/>
              <w:rPr>
                <w:sz w:val="20"/>
                <w:szCs w:val="20"/>
                <w:color w:val="auto"/>
              </w:rPr>
            </w:pPr>
            <w:r>
              <w:rPr>
                <w:rFonts w:ascii="Arial" w:cs="Arial" w:eastAsia="Arial" w:hAnsi="Arial"/>
                <w:sz w:val="14"/>
                <w:szCs w:val="14"/>
                <w:color w:val="auto"/>
              </w:rPr>
              <w:t>Loss from operations</w:t>
            </w:r>
          </w:p>
        </w:tc>
        <w:tc>
          <w:tcPr>
            <w:tcW w:w="100" w:type="dxa"/>
            <w:vAlign w:val="bottom"/>
          </w:tcPr>
          <w:p>
            <w:pPr>
              <w:spacing w:after="0"/>
              <w:rPr>
                <w:sz w:val="13"/>
                <w:szCs w:val="13"/>
                <w:color w:val="auto"/>
              </w:rPr>
            </w:pPr>
          </w:p>
        </w:tc>
        <w:tc>
          <w:tcPr>
            <w:tcW w:w="98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(31,129)</w:t>
            </w:r>
          </w:p>
        </w:tc>
        <w:tc>
          <w:tcPr>
            <w:tcW w:w="120" w:type="dxa"/>
            <w:vAlign w:val="bottom"/>
          </w:tcPr>
          <w:p>
            <w:pPr>
              <w:spacing w:after="0"/>
              <w:rPr>
                <w:sz w:val="13"/>
                <w:szCs w:val="13"/>
                <w:color w:val="auto"/>
              </w:rPr>
            </w:pPr>
          </w:p>
        </w:tc>
        <w:tc>
          <w:tcPr>
            <w:tcW w:w="10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(40,329)</w:t>
            </w:r>
          </w:p>
        </w:tc>
        <w:tc>
          <w:tcPr>
            <w:tcW w:w="80" w:type="dxa"/>
            <w:vAlign w:val="bottom"/>
          </w:tcPr>
          <w:p>
            <w:pPr>
              <w:spacing w:after="0"/>
              <w:rPr>
                <w:sz w:val="13"/>
                <w:szCs w:val="13"/>
                <w:color w:val="auto"/>
              </w:rPr>
            </w:pPr>
          </w:p>
        </w:tc>
        <w:tc>
          <w:tcPr>
            <w:tcW w:w="98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(28,660)</w:t>
            </w:r>
          </w:p>
        </w:tc>
        <w:tc>
          <w:tcPr>
            <w:tcW w:w="100" w:type="dxa"/>
            <w:vAlign w:val="bottom"/>
          </w:tcPr>
          <w:p>
            <w:pPr>
              <w:spacing w:after="0"/>
              <w:rPr>
                <w:sz w:val="13"/>
                <w:szCs w:val="13"/>
                <w:color w:val="auto"/>
              </w:rPr>
            </w:pP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(34,556)</w:t>
            </w: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6440" w:type="dxa"/>
            <w:vAlign w:val="bottom"/>
          </w:tcPr>
          <w:p>
            <w:pPr>
              <w:ind w:left="220"/>
              <w:spacing w:after="0" w:line="149" w:lineRule="exact"/>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105</w:t>
            </w:r>
          </w:p>
        </w:tc>
        <w:tc>
          <w:tcPr>
            <w:tcW w:w="120" w:type="dxa"/>
            <w:vAlign w:val="bottom"/>
          </w:tcPr>
          <w:p>
            <w:pPr>
              <w:spacing w:after="0"/>
              <w:rPr>
                <w:sz w:val="12"/>
                <w:szCs w:val="12"/>
                <w:color w:val="auto"/>
              </w:rPr>
            </w:pPr>
          </w:p>
        </w:tc>
        <w:tc>
          <w:tcPr>
            <w:tcW w:w="10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777</w:t>
            </w:r>
          </w:p>
        </w:tc>
        <w:tc>
          <w:tcPr>
            <w:tcW w:w="8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414</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1,571</w:t>
            </w: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 and other expense</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(116)</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(83)</w:t>
            </w:r>
          </w:p>
        </w:tc>
      </w:tr>
      <w:tr>
        <w:trPr>
          <w:trHeight w:val="149"/>
        </w:trPr>
        <w:tc>
          <w:tcPr>
            <w:tcW w:w="6440" w:type="dxa"/>
            <w:vAlign w:val="bottom"/>
          </w:tcPr>
          <w:p>
            <w:pPr>
              <w:ind w:left="220"/>
              <w:spacing w:after="0" w:line="149" w:lineRule="exact"/>
              <w:rPr>
                <w:sz w:val="20"/>
                <w:szCs w:val="20"/>
                <w:color w:val="auto"/>
              </w:rPr>
            </w:pPr>
            <w:r>
              <w:rPr>
                <w:rFonts w:ascii="Arial" w:cs="Arial" w:eastAsia="Arial" w:hAnsi="Arial"/>
                <w:sz w:val="14"/>
                <w:szCs w:val="14"/>
                <w:color w:val="auto"/>
              </w:rPr>
              <w:t>Change in fair value of redeemable convertible preferred stock liability</w:t>
            </w:r>
          </w:p>
        </w:tc>
        <w:tc>
          <w:tcPr>
            <w:tcW w:w="100" w:type="dxa"/>
            <w:vAlign w:val="bottom"/>
          </w:tcPr>
          <w:p>
            <w:pPr>
              <w:spacing w:after="0"/>
              <w:rPr>
                <w:sz w:val="12"/>
                <w:szCs w:val="12"/>
                <w:color w:val="auto"/>
              </w:rPr>
            </w:pPr>
          </w:p>
        </w:tc>
        <w:tc>
          <w:tcPr>
            <w:tcW w:w="98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(2,121)</w:t>
            </w:r>
          </w:p>
        </w:tc>
        <w:tc>
          <w:tcPr>
            <w:tcW w:w="80" w:type="dxa"/>
            <w:vAlign w:val="bottom"/>
          </w:tcPr>
          <w:p>
            <w:pPr>
              <w:spacing w:after="0"/>
              <w:rPr>
                <w:sz w:val="12"/>
                <w:szCs w:val="12"/>
                <w:color w:val="auto"/>
              </w:rPr>
            </w:pPr>
          </w:p>
        </w:tc>
        <w:tc>
          <w:tcPr>
            <w:tcW w:w="98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(2,121)</w:t>
            </w:r>
          </w:p>
        </w:tc>
        <w:tc>
          <w:tcPr>
            <w:tcW w:w="10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64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Total other income (expense), net</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92"/>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(1,460)</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(1,790)</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1,488</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440" w:type="dxa"/>
            <w:vAlign w:val="bottom"/>
          </w:tcPr>
          <w:p>
            <w:pPr>
              <w:ind w:left="20"/>
              <w:spacing w:after="0" w:line="155" w:lineRule="exact"/>
              <w:rPr>
                <w:sz w:val="20"/>
                <w:szCs w:val="20"/>
                <w:color w:val="auto"/>
              </w:rPr>
            </w:pPr>
            <w:r>
              <w:rPr>
                <w:rFonts w:ascii="Arial" w:cs="Arial" w:eastAsia="Arial" w:hAnsi="Arial"/>
                <w:sz w:val="14"/>
                <w:szCs w:val="14"/>
                <w:color w:val="auto"/>
              </w:rPr>
              <w:t>Net loss</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(31,127)</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(41,789)</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(30,450)</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(33,068)</w:t>
            </w: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Redeemable convertible preferred stock dividends—undeclared and cumulative</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(3,763)</w:t>
            </w:r>
          </w:p>
        </w:tc>
        <w:tc>
          <w:tcPr>
            <w:tcW w:w="1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(7,031)</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(4,512)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(9,987)</w:t>
            </w:r>
          </w:p>
        </w:tc>
      </w:tr>
      <w:tr>
        <w:trPr>
          <w:trHeight w:val="20"/>
        </w:trPr>
        <w:tc>
          <w:tcPr>
            <w:tcW w:w="6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6"/>
        </w:trPr>
        <w:tc>
          <w:tcPr>
            <w:tcW w:w="6440" w:type="dxa"/>
            <w:vAlign w:val="bottom"/>
          </w:tcPr>
          <w:p>
            <w:pPr>
              <w:ind w:left="20"/>
              <w:spacing w:after="0" w:line="155" w:lineRule="exact"/>
              <w:rPr>
                <w:sz w:val="20"/>
                <w:szCs w:val="20"/>
                <w:color w:val="auto"/>
              </w:rPr>
            </w:pPr>
            <w:r>
              <w:rPr>
                <w:rFonts w:ascii="Arial" w:cs="Arial" w:eastAsia="Arial" w:hAnsi="Arial"/>
                <w:sz w:val="14"/>
                <w:szCs w:val="14"/>
                <w:color w:val="auto"/>
              </w:rPr>
              <w:t>Net loss attributable to common stockholders</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(34,890)</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(48,820)</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Pr>
          <w:p>
            <w:pPr>
              <w:jc w:val="right"/>
              <w:ind w:right="252"/>
              <w:spacing w:after="0" w:line="155" w:lineRule="exact"/>
              <w:rPr>
                <w:sz w:val="20"/>
                <w:szCs w:val="20"/>
                <w:color w:val="auto"/>
              </w:rPr>
            </w:pPr>
            <w:r>
              <w:rPr>
                <w:rFonts w:ascii="Arial" w:cs="Arial" w:eastAsia="Arial" w:hAnsi="Arial"/>
                <w:sz w:val="14"/>
                <w:szCs w:val="14"/>
                <w:color w:val="auto"/>
              </w:rPr>
              <w:t>(34,962)</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40"/>
              <w:spacing w:after="0" w:line="155" w:lineRule="exact"/>
              <w:rPr>
                <w:sz w:val="20"/>
                <w:szCs w:val="20"/>
                <w:color w:val="auto"/>
              </w:rPr>
            </w:pPr>
            <w:r>
              <w:rPr>
                <w:rFonts w:ascii="Arial" w:cs="Arial" w:eastAsia="Arial" w:hAnsi="Arial"/>
                <w:sz w:val="14"/>
                <w:szCs w:val="14"/>
                <w:color w:val="auto"/>
              </w:rPr>
              <w:t>(43,055)</w:t>
            </w:r>
          </w:p>
        </w:tc>
      </w:tr>
      <w:tr>
        <w:trPr>
          <w:trHeight w:val="27"/>
        </w:trPr>
        <w:tc>
          <w:tcPr>
            <w:tcW w:w="6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 per share attributable to common stockholders—basic and diluted(1)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(20.25)</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(21.24)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(15.77)</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(15.81)</w:t>
            </w:r>
          </w:p>
        </w:tc>
      </w:tr>
      <w:tr>
        <w:trPr>
          <w:trHeight w:val="155"/>
        </w:trPr>
        <w:tc>
          <w:tcPr>
            <w:tcW w:w="6440" w:type="dxa"/>
            <w:vAlign w:val="bottom"/>
          </w:tcPr>
          <w:p>
            <w:pPr>
              <w:ind w:left="20"/>
              <w:spacing w:after="0" w:line="155" w:lineRule="exact"/>
              <w:rPr>
                <w:sz w:val="20"/>
                <w:szCs w:val="20"/>
                <w:color w:val="auto"/>
              </w:rPr>
            </w:pPr>
            <w:r>
              <w:rPr>
                <w:rFonts w:ascii="Arial" w:cs="Arial" w:eastAsia="Arial" w:hAnsi="Arial"/>
                <w:sz w:val="14"/>
                <w:szCs w:val="14"/>
                <w:color w:val="auto"/>
              </w:rPr>
              <w:t>Weighted-average shares used to compute net loss per share attributable to common stockholders—</w:t>
            </w: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6440" w:type="dxa"/>
            <w:vAlign w:val="bottom"/>
          </w:tcPr>
          <w:p>
            <w:pPr>
              <w:ind w:left="220"/>
              <w:spacing w:after="0" w:line="149" w:lineRule="exact"/>
              <w:rPr>
                <w:sz w:val="20"/>
                <w:szCs w:val="20"/>
                <w:color w:val="auto"/>
              </w:rPr>
            </w:pPr>
            <w:r>
              <w:rPr>
                <w:rFonts w:ascii="Arial" w:cs="Arial" w:eastAsia="Arial" w:hAnsi="Arial"/>
                <w:sz w:val="14"/>
                <w:szCs w:val="14"/>
                <w:color w:val="auto"/>
              </w:rPr>
              <w:t>basic and diluted(1)</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w w:val="96"/>
              </w:rPr>
              <w:t>1,723,387</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380"/>
              <w:spacing w:after="0" w:line="149" w:lineRule="exact"/>
              <w:rPr>
                <w:sz w:val="20"/>
                <w:szCs w:val="20"/>
                <w:color w:val="auto"/>
              </w:rPr>
            </w:pPr>
            <w:r>
              <w:rPr>
                <w:rFonts w:ascii="Arial" w:cs="Arial" w:eastAsia="Arial" w:hAnsi="Arial"/>
                <w:sz w:val="14"/>
                <w:szCs w:val="14"/>
                <w:color w:val="auto"/>
              </w:rPr>
              <w:t>2,298,820</w:t>
            </w: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92"/>
              <w:spacing w:after="0" w:line="149" w:lineRule="exact"/>
              <w:rPr>
                <w:sz w:val="20"/>
                <w:szCs w:val="20"/>
                <w:color w:val="auto"/>
              </w:rPr>
            </w:pPr>
            <w:r>
              <w:rPr>
                <w:rFonts w:ascii="Arial" w:cs="Arial" w:eastAsia="Arial" w:hAnsi="Arial"/>
                <w:sz w:val="14"/>
                <w:szCs w:val="14"/>
                <w:color w:val="auto"/>
                <w:w w:val="96"/>
              </w:rPr>
              <w:t>2,217,159</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2,723,541</w:t>
            </w:r>
          </w:p>
        </w:tc>
        <w:tc>
          <w:tcPr>
            <w:tcW w:w="80" w:type="dxa"/>
            <w:vAlign w:val="bottom"/>
          </w:tcPr>
          <w:p>
            <w:pPr>
              <w:spacing w:after="0"/>
              <w:rPr>
                <w:sz w:val="13"/>
                <w:szCs w:val="13"/>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 forma net loss per share—basic and diluted(1)</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(1.71)</w:t>
            </w: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(0.91)</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69"/>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Weighted-average shares used in computing pro forma net loss per share—basic and diluted(1)</w:t>
            </w: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color w:val="auto"/>
                <w:w w:val="96"/>
              </w:rPr>
              <w:t>23,163,260</w:t>
            </w: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36,473,121</w:t>
            </w:r>
          </w:p>
        </w:tc>
        <w:tc>
          <w:tcPr>
            <w:tcW w:w="80" w:type="dxa"/>
            <w:vAlign w:val="bottom"/>
          </w:tcPr>
          <w:p>
            <w:pPr>
              <w:spacing w:after="0"/>
              <w:rPr>
                <w:sz w:val="14"/>
                <w:szCs w:val="14"/>
                <w:color w:val="auto"/>
              </w:rPr>
            </w:pPr>
          </w:p>
        </w:tc>
      </w:tr>
    </w:tbl>
    <w:p>
      <w:pPr>
        <w:spacing w:after="0" w:line="67" w:lineRule="exact"/>
        <w:rPr>
          <w:sz w:val="20"/>
          <w:szCs w:val="20"/>
          <w:color w:val="auto"/>
        </w:rPr>
      </w:pPr>
    </w:p>
    <w:p>
      <w:pPr>
        <w:ind w:left="680" w:right="300" w:hanging="294"/>
        <w:spacing w:after="0" w:line="300" w:lineRule="auto"/>
        <w:tabs>
          <w:tab w:leader="none" w:pos="68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For the calculation of our basic and diluted net loss per share attributable to common stockholders, basic and diluted pro forma net loss per share and weighted-average number of shares used in the computation of the per share amounts, see Note 12 to our consolidated financial statements included elsewhere in this prospectus.</w:t>
      </w:r>
    </w:p>
    <w:p>
      <w:pPr>
        <w:spacing w:after="0" w:line="11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24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540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4540885"/>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tbl>
      <w:tblPr>
        <w:tblLayout w:type="fixed"/>
        <w:tblInd w:w="380" w:type="dxa"/>
        <w:tblCellMar>
          <w:top w:w="0" w:type="dxa"/>
          <w:left w:w="0" w:type="dxa"/>
          <w:bottom w:w="0" w:type="dxa"/>
          <w:right w:w="0" w:type="dxa"/>
        </w:tblCellMar>
      </w:tblPr>
      <w:tr>
        <w:trPr>
          <w:trHeight w:val="221"/>
        </w:trPr>
        <w:tc>
          <w:tcPr>
            <w:tcW w:w="6900" w:type="dxa"/>
            <w:vAlign w:val="bottom"/>
          </w:tcPr>
          <w:p>
            <w:pPr>
              <w:spacing w:after="0"/>
              <w:rPr>
                <w:sz w:val="19"/>
                <w:szCs w:val="19"/>
                <w:color w:val="auto"/>
              </w:rPr>
            </w:pPr>
          </w:p>
        </w:tc>
        <w:tc>
          <w:tcPr>
            <w:tcW w:w="37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As of September 30, 2019</w:t>
            </w:r>
          </w:p>
        </w:tc>
      </w:tr>
      <w:tr>
        <w:trPr>
          <w:trHeight w:val="177"/>
        </w:trPr>
        <w:tc>
          <w:tcPr>
            <w:tcW w:w="690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92"/>
              <w:spacing w:after="0" w:line="177" w:lineRule="exact"/>
              <w:rPr>
                <w:sz w:val="20"/>
                <w:szCs w:val="20"/>
                <w:color w:val="auto"/>
              </w:rPr>
            </w:pPr>
            <w:r>
              <w:rPr>
                <w:rFonts w:ascii="Arial" w:cs="Arial" w:eastAsia="Arial" w:hAnsi="Arial"/>
                <w:sz w:val="18"/>
                <w:szCs w:val="18"/>
                <w:b w:val="1"/>
                <w:bCs w:val="1"/>
                <w:color w:val="auto"/>
                <w:w w:val="98"/>
              </w:rPr>
              <w:t>Pro forma</w:t>
            </w:r>
          </w:p>
        </w:tc>
        <w:tc>
          <w:tcPr>
            <w:tcW w:w="100" w:type="dxa"/>
            <w:vAlign w:val="bottom"/>
          </w:tcPr>
          <w:p>
            <w:pPr>
              <w:spacing w:after="0"/>
              <w:rPr>
                <w:sz w:val="15"/>
                <w:szCs w:val="15"/>
                <w:color w:val="auto"/>
              </w:rPr>
            </w:pPr>
          </w:p>
        </w:tc>
      </w:tr>
      <w:tr>
        <w:trPr>
          <w:trHeight w:val="221"/>
        </w:trPr>
        <w:tc>
          <w:tcPr>
            <w:tcW w:w="69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Actual</w:t>
            </w:r>
          </w:p>
        </w:tc>
        <w:tc>
          <w:tcPr>
            <w:tcW w:w="14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Pro forma</w:t>
            </w:r>
          </w:p>
        </w:tc>
        <w:tc>
          <w:tcPr>
            <w:tcW w:w="13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as adjusted(1)</w:t>
            </w:r>
          </w:p>
        </w:tc>
      </w:tr>
      <w:tr>
        <w:trPr>
          <w:trHeight w:val="226"/>
        </w:trPr>
        <w:tc>
          <w:tcPr>
            <w:tcW w:w="6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0" w:type="dxa"/>
            <w:vAlign w:val="bottom"/>
          </w:tcPr>
          <w:p>
            <w:pPr>
              <w:ind w:left="180"/>
              <w:spacing w:after="0"/>
              <w:rPr>
                <w:sz w:val="20"/>
                <w:szCs w:val="20"/>
                <w:color w:val="auto"/>
              </w:rPr>
            </w:pPr>
            <w:r>
              <w:rPr>
                <w:rFonts w:ascii="Arial" w:cs="Arial" w:eastAsia="Arial" w:hAnsi="Arial"/>
                <w:sz w:val="18"/>
                <w:szCs w:val="18"/>
                <w:b w:val="1"/>
                <w:bCs w:val="1"/>
                <w:color w:val="auto"/>
                <w:w w:val="96"/>
              </w:rPr>
              <w:t>(in thousands)</w:t>
            </w: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7"/>
        </w:trPr>
        <w:tc>
          <w:tcPr>
            <w:tcW w:w="69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03"/>
        </w:trPr>
        <w:tc>
          <w:tcPr>
            <w:tcW w:w="6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0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6900" w:type="dxa"/>
            <w:vAlign w:val="bottom"/>
          </w:tcPr>
          <w:p>
            <w:pPr>
              <w:ind w:left="20"/>
              <w:spacing w:after="0" w:line="202" w:lineRule="exact"/>
              <w:rPr>
                <w:sz w:val="20"/>
                <w:szCs w:val="20"/>
                <w:color w:val="auto"/>
              </w:rPr>
            </w:pPr>
            <w:r>
              <w:rPr>
                <w:rFonts w:ascii="Arial" w:cs="Arial" w:eastAsia="Arial" w:hAnsi="Arial"/>
                <w:sz w:val="18"/>
                <w:szCs w:val="18"/>
                <w:color w:val="auto"/>
              </w:rPr>
              <w:t>Cash, cash equivalents and marketable securities</w:t>
            </w:r>
          </w:p>
        </w:tc>
        <w:tc>
          <w:tcPr>
            <w:tcW w:w="1040" w:type="dxa"/>
            <w:vAlign w:val="bottom"/>
          </w:tcPr>
          <w:p>
            <w:pPr>
              <w:jc w:val="right"/>
              <w:ind w:right="132"/>
              <w:spacing w:after="0" w:line="202" w:lineRule="exact"/>
              <w:rPr>
                <w:sz w:val="20"/>
                <w:szCs w:val="20"/>
                <w:color w:val="auto"/>
              </w:rPr>
            </w:pPr>
            <w:r>
              <w:rPr>
                <w:rFonts w:ascii="Arial" w:cs="Arial" w:eastAsia="Arial" w:hAnsi="Arial"/>
                <w:sz w:val="18"/>
                <w:szCs w:val="18"/>
                <w:color w:val="auto"/>
                <w:w w:val="99"/>
              </w:rPr>
              <w:t>$ 136,288</w:t>
            </w:r>
          </w:p>
        </w:tc>
        <w:tc>
          <w:tcPr>
            <w:tcW w:w="14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$ 136,288</w:t>
            </w:r>
          </w:p>
        </w:tc>
        <w:tc>
          <w:tcPr>
            <w:tcW w:w="160" w:type="dxa"/>
            <w:vAlign w:val="bottom"/>
          </w:tcPr>
          <w:p>
            <w:pPr>
              <w:ind w:left="2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272,695</w:t>
            </w:r>
          </w:p>
        </w:tc>
      </w:tr>
      <w:tr>
        <w:trPr>
          <w:trHeight w:val="203"/>
        </w:trPr>
        <w:tc>
          <w:tcPr>
            <w:tcW w:w="6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Working capital(2)</w:t>
            </w:r>
          </w:p>
        </w:tc>
        <w:tc>
          <w:tcPr>
            <w:tcW w:w="10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110,477</w:t>
            </w:r>
          </w:p>
        </w:tc>
        <w:tc>
          <w:tcPr>
            <w:tcW w:w="14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110,477</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248,079</w:t>
            </w:r>
          </w:p>
        </w:tc>
      </w:tr>
      <w:tr>
        <w:trPr>
          <w:trHeight w:val="203"/>
        </w:trPr>
        <w:tc>
          <w:tcPr>
            <w:tcW w:w="6900" w:type="dxa"/>
            <w:vAlign w:val="bottom"/>
          </w:tcPr>
          <w:p>
            <w:pPr>
              <w:ind w:left="20"/>
              <w:spacing w:after="0" w:line="202" w:lineRule="exact"/>
              <w:rPr>
                <w:sz w:val="20"/>
                <w:szCs w:val="20"/>
                <w:color w:val="auto"/>
              </w:rPr>
            </w:pPr>
            <w:r>
              <w:rPr>
                <w:rFonts w:ascii="Arial" w:cs="Arial" w:eastAsia="Arial" w:hAnsi="Arial"/>
                <w:sz w:val="18"/>
                <w:szCs w:val="18"/>
                <w:color w:val="auto"/>
              </w:rPr>
              <w:t>Total assets</w:t>
            </w:r>
          </w:p>
        </w:tc>
        <w:tc>
          <w:tcPr>
            <w:tcW w:w="10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234,745</w:t>
            </w:r>
          </w:p>
        </w:tc>
        <w:tc>
          <w:tcPr>
            <w:tcW w:w="14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234,745</w:t>
            </w:r>
          </w:p>
        </w:tc>
        <w:tc>
          <w:tcPr>
            <w:tcW w:w="160" w:type="dxa"/>
            <w:vAlign w:val="bottom"/>
          </w:tcPr>
          <w:p>
            <w:pPr>
              <w:spacing w:after="0"/>
              <w:rPr>
                <w:sz w:val="17"/>
                <w:szCs w:val="17"/>
                <w:color w:val="auto"/>
              </w:rPr>
            </w:pPr>
          </w:p>
        </w:tc>
        <w:tc>
          <w:tcPr>
            <w:tcW w:w="11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369,850</w:t>
            </w:r>
          </w:p>
        </w:tc>
      </w:tr>
      <w:tr>
        <w:trPr>
          <w:trHeight w:val="203"/>
        </w:trPr>
        <w:tc>
          <w:tcPr>
            <w:tcW w:w="6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Redeemable convertible preferred stock</w:t>
            </w:r>
          </w:p>
        </w:tc>
        <w:tc>
          <w:tcPr>
            <w:tcW w:w="10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305,114</w:t>
            </w:r>
          </w:p>
        </w:tc>
        <w:tc>
          <w:tcPr>
            <w:tcW w:w="14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6900" w:type="dxa"/>
            <w:vAlign w:val="bottom"/>
          </w:tcPr>
          <w:p>
            <w:pPr>
              <w:ind w:left="20"/>
              <w:spacing w:after="0" w:line="202" w:lineRule="exact"/>
              <w:rPr>
                <w:sz w:val="20"/>
                <w:szCs w:val="20"/>
                <w:color w:val="auto"/>
              </w:rPr>
            </w:pPr>
            <w:r>
              <w:rPr>
                <w:rFonts w:ascii="Arial" w:cs="Arial" w:eastAsia="Arial" w:hAnsi="Arial"/>
                <w:sz w:val="18"/>
                <w:szCs w:val="18"/>
                <w:color w:val="auto"/>
              </w:rPr>
              <w:t>Accumulated deficit</w:t>
            </w:r>
          </w:p>
        </w:tc>
        <w:tc>
          <w:tcPr>
            <w:tcW w:w="104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(142,790)</w:t>
            </w:r>
          </w:p>
        </w:tc>
        <w:tc>
          <w:tcPr>
            <w:tcW w:w="14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(142,790)</w:t>
            </w:r>
          </w:p>
        </w:tc>
        <w:tc>
          <w:tcPr>
            <w:tcW w:w="160" w:type="dxa"/>
            <w:vAlign w:val="bottom"/>
          </w:tcPr>
          <w:p>
            <w:pPr>
              <w:spacing w:after="0"/>
              <w:rPr>
                <w:sz w:val="17"/>
                <w:szCs w:val="17"/>
                <w:color w:val="auto"/>
              </w:rPr>
            </w:pPr>
          </w:p>
        </w:tc>
        <w:tc>
          <w:tcPr>
            <w:tcW w:w="11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(142,790)</w:t>
            </w:r>
          </w:p>
        </w:tc>
      </w:tr>
      <w:tr>
        <w:trPr>
          <w:trHeight w:val="203"/>
        </w:trPr>
        <w:tc>
          <w:tcPr>
            <w:tcW w:w="69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stockholders’ (deficit) equity</w:t>
            </w:r>
          </w:p>
        </w:tc>
        <w:tc>
          <w:tcPr>
            <w:tcW w:w="104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(139,446)</w:t>
            </w:r>
          </w:p>
        </w:tc>
        <w:tc>
          <w:tcPr>
            <w:tcW w:w="14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165,668</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301,968</w:t>
            </w: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left="680" w:hanging="294"/>
        <w:spacing w:after="0" w:line="258" w:lineRule="auto"/>
        <w:tabs>
          <w:tab w:leader="none" w:pos="680" w:val="left"/>
        </w:tabs>
        <w:numPr>
          <w:ilvl w:val="0"/>
          <w:numId w:val="12"/>
        </w:numPr>
        <w:rPr>
          <w:rFonts w:ascii="Arial" w:cs="Arial" w:eastAsia="Arial" w:hAnsi="Arial"/>
          <w:sz w:val="12"/>
          <w:szCs w:val="12"/>
          <w:color w:val="auto"/>
        </w:rPr>
      </w:pPr>
      <w:r>
        <w:rPr>
          <w:rFonts w:ascii="Arial" w:cs="Arial" w:eastAsia="Arial" w:hAnsi="Arial"/>
          <w:sz w:val="12"/>
          <w:szCs w:val="12"/>
          <w:color w:val="auto"/>
        </w:rPr>
        <w:t>Each $1.00 increase (decrease) in the assumed initial public offering price of $15.00 per share (the midpoint of the price range set forth on the cover of this prospectus), would increase (decrease) the amount of each of cash, cash equivalents and marketable securities, working capital, total assets and total stockholders’ equity by $9.3 million, assuming the number of shares offered by us, as set forth on the cover page of this prospectus, remains the same and after deducting the underwriting discounts and commissions and estimated offering expenses payable by us. We may also increase (decrease) the number of shares we are offering. Each increase (decrease) of</w:t>
      </w:r>
    </w:p>
    <w:p>
      <w:pPr>
        <w:ind w:left="680" w:right="60"/>
        <w:spacing w:after="0" w:line="225" w:lineRule="auto"/>
        <w:rPr>
          <w:rFonts w:ascii="Arial" w:cs="Arial" w:eastAsia="Arial" w:hAnsi="Arial"/>
          <w:sz w:val="12"/>
          <w:szCs w:val="12"/>
          <w:color w:val="auto"/>
        </w:rPr>
      </w:pPr>
      <w:r>
        <w:rPr>
          <w:rFonts w:ascii="Arial" w:cs="Arial" w:eastAsia="Arial" w:hAnsi="Arial"/>
          <w:sz w:val="14"/>
          <w:szCs w:val="14"/>
          <w:color w:val="auto"/>
        </w:rPr>
        <w:t>1,000,000 in the number of shares we are offering would increase (decrease) the amount of each of cash, cash equivalents and marketable securities, working capital, total assets and total stockholders’ equity by $14.0 million, assuming the assumed initial public offering price of $15.00 per share (the midpoint of the price range set forth on the cover of this prospectus), remains the same and after deducting the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55" w:lineRule="exact"/>
        <w:rPr>
          <w:rFonts w:ascii="Arial" w:cs="Arial" w:eastAsia="Arial" w:hAnsi="Arial"/>
          <w:sz w:val="12"/>
          <w:szCs w:val="12"/>
          <w:color w:val="auto"/>
        </w:rPr>
      </w:pPr>
    </w:p>
    <w:p>
      <w:pPr>
        <w:ind w:left="680" w:hanging="294"/>
        <w:spacing w:after="0"/>
        <w:tabs>
          <w:tab w:leader="none" w:pos="6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preceding table presents our consolidated balance sheet data as of September 30, 2019:</w:t>
      </w:r>
    </w:p>
    <w:p>
      <w:pPr>
        <w:spacing w:after="0" w:line="117" w:lineRule="exact"/>
        <w:rPr>
          <w:sz w:val="20"/>
          <w:szCs w:val="20"/>
          <w:color w:val="auto"/>
        </w:rPr>
      </w:pPr>
    </w:p>
    <w:p>
      <w:pPr>
        <w:ind w:left="580" w:hanging="194"/>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580" w:right="320" w:hanging="194"/>
        <w:spacing w:after="0" w:line="237"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 pro forma basis to give effect to: (i) the conversion of all 39,600,423 shares of our redeemable convertible preferred stock outstanding as of September 30, 2019 into an equivalent number of shares of our common stock, which will be effective upon the closing of this offering; and (ii) the filing and effectiveness of our amended and restated certificate of incorporation, which will occur immediately prior to the consummation of this offering; and</w:t>
      </w:r>
    </w:p>
    <w:p>
      <w:pPr>
        <w:spacing w:after="0" w:line="114" w:lineRule="exact"/>
        <w:rPr>
          <w:rFonts w:ascii="Arial" w:cs="Arial" w:eastAsia="Arial" w:hAnsi="Arial"/>
          <w:sz w:val="18"/>
          <w:szCs w:val="18"/>
          <w:color w:val="auto"/>
        </w:rPr>
      </w:pPr>
    </w:p>
    <w:p>
      <w:pPr>
        <w:ind w:left="580" w:right="100" w:hanging="194"/>
        <w:spacing w:after="0" w:line="236"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(i) the sale of 10,000,000 shares of common stock in this offering at an assumed initial public offering price of $15.00 per share, the midpoint of the price range set forth on the cover of this prospectus, after deducting the underwriting discounts and commissions and estimated offering expenses payable by us, net of $0.1 million of offering costs paid as of September 30, 2019, (ii) the reclassification of $1.3 million in deferred offering costs from other noncurrent assets to additional paid-in-capital, and (iii) the reduction of $1.2 million in current liabilities to reflect the payment of unpaid deferred offering costs.</w:t>
      </w:r>
    </w:p>
    <w:p>
      <w:pPr>
        <w:spacing w:after="0" w:line="156"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24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Risk factors</w:t>
      </w:r>
    </w:p>
    <w:p>
      <w:pPr>
        <w:spacing w:after="0" w:line="140" w:lineRule="exact"/>
        <w:rPr>
          <w:sz w:val="20"/>
          <w:szCs w:val="20"/>
          <w:color w:val="auto"/>
        </w:rPr>
      </w:pPr>
    </w:p>
    <w:p>
      <w:pPr>
        <w:ind w:left="200" w:right="40"/>
        <w:spacing w:after="0" w:line="241"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our limited operating history, financial position and need for additional capital</w:t>
      </w:r>
    </w:p>
    <w:p>
      <w:pPr>
        <w:spacing w:after="0" w:line="114" w:lineRule="exact"/>
        <w:rPr>
          <w:sz w:val="20"/>
          <w:szCs w:val="20"/>
          <w:color w:val="auto"/>
        </w:rPr>
      </w:pPr>
    </w:p>
    <w:p>
      <w:pPr>
        <w:ind w:left="200"/>
        <w:spacing w:after="0" w:line="294" w:lineRule="auto"/>
        <w:rPr>
          <w:sz w:val="20"/>
          <w:szCs w:val="20"/>
          <w:color w:val="auto"/>
        </w:rPr>
      </w:pPr>
      <w:r>
        <w:rPr>
          <w:rFonts w:ascii="Arial" w:cs="Arial" w:eastAsia="Arial" w:hAnsi="Arial"/>
          <w:sz w:val="16"/>
          <w:szCs w:val="16"/>
          <w:b w:val="1"/>
          <w:bCs w:val="1"/>
          <w:i w:val="1"/>
          <w:iCs w:val="1"/>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60"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Biopharmaceutical product development is a highly speculative undertaking and involves a substantial degree of risk. We are a clinical-stage precision oncology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October 2014. In addition, we have limited experience as a company and have not yet demonstrated an ability to successfully overcome many of the risks and uncertainties frequently encountered by companies in new and rapidly evolving fields, particularly in the biopharmaceutical industry. Only one of our product candidates, RMC-4630, is currently in clinical development.</w:t>
      </w:r>
    </w:p>
    <w:p>
      <w:pPr>
        <w:spacing w:after="0" w:line="7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Since inception, we have incurred significant net losses. Our net losses were $31.1 million for the year ended December 31, 2017,</w:t>
      </w:r>
    </w:p>
    <w:p>
      <w:pPr>
        <w:ind w:left="200" w:right="120"/>
        <w:spacing w:after="0" w:line="235" w:lineRule="auto"/>
        <w:rPr>
          <w:sz w:val="20"/>
          <w:szCs w:val="20"/>
          <w:color w:val="auto"/>
        </w:rPr>
      </w:pPr>
      <w:r>
        <w:rPr>
          <w:rFonts w:ascii="Arial" w:cs="Arial" w:eastAsia="Arial" w:hAnsi="Arial"/>
          <w:sz w:val="18"/>
          <w:szCs w:val="18"/>
          <w:color w:val="auto"/>
        </w:rPr>
        <w:t>$41.8 million for the year ended December 31, 2018 and $33.1 million for the nine months ended September 30, 2019. As of September 30, 2019, we had an accumulated deficit of $142.8 million. We have funded our operations to date primarily with proceeds from the sale of preferred stock and upfront payments and research and development cost reimbursement received under our collaboration agreement with Genzyme Corporation, an affiliate of Sanofi, or the Sanofi Agreement.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product candidates will require substantial additional development time and resources before we will be able to apply for or receive regulatory approvals and, if approved, begin generating revenue from product sales. We expect to continue to incur significant expenses and operating losses for the foreseeable future.</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124"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development programs. We do not anticipate generating revenue from product sales for the next several years, if ever. Our ability to generate future revenue from product sales depends heavily on our, Sanofi’s, and any potential future collaborators’ success in:</w:t>
      </w:r>
    </w:p>
    <w:p>
      <w:pPr>
        <w:spacing w:after="0" w:line="114" w:lineRule="exact"/>
        <w:rPr>
          <w:sz w:val="20"/>
          <w:szCs w:val="20"/>
          <w:color w:val="auto"/>
        </w:rPr>
      </w:pPr>
    </w:p>
    <w:p>
      <w:pPr>
        <w:ind w:left="420" w:right="860" w:hanging="216"/>
        <w:spacing w:after="0" w:line="239"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completing clinical and preclinical development of product candidates and programs and identifying and developing new product candidates;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product candidates that we develop;</w:t>
      </w:r>
    </w:p>
    <w:p>
      <w:pPr>
        <w:spacing w:after="0" w:line="117" w:lineRule="exact"/>
        <w:rPr>
          <w:rFonts w:ascii="Arial" w:cs="Arial" w:eastAsia="Arial" w:hAnsi="Arial"/>
          <w:sz w:val="18"/>
          <w:szCs w:val="18"/>
          <w:color w:val="auto"/>
        </w:rPr>
      </w:pPr>
    </w:p>
    <w:p>
      <w:pPr>
        <w:ind w:left="420" w:right="580" w:hanging="216"/>
        <w:spacing w:after="0" w:line="239"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product candidates that we develop;</w:t>
      </w:r>
    </w:p>
    <w:p>
      <w:pPr>
        <w:spacing w:after="0" w:line="117" w:lineRule="exact"/>
        <w:rPr>
          <w:rFonts w:ascii="Arial" w:cs="Arial" w:eastAsia="Arial" w:hAnsi="Arial"/>
          <w:sz w:val="18"/>
          <w:szCs w:val="18"/>
          <w:color w:val="auto"/>
        </w:rPr>
      </w:pPr>
    </w:p>
    <w:p>
      <w:pPr>
        <w:ind w:left="420" w:right="40" w:hanging="216"/>
        <w:spacing w:after="0" w:line="299"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68" w:lineRule="exact"/>
        <w:rPr>
          <w:rFonts w:ascii="Arial" w:cs="Arial" w:eastAsia="Arial" w:hAnsi="Arial"/>
          <w:sz w:val="16"/>
          <w:szCs w:val="16"/>
          <w:color w:val="auto"/>
        </w:rPr>
      </w:pPr>
    </w:p>
    <w:p>
      <w:pPr>
        <w:ind w:left="420" w:hanging="2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obtaining market acceptance of product candidates that we develop as viable treatment options;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maintaining, protecting, enforcing and expanding our portfolio of intellectual property rights, including patents, trade secrets and know-how;</w:t>
      </w:r>
    </w:p>
    <w:p>
      <w:pPr>
        <w:spacing w:after="0" w:line="140" w:lineRule="exact"/>
        <w:rPr>
          <w:rFonts w:ascii="Arial" w:cs="Arial" w:eastAsia="Arial" w:hAnsi="Arial"/>
          <w:sz w:val="16"/>
          <w:szCs w:val="16"/>
          <w:color w:val="auto"/>
        </w:rPr>
      </w:pPr>
    </w:p>
    <w:p>
      <w:pPr>
        <w:ind w:left="420" w:hanging="2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0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U.S. Food and Drug Administration, or the FDA, the European Medicines Agency, or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83" w:lineRule="exact"/>
        <w:rPr>
          <w:sz w:val="20"/>
          <w:szCs w:val="20"/>
          <w:color w:val="auto"/>
        </w:rPr>
      </w:pPr>
    </w:p>
    <w:p>
      <w:pPr>
        <w:ind w:left="200" w:right="120"/>
        <w:spacing w:after="0" w:line="248"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9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operations have consumed substantial amounts of cash since inception. Since our inception, we have invested a significant portion of our efforts and financial resources in research and development activities for our initial preclinical and clinical product candidates. Preclinical studies and clinical trials and additional research and development activities will require substantial funds to complete. As of September 30, 2019, we had cash, cash equivalents and marketable securities of $136.3 million. We expect to continue to spend substantial amounts to continue the preclinical and clinical development of our current and future programs. If we are able to gain marketing approval for product candidates that we develop, including RMC-4630, we will require significant additional amounts of cash in order to launch and commercialize such product candidates to the extent that such launch and commercialization are not the responsibility of Sanofi or another collaborator that we may contract with in the future. In addition, other unanticipated costs may arise. Because the design and outcome of our planned and anticipated clinical trials is highly uncertain, we cannot reasonably estimate the actual amounts necessary to successfully complete the development and commercialization of any product candidate we develop.</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420" w:right="16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programs, and of conducting preclinical studies and clinical trials;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product candidates we develop if clinical trials are successful;</w:t>
      </w:r>
    </w:p>
    <w:p>
      <w:pPr>
        <w:spacing w:after="0" w:line="117"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collaboration with Sanofi, including the continued reimbursement by Sanofi of substantially all of our research costs and all of our development costs for the SHP2 program under the Sanofi Agreement;</w:t>
      </w:r>
    </w:p>
    <w:p>
      <w:pPr>
        <w:spacing w:after="0" w:line="114" w:lineRule="exact"/>
        <w:rPr>
          <w:rFonts w:ascii="Arial" w:cs="Arial" w:eastAsia="Arial" w:hAnsi="Arial"/>
          <w:sz w:val="18"/>
          <w:szCs w:val="18"/>
          <w:color w:val="auto"/>
        </w:rPr>
      </w:pPr>
    </w:p>
    <w:p>
      <w:pPr>
        <w:ind w:left="420" w:right="76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achieve certain clinical and regulatory milestones under the Sanofi Agreement, each of which would trigger additional payments to us;</w:t>
      </w:r>
    </w:p>
    <w:p>
      <w:pPr>
        <w:spacing w:after="0" w:line="114" w:lineRule="exact"/>
        <w:rPr>
          <w:rFonts w:ascii="Arial" w:cs="Arial" w:eastAsia="Arial" w:hAnsi="Arial"/>
          <w:sz w:val="18"/>
          <w:szCs w:val="18"/>
          <w:color w:val="auto"/>
        </w:rPr>
      </w:pPr>
    </w:p>
    <w:p>
      <w:pPr>
        <w:ind w:left="420" w:hanging="216"/>
        <w:spacing w:after="0" w:line="238"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w:t>
      </w:r>
    </w:p>
    <w:p>
      <w:pPr>
        <w:spacing w:after="0" w:line="113" w:lineRule="exact"/>
        <w:rPr>
          <w:rFonts w:ascii="Arial" w:cs="Arial" w:eastAsia="Arial" w:hAnsi="Arial"/>
          <w:sz w:val="18"/>
          <w:szCs w:val="18"/>
          <w:color w:val="auto"/>
        </w:rPr>
      </w:pPr>
    </w:p>
    <w:p>
      <w:pPr>
        <w:ind w:left="420" w:right="86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manufacturing our current and future product candidates for clinical trials in preparation for marketing approval and in preparation for commercialization;</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17"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receipt and amount of sales of, profit share or royalties on, our future products, if any;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emergence of competing cancer therapies and other adverse market developments;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plans to acquire or in-license other programs or technologies.</w:t>
      </w:r>
    </w:p>
    <w:p>
      <w:pPr>
        <w:spacing w:after="0" w:line="10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Other than our Sanofi collaboration on SHP2 inhibitors, including RMC-4630, we do not have any committed external source of funds or other support for our development efforts. We expect to finance our cash needs through a combination of public or private equity offerings, debt financings, collaborations, strategic alliances, licensing arrangements and other marketing or distribution arrangements. In addition, we may seek additional capital due to favorable market conditions or strategic considerations even if we believe we have sufficient funds for our current or future operating plans. Based on our research and development plans, we expect that the net proceeds from this offering, together with our existing cash, cash equivalents and marketable securities, will enable us to fund our operations for at least 12 months following the date of this offering.</w:t>
      </w:r>
    </w:p>
    <w:p>
      <w:pPr>
        <w:spacing w:after="0" w:line="101" w:lineRule="exact"/>
        <w:rPr>
          <w:sz w:val="20"/>
          <w:szCs w:val="20"/>
          <w:color w:val="auto"/>
        </w:rPr>
      </w:pPr>
    </w:p>
    <w:p>
      <w:pPr>
        <w:jc w:val="both"/>
        <w:ind w:left="200" w:right="280"/>
        <w:spacing w:after="0" w:line="238" w:lineRule="auto"/>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 Additional funds may not be available when we need them, on terms that are acceptable to us, or at all. If adequate funds are not available to us on a timely basis, we may be required to:</w:t>
      </w:r>
    </w:p>
    <w:p>
      <w:pPr>
        <w:spacing w:after="0" w:line="114" w:lineRule="exact"/>
        <w:rPr>
          <w:sz w:val="20"/>
          <w:szCs w:val="20"/>
          <w:color w:val="auto"/>
        </w:rPr>
      </w:pPr>
    </w:p>
    <w:p>
      <w:pPr>
        <w:ind w:left="420" w:right="240" w:hanging="216"/>
        <w:spacing w:after="0" w:line="239"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limit, reduce or terminate preclinical studies, clinical trials or other research and development activities or eliminate one or more of our development programs altogether; or</w:t>
      </w:r>
    </w:p>
    <w:p>
      <w:pPr>
        <w:spacing w:after="0" w:line="114" w:lineRule="exact"/>
        <w:rPr>
          <w:rFonts w:ascii="Arial" w:cs="Arial" w:eastAsia="Arial" w:hAnsi="Arial"/>
          <w:sz w:val="18"/>
          <w:szCs w:val="18"/>
          <w:color w:val="auto"/>
        </w:rPr>
      </w:pPr>
    </w:p>
    <w:p>
      <w:pPr>
        <w:ind w:left="420" w:right="200" w:hanging="216"/>
        <w:spacing w:after="0" w:line="238" w:lineRule="auto"/>
        <w:tabs>
          <w:tab w:leader="none" w:pos="4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260"/>
        <w:spacing w:after="0" w:line="262"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w:t>
      </w:r>
    </w:p>
    <w:p>
      <w:pPr>
        <w:spacing w:after="0" w:line="81"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To date, we have primarily financed our operations through the sale of preferred stock and upfront payments and research and development cost reimbursement received in connection with our collaboration with Sanofi. We will be required to seek additional funding in the future and currently intend to do so through collaborations, public or private equity offerings or debt financings, credit or loan facilities or a combination of one or more of these funding sources.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If we raise additional funds by issuing equity securities, our stockholders may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 Attempting to secure additional financing may also divert our management from our day-to-day activities, which may adversely affect our ability to develop our product candidates.</w:t>
      </w:r>
    </w:p>
    <w:p>
      <w:pPr>
        <w:spacing w:after="0" w:line="267" w:lineRule="exact"/>
        <w:rPr>
          <w:sz w:val="20"/>
          <w:szCs w:val="20"/>
          <w:color w:val="auto"/>
        </w:rPr>
      </w:pPr>
    </w:p>
    <w:p>
      <w:pPr>
        <w:ind w:left="200" w:right="100"/>
        <w:spacing w:after="0" w:line="262"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81" w:lineRule="exact"/>
        <w:rPr>
          <w:sz w:val="20"/>
          <w:szCs w:val="20"/>
          <w:color w:val="auto"/>
        </w:rPr>
      </w:pPr>
    </w:p>
    <w:p>
      <w:pPr>
        <w:ind w:left="200" w:right="400"/>
        <w:spacing w:after="0" w:line="299" w:lineRule="auto"/>
        <w:rPr>
          <w:sz w:val="20"/>
          <w:szCs w:val="20"/>
          <w:color w:val="auto"/>
        </w:rPr>
      </w:pPr>
      <w:r>
        <w:rPr>
          <w:rFonts w:ascii="Arial" w:cs="Arial" w:eastAsia="Arial" w:hAnsi="Arial"/>
          <w:sz w:val="16"/>
          <w:szCs w:val="16"/>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68" w:lineRule="exact"/>
        <w:rPr>
          <w:sz w:val="20"/>
          <w:szCs w:val="20"/>
          <w:color w:val="auto"/>
        </w:rPr>
      </w:pPr>
    </w:p>
    <w:p>
      <w:pPr>
        <w:ind w:left="420" w:right="80" w:hanging="216"/>
        <w:spacing w:after="0" w:line="23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17" w:lineRule="exact"/>
        <w:rPr>
          <w:rFonts w:ascii="Arial" w:cs="Arial" w:eastAsia="Arial" w:hAnsi="Arial"/>
          <w:sz w:val="18"/>
          <w:szCs w:val="18"/>
          <w:color w:val="auto"/>
        </w:rPr>
      </w:pPr>
    </w:p>
    <w:p>
      <w:pPr>
        <w:ind w:left="420" w:right="400" w:hanging="216"/>
        <w:spacing w:after="0" w:line="23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114" w:lineRule="exact"/>
        <w:rPr>
          <w:rFonts w:ascii="Arial" w:cs="Arial" w:eastAsia="Arial" w:hAnsi="Arial"/>
          <w:sz w:val="18"/>
          <w:szCs w:val="18"/>
          <w:color w:val="auto"/>
        </w:rPr>
      </w:pPr>
    </w:p>
    <w:p>
      <w:pPr>
        <w:ind w:left="420" w:right="440" w:hanging="216"/>
        <w:spacing w:after="0" w:line="23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of productions, and the terms of any agreements we enter into with third-party suppliers;</w:t>
      </w:r>
    </w:p>
    <w:p>
      <w:pPr>
        <w:spacing w:after="0" w:line="114" w:lineRule="exact"/>
        <w:rPr>
          <w:rFonts w:ascii="Arial" w:cs="Arial" w:eastAsia="Arial" w:hAnsi="Arial"/>
          <w:sz w:val="18"/>
          <w:szCs w:val="18"/>
          <w:color w:val="auto"/>
        </w:rPr>
      </w:pPr>
    </w:p>
    <w:p>
      <w:pPr>
        <w:ind w:left="420" w:right="660" w:hanging="216"/>
        <w:spacing w:after="0" w:line="23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timing and amount of any milestone, royalty or other payments due under any current or future collaboration or license agreement, including the Sanofi Agreement;</w:t>
      </w:r>
    </w:p>
    <w:p>
      <w:pPr>
        <w:spacing w:after="0" w:line="114" w:lineRule="exact"/>
        <w:rPr>
          <w:rFonts w:ascii="Arial" w:cs="Arial" w:eastAsia="Arial" w:hAnsi="Arial"/>
          <w:sz w:val="18"/>
          <w:szCs w:val="18"/>
          <w:color w:val="auto"/>
        </w:rPr>
      </w:pPr>
    </w:p>
    <w:p>
      <w:pPr>
        <w:ind w:left="420" w:right="520" w:hanging="216"/>
        <w:spacing w:after="0" w:line="23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any future approved products, and potential future drugs that compete with our products;</w:t>
      </w:r>
    </w:p>
    <w:p>
      <w:pPr>
        <w:spacing w:after="0" w:line="114" w:lineRule="exact"/>
        <w:rPr>
          <w:rFonts w:ascii="Arial" w:cs="Arial" w:eastAsia="Arial" w:hAnsi="Arial"/>
          <w:sz w:val="18"/>
          <w:szCs w:val="18"/>
          <w:color w:val="auto"/>
        </w:rPr>
      </w:pPr>
    </w:p>
    <w:p>
      <w:pPr>
        <w:ind w:left="420" w:right="160" w:hanging="216"/>
        <w:spacing w:after="0" w:line="239" w:lineRule="auto"/>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medical affairs and distribution infrastructure to commercialize any products for which we may obtain marketing approval and intend to commercialize on our own or jointly with Sanofi;</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80"/>
          </w:cols>
          <w:pgMar w:left="240" w:top="459"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420" w:right="20" w:hanging="216"/>
        <w:spacing w:after="0" w:line="239"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collaboration partners.</w:t>
      </w:r>
    </w:p>
    <w:p>
      <w:pPr>
        <w:spacing w:after="0" w:line="101"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00"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product development and regulatory process</w:t>
      </w:r>
    </w:p>
    <w:p>
      <w:pPr>
        <w:spacing w:after="0" w:line="114" w:lineRule="exact"/>
        <w:rPr>
          <w:sz w:val="20"/>
          <w:szCs w:val="20"/>
          <w:color w:val="auto"/>
        </w:rPr>
      </w:pPr>
    </w:p>
    <w:p>
      <w:pPr>
        <w:ind w:left="200" w:right="240"/>
        <w:spacing w:after="0" w:line="244" w:lineRule="auto"/>
        <w:rPr>
          <w:sz w:val="20"/>
          <w:szCs w:val="20"/>
          <w:color w:val="auto"/>
        </w:rPr>
      </w:pPr>
      <w:r>
        <w:rPr>
          <w:rFonts w:ascii="Arial" w:cs="Arial" w:eastAsia="Arial" w:hAnsi="Arial"/>
          <w:sz w:val="18"/>
          <w:szCs w:val="18"/>
          <w:b w:val="1"/>
          <w:bCs w:val="1"/>
          <w:i w:val="1"/>
          <w:iCs w:val="1"/>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97"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We are early in our development efforts, and we have only recently initiated our first clinical trials for our most advanced product candidate, RMC-4630. Our other programs are in the preclinical stage. We have invested substantially all of our efforts and financial resources in the identification of targets and preclinical development of small molecules to treat cancer.</w:t>
      </w:r>
    </w:p>
    <w:p>
      <w:pPr>
        <w:spacing w:after="0" w:line="10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01" w:lineRule="exact"/>
        <w:rPr>
          <w:sz w:val="20"/>
          <w:szCs w:val="20"/>
          <w:color w:val="auto"/>
        </w:rPr>
      </w:pPr>
    </w:p>
    <w:p>
      <w:pPr>
        <w:ind w:left="200" w:right="80"/>
        <w:spacing w:after="0" w:line="269" w:lineRule="auto"/>
        <w:rPr>
          <w:sz w:val="20"/>
          <w:szCs w:val="20"/>
          <w:color w:val="auto"/>
        </w:rPr>
      </w:pPr>
      <w:r>
        <w:rPr>
          <w:rFonts w:ascii="Arial" w:cs="Arial" w:eastAsia="Arial" w:hAnsi="Arial"/>
          <w:sz w:val="16"/>
          <w:szCs w:val="16"/>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territories for which we gain regulatory approval and have commercial rights, as well as the availability of competitive products, whether there is sufficient third-party reimbursement and adoption by physicians.</w:t>
      </w:r>
    </w:p>
    <w:p>
      <w:pPr>
        <w:spacing w:after="0" w:line="101" w:lineRule="exact"/>
        <w:rPr>
          <w:sz w:val="20"/>
          <w:szCs w:val="20"/>
          <w:color w:val="auto"/>
        </w:rPr>
      </w:pPr>
    </w:p>
    <w:p>
      <w:pPr>
        <w:ind w:left="200" w:right="100"/>
        <w:spacing w:after="0" w:line="273" w:lineRule="auto"/>
        <w:rPr>
          <w:sz w:val="20"/>
          <w:szCs w:val="20"/>
          <w:color w:val="auto"/>
        </w:rPr>
      </w:pPr>
      <w:r>
        <w:rPr>
          <w:rFonts w:ascii="Arial" w:cs="Arial" w:eastAsia="Arial" w:hAnsi="Arial"/>
          <w:sz w:val="16"/>
          <w:szCs w:val="16"/>
          <w:color w:val="auto"/>
        </w:rPr>
        <w:t>We plan to seek regulatory approval to commercialize our product candidates both in the United States and in select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success of our current and future product candidates will depend on several factors, including the following:</w:t>
      </w:r>
    </w:p>
    <w:p>
      <w:pPr>
        <w:spacing w:after="0" w:line="117" w:lineRule="exact"/>
        <w:rPr>
          <w:sz w:val="20"/>
          <w:szCs w:val="20"/>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clinical trials and preclinical studies;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or INDs, for our planned clinical trials or future clinical trials;</w:t>
      </w:r>
    </w:p>
    <w:p>
      <w:pPr>
        <w:spacing w:after="0" w:line="117" w:lineRule="exact"/>
        <w:rPr>
          <w:rFonts w:ascii="Arial" w:cs="Arial" w:eastAsia="Arial" w:hAnsi="Arial"/>
          <w:sz w:val="18"/>
          <w:szCs w:val="18"/>
          <w:color w:val="auto"/>
        </w:rPr>
      </w:pPr>
    </w:p>
    <w:p>
      <w:pPr>
        <w:ind w:left="420" w:right="620" w:hanging="216"/>
        <w:spacing w:after="0" w:line="239"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particularly where competitors may also be recruiting patients with 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spacing w:after="0" w:line="114" w:lineRule="exact"/>
        <w:rPr>
          <w:rFonts w:ascii="Arial" w:cs="Arial" w:eastAsia="Arial" w:hAnsi="Arial"/>
          <w:sz w:val="18"/>
          <w:szCs w:val="18"/>
          <w:color w:val="auto"/>
        </w:rPr>
      </w:pPr>
    </w:p>
    <w:p>
      <w:pPr>
        <w:ind w:left="420" w:right="720" w:hanging="216"/>
        <w:spacing w:after="0" w:line="239"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data from our clinical program that supports an acceptable risk-benefit profile of our product candidates in the intended populations;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our product candidate is approved;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product candidates;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our portfolio of intellectual property rights, including patents, trade secrets and know-how;</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product candidates;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successfully launching commercial sales of our product candidates, if approved;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acceptance of the product candidate’s benefits and uses, if approved, by patients, the medical community and third-party payors;</w:t>
      </w:r>
    </w:p>
    <w:p>
      <w:pPr>
        <w:spacing w:after="0" w:line="117" w:lineRule="exact"/>
        <w:rPr>
          <w:rFonts w:ascii="Arial" w:cs="Arial" w:eastAsia="Arial" w:hAnsi="Arial"/>
          <w:sz w:val="18"/>
          <w:szCs w:val="18"/>
          <w:color w:val="auto"/>
        </w:rPr>
      </w:pPr>
    </w:p>
    <w:p>
      <w:pPr>
        <w:ind w:left="420" w:right="400" w:hanging="216"/>
        <w:spacing w:after="0" w:line="239"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following approval;</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RMC-4630, or any other product candidate we develop, we may not be able to continue our operations.</w:t>
      </w:r>
    </w:p>
    <w:p>
      <w:pPr>
        <w:spacing w:after="0" w:line="80" w:lineRule="exact"/>
        <w:rPr>
          <w:sz w:val="20"/>
          <w:szCs w:val="20"/>
          <w:color w:val="auto"/>
        </w:rPr>
      </w:pPr>
    </w:p>
    <w:p>
      <w:pPr>
        <w:jc w:val="both"/>
        <w:ind w:left="200"/>
        <w:spacing w:after="0" w:line="248"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p>
    <w:p>
      <w:pPr>
        <w:spacing w:after="0" w:line="94"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In order to obtain FDA approval to market a new small molecule product we must demonstrate proof of safety and efficacy in humans. To meet these requirements, we will have to conduct adequate and well-controlled clinical trials. Before we can commence clinical trials for a product candidate, we must complete extensive preclinical studies that support our planned INDs in the United States. We only have one product candidate in clinical development and the rest of our programs are in preclinical research or development, including our RAS portfolio and RMC-5552 product candidate. We cannot be certain of the timely completion or outcome of our preclinical studies and cannot predict if the FDA will accept our proposed clinical programs or if the outcome of our preclinical studies will ultimately support further development of our programs. As a result, we cannot be sure that we will be able to submit INDs or similar applications on the timelines we expect, if at all, and we cannot be sure that submission of INDs or similar applications will result in the FDA or other regulatory authorities allowing additional clinical trials to begin.</w:t>
      </w:r>
    </w:p>
    <w:p>
      <w:pPr>
        <w:spacing w:after="0" w:line="10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Moreover, we may be affected by delays associated with the studies of certain programs that are the responsibility of Sanofi or our potential future partners over which we have no control. The commencement and rate of completion of preclinical studies and clinical trials for a product candidate may be delayed by many factors, including, for example:</w:t>
      </w:r>
    </w:p>
    <w:p>
      <w:pPr>
        <w:spacing w:after="0" w:line="98" w:lineRule="exact"/>
        <w:rPr>
          <w:sz w:val="20"/>
          <w:szCs w:val="20"/>
          <w:color w:val="auto"/>
        </w:rPr>
      </w:pPr>
    </w:p>
    <w:p>
      <w:pPr>
        <w:ind w:left="420" w:hanging="216"/>
        <w:spacing w:after="0"/>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35"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and</w:t>
      </w:r>
    </w:p>
    <w:p>
      <w:pPr>
        <w:spacing w:after="0" w:line="114" w:lineRule="exact"/>
        <w:rPr>
          <w:rFonts w:ascii="Arial" w:cs="Arial" w:eastAsia="Arial" w:hAnsi="Arial"/>
          <w:sz w:val="18"/>
          <w:szCs w:val="18"/>
          <w:color w:val="auto"/>
        </w:rPr>
      </w:pPr>
    </w:p>
    <w:p>
      <w:pPr>
        <w:ind w:left="420" w:right="80" w:hanging="216"/>
        <w:spacing w:after="0" w:line="239" w:lineRule="auto"/>
        <w:tabs>
          <w:tab w:leader="none" w:pos="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sufficient quantities of our product candidates for use in preclinical studies and clinical trials from third-party suppliers on a timely basis.</w:t>
      </w:r>
    </w:p>
    <w:p>
      <w:pPr>
        <w:spacing w:after="0" w:line="10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81" w:lineRule="exact"/>
        <w:rPr>
          <w:sz w:val="20"/>
          <w:szCs w:val="20"/>
          <w:color w:val="auto"/>
        </w:rPr>
      </w:pPr>
    </w:p>
    <w:p>
      <w:pPr>
        <w:ind w:left="200" w:right="100"/>
        <w:spacing w:after="0" w:line="244" w:lineRule="auto"/>
        <w:rPr>
          <w:sz w:val="20"/>
          <w:szCs w:val="20"/>
          <w:color w:val="auto"/>
        </w:rPr>
      </w:pPr>
      <w:r>
        <w:rPr>
          <w:rFonts w:ascii="Arial" w:cs="Arial" w:eastAsia="Arial" w:hAnsi="Arial"/>
          <w:sz w:val="18"/>
          <w:szCs w:val="18"/>
          <w:b w:val="1"/>
          <w:bCs w:val="1"/>
          <w:i w:val="1"/>
          <w:iCs w:val="1"/>
          <w:color w:val="auto"/>
        </w:rPr>
        <w:t>Some of our programs focus on the discovery and development of “Beyond Rule of 5” small molecules. Such molecules can be associated with longer development timelines and greater costs compared to traditional small molecule drugs. Our “Beyond Rule of 5” product candidates may take longer to develop and/or manufacture relative to traditional small molecules, and we may not be able to formulate “Beyond Rule of 5” candidates for certain routes of administration.</w:t>
      </w:r>
    </w:p>
    <w:p>
      <w:pPr>
        <w:spacing w:after="0" w:line="97" w:lineRule="exact"/>
        <w:rPr>
          <w:sz w:val="20"/>
          <w:szCs w:val="20"/>
          <w:color w:val="auto"/>
        </w:rPr>
      </w:pPr>
    </w:p>
    <w:p>
      <w:pPr>
        <w:ind w:left="200" w:right="460"/>
        <w:spacing w:after="0" w:line="239" w:lineRule="auto"/>
        <w:rPr>
          <w:sz w:val="20"/>
          <w:szCs w:val="20"/>
          <w:color w:val="auto"/>
        </w:rPr>
      </w:pPr>
      <w:r>
        <w:rPr>
          <w:rFonts w:ascii="Arial" w:cs="Arial" w:eastAsia="Arial" w:hAnsi="Arial"/>
          <w:sz w:val="18"/>
          <w:szCs w:val="18"/>
          <w:color w:val="auto"/>
        </w:rPr>
        <w:t>We enlist various technologies and capabilities that give us chemical access to challenging sites on target proteins that generally are not accessible using conventional small molecule drug discovery approaches. For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each target, we consider the specific structural, physico-chemical, functional and dynamic properties of the target and deploy the approach or approaches that appear most likely to yield viable development candidates. The “Rule of 5” is a set of criteria used in pharmaceutical drug development to determine whether chemical compounds have certain physico-chemical properties that make them likely to be orally active drugs in humans. In some instances, the compounds we discover and develop are traditional small molecules (i.e. less than 500 daltons) with properties that generally satisfy conventional pharmaceutical “Rule of 5” criteria, while in other cases, they are larger (i.e. 500-1000 daltons) “Beyond Rule of 5”, or BRo5, compounds that by definition do not satisfy these criteria. For example, our mTORC1 program and our RAS(ON) program each include pursuit of BRo5 compounds.</w:t>
      </w:r>
    </w:p>
    <w:p>
      <w:pPr>
        <w:spacing w:after="0" w:line="101" w:lineRule="exact"/>
        <w:rPr>
          <w:sz w:val="20"/>
          <w:szCs w:val="20"/>
          <w:color w:val="auto"/>
        </w:rPr>
      </w:pPr>
    </w:p>
    <w:p>
      <w:pPr>
        <w:ind w:left="200" w:right="240"/>
        <w:spacing w:after="0" w:line="273" w:lineRule="auto"/>
        <w:rPr>
          <w:sz w:val="20"/>
          <w:szCs w:val="20"/>
          <w:color w:val="auto"/>
        </w:rPr>
      </w:pPr>
      <w:r>
        <w:rPr>
          <w:rFonts w:ascii="Arial" w:cs="Arial" w:eastAsia="Arial" w:hAnsi="Arial"/>
          <w:sz w:val="16"/>
          <w:szCs w:val="16"/>
          <w:color w:val="auto"/>
        </w:rPr>
        <w:t>BRo5 compounds have been successfully pursued by many pharmaceutical companies. Examples of BRo5 compounds include natural products and semi-synthetic derivatives, peptidomimetics, macrocycles and degraders. However, larger molecular weight small molecules often cannot be formulated into orally absorbed drugs and also often face solubility, potency, bioavailability and stability challenges, among others. In addition, many of the commonly used predictive and other drug development tools are designed specifically for small molecule drugs rather than larger molecules, contributing to the difficulty and uncertainty of development of BRo5 compounds.</w:t>
      </w:r>
    </w:p>
    <w:p>
      <w:pPr>
        <w:spacing w:after="0" w:line="7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Due to their size and complexity, drug development of our BRo5 compounds may be slower and/or more expensive than drug development of traditional “Rule of 5” compounds, resulting in program delays, increased costs or failure to obtain regulatory approval in a commercially reasonable timeframe, if at all. Our competitors developing traditional small molecules in areas where we are developing BRo5 compounds could obtain regulatory approval and reach the market before we do. Even if we succeed in generating an approved drug from a BRo5 compound, it may be less convenient to administer, have higher grade and/or more frequent side effects or be more costly to manufacture and formulate than competing products on the market. The discovery and development of BRo5 small molecules may pose risks to us such as:</w:t>
      </w:r>
    </w:p>
    <w:p>
      <w:pPr>
        <w:spacing w:after="0" w:line="115" w:lineRule="exact"/>
        <w:rPr>
          <w:sz w:val="20"/>
          <w:szCs w:val="20"/>
          <w:color w:val="auto"/>
        </w:rPr>
      </w:pPr>
    </w:p>
    <w:p>
      <w:pPr>
        <w:ind w:left="420" w:right="160" w:hanging="216"/>
        <w:spacing w:after="0" w:line="239"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BRo5 small molecules may present difficult synthetic chemistry and manufacturing challenges, including with any scale-up of our product candidates in sufficient quality and quantity;</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BRo5 small molecules may be challenging to purify, including with any scale-up of our product candidates in sufficient quality and quantity;</w:t>
      </w:r>
    </w:p>
    <w:p>
      <w:pPr>
        <w:spacing w:after="0" w:line="140" w:lineRule="exact"/>
        <w:rPr>
          <w:rFonts w:ascii="Arial" w:cs="Arial" w:eastAsia="Arial" w:hAnsi="Arial"/>
          <w:sz w:val="16"/>
          <w:szCs w:val="16"/>
          <w:color w:val="auto"/>
        </w:rPr>
      </w:pPr>
    </w:p>
    <w:p>
      <w:pPr>
        <w:ind w:left="420" w:hanging="216"/>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BRo5 small molecules may present solubility challenges in the development of any such small molecules;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BRo5 small molecules may present oral absorption challenges due to low passive permeability;</w:t>
      </w:r>
    </w:p>
    <w:p>
      <w:pPr>
        <w:spacing w:after="0" w:line="117" w:lineRule="exact"/>
        <w:rPr>
          <w:rFonts w:ascii="Arial" w:cs="Arial" w:eastAsia="Arial" w:hAnsi="Arial"/>
          <w:sz w:val="18"/>
          <w:szCs w:val="18"/>
          <w:color w:val="auto"/>
        </w:rPr>
      </w:pPr>
    </w:p>
    <w:p>
      <w:pPr>
        <w:ind w:left="420" w:right="20" w:hanging="216"/>
        <w:spacing w:after="0" w:line="239"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BRo5 small molecules may present cell permeability challenges, especially with regards to lipophilicity, hydrogen bond donor and rotatable bond count, and high topological polar surface area;</w:t>
      </w:r>
    </w:p>
    <w:p>
      <w:pPr>
        <w:spacing w:after="0" w:line="114" w:lineRule="exact"/>
        <w:rPr>
          <w:rFonts w:ascii="Arial" w:cs="Arial" w:eastAsia="Arial" w:hAnsi="Arial"/>
          <w:sz w:val="18"/>
          <w:szCs w:val="18"/>
          <w:color w:val="auto"/>
        </w:rPr>
      </w:pPr>
    </w:p>
    <w:p>
      <w:pPr>
        <w:ind w:left="420" w:right="360" w:hanging="216"/>
        <w:spacing w:after="0" w:line="239"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BRo5 small molecules we seek to develop may not achieve acceptable oral bioavailability for development and may result in poor pharmaceutical properties for formulation development;</w:t>
      </w:r>
    </w:p>
    <w:p>
      <w:pPr>
        <w:spacing w:after="0" w:line="114" w:lineRule="exact"/>
        <w:rPr>
          <w:rFonts w:ascii="Arial" w:cs="Arial" w:eastAsia="Arial" w:hAnsi="Arial"/>
          <w:sz w:val="18"/>
          <w:szCs w:val="18"/>
          <w:color w:val="auto"/>
        </w:rPr>
      </w:pPr>
    </w:p>
    <w:p>
      <w:pPr>
        <w:ind w:left="420" w:right="20" w:hanging="216"/>
        <w:spacing w:after="0" w:line="236"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BRo5 small molecules we seek to develop may have a propensity to be substrates for efflux proteins such as the adenosine triphosphate (ATP) binding cassette (ABC) transporter protein family, including multidrug resistance protein 1. Cancer cells may overexpress these transporter proteins causing an increase in expulsion of our product candidate from the cell. As the site of action of our product candidates, for example the RAS protein, is inside the cell, expulsion by these transporter proteins may decrease the effective concentration in the cell sufficiently to reduce target inhibition and thereby render a RAS-dependent tumor less susceptible to the inhibitory activity of the product candidate;</w:t>
      </w:r>
    </w:p>
    <w:p>
      <w:pPr>
        <w:spacing w:after="0" w:line="115" w:lineRule="exact"/>
        <w:rPr>
          <w:rFonts w:ascii="Arial" w:cs="Arial" w:eastAsia="Arial" w:hAnsi="Arial"/>
          <w:sz w:val="18"/>
          <w:szCs w:val="18"/>
          <w:color w:val="auto"/>
        </w:rPr>
      </w:pPr>
    </w:p>
    <w:p>
      <w:pPr>
        <w:jc w:val="both"/>
        <w:ind w:left="420" w:right="580" w:hanging="216"/>
        <w:spacing w:after="0" w:line="299" w:lineRule="auto"/>
        <w:tabs>
          <w:tab w:leader="none" w:pos="4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BRo5 small molecules may present central nervous system, or CNS, penetration challenges due to low passive permeability and/or interaction with efflux transporters at the blood brain barrier and this could limit sensitivity of CNS tumors to our product candidates;</w:t>
      </w:r>
    </w:p>
    <w:p>
      <w:pPr>
        <w:spacing w:after="0" w:line="9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1120" w:hanging="216"/>
        <w:spacing w:after="0" w:line="239"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BRo5 small molecules may present formulation vehicle challenges for administration, such as intravenous and subcutaneous administration, due to aspects such as solubility and hydrophobicity;</w:t>
      </w:r>
    </w:p>
    <w:p>
      <w:pPr>
        <w:spacing w:after="0" w:line="114"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BRo5 small molecules may present stability and shelf-life limitations due to the incorporation of labile functionality in our scaffolds, including for example in the development of RMC-5552 which currently requires a cold chain storage of zero degrees Celsius; and</w:t>
      </w:r>
    </w:p>
    <w:p>
      <w:pPr>
        <w:spacing w:after="0" w:line="114" w:lineRule="exact"/>
        <w:rPr>
          <w:rFonts w:ascii="Arial" w:cs="Arial" w:eastAsia="Arial" w:hAnsi="Arial"/>
          <w:sz w:val="18"/>
          <w:szCs w:val="18"/>
          <w:color w:val="auto"/>
        </w:rPr>
      </w:pPr>
    </w:p>
    <w:p>
      <w:pPr>
        <w:ind w:left="420" w:right="400" w:hanging="216"/>
        <w:spacing w:after="0" w:line="238" w:lineRule="auto"/>
        <w:tabs>
          <w:tab w:leader="none" w:pos="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BRo5 small molecules may present off-target toxicities due to physico-chemical properties such as lipophilicity, which is the ability to dissolve fats, oils and lipids, the presence of off-target pharmacophores in the molecule that can interact with other cellular proteins, or other characteristics that have not been fully characterized within a novel chemical scaffold or platform.</w:t>
      </w:r>
    </w:p>
    <w:p>
      <w:pPr>
        <w:spacing w:after="0" w:line="100"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color w:val="auto"/>
        </w:rPr>
        <w:t>These and other risks related to our research and development of BRo5 small molecules may result in delays in development, an increase in development costs and/or the failure to develop any BRo5 small molecule to approval. As a result, our competitors may develop products more rapidly and cost effectively than we do. In particular, competitors may develop and commercialize a product that competes with a product candidate we may develop from our RAS(ON) program as some of our competitors in this area are pursuing conventional small molecules directed to other forms of RAS, such as RAS(OFF), and are further along in development than we currently are. Any such setbacks in our research and development of a BRo5 small molecule could have a material adverse effect on our business and operating results.</w:t>
      </w:r>
    </w:p>
    <w:p>
      <w:pPr>
        <w:spacing w:after="0" w:line="57"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b w:val="1"/>
          <w:bCs w:val="1"/>
          <w:i w:val="1"/>
          <w:iCs w:val="1"/>
          <w:color w:val="auto"/>
        </w:rPr>
        <w:t>The regulatory approval processes of the FDA, the EMA and comparable foreign authorities are lengthy, time-consuming and inherently unpredictable, and if we are ultimately unable to obtain regulatory approval for our product candidates, our business will be substantially harmed.</w:t>
      </w:r>
    </w:p>
    <w:p>
      <w:pPr>
        <w:spacing w:after="0" w:line="94"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current or future product candidates will ever obtain regulatory approval.</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current and future product candidates could fail to receive regulatory approval for many reasons, including the following:</w:t>
      </w:r>
    </w:p>
    <w:p>
      <w:pPr>
        <w:spacing w:after="0" w:line="117" w:lineRule="exact"/>
        <w:rPr>
          <w:sz w:val="20"/>
          <w:szCs w:val="20"/>
          <w:color w:val="auto"/>
        </w:rPr>
      </w:pPr>
    </w:p>
    <w:p>
      <w:pPr>
        <w:ind w:left="420" w:hanging="216"/>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420" w:right="520" w:hanging="216"/>
        <w:spacing w:after="0" w:line="239"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product candidate is safe or effective for its proposed indication;</w:t>
      </w:r>
    </w:p>
    <w:p>
      <w:pPr>
        <w:spacing w:after="0" w:line="114" w:lineRule="exact"/>
        <w:rPr>
          <w:rFonts w:ascii="Arial" w:cs="Arial" w:eastAsia="Arial" w:hAnsi="Arial"/>
          <w:sz w:val="18"/>
          <w:szCs w:val="18"/>
          <w:color w:val="auto"/>
        </w:rPr>
      </w:pPr>
    </w:p>
    <w:p>
      <w:pPr>
        <w:ind w:left="420" w:right="80" w:hanging="216"/>
        <w:spacing w:after="0" w:line="239"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420" w:right="80" w:hanging="216"/>
        <w:spacing w:after="0" w:line="239"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preclinical studies;</w:t>
      </w:r>
    </w:p>
    <w:p>
      <w:pPr>
        <w:spacing w:after="0" w:line="114" w:lineRule="exact"/>
        <w:rPr>
          <w:rFonts w:ascii="Arial" w:cs="Arial" w:eastAsia="Arial" w:hAnsi="Arial"/>
          <w:sz w:val="18"/>
          <w:szCs w:val="18"/>
          <w:color w:val="auto"/>
        </w:rPr>
      </w:pPr>
    </w:p>
    <w:p>
      <w:pPr>
        <w:ind w:left="420" w:right="340" w:hanging="216"/>
        <w:spacing w:after="0" w:line="239"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the European Union or elsewhere;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20" w:hanging="216"/>
        <w:spacing w:after="0" w:line="239"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114" w:lineRule="exact"/>
        <w:rPr>
          <w:rFonts w:ascii="Arial" w:cs="Arial" w:eastAsia="Arial" w:hAnsi="Arial"/>
          <w:sz w:val="18"/>
          <w:szCs w:val="18"/>
          <w:color w:val="auto"/>
        </w:rPr>
      </w:pPr>
    </w:p>
    <w:p>
      <w:pPr>
        <w:ind w:left="420" w:right="20" w:hanging="216"/>
        <w:spacing w:after="0" w:line="239"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01"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regulatory approval to market any product candidate we develop, which would significantly harm our business, results of operations and prospects. The FDA, the EMA and other comparable foreign authorities have substantial discretion in the approval process, and determining when or whether regulatory approval will be obtained for any product candidate that we develop. Even if we believe the data collected from future clinical trials of our product candidates are promising, such data may not be sufficient to support approval by the FDA, the EMA or any other regulatory authority.</w:t>
      </w:r>
    </w:p>
    <w:p>
      <w:pPr>
        <w:spacing w:after="0" w:line="102"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03"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Further, we have not previously submitted a NDA to the FDA, or a Marketing Authorization Application, or MAA, to the EMA. We cannot be certain that any of our programs will be successful in clinical trials or receive regulatory approval. Further, product candidates we develop may not receive regulatory approval even if they are successful in clinical trials. If we do not receive regulatory approvals for our product candidates, we may not be able to continue our operations.</w:t>
      </w:r>
    </w:p>
    <w:p>
      <w:pPr>
        <w:spacing w:after="0" w:line="81" w:lineRule="exact"/>
        <w:rPr>
          <w:sz w:val="20"/>
          <w:szCs w:val="20"/>
          <w:color w:val="auto"/>
        </w:rPr>
      </w:pPr>
    </w:p>
    <w:p>
      <w:pPr>
        <w:ind w:left="200" w:right="300"/>
        <w:spacing w:after="0" w:line="248" w:lineRule="auto"/>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product candidates.</w:t>
      </w:r>
    </w:p>
    <w:p>
      <w:pPr>
        <w:spacing w:after="0" w:line="9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To obtain the requisite regulatory approvals to commercialize any of our product candidates, we must demonstrate through extensive preclinical studies and clinical trials that our products are safe or effective in humans. Clinical testing is expensive and can take many years to complete, and its outcome is inherently uncertain. Failure can occur at any time during the clinical trial process and our future clinical trial results may not be successful.</w:t>
      </w:r>
    </w:p>
    <w:p>
      <w:pPr>
        <w:spacing w:after="0" w:line="101"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114" w:lineRule="exact"/>
        <w:rPr>
          <w:sz w:val="20"/>
          <w:szCs w:val="20"/>
          <w:color w:val="auto"/>
        </w:rPr>
      </w:pPr>
    </w:p>
    <w:p>
      <w:pPr>
        <w:ind w:left="420" w:right="200" w:hanging="216"/>
        <w:spacing w:after="0" w:line="239"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14" w:lineRule="exact"/>
        <w:rPr>
          <w:rFonts w:ascii="Arial" w:cs="Arial" w:eastAsia="Arial" w:hAnsi="Arial"/>
          <w:sz w:val="18"/>
          <w:szCs w:val="18"/>
          <w:color w:val="auto"/>
        </w:rPr>
      </w:pPr>
    </w:p>
    <w:p>
      <w:pPr>
        <w:ind w:left="420" w:right="20" w:hanging="216"/>
        <w:spacing w:after="0" w:line="239"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contract research organizations, or CROs;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may be larger than we anticipate;</w:t>
      </w:r>
    </w:p>
    <w:p>
      <w:pPr>
        <w:spacing w:after="0" w:line="117" w:lineRule="exact"/>
        <w:rPr>
          <w:rFonts w:ascii="Arial" w:cs="Arial" w:eastAsia="Arial" w:hAnsi="Arial"/>
          <w:sz w:val="18"/>
          <w:szCs w:val="18"/>
          <w:color w:val="auto"/>
        </w:rPr>
      </w:pPr>
    </w:p>
    <w:p>
      <w:pPr>
        <w:ind w:left="420" w:right="140" w:hanging="216"/>
        <w:spacing w:after="0" w:line="239" w:lineRule="auto"/>
        <w:tabs>
          <w:tab w:leader="none" w:pos="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may be difficult to enroll a sufficient number of patients with mutations in the signaling pathways our therapies are designed to target, or enrollment in these clinical trials may be slower than we anticipate or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participants may drop out of these clinical trials or fail to return for post-treatment follow-up at a higher rate than we anticipate;</w:t>
      </w:r>
    </w:p>
    <w:p>
      <w:pPr>
        <w:spacing w:after="0" w:line="117" w:lineRule="exact"/>
        <w:rPr>
          <w:sz w:val="20"/>
          <w:szCs w:val="20"/>
          <w:color w:val="auto"/>
        </w:rPr>
      </w:pPr>
    </w:p>
    <w:p>
      <w:pPr>
        <w:ind w:left="420" w:right="60" w:hanging="216"/>
        <w:spacing w:after="0" w:line="238"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13" w:lineRule="exact"/>
        <w:rPr>
          <w:rFonts w:ascii="Arial" w:cs="Arial" w:eastAsia="Arial" w:hAnsi="Arial"/>
          <w:sz w:val="18"/>
          <w:szCs w:val="18"/>
          <w:color w:val="auto"/>
        </w:rPr>
      </w:pPr>
    </w:p>
    <w:p>
      <w:pPr>
        <w:ind w:left="420" w:right="800" w:hanging="216"/>
        <w:spacing w:after="0" w:line="239" w:lineRule="auto"/>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supply or quality of materials for product candidates we develop or other materials necessary to conduct clinical trials may be insufficient or inadequate;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collaborators may delay the development process by waiting to take action or focusing on other priorities.</w:t>
      </w:r>
    </w:p>
    <w:p>
      <w:pPr>
        <w:spacing w:after="0" w:line="10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could encounter delays if a clinical trial is suspended or terminated by us, by the IRBs or ethics committees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w:t>
      </w:r>
    </w:p>
    <w:p>
      <w:pPr>
        <w:spacing w:after="0" w:line="100" w:lineRule="exact"/>
        <w:rPr>
          <w:sz w:val="20"/>
          <w:szCs w:val="20"/>
          <w:color w:val="auto"/>
        </w:rPr>
      </w:pPr>
    </w:p>
    <w:p>
      <w:pPr>
        <w:ind w:left="200" w:right="240"/>
        <w:spacing w:after="0" w:line="271" w:lineRule="auto"/>
        <w:rPr>
          <w:sz w:val="20"/>
          <w:szCs w:val="20"/>
          <w:color w:val="auto"/>
        </w:rPr>
      </w:pPr>
      <w:r>
        <w:rPr>
          <w:rFonts w:ascii="Arial" w:cs="Arial" w:eastAsia="Arial" w:hAnsi="Arial"/>
          <w:sz w:val="16"/>
          <w:szCs w:val="16"/>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77" w:lineRule="exact"/>
        <w:rPr>
          <w:sz w:val="20"/>
          <w:szCs w:val="20"/>
          <w:color w:val="auto"/>
        </w:rPr>
      </w:pPr>
    </w:p>
    <w:p>
      <w:pPr>
        <w:jc w:val="both"/>
        <w:ind w:left="200" w:right="280"/>
        <w:spacing w:after="0" w:line="238" w:lineRule="auto"/>
        <w:rPr>
          <w:sz w:val="20"/>
          <w:szCs w:val="20"/>
          <w:color w:val="auto"/>
        </w:rPr>
      </w:pPr>
      <w:r>
        <w:rPr>
          <w:rFonts w:ascii="Arial" w:cs="Arial" w:eastAsia="Arial" w:hAnsi="Arial"/>
          <w:sz w:val="18"/>
          <w:szCs w:val="18"/>
          <w:color w:val="auto"/>
        </w:rPr>
        <w:t>In addition, based on our own preclinical data and supported by observations by others, we are evaluating intermittent dosing schedules in our clinical program to allow us to maximize dose intensity and the depth of response. When dosed in clinical trials, this intermittent dosing approach may reduce patient compliance.</w:t>
      </w:r>
    </w:p>
    <w:p>
      <w:pPr>
        <w:spacing w:after="0" w:line="100"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 or result in the development of our product candidates being stopped early.</w:t>
      </w:r>
    </w:p>
    <w:p>
      <w:pPr>
        <w:spacing w:after="0" w:line="80"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b w:val="1"/>
          <w:bCs w:val="1"/>
          <w:i w:val="1"/>
          <w:iCs w:val="1"/>
          <w:color w:val="auto"/>
        </w:rPr>
        <w:t>Historically, direct inhibition of any RAS protein itself has been challenging due to a lack of tractable, or “druggable,” binding pockets and we are not aware of any programs in clinical development that have successfully targeted any RAS(ON) protein. Given this approach is unproven, it may not be successful.</w:t>
      </w:r>
    </w:p>
    <w:p>
      <w:pPr>
        <w:spacing w:after="0" w:line="94" w:lineRule="exact"/>
        <w:rPr>
          <w:sz w:val="20"/>
          <w:szCs w:val="20"/>
          <w:color w:val="auto"/>
        </w:rPr>
      </w:pPr>
    </w:p>
    <w:p>
      <w:pPr>
        <w:ind w:left="200" w:right="320"/>
        <w:spacing w:after="0" w:line="236" w:lineRule="auto"/>
        <w:rPr>
          <w:sz w:val="20"/>
          <w:szCs w:val="20"/>
          <w:color w:val="auto"/>
        </w:rPr>
      </w:pPr>
      <w:r>
        <w:rPr>
          <w:rFonts w:ascii="Arial" w:cs="Arial" w:eastAsia="Arial" w:hAnsi="Arial"/>
          <w:sz w:val="18"/>
          <w:szCs w:val="18"/>
          <w:color w:val="auto"/>
        </w:rPr>
        <w:t>Historically, direct inhibition of any RAS protein has been challenging due to a lack of tractable, or “druggable,” binding pockets. Our tri-complex technology has enabled us to develop what we believe to be the first potent, selective cell-active inhibitors of multiple mutant RAS(ON) proteins. We are not aware of any programs in clinical development that have successfully targeted any RAS(ON) protein. We cannot be certain that our approach will lead to the development of approvable or marketable products, alone or in combination with other therapies.</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results of preclinical studies and early-stage clinical trials may not be predictive of future results.</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results of preclinical studies may not be predictive of the results of clinical trials, and the results of any early-stage clinical trials we commence may not be predictive of the results of the later-stage clinical trials. Product candidates in later stages of clinical trials may fail to show the desired safety and efficacy despite having progressed through preclinical studies and initial clinical trials. There can be no assurance that any of our current or future clinical trials will ultimately be successful or support further clinical development of any of our product candidates. There is a high failure rate for drugs proceeding through clinical trials. A number of companies in the pharmaceutical and biotechnology industries have suffered significant setbacks in clinical development even after achieving promising results in earlier studies. Even if our clinical trials are completed, the results may not be sufficient to obtain regulatory approval of any products. Any such setbacks in our clinical development could have a material adverse effect on our business and operating results.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From time to time, we may disclose interim data from our clinical trials. Interim data from clinical trials are subject to the risk that one or more of the clinical outcomes may materially change as patient enrollment continues and more data on existing patients become available. For example, we have reported interim Phase 1 clinical data for RMC-4630 as a single agent. As of the cutoff date, 63 patients had received treatment: 49 patients on a daily dosing schedule with a median exposure to study drug of only 1.8 months, and 14 patients on an intermittent dosing schedule, with median exposure to study drug of only 1.6 months. We have also reported interim Phase 1b/2 clinical data for RMC-4630 in combination with the MEK inhibitor cobimetinib. As of the cutoff date, these data included eight patients with median exposure to study drug of only 1.4 months. Our clinical trial program is ongoing, and the final results may be materially different from what is reported in this prospectus. Adverse differences between interim data and final data could significantly harm our business, financial condition, results of operations and prospects. 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07" w:lineRule="exact"/>
        <w:rPr>
          <w:sz w:val="20"/>
          <w:szCs w:val="20"/>
          <w:color w:val="auto"/>
        </w:rPr>
      </w:pPr>
    </w:p>
    <w:p>
      <w:pPr>
        <w:ind w:left="200" w:right="20"/>
        <w:spacing w:after="0" w:line="269"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financial condition, operating results and prospects.</w:t>
      </w:r>
    </w:p>
    <w:p>
      <w:pPr>
        <w:spacing w:after="0" w:line="3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24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120"/>
        <w:spacing w:after="0" w:line="262"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be adversely affected.</w:t>
      </w:r>
    </w:p>
    <w:p>
      <w:pPr>
        <w:spacing w:after="0" w:line="81" w:lineRule="exact"/>
        <w:rPr>
          <w:sz w:val="20"/>
          <w:szCs w:val="20"/>
          <w:color w:val="auto"/>
        </w:rPr>
      </w:pPr>
    </w:p>
    <w:p>
      <w:pPr>
        <w:ind w:left="200" w:right="340"/>
        <w:spacing w:after="0" w:line="238"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114" w:lineRule="exact"/>
        <w:rPr>
          <w:sz w:val="20"/>
          <w:szCs w:val="20"/>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enroll a sufficient number of patients with mutations in the signaling pathways our therapies are designed to target;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420" w:right="440" w:hanging="216"/>
        <w:spacing w:after="0" w:line="239"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114" w:lineRule="exact"/>
        <w:rPr>
          <w:rFonts w:ascii="Arial" w:cs="Arial" w:eastAsia="Arial" w:hAnsi="Arial"/>
          <w:sz w:val="18"/>
          <w:szCs w:val="18"/>
          <w:color w:val="auto"/>
        </w:rPr>
      </w:pPr>
    </w:p>
    <w:p>
      <w:pPr>
        <w:ind w:left="420" w:right="300" w:hanging="216"/>
        <w:spacing w:after="0" w:line="239" w:lineRule="auto"/>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on the trial through the completion of evaluation.</w:t>
      </w:r>
    </w:p>
    <w:p>
      <w:pPr>
        <w:spacing w:after="0" w:line="10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(and that seek to evaluate patients with cancer cells having the same mutations, particularly with patients having KRAS</w:t>
      </w:r>
      <w:r>
        <w:rPr>
          <w:rFonts w:ascii="Arial" w:cs="Arial" w:eastAsia="Arial" w:hAnsi="Arial"/>
          <w:sz w:val="11"/>
          <w:szCs w:val="11"/>
          <w:color w:val="auto"/>
        </w:rPr>
        <w:t>G12C</w:t>
      </w:r>
      <w:r>
        <w:rPr>
          <w:rFonts w:ascii="Arial" w:cs="Arial" w:eastAsia="Arial" w:hAnsi="Arial"/>
          <w:sz w:val="18"/>
          <w:szCs w:val="18"/>
          <w:color w:val="auto"/>
        </w:rPr>
        <w:t xml:space="preserve"> mutations) as our current and potential future product candidates. This competition will reduce the number and types of patients available to us, because some patients who might have opted to enroll in our trials may instead opt to enroll in a trial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w:t>
      </w:r>
    </w:p>
    <w:p>
      <w:pPr>
        <w:spacing w:after="0" w:line="107"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the product candidates we develop.</w:t>
      </w:r>
    </w:p>
    <w:p>
      <w:pPr>
        <w:spacing w:after="0" w:line="81" w:lineRule="exact"/>
        <w:rPr>
          <w:sz w:val="20"/>
          <w:szCs w:val="20"/>
          <w:color w:val="auto"/>
        </w:rPr>
      </w:pPr>
    </w:p>
    <w:p>
      <w:pPr>
        <w:ind w:left="200" w:right="100"/>
        <w:spacing w:after="0" w:line="248" w:lineRule="auto"/>
        <w:rPr>
          <w:sz w:val="20"/>
          <w:szCs w:val="20"/>
          <w:color w:val="auto"/>
        </w:rPr>
      </w:pPr>
      <w:r>
        <w:rPr>
          <w:rFonts w:ascii="Arial" w:cs="Arial" w:eastAsia="Arial" w:hAnsi="Arial"/>
          <w:sz w:val="18"/>
          <w:szCs w:val="18"/>
          <w:b w:val="1"/>
          <w:bCs w:val="1"/>
          <w:i w:val="1"/>
          <w:iCs w:val="1"/>
          <w:color w:val="auto"/>
        </w:rPr>
        <w:t>Our current or future product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94"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Undesirable or clinically unmanageable side effects could occur and cause us or regulatory authorities to interrupt, delay or halt clinical trials and could result in a more restrictive label or the delay or denial of</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0"/>
        <w:spacing w:after="0" w:line="239" w:lineRule="auto"/>
        <w:rPr>
          <w:sz w:val="20"/>
          <w:szCs w:val="20"/>
          <w:color w:val="auto"/>
        </w:rPr>
      </w:pPr>
      <w:r>
        <w:rPr>
          <w:rFonts w:ascii="Arial" w:cs="Arial" w:eastAsia="Arial" w:hAnsi="Arial"/>
          <w:sz w:val="18"/>
          <w:szCs w:val="18"/>
          <w:color w:val="auto"/>
        </w:rPr>
        <w:t>marketing approval by the FDA or comparable foreign regulatory authorities. Results of our trials could reveal a high and unacceptable severity and prevalence of side effects or unexpected characteristics.</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RMC-4630-01 study is evaluating the safety, pharmacokenetics and pharmacodynamic effects of RMC-4630 as a single agent under two different dosing schedules: daily and intermittent. For those receiving RMC-4630 on the intermittent dosing schedule, there was one treatment-related serious adverse event, or SAE, (grade 3 abdominal distention) as of the cutoff date. No treatment-related grade 4 or grade 5 adverse events, or AEs, had been reported as of the cutoff date. The most common treatment related AEs for the intermittent dosing group were anemia (35.7%), fatigue (35.7%), thrombocytopenia (35.7%) and edema (28.6%). For those receiving RMC-4630 on the daily schedule, three SAEs were deemed possibly or probably related to the treatment (dehydration, anasarca (generalized edema) and thrombocytopenia), and an additional three SAEs (extensive metastases of tumor in the lungs with grade 4 respiratory failure, fever and radiologic evidence of infectious pneumonia with grade 4 respiratory failure and a single reading of grade 3 prologation of QTc) were reported in which the investigator was unable to rule out an association with the treatment. The most common treatment related AEs for the daily dosing group were thrombocytopenia (28.6%), diarrhea (24.5%) and anemia (22.4%).</w:t>
      </w:r>
    </w:p>
    <w:p>
      <w:pPr>
        <w:spacing w:after="0" w:line="10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RMC-4630-02 study evaluates the safety, tolerability and pharmacokinetics of RMC-4630 and cobimetinib using intermittent dosing of RMC-4630 with daily dosing of cobimetinib. An alternative schedule using intermittent dosing of both RMC-4630 and cobimetinib is planned, but has not begun dosing. Adverse events were consistent with the expected mechanistic effects of both SHP2 inhibition and MEK inhibition. No SAEs or grade 4 or 5 AEs were reported in the RMC-4360-02 study as of the cutoff date. The most common AEs related to RMC-4630 were diarrhea (25.0%) and edema (25.0%). The most common AE related to cobimetinib was edema (25.0%).</w:t>
      </w:r>
    </w:p>
    <w:p>
      <w:pPr>
        <w:spacing w:after="0" w:line="103" w:lineRule="exact"/>
        <w:rPr>
          <w:sz w:val="20"/>
          <w:szCs w:val="20"/>
          <w:color w:val="auto"/>
        </w:rPr>
      </w:pPr>
    </w:p>
    <w:p>
      <w:pPr>
        <w:ind w:left="200"/>
        <w:spacing w:after="0" w:line="273" w:lineRule="auto"/>
        <w:rPr>
          <w:sz w:val="20"/>
          <w:szCs w:val="20"/>
          <w:color w:val="auto"/>
        </w:rPr>
      </w:pPr>
      <w:r>
        <w:rPr>
          <w:rFonts w:ascii="Arial" w:cs="Arial" w:eastAsia="Arial" w:hAnsi="Arial"/>
          <w:sz w:val="16"/>
          <w:szCs w:val="16"/>
          <w:color w:val="auto"/>
        </w:rPr>
        <w:t>Although our current and future product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So far, we have not previously demonstrated that RMC-4630 or any other product candidate is safe in humans, and we cannot predict if ongoing or future clinical trials will do so.</w:t>
      </w:r>
    </w:p>
    <w:p>
      <w:pPr>
        <w:spacing w:after="0" w:line="75"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Furthermore, certain of our product candidates, such as RMC-4630, are currently being, and may in the future be, co-administered with approved or experimental therapies, such as Roche’s cobimetinib or Amgen’s AMG 510. These combinations may have additional side effects. The uncertainty resulting from the use of our product candidates in combination with other therapies may make it difficult to accurately predict side effects in future clinical trials.</w:t>
      </w:r>
    </w:p>
    <w:p>
      <w:pPr>
        <w:spacing w:after="0" w:line="101"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114" w:lineRule="exact"/>
        <w:rPr>
          <w:sz w:val="20"/>
          <w:szCs w:val="20"/>
          <w:color w:val="auto"/>
        </w:rPr>
      </w:pPr>
    </w:p>
    <w:p>
      <w:pPr>
        <w:ind w:left="420" w:hanging="216"/>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17" w:lineRule="exact"/>
        <w:rPr>
          <w:rFonts w:ascii="Arial" w:cs="Arial" w:eastAsia="Arial" w:hAnsi="Arial"/>
          <w:sz w:val="18"/>
          <w:szCs w:val="18"/>
          <w:color w:val="auto"/>
        </w:rPr>
      </w:pPr>
    </w:p>
    <w:p>
      <w:pPr>
        <w:ind w:left="420" w:right="340" w:hanging="216"/>
        <w:spacing w:after="0" w:line="239"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420" w:right="200" w:hanging="216"/>
        <w:spacing w:after="0" w:line="239" w:lineRule="auto"/>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04"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Any of the foregoing events could prevent us from achieving or maintaining market acceptance of the particular product candidate, if approved, and result in the loss of significant revenues to us, which would adversely affect our business, financial condition, results of operations and prospects. In addition, if one or more of our product candidates prove to be unsafe, our entire technology platform and pipeline could be affected, which would have a material adverse effect on our business, financial condition, results of operations and prospects.</w:t>
      </w:r>
    </w:p>
    <w:p>
      <w:pPr>
        <w:spacing w:after="0" w:line="55" w:lineRule="exact"/>
        <w:rPr>
          <w:sz w:val="20"/>
          <w:szCs w:val="20"/>
          <w:color w:val="auto"/>
        </w:rPr>
      </w:pPr>
    </w:p>
    <w:p>
      <w:pPr>
        <w:ind w:left="200" w:right="240"/>
        <w:spacing w:after="0" w:line="248"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of our existing or future collaboration partners from obtaining approvals for the commercialization of RMC-4630 and any other product candidate we develop.</w:t>
      </w:r>
    </w:p>
    <w:p>
      <w:pPr>
        <w:spacing w:after="0" w:line="9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Any current or future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our current or future product candidates will ever obtain regulatory approval. We have no experience in filing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07"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07"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If we experience delays in obtaining approval or if we fail to obtain approval of any current or future product candidates we may develop, the commercial prospects for those product candidates may be harmed, and our ability to generate revenues will be materially impaired.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140"/>
        <w:spacing w:after="0" w:line="262" w:lineRule="auto"/>
        <w:rPr>
          <w:sz w:val="20"/>
          <w:szCs w:val="20"/>
          <w:color w:val="auto"/>
        </w:rPr>
      </w:pPr>
      <w:r>
        <w:rPr>
          <w:rFonts w:ascii="Arial" w:cs="Arial" w:eastAsia="Arial" w:hAnsi="Arial"/>
          <w:sz w:val="18"/>
          <w:szCs w:val="18"/>
          <w:b w:val="1"/>
          <w:bCs w:val="1"/>
          <w:i w:val="1"/>
          <w:iCs w:val="1"/>
          <w:color w:val="auto"/>
        </w:rPr>
        <w:t>Obtaining and maintaining marketing approval of our current and future product candidates in one jurisdiction does not mean that we will be successful in obtaining marketing approval of our current and future product candidates in other jurisdictions.</w:t>
      </w:r>
    </w:p>
    <w:p>
      <w:pPr>
        <w:spacing w:after="0" w:line="81"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marketing approvals, our target market will be reduced and our ability to realize the full market potential of our product candidates will be harmed.</w:t>
      </w:r>
    </w:p>
    <w:p>
      <w:pPr>
        <w:spacing w:after="0" w:line="82" w:lineRule="exact"/>
        <w:rPr>
          <w:sz w:val="20"/>
          <w:szCs w:val="20"/>
          <w:color w:val="auto"/>
        </w:rPr>
      </w:pPr>
    </w:p>
    <w:p>
      <w:pPr>
        <w:ind w:left="200" w:right="100"/>
        <w:spacing w:after="0" w:line="262" w:lineRule="auto"/>
        <w:rPr>
          <w:sz w:val="20"/>
          <w:szCs w:val="20"/>
          <w:color w:val="auto"/>
        </w:rPr>
      </w:pPr>
      <w:r>
        <w:rPr>
          <w:rFonts w:ascii="Arial" w:cs="Arial" w:eastAsia="Arial" w:hAnsi="Arial"/>
          <w:sz w:val="18"/>
          <w:szCs w:val="18"/>
          <w:b w:val="1"/>
          <w:bCs w:val="1"/>
          <w:i w:val="1"/>
          <w:iCs w:val="1"/>
          <w:color w:val="auto"/>
        </w:rPr>
        <w:t>Adverse events in the field of oncology could damage public perception of our current or future product candidates and negatively affect our business.</w:t>
      </w:r>
    </w:p>
    <w:p>
      <w:pPr>
        <w:spacing w:after="0" w:line="81" w:lineRule="exact"/>
        <w:rPr>
          <w:sz w:val="20"/>
          <w:szCs w:val="20"/>
          <w:color w:val="auto"/>
        </w:rPr>
      </w:pPr>
    </w:p>
    <w:p>
      <w:pPr>
        <w:ind w:left="200" w:right="120"/>
        <w:spacing w:after="0" w:line="270" w:lineRule="auto"/>
        <w:rPr>
          <w:sz w:val="20"/>
          <w:szCs w:val="20"/>
          <w:color w:val="auto"/>
        </w:rPr>
      </w:pPr>
      <w:r>
        <w:rPr>
          <w:rFonts w:ascii="Arial" w:cs="Arial" w:eastAsia="Arial" w:hAnsi="Arial"/>
          <w:sz w:val="16"/>
          <w:szCs w:val="16"/>
          <w:color w:val="auto"/>
        </w:rPr>
        <w:t>The commercial success of our products will depend in part on public acceptance of the use of targeted cancer therapies. While a number of targeted cancer therapies have received regulatory approval and are being commercialized, our approach to targeting cancer cells carrying tumor causing mutations, including oncogenic RAS(ON) pathway mutations, is novel and unproven. Adverse events in clinical trials of our product candidates, or post-marketing activities, or in clinical trials of others developing similar products and the resulting publicity, as well as any other adverse events in the field of oncology that may occur in the future, could result in a decrease in demand for any product that we may develop. If public perception is influenced by claims that the use of cancer therapies is unsafe, whether related to our therapies or those of our competitors, our products may not be accepted by the general public or the medical community.</w:t>
      </w:r>
    </w:p>
    <w:p>
      <w:pPr>
        <w:spacing w:after="0" w:line="77"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Future adverse events in oncology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product candidates we develop.</w:t>
      </w:r>
    </w:p>
    <w:p>
      <w:pPr>
        <w:spacing w:after="0" w:line="80" w:lineRule="exact"/>
        <w:rPr>
          <w:sz w:val="20"/>
          <w:szCs w:val="20"/>
          <w:color w:val="auto"/>
        </w:rPr>
      </w:pPr>
    </w:p>
    <w:p>
      <w:pPr>
        <w:jc w:val="both"/>
        <w:ind w:left="200" w:right="220"/>
        <w:spacing w:after="0" w:line="248" w:lineRule="auto"/>
        <w:rPr>
          <w:sz w:val="20"/>
          <w:szCs w:val="20"/>
          <w:color w:val="auto"/>
        </w:rPr>
      </w:pPr>
      <w:r>
        <w:rPr>
          <w:rFonts w:ascii="Arial" w:cs="Arial" w:eastAsia="Arial" w:hAnsi="Arial"/>
          <w:sz w:val="18"/>
          <w:szCs w:val="18"/>
          <w:b w:val="1"/>
          <w:bCs w:val="1"/>
          <w:i w:val="1"/>
          <w:iCs w:val="1"/>
          <w:color w:val="auto"/>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94" w:lineRule="exact"/>
        <w:rPr>
          <w:sz w:val="20"/>
          <w:szCs w:val="20"/>
          <w:color w:val="auto"/>
        </w:rPr>
      </w:pPr>
    </w:p>
    <w:p>
      <w:pPr>
        <w:jc w:val="both"/>
        <w:ind w:left="200" w:right="200"/>
        <w:spacing w:after="0" w:line="238" w:lineRule="auto"/>
        <w:rPr>
          <w:sz w:val="20"/>
          <w:szCs w:val="20"/>
          <w:color w:val="auto"/>
        </w:rPr>
      </w:pPr>
      <w:r>
        <w:rPr>
          <w:rFonts w:ascii="Arial" w:cs="Arial" w:eastAsia="Arial" w:hAnsi="Arial"/>
          <w:sz w:val="18"/>
          <w:szCs w:val="18"/>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80"/>
        <w:spacing w:after="0" w:line="235" w:lineRule="auto"/>
        <w:rPr>
          <w:sz w:val="20"/>
          <w:szCs w:val="20"/>
          <w:color w:val="auto"/>
        </w:rPr>
      </w:pPr>
      <w:r>
        <w:rPr>
          <w:rFonts w:ascii="Arial" w:cs="Arial" w:eastAsia="Arial" w:hAnsi="Arial"/>
          <w:sz w:val="18"/>
          <w:szCs w:val="18"/>
          <w:color w:val="auto"/>
        </w:rPr>
        <w:t>safety and efficacy of the product candidate. The FDA may also require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 labeling, packaging, distribution, adverse event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current Good Manufacturing Practice, or cGMP, and Good Clinical Practice, or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121" w:lineRule="exact"/>
        <w:rPr>
          <w:sz w:val="20"/>
          <w:szCs w:val="20"/>
          <w:color w:val="auto"/>
        </w:rPr>
      </w:pPr>
    </w:p>
    <w:p>
      <w:pPr>
        <w:ind w:left="420" w:hanging="2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17" w:lineRule="exact"/>
        <w:rPr>
          <w:rFonts w:ascii="Arial" w:cs="Arial" w:eastAsia="Arial" w:hAnsi="Arial"/>
          <w:sz w:val="18"/>
          <w:szCs w:val="18"/>
          <w:color w:val="auto"/>
        </w:rPr>
      </w:pPr>
    </w:p>
    <w:p>
      <w:pPr>
        <w:ind w:left="420" w:right="560" w:hanging="216"/>
        <w:spacing w:after="0" w:line="239"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we filed or suspension or revocation of license approvals;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83" w:lineRule="exact"/>
        <w:rPr>
          <w:sz w:val="20"/>
          <w:szCs w:val="20"/>
          <w:color w:val="auto"/>
        </w:rPr>
      </w:pPr>
    </w:p>
    <w:p>
      <w:pPr>
        <w:ind w:left="200"/>
        <w:spacing w:after="0" w:line="262"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81" w:lineRule="exact"/>
        <w:rPr>
          <w:sz w:val="20"/>
          <w:szCs w:val="20"/>
          <w:color w:val="auto"/>
        </w:rPr>
      </w:pPr>
    </w:p>
    <w:p>
      <w:pPr>
        <w:ind w:left="200" w:right="120"/>
        <w:spacing w:after="0" w:line="271" w:lineRule="auto"/>
        <w:rPr>
          <w:sz w:val="20"/>
          <w:szCs w:val="20"/>
          <w:color w:val="auto"/>
        </w:rPr>
      </w:pPr>
      <w:r>
        <w:rPr>
          <w:rFonts w:ascii="Arial" w:cs="Arial" w:eastAsia="Arial" w:hAnsi="Arial"/>
          <w:sz w:val="16"/>
          <w:szCs w:val="16"/>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immunotherapies, and other cancer treatments like chemotherapy and radiation therapy, are well established in the medical community, and doctors may continue to rely on these therapies. If the product candidates we develop do not achieve an adequate level of acceptance, we may not generate significant product revenues and we may not become profitable. The degree of market acceptance of any product candidate, if approved for commercial sale, will depend on a number of factors, including:</w:t>
      </w:r>
    </w:p>
    <w:p>
      <w:pPr>
        <w:spacing w:after="0" w:line="91" w:lineRule="exact"/>
        <w:rPr>
          <w:sz w:val="20"/>
          <w:szCs w:val="20"/>
          <w:color w:val="auto"/>
        </w:rPr>
      </w:pPr>
    </w:p>
    <w:p>
      <w:pPr>
        <w:ind w:left="420" w:hanging="216"/>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5620" w:right="1960" w:hanging="5416"/>
        <w:spacing w:after="0" w:line="411" w:lineRule="auto"/>
        <w:tabs>
          <w:tab w:leader="none" w:pos="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 28</w:t>
      </w:r>
    </w:p>
    <w:p>
      <w:pPr>
        <w:sectPr>
          <w:pgSz w:w="11900" w:h="16838" w:orient="portrait"/>
          <w:cols w:equalWidth="0" w:num="1">
            <w:col w:w="11200"/>
          </w:cols>
          <w:pgMar w:left="24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420" w:right="120" w:hanging="216"/>
        <w:spacing w:after="0" w:line="239" w:lineRule="auto"/>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84" w:lineRule="exact"/>
        <w:rPr>
          <w:sz w:val="20"/>
          <w:szCs w:val="20"/>
          <w:color w:val="auto"/>
        </w:rPr>
      </w:pPr>
    </w:p>
    <w:p>
      <w:pPr>
        <w:ind w:left="200" w:right="320"/>
        <w:spacing w:after="0" w:line="262" w:lineRule="auto"/>
        <w:rPr>
          <w:sz w:val="20"/>
          <w:szCs w:val="20"/>
          <w:color w:val="auto"/>
        </w:rPr>
      </w:pPr>
      <w:r>
        <w:rPr>
          <w:rFonts w:ascii="Arial" w:cs="Arial" w:eastAsia="Arial" w:hAnsi="Arial"/>
          <w:sz w:val="18"/>
          <w:szCs w:val="18"/>
          <w:b w:val="1"/>
          <w:bCs w:val="1"/>
          <w:i w:val="1"/>
          <w:iCs w:val="1"/>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8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expect to initially seek approval of RMC-4630 and any other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100"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color w:val="auto"/>
        </w:rPr>
        <w:t>The number of patients who have the cancers we are targeting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profitability without obtaining marketing approval for additional indications, including to be used as first- or second-line therapy.</w:t>
      </w:r>
    </w:p>
    <w:p>
      <w:pPr>
        <w:spacing w:after="0" w:line="55" w:lineRule="exact"/>
        <w:rPr>
          <w:sz w:val="20"/>
          <w:szCs w:val="20"/>
          <w:color w:val="auto"/>
        </w:rPr>
      </w:pPr>
    </w:p>
    <w:p>
      <w:pPr>
        <w:ind w:left="200"/>
        <w:spacing w:after="0" w:line="262" w:lineRule="auto"/>
        <w:rPr>
          <w:sz w:val="20"/>
          <w:szCs w:val="20"/>
          <w:color w:val="auto"/>
        </w:rPr>
      </w:pPr>
      <w:r>
        <w:rPr>
          <w:rFonts w:ascii="Arial" w:cs="Arial" w:eastAsia="Arial" w:hAnsi="Arial"/>
          <w:sz w:val="18"/>
          <w:szCs w:val="18"/>
          <w:b w:val="1"/>
          <w:bCs w:val="1"/>
          <w:i w:val="1"/>
          <w:iCs w:val="1"/>
          <w:color w:val="auto"/>
        </w:rPr>
        <w:t>We are developing RMC-4630 in combination with Roche’s cobimetinib, and may in the future, develop RMC-4630 and other product candidates in combination with other therapies, such as Amgen’s AMG 510, which exposes us to additional risks.</w:t>
      </w:r>
    </w:p>
    <w:p>
      <w:pPr>
        <w:spacing w:after="0" w:line="8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are developing RMC-4630 in combination with Roche’s cobimetinib, and may in the future, develop RMC-4630 and other product candidates in combination with one or more currently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100"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We may also evaluate RMC-4630 or any other current or future product candidates in combination with one or more other cancer therapies, such as Amgen’s AMG 510, that have not yet been approved for marketing by the FDA or similar regulatory authorities outside of the United States. We will not be able to market and sell RMC-4630 or any product candidate we develop in combination with any such unapproved cancer therapies that do not ultimately obtain marketing approval.</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If the FDA or similar regulatory authorities outside of the United States do not approve these other drugs or revoke their approval of, or if safety, efficacy, manufacturing, or supply issues arise with, the drugs we choose to evaluate in combination with or any product candidate we develop, we may be unable to obtain approval of or market or any product candidate we develop.</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Sanofi primarily controls the research and development activities of our SHP2 inhibitors, including RMC-4630, pursuant to the terms of the Sanofi Agreement, and may disagree with us regarding which other therapies should be evaluated in combination with RMC-4630. As a result of this disagreement, our completion of a trial in combination with our 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82" w:lineRule="exact"/>
        <w:rPr>
          <w:sz w:val="20"/>
          <w:szCs w:val="20"/>
          <w:color w:val="auto"/>
        </w:rPr>
      </w:pPr>
    </w:p>
    <w:p>
      <w:pPr>
        <w:ind w:left="200" w:right="860"/>
        <w:spacing w:after="0" w:line="262"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81"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0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There are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and Jacobio Pharmaceuticals Co. Ltd. There are several RAS pathway mutations programs, including those directed at KRAS</w:t>
      </w:r>
      <w:r>
        <w:rPr>
          <w:rFonts w:ascii="Arial" w:cs="Arial" w:eastAsia="Arial" w:hAnsi="Arial"/>
          <w:sz w:val="11"/>
          <w:szCs w:val="11"/>
          <w:color w:val="auto"/>
        </w:rPr>
        <w:t>G12C</w:t>
      </w:r>
      <w:r>
        <w:rPr>
          <w:rFonts w:ascii="Arial" w:cs="Arial" w:eastAsia="Arial" w:hAnsi="Arial"/>
          <w:sz w:val="18"/>
          <w:szCs w:val="18"/>
          <w:color w:val="auto"/>
        </w:rPr>
        <w:t>(OFF) and KRAS</w:t>
      </w:r>
      <w:r>
        <w:rPr>
          <w:rFonts w:ascii="Arial" w:cs="Arial" w:eastAsia="Arial" w:hAnsi="Arial"/>
          <w:sz w:val="11"/>
          <w:szCs w:val="11"/>
          <w:color w:val="auto"/>
        </w:rPr>
        <w:t>G12D</w:t>
      </w:r>
      <w:r>
        <w:rPr>
          <w:rFonts w:ascii="Arial" w:cs="Arial" w:eastAsia="Arial" w:hAnsi="Arial"/>
          <w:sz w:val="18"/>
          <w:szCs w:val="18"/>
          <w:color w:val="auto"/>
        </w:rPr>
        <w:t>(OFF) mutations, including clinical programs directed at KRAS</w:t>
      </w:r>
      <w:r>
        <w:rPr>
          <w:rFonts w:ascii="Arial" w:cs="Arial" w:eastAsia="Arial" w:hAnsi="Arial"/>
          <w:sz w:val="11"/>
          <w:szCs w:val="11"/>
          <w:color w:val="auto"/>
        </w:rPr>
        <w:t>G12C</w:t>
      </w:r>
      <w:r>
        <w:rPr>
          <w:rFonts w:ascii="Arial" w:cs="Arial" w:eastAsia="Arial" w:hAnsi="Arial"/>
          <w:sz w:val="18"/>
          <w:szCs w:val="18"/>
          <w:color w:val="auto"/>
        </w:rPr>
        <w:t>(OFF) being conducted by Amgen Inc., Mirati Therapeutics, Inc., Johnson &amp; Johnson, AstraZeneca plc and Eli Lilly &amp; Co. Other clinical programs directed at mutant RAS are being conducted by Merck &amp; Co./Moderna Therapeutics, Boehringer Ingelheim and Gilead Sciences, Inc.</w:t>
      </w:r>
    </w:p>
    <w:p>
      <w:pPr>
        <w:spacing w:after="0" w:line="101"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EMA or other marketing approval for their products more rapidly than we may obtain approval for ours, which could result in our competitors establishing a strong</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40"/>
        <w:spacing w:after="0" w:line="299" w:lineRule="auto"/>
        <w:rPr>
          <w:sz w:val="20"/>
          <w:szCs w:val="20"/>
          <w:color w:val="auto"/>
        </w:rPr>
      </w:pPr>
      <w:r>
        <w:rPr>
          <w:rFonts w:ascii="Arial" w:cs="Arial" w:eastAsia="Arial" w:hAnsi="Arial"/>
          <w:sz w:val="16"/>
          <w:szCs w:val="16"/>
          <w:color w:val="auto"/>
        </w:rPr>
        <w:t>market position before we are able to enter the market. Even if the product candidate we develop achieve marketing approval, they may be priced at a significant premium over competitive products if any have been approved by then, resulting in reduced competitiveness.</w:t>
      </w:r>
    </w:p>
    <w:p>
      <w:pPr>
        <w:spacing w:after="0" w:line="5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Smaller and other early stage companies may also prove to be significant competitors. In addition, academic research departments and public and private research institutions may be conducting research on compounds that could prove to be competitive.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81" w:lineRule="exact"/>
        <w:rPr>
          <w:sz w:val="20"/>
          <w:szCs w:val="20"/>
          <w:color w:val="auto"/>
        </w:rPr>
      </w:pPr>
    </w:p>
    <w:p>
      <w:pPr>
        <w:ind w:left="200" w:right="980"/>
        <w:spacing w:after="0" w:line="262"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or third-party coverage and reimbursement policies, which would harm our business.</w:t>
      </w:r>
    </w:p>
    <w:p>
      <w:pPr>
        <w:spacing w:after="0" w:line="81" w:lineRule="exact"/>
        <w:rPr>
          <w:sz w:val="20"/>
          <w:szCs w:val="20"/>
          <w:color w:val="auto"/>
        </w:rPr>
      </w:pPr>
    </w:p>
    <w:p>
      <w:pPr>
        <w:ind w:left="200" w:right="60"/>
        <w:spacing w:after="0" w:line="270" w:lineRule="auto"/>
        <w:rPr>
          <w:sz w:val="20"/>
          <w:szCs w:val="20"/>
          <w:color w:val="auto"/>
        </w:rPr>
      </w:pPr>
      <w:r>
        <w:rPr>
          <w:rFonts w:ascii="Arial" w:cs="Arial" w:eastAsia="Arial" w:hAnsi="Arial"/>
          <w:sz w:val="16"/>
          <w:szCs w:val="16"/>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w:t>
      </w:r>
    </w:p>
    <w:p>
      <w:pPr>
        <w:spacing w:after="0" w:line="77" w:lineRule="exact"/>
        <w:rPr>
          <w:sz w:val="20"/>
          <w:szCs w:val="20"/>
          <w:color w:val="auto"/>
        </w:rPr>
      </w:pPr>
    </w:p>
    <w:p>
      <w:pPr>
        <w:ind w:left="200"/>
        <w:spacing w:after="0" w:line="273" w:lineRule="auto"/>
        <w:rPr>
          <w:sz w:val="20"/>
          <w:szCs w:val="20"/>
          <w:color w:val="auto"/>
        </w:rPr>
      </w:pPr>
      <w:r>
        <w:rPr>
          <w:rFonts w:ascii="Arial" w:cs="Arial" w:eastAsia="Arial" w:hAnsi="Arial"/>
          <w:sz w:val="16"/>
          <w:szCs w:val="16"/>
          <w:color w:val="auto"/>
        </w:rPr>
        <w:t>Our ability to commercialize any product candidates, whether as a single agent or combination therapy, successfully also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It is difficult to predict at this time what government authorities and third-party payors will decide with respect to coverage and reimbursement for our programs.</w:t>
      </w:r>
    </w:p>
    <w:p>
      <w:pPr>
        <w:spacing w:after="0" w:line="75"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drugs. We cannot be sure that coverage will be available for any product candidate that we commercialize and, if coverage is available, the level of reimbursement. These third-party payors are also examining the cost-effectiveness of drugs in addition to their safety and efficacy.</w:t>
      </w:r>
    </w:p>
    <w:p>
      <w:pPr>
        <w:spacing w:after="0" w:line="102"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00"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can differ significantly from</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payor to payor.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87" w:lineRule="exact"/>
        <w:rPr>
          <w:sz w:val="20"/>
          <w:szCs w:val="20"/>
          <w:color w:val="auto"/>
        </w:rPr>
      </w:pPr>
    </w:p>
    <w:p>
      <w:pPr>
        <w:ind w:left="200" w:right="320"/>
        <w:spacing w:after="0" w:line="262" w:lineRule="auto"/>
        <w:rPr>
          <w:sz w:val="20"/>
          <w:szCs w:val="20"/>
          <w:color w:val="auto"/>
        </w:rPr>
      </w:pPr>
      <w:r>
        <w:rPr>
          <w:rFonts w:ascii="Arial" w:cs="Arial" w:eastAsia="Arial" w:hAnsi="Arial"/>
          <w:sz w:val="18"/>
          <w:szCs w:val="18"/>
          <w:b w:val="1"/>
          <w:bCs w:val="1"/>
          <w:i w:val="1"/>
          <w:iCs w:val="1"/>
          <w:color w:val="auto"/>
        </w:rPr>
        <w:t>We may fail to select or capitalize on the most scientifically, clinically and commercially promising or profitable mutant RAS(ON) target.</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have limited technical, managerial and financial resources to determine which of our lead generation stage RAS(ON) inhibitors should be advanced into further preclinical development, initial clinical trials, later-stage clinical development and potential commercialization. Initially, we are prioritizing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—and expect to nominate our first development candidate in 2020. In selecting a development candidate, we may make incorrect determinations. Our decisions to allocate our research and development, management and financial resources toward particular development candidates or therapeutic areas may not lead to the development of viable commercial products and may divert resources from better opportunities. Similarly, our decisions to delay or terminate development programs may also be incorrect and could cause us to miss valuable opportunities.</w:t>
      </w:r>
    </w:p>
    <w:p>
      <w:pPr>
        <w:spacing w:after="0" w:line="81" w:lineRule="exact"/>
        <w:rPr>
          <w:sz w:val="20"/>
          <w:szCs w:val="20"/>
          <w:color w:val="auto"/>
        </w:rPr>
      </w:pPr>
    </w:p>
    <w:p>
      <w:pPr>
        <w:ind w:left="200" w:right="200"/>
        <w:spacing w:after="0" w:line="325" w:lineRule="auto"/>
        <w:rPr>
          <w:sz w:val="20"/>
          <w:szCs w:val="20"/>
          <w:color w:val="auto"/>
        </w:rPr>
      </w:pPr>
      <w:r>
        <w:rPr>
          <w:rFonts w:ascii="Arial" w:cs="Arial" w:eastAsia="Arial" w:hAnsi="Arial"/>
          <w:sz w:val="16"/>
          <w:szCs w:val="16"/>
          <w:b w:val="1"/>
          <w:bCs w:val="1"/>
          <w:i w:val="1"/>
          <w:iCs w:val="1"/>
          <w:color w:val="auto"/>
        </w:rPr>
        <w:t>We may not be successful in our efforts to identify or discover other product candidates and may fail to capitalize on programs or product candidates that may present a greater commercial opportunity or for which there is a greater likelihood of success.</w:t>
      </w:r>
    </w:p>
    <w:p>
      <w:pPr>
        <w:spacing w:after="0" w:line="35" w:lineRule="exact"/>
        <w:rPr>
          <w:sz w:val="20"/>
          <w:szCs w:val="20"/>
          <w:color w:val="auto"/>
        </w:rPr>
      </w:pPr>
    </w:p>
    <w:p>
      <w:pPr>
        <w:ind w:left="200" w:right="280"/>
        <w:spacing w:after="0" w:line="275" w:lineRule="auto"/>
        <w:rPr>
          <w:sz w:val="20"/>
          <w:szCs w:val="20"/>
          <w:color w:val="auto"/>
        </w:rPr>
      </w:pPr>
      <w:r>
        <w:rPr>
          <w:rFonts w:ascii="Arial" w:cs="Arial" w:eastAsia="Arial" w:hAnsi="Arial"/>
          <w:sz w:val="16"/>
          <w:szCs w:val="16"/>
          <w:color w:val="auto"/>
        </w:rPr>
        <w:t>The success of our business depends upon our ability to identify, develop and commercialize product candidates. If we do not successfully develop and eventually commercialize products, we will face difficulty in obtaining product revenue in future periods, resulting in significant harm to our financial position and adversely affecting our share price. Research programs to identify new product candidates require substantial technical, financial and human resources, and we may fail to identify potential product candidates for numerous reasons.</w:t>
      </w:r>
    </w:p>
    <w:p>
      <w:pPr>
        <w:spacing w:after="0" w:line="75"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Additionally, because we have limited resources beyond those provided by Sanofi on SHP2 and RMC-4630, we may forego or delay pursuit of opportunities with certain programs or product candidates or for indications that later prove to have greater commercial potential. For example, we currently intend to focus on the development of RMC-4630. However, the advancement of this product candidate may ultimately prove to be unsuccessful or less successful than another program in our pipeline that we might have chosen to pursue on a less aggressive basis. Our estimates regarding the potential market for our product candidates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collaboration, licensing or other arrangements in cases in which it would have been more advantageous for us to retain sole development and commercialization rights to such product candidate. For example, we licensed worldwide development and commercialization rights with respect to RMC-4630 to Sanofi and will receive only milestone</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60"/>
        <w:spacing w:after="0" w:line="238" w:lineRule="auto"/>
        <w:rPr>
          <w:sz w:val="20"/>
          <w:szCs w:val="20"/>
          <w:color w:val="auto"/>
        </w:rPr>
      </w:pPr>
      <w:r>
        <w:rPr>
          <w:rFonts w:ascii="Arial" w:cs="Arial" w:eastAsia="Arial" w:hAnsi="Arial"/>
          <w:sz w:val="18"/>
          <w:szCs w:val="18"/>
          <w:color w:val="auto"/>
        </w:rPr>
        <w:t>payments, an equal share of profits and losses in the United States and royalties on annual net sales of each product outside the United States. Alternatively, we may allocate internal resources to a product candidate in a therapeutic area in which it would have been more advantageous to enter into a partnering arrangement.</w:t>
      </w:r>
    </w:p>
    <w:p>
      <w:pPr>
        <w:spacing w:after="0" w:line="100"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pacing w:after="0" w:line="80" w:lineRule="exact"/>
        <w:rPr>
          <w:sz w:val="20"/>
          <w:szCs w:val="20"/>
          <w:color w:val="auto"/>
        </w:rPr>
      </w:pPr>
    </w:p>
    <w:p>
      <w:pPr>
        <w:ind w:left="200" w:right="120"/>
        <w:spacing w:after="0" w:line="244" w:lineRule="auto"/>
        <w:rPr>
          <w:sz w:val="20"/>
          <w:szCs w:val="20"/>
          <w:color w:val="auto"/>
        </w:rPr>
      </w:pPr>
      <w:r>
        <w:rPr>
          <w:rFonts w:ascii="Arial" w:cs="Arial" w:eastAsia="Arial" w:hAnsi="Arial"/>
          <w:sz w:val="18"/>
          <w:szCs w:val="18"/>
          <w:b w:val="1"/>
          <w:bCs w:val="1"/>
          <w:i w:val="1"/>
          <w:iCs w:val="1"/>
          <w:color w:val="auto"/>
        </w:rPr>
        <w:t>We may need to use existing commercial diagnostic tests or develop, or enter into a collaboration or partnership to develop, novel complementary diagnostics and/or novel companion diagnostics for some of our current or future product candidates. If we or our future partners are unable to successfully develop such companion diagnostics or complementary diagnostics, or experience significant delays in doing so, we may not realize the full commercial potential of our future product candidates.</w:t>
      </w:r>
    </w:p>
    <w:p>
      <w:pPr>
        <w:spacing w:after="0" w:line="97"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As one of the key elements of our product development strategy, we seek to identify cancer patient populations that may derive meaningful benefit from our current or future product candidates. Because predictive biomarkers may be used to identify the right patients for our programs and our current or future product candidates, we believe that our success may depend, in part, on our ability to use existing diagnostic tests (such as Foundation Medicine’s FoundationOne</w:t>
      </w:r>
      <w:r>
        <w:rPr>
          <w:rFonts w:ascii="Arial" w:cs="Arial" w:eastAsia="Arial" w:hAnsi="Arial"/>
          <w:sz w:val="11"/>
          <w:szCs w:val="11"/>
          <w:color w:val="auto"/>
        </w:rPr>
        <w:t>®</w:t>
      </w:r>
      <w:r>
        <w:rPr>
          <w:rFonts w:ascii="Arial" w:cs="Arial" w:eastAsia="Arial" w:hAnsi="Arial"/>
          <w:sz w:val="18"/>
          <w:szCs w:val="18"/>
          <w:color w:val="auto"/>
        </w:rPr>
        <w:t xml:space="preserve"> CDX), or develop novel complementary diagnostics and/or novel companion diagnostics in collaboration with partners.</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the event that novel tests will need to be developed, we have little experience in the development of diagnostics. As such, we expect to rely on future partners in developing appropriate diagnostics to pair with our current or future product candidates. We have not yet begun discussions with any potential partners with respect to the development of complementary diagnostics and/or companion diagnostics and may be unsuccessful in entering into collaborations for the development of companion diagnostics for our programs and our current or future product candidates.</w:t>
      </w:r>
    </w:p>
    <w:p>
      <w:pPr>
        <w:spacing w:after="0" w:line="103" w:lineRule="exact"/>
        <w:rPr>
          <w:sz w:val="20"/>
          <w:szCs w:val="20"/>
          <w:color w:val="auto"/>
        </w:rPr>
      </w:pPr>
    </w:p>
    <w:p>
      <w:pPr>
        <w:jc w:val="both"/>
        <w:ind w:left="200" w:right="20"/>
        <w:spacing w:after="0" w:line="237" w:lineRule="auto"/>
        <w:rPr>
          <w:sz w:val="20"/>
          <w:szCs w:val="20"/>
          <w:color w:val="auto"/>
        </w:rPr>
      </w:pPr>
      <w:r>
        <w:rPr>
          <w:rFonts w:ascii="Arial" w:cs="Arial" w:eastAsia="Arial" w:hAnsi="Arial"/>
          <w:sz w:val="18"/>
          <w:szCs w:val="18"/>
          <w:color w:val="auto"/>
        </w:rPr>
        <w:t>Complementary diagnostics and/or companion diagnostics are subject to regulation by the FDA and similar regulatory authorities outside the United States as medical devices and require separate regulatory approval or clearance prior to commercialization. If we, our partners, or any third parties that we engage to assist us, are unable to successfully develop complementary diagnostics and/or companion diagnostics for our product candidates and any future product candidates, or experience delays in doing so:</w:t>
      </w:r>
    </w:p>
    <w:p>
      <w:pPr>
        <w:spacing w:after="0" w:line="114" w:lineRule="exact"/>
        <w:rPr>
          <w:sz w:val="20"/>
          <w:szCs w:val="20"/>
          <w:color w:val="auto"/>
        </w:rPr>
      </w:pPr>
    </w:p>
    <w:p>
      <w:pPr>
        <w:ind w:left="420" w:right="740" w:hanging="216"/>
        <w:spacing w:after="0" w:line="239"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development of our product candidates and any other future product candidates may be adversely affected if we are unable to appropriately select patients for enrollment in our clinical trials; and</w:t>
      </w:r>
    </w:p>
    <w:p>
      <w:pPr>
        <w:spacing w:after="0" w:line="114" w:lineRule="exact"/>
        <w:rPr>
          <w:rFonts w:ascii="Arial" w:cs="Arial" w:eastAsia="Arial" w:hAnsi="Arial"/>
          <w:sz w:val="18"/>
          <w:szCs w:val="18"/>
          <w:color w:val="auto"/>
        </w:rPr>
      </w:pPr>
    </w:p>
    <w:p>
      <w:pPr>
        <w:jc w:val="both"/>
        <w:ind w:left="420" w:right="160" w:hanging="216"/>
        <w:spacing w:after="0" w:line="238" w:lineRule="auto"/>
        <w:tabs>
          <w:tab w:leader="none" w:pos="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our product candidates and any other future product candidates that receive marketing approval if, among other reasons, we are unable to appropriately identify, or it takes us longer to identify, patients who are likely to benefit from therapy with our products, if approved.</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If any of these events were to occur, our business would be harmed, possibly materially.</w:t>
      </w:r>
    </w:p>
    <w:p>
      <w:pPr>
        <w:spacing w:after="0" w:line="84" w:lineRule="exact"/>
        <w:rPr>
          <w:sz w:val="20"/>
          <w:szCs w:val="20"/>
          <w:color w:val="auto"/>
        </w:rPr>
      </w:pPr>
    </w:p>
    <w:p>
      <w:pPr>
        <w:ind w:left="200" w:right="220"/>
        <w:spacing w:after="0" w:line="244"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97"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75"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07"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Drugs designated as fast track products or breakthrough therapies by the FDA are also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87" w:lineRule="exact"/>
        <w:rPr>
          <w:sz w:val="20"/>
          <w:szCs w:val="20"/>
          <w:color w:val="auto"/>
        </w:rPr>
      </w:pPr>
    </w:p>
    <w:p>
      <w:pPr>
        <w:ind w:left="200" w:right="540"/>
        <w:spacing w:after="0" w:line="262" w:lineRule="auto"/>
        <w:rPr>
          <w:sz w:val="20"/>
          <w:szCs w:val="20"/>
          <w:color w:val="auto"/>
        </w:rPr>
      </w:pPr>
      <w:r>
        <w:rPr>
          <w:rFonts w:ascii="Arial" w:cs="Arial" w:eastAsia="Arial" w:hAnsi="Arial"/>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8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As part of our business strategy, we may seek Orphan Drug Designation for any product candidates we develop, and we may be unsuccessful. Regulatory authorities in some jurisdictions, including the United States and Europe,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Similarly, in Europe, the European Commission grants Orphan Drug Designation after receiving the opinion of the EMA Committee for Orphan Medicinal Products on an Orphan Drug Designation application. Orphan Drug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0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03"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Even if we obtain orphan drug exclusivity for a product candidate, that exclusivity may not effectively protect the product candidate from competition because different therapies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87" w:lineRule="exact"/>
        <w:rPr>
          <w:sz w:val="20"/>
          <w:szCs w:val="20"/>
          <w:color w:val="auto"/>
        </w:rPr>
      </w:pPr>
    </w:p>
    <w:p>
      <w:pPr>
        <w:ind w:left="200" w:right="1500"/>
        <w:spacing w:after="0" w:line="262"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face an inherent risk of product liability as a result of the clinical testing of product candidates and will face an even greater risk if we commercialize any products. For example, we may be sued if any product candidate we develop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 Regardless of the merits or eventual outcome, liability claims may result in:</w:t>
      </w:r>
    </w:p>
    <w:p>
      <w:pPr>
        <w:spacing w:after="0" w:line="114"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decreased demand for any approved product;</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104" w:lineRule="exact"/>
        <w:rPr>
          <w:sz w:val="20"/>
          <w:szCs w:val="20"/>
          <w:color w:val="auto"/>
        </w:rPr>
      </w:pPr>
    </w:p>
    <w:p>
      <w:pPr>
        <w:ind w:left="200" w:right="560"/>
        <w:spacing w:after="0" w:line="239"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collaboration partners.</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Insurance coverage is increasingly expensive. We may not be able to maintain insurance at a reasonable cost or in an amount adequate to satisfy any liability that may arise, if at all. Our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Sanofi or any future collaborator entitle us to indemnification against losses, such indemnification may not be available or adequate should any claim arise.</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Affordable Care Act, or the ACA, was passed, which substantially changes the way healthcare is financed by both governmental and private insurers, and significantly impacts the U.S. pharmaceutical industry.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00" w:lineRule="exact"/>
        <w:rPr>
          <w:sz w:val="20"/>
          <w:szCs w:val="20"/>
          <w:color w:val="auto"/>
        </w:rPr>
      </w:pPr>
    </w:p>
    <w:p>
      <w:pPr>
        <w:ind w:left="200" w:right="20"/>
        <w:spacing w:after="0" w:line="273" w:lineRule="auto"/>
        <w:rPr>
          <w:sz w:val="20"/>
          <w:szCs w:val="20"/>
          <w:color w:val="auto"/>
        </w:rPr>
      </w:pPr>
      <w:r>
        <w:rPr>
          <w:rFonts w:ascii="Arial" w:cs="Arial" w:eastAsia="Arial" w:hAnsi="Arial"/>
          <w:sz w:val="16"/>
          <w:szCs w:val="16"/>
          <w:color w:val="auto"/>
        </w:rPr>
        <w:t>Some of the provisions of the ACA have yet to be fully implemented, while certain provisions have been subject to judicial and Congressional challenges, as well as efforts by the Trump administration to repeal or replace certain aspects of the ACA. Since January 2017, President Trump has signed two Executive Orders designed to delay the implementation of certain provisions of the ACA or otherwise circumvent some of the requirements for health insurance mandated by the ACA. Concurrently, Congress has considered legislation that would repeal or repeal and replace all or part of the ACA. While Congress has not passed comprehensive repeal legislation,</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two bills affecting the implementation of certain taxes under the ACA have been signed into law. The Tax Cuts and Jobs Act of 2017, or TCJA, includes a provision repealing, effective January 1, 2019, the tax-based shared responsibility payment imposed by the 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ACA-mandated fees, including the so-called “Cadillac” tax on certain high cost employer-sponsored insurance plans, the annual fee imposed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ACA, effective January 1, 2019, to reduce the coverage gap in most Medicare drug plans, commonly referred to as the “donut hole.” On December 14, 2018, a Texas U.S. District Court Judge ruled that the ACA is unconstitutional in its entirety because the “individual mandate” was repealed by Congress as part of the Tax Cuts and Jobs Act of 2017. While the Texas U.S. District Court Judge, as well as the Trump administration and Centers for Medicare and Medicaid Services, or CMS, have stated that the ruling will have no immediate effect pending appeal of the decision, it is unclear how this decision, subsequent appeals, and other efforts to repeal and replace the ACA will impact the ACA and our business. The effect that the ACA and its possible repeal and replacement may have on our business remains unclear.</w:t>
      </w:r>
    </w:p>
    <w:p>
      <w:pPr>
        <w:spacing w:after="0" w:line="10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Other legislative changes have been proposed and adopted in the United States since the ACA was enacted.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2027 unless additional congressional action is taken. On January 2, 2013, the American Taxpayer Relief Act of 2012 was signed into law, which, among other things, further reduced Medicare payments to several types of providers.</w:t>
      </w:r>
    </w:p>
    <w:p>
      <w:pPr>
        <w:spacing w:after="0" w:line="103" w:lineRule="exact"/>
        <w:rPr>
          <w:sz w:val="20"/>
          <w:szCs w:val="20"/>
          <w:color w:val="auto"/>
        </w:rPr>
      </w:pPr>
    </w:p>
    <w:p>
      <w:pPr>
        <w:ind w:left="200" w:right="260"/>
        <w:spacing w:after="0" w:line="237"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diagnostics or companion diagnostics or additional pricing pressures.</w:t>
      </w:r>
    </w:p>
    <w:p>
      <w:pPr>
        <w:spacing w:after="0" w:line="101" w:lineRule="exact"/>
        <w:rPr>
          <w:sz w:val="20"/>
          <w:szCs w:val="20"/>
          <w:color w:val="auto"/>
        </w:rPr>
      </w:pPr>
    </w:p>
    <w:p>
      <w:pPr>
        <w:ind w:left="200" w:right="200"/>
        <w:spacing w:after="0" w:line="275"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55" w:lineRule="exact"/>
        <w:rPr>
          <w:sz w:val="20"/>
          <w:szCs w:val="20"/>
          <w:color w:val="auto"/>
        </w:rPr>
      </w:pPr>
    </w:p>
    <w:p>
      <w:pPr>
        <w:ind w:left="200" w:right="240"/>
        <w:spacing w:after="0" w:line="262"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reliance on third parties</w:t>
      </w:r>
    </w:p>
    <w:p>
      <w:pPr>
        <w:spacing w:after="0" w:line="114" w:lineRule="exact"/>
        <w:rPr>
          <w:sz w:val="20"/>
          <w:szCs w:val="20"/>
          <w:color w:val="auto"/>
        </w:rPr>
      </w:pPr>
    </w:p>
    <w:p>
      <w:pPr>
        <w:ind w:left="200" w:right="300"/>
        <w:spacing w:after="0" w:line="294" w:lineRule="auto"/>
        <w:rPr>
          <w:sz w:val="20"/>
          <w:szCs w:val="20"/>
          <w:color w:val="auto"/>
        </w:rPr>
      </w:pPr>
      <w:r>
        <w:rPr>
          <w:rFonts w:ascii="Arial" w:cs="Arial" w:eastAsia="Arial" w:hAnsi="Arial"/>
          <w:sz w:val="16"/>
          <w:szCs w:val="16"/>
          <w:b w:val="1"/>
          <w:bCs w:val="1"/>
          <w:i w:val="1"/>
          <w:iCs w:val="1"/>
          <w:color w:val="auto"/>
        </w:rPr>
        <w:t>We are dependent on our collaboration with Sanofi for the development of RMC-4630 and may depend on Sanofi for the development and commercialization of any other future SHP2 inhibitor product candidates. Under certain circumstances, Sanofi may unilaterally terminate the collaboration for convenience, which would materially and adversely affect our business.</w:t>
      </w:r>
    </w:p>
    <w:p>
      <w:pPr>
        <w:spacing w:after="0" w:line="60" w:lineRule="exact"/>
        <w:rPr>
          <w:sz w:val="20"/>
          <w:szCs w:val="20"/>
          <w:color w:val="auto"/>
        </w:rPr>
      </w:pPr>
    </w:p>
    <w:p>
      <w:pPr>
        <w:ind w:left="200" w:right="20"/>
        <w:spacing w:after="0" w:line="267" w:lineRule="auto"/>
        <w:rPr>
          <w:sz w:val="20"/>
          <w:szCs w:val="20"/>
          <w:color w:val="auto"/>
        </w:rPr>
      </w:pPr>
      <w:r>
        <w:rPr>
          <w:rFonts w:ascii="Arial" w:cs="Arial" w:eastAsia="Arial" w:hAnsi="Arial"/>
          <w:sz w:val="16"/>
          <w:szCs w:val="16"/>
          <w:color w:val="auto"/>
        </w:rPr>
        <w:t>In June 2018, we entered into a collaborative research, development and commercialization agreement with Sanofi, or the Sanofi Agreement, focused on researching, developing and commercializing SHP2 inhibitors as cancer therapies and potentially other indications. Sanofi primarily controls the research and development activities pursuant to the terms of the Sanofi Agreement, and our lack of control over such activities, including with respect to RMC-4630, could result in delays or other difficulties in the development and commercialization of product candidates, which may prevent completion of intended NDA filings in a timely fashion, if at all. Because of the allocation of responsibilities under the Sanofi Agreement, we are wholly dependent on Sanofi for the success of the RMC-4630 program. Any dispute with Sanofi may result in the delay or termination of the research, development or commercialization of RMC-4630 or other SHP2 inhibitor product candidates, and may result in costly litigation that diverts management attention and resources away from our day-to-day activities, which may adversely affect our business, financial condition, results of operation and prospects. For example, we plan to evaluate RMC-4630 in combination with other therapies (which may include product candidates from our pipeline), and Sanofi may disagree with us regarding which other therapies should be evaluated in combination with RMC-4630. As a result of this disagreement, our completion of a trial in combination with our preferred combination product candidate may be delayed or prevented. We rely on Sanofi for the supply of RMC-4630 for future combination studies and if Sanofi is unwilling to supply RMC-4630 to be used in combination with a product candidate from our pipeline, our ability to complete a trial evaluating such combination may be delayed or prevented.</w:t>
      </w:r>
    </w:p>
    <w:p>
      <w:pPr>
        <w:spacing w:after="0" w:line="28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addition, Sanofi can terminate the Sanofi Agreement (including for convenience), and in the event Sanofi terminates the Sanofi Agreement, we would be prevented from receiving any research and development funding, milestone payments, profit share payments, royalty payments and other benefits under that agreement. Termination of the Sanofi Agreement could require us to seek additional funding in order to avoid delaying, reducing the scope of, or suspending, one or more of our research and development programs or clinical trials. In addition, any decision by Sanofi to terminate the Sanofi Agreement may negatively impact public perception of RMC-4630, or all of the SHP2 program covered by the Sanofi Agreement, which could adversely affect the market price of our common stock. We cannot provide any assurance with respect to the success of the Sanofi collaboration. Any of the foregoing events could have a materially adverse effect on our business, financial condition, results of operation and prospects. For more information regarding the Sanofi Agreement, see “Business—Collaboration agreement with Sanofi.”</w:t>
      </w:r>
    </w:p>
    <w:p>
      <w:pPr>
        <w:spacing w:after="0" w:line="87" w:lineRule="exact"/>
        <w:rPr>
          <w:sz w:val="20"/>
          <w:szCs w:val="20"/>
          <w:color w:val="auto"/>
        </w:rPr>
      </w:pPr>
    </w:p>
    <w:p>
      <w:pPr>
        <w:ind w:left="200" w:right="40"/>
        <w:spacing w:after="0" w:line="248" w:lineRule="auto"/>
        <w:rPr>
          <w:sz w:val="20"/>
          <w:szCs w:val="20"/>
          <w:color w:val="auto"/>
        </w:rPr>
      </w:pPr>
      <w:r>
        <w:rPr>
          <w:rFonts w:ascii="Arial" w:cs="Arial" w:eastAsia="Arial" w:hAnsi="Arial"/>
          <w:sz w:val="18"/>
          <w:szCs w:val="18"/>
          <w:b w:val="1"/>
          <w:bCs w:val="1"/>
          <w:i w:val="1"/>
          <w:iCs w:val="1"/>
          <w:color w:val="auto"/>
        </w:rPr>
        <w:t>In addition to our collaboration with Sanofi, we may depend on collaborations with other third parties for the development and commercialization of our product candidates in the future. If our collaborations are not successful, we may not be able to capitalize on the market potential of these product candidates.</w:t>
      </w:r>
    </w:p>
    <w:p>
      <w:pPr>
        <w:spacing w:after="0" w:line="94"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Collaborations involving our current and future product candidates, including our current collaborations with Sanofi, Roche and Amgen may pose the following risks to us:</w:t>
      </w:r>
    </w:p>
    <w:p>
      <w:pPr>
        <w:spacing w:after="0" w:line="114" w:lineRule="exact"/>
        <w:rPr>
          <w:sz w:val="20"/>
          <w:szCs w:val="20"/>
          <w:color w:val="auto"/>
        </w:rPr>
      </w:pPr>
    </w:p>
    <w:p>
      <w:pPr>
        <w:ind w:left="420" w:hanging="216"/>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117" w:lineRule="exact"/>
        <w:rPr>
          <w:rFonts w:ascii="Arial" w:cs="Arial" w:eastAsia="Arial" w:hAnsi="Arial"/>
          <w:sz w:val="18"/>
          <w:szCs w:val="18"/>
          <w:color w:val="auto"/>
        </w:rPr>
      </w:pPr>
    </w:p>
    <w:p>
      <w:pPr>
        <w:ind w:left="420" w:right="720" w:hanging="216"/>
        <w:spacing w:after="0" w:line="239"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114" w:lineRule="exact"/>
        <w:rPr>
          <w:rFonts w:ascii="Arial" w:cs="Arial" w:eastAsia="Arial" w:hAnsi="Arial"/>
          <w:sz w:val="18"/>
          <w:szCs w:val="18"/>
          <w:color w:val="auto"/>
        </w:rPr>
      </w:pPr>
    </w:p>
    <w:p>
      <w:pPr>
        <w:ind w:left="420" w:right="300" w:hanging="216"/>
        <w:spacing w:after="0" w:line="239"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114" w:lineRule="exact"/>
        <w:rPr>
          <w:rFonts w:ascii="Arial" w:cs="Arial" w:eastAsia="Arial" w:hAnsi="Arial"/>
          <w:sz w:val="18"/>
          <w:szCs w:val="18"/>
          <w:color w:val="auto"/>
        </w:rPr>
      </w:pPr>
    </w:p>
    <w:p>
      <w:pPr>
        <w:ind w:left="420" w:right="460" w:hanging="216"/>
        <w:spacing w:after="0" w:line="239"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4" w:lineRule="exact"/>
        <w:rPr>
          <w:rFonts w:ascii="Arial" w:cs="Arial" w:eastAsia="Arial" w:hAnsi="Arial"/>
          <w:sz w:val="18"/>
          <w:szCs w:val="18"/>
          <w:color w:val="auto"/>
        </w:rPr>
      </w:pPr>
    </w:p>
    <w:p>
      <w:pPr>
        <w:ind w:left="420" w:hanging="216"/>
        <w:spacing w:after="0" w:line="238"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113" w:lineRule="exact"/>
        <w:rPr>
          <w:rFonts w:ascii="Arial" w:cs="Arial" w:eastAsia="Arial" w:hAnsi="Arial"/>
          <w:sz w:val="18"/>
          <w:szCs w:val="18"/>
          <w:color w:val="auto"/>
        </w:rPr>
      </w:pPr>
    </w:p>
    <w:p>
      <w:pPr>
        <w:ind w:left="420" w:right="20" w:hanging="216"/>
        <w:spacing w:after="0" w:line="239"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such intellectual property;</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17" w:lineRule="exact"/>
        <w:rPr>
          <w:rFonts w:ascii="Arial" w:cs="Arial" w:eastAsia="Arial" w:hAnsi="Arial"/>
          <w:sz w:val="18"/>
          <w:szCs w:val="18"/>
          <w:color w:val="auto"/>
        </w:rPr>
      </w:pPr>
    </w:p>
    <w:p>
      <w:pPr>
        <w:ind w:left="420" w:right="20" w:hanging="216"/>
        <w:spacing w:after="0" w:line="299" w:lineRule="auto"/>
        <w:tabs>
          <w:tab w:leader="none" w:pos="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 and</w:t>
      </w:r>
    </w:p>
    <w:p>
      <w:pPr>
        <w:spacing w:after="0" w:line="68" w:lineRule="exact"/>
        <w:rPr>
          <w:rFonts w:ascii="Arial" w:cs="Arial" w:eastAsia="Arial" w:hAnsi="Arial"/>
          <w:sz w:val="16"/>
          <w:szCs w:val="16"/>
          <w:color w:val="auto"/>
        </w:rPr>
      </w:pPr>
    </w:p>
    <w:p>
      <w:pPr>
        <w:ind w:left="420" w:hanging="216"/>
        <w:spacing w:after="0" w:line="239" w:lineRule="auto"/>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w:t>
      </w:r>
    </w:p>
    <w:p>
      <w:pPr>
        <w:spacing w:after="0" w:line="101" w:lineRule="exact"/>
        <w:rPr>
          <w:sz w:val="20"/>
          <w:szCs w:val="20"/>
          <w:color w:val="auto"/>
        </w:rPr>
      </w:pPr>
    </w:p>
    <w:p>
      <w:pPr>
        <w:ind w:left="200" w:right="240"/>
        <w:spacing w:after="0" w:line="271" w:lineRule="auto"/>
        <w:rPr>
          <w:sz w:val="20"/>
          <w:szCs w:val="20"/>
          <w:color w:val="auto"/>
        </w:rPr>
      </w:pPr>
      <w:r>
        <w:rPr>
          <w:rFonts w:ascii="Arial" w:cs="Arial" w:eastAsia="Arial" w:hAnsi="Arial"/>
          <w:sz w:val="16"/>
          <w:szCs w:val="16"/>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57" w:lineRule="exact"/>
        <w:rPr>
          <w:sz w:val="20"/>
          <w:szCs w:val="20"/>
          <w:color w:val="auto"/>
        </w:rPr>
      </w:pPr>
    </w:p>
    <w:p>
      <w:pPr>
        <w:ind w:left="200" w:right="80"/>
        <w:spacing w:after="0" w:line="262"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8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decide to collaborate with additional pharmaceutical and biotechnology companies with respect to development and potential commercialization. Any of these relationships may require us to incur non-recurring and other charges, increase our near and long term expenditures, issue securities that dilute our existing stockholders, or disrupt our management and business.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67"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287"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the Sanofi Agreement, we have granted worldwide exclusive rights under our intellectual property to Sanofi for SHP2 inhibitors, and during the term of the agreement we will be restricted from granting similar rights to other parties. This exclusivity could limit our ability to enter into collaborations with future collaborators.</w:t>
      </w:r>
    </w:p>
    <w:p>
      <w:pPr>
        <w:spacing w:after="0" w:line="101"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w:t>
      </w:r>
    </w:p>
    <w:p>
      <w:pPr>
        <w:spacing w:after="0" w:line="101"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81" w:lineRule="exact"/>
        <w:rPr>
          <w:sz w:val="20"/>
          <w:szCs w:val="20"/>
          <w:color w:val="auto"/>
        </w:rPr>
      </w:pPr>
    </w:p>
    <w:p>
      <w:pPr>
        <w:ind w:left="200" w:right="60"/>
        <w:spacing w:after="0" w:line="262"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81" w:lineRule="exact"/>
        <w:rPr>
          <w:sz w:val="20"/>
          <w:szCs w:val="20"/>
          <w:color w:val="auto"/>
        </w:rPr>
      </w:pPr>
    </w:p>
    <w:p>
      <w:pPr>
        <w:jc w:val="both"/>
        <w:ind w:left="200"/>
        <w:spacing w:after="0" w:line="264" w:lineRule="auto"/>
        <w:rPr>
          <w:sz w:val="20"/>
          <w:szCs w:val="20"/>
          <w:color w:val="auto"/>
        </w:rPr>
      </w:pPr>
      <w:r>
        <w:rPr>
          <w:rFonts w:ascii="Arial" w:cs="Arial" w:eastAsia="Arial" w:hAnsi="Arial"/>
          <w:sz w:val="16"/>
          <w:szCs w:val="16"/>
          <w:color w:val="auto"/>
        </w:rPr>
        <w:t>If conflicts arise between our corporate or academic collaborators or strategic partners and us, the other party may act in a manner adverse to us and could limit our ability to implement our strategies. Sanofi or future collaborators or strategic partners may develop, either alone or with others, products in related fields that are competitive with the products or potential products that are the subject of these collaborations.</w:t>
      </w:r>
    </w:p>
    <w:p>
      <w:pPr>
        <w:spacing w:after="0" w:line="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Competing products, either developed by the collaborators or strategic partners or to which the collaborators or strategic partners have rights, may result in the withdrawal of partner support for our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240"/>
        <w:spacing w:after="0" w:line="244" w:lineRule="auto"/>
        <w:rPr>
          <w:sz w:val="20"/>
          <w:szCs w:val="20"/>
          <w:color w:val="auto"/>
        </w:rPr>
      </w:pPr>
      <w:r>
        <w:rPr>
          <w:rFonts w:ascii="Arial" w:cs="Arial" w:eastAsia="Arial" w:hAnsi="Arial"/>
          <w:sz w:val="18"/>
          <w:szCs w:val="18"/>
          <w:b w:val="1"/>
          <w:bCs w:val="1"/>
          <w:i w:val="1"/>
          <w:iCs w:val="1"/>
          <w:color w:val="auto"/>
        </w:rPr>
        <w:t>We rely on third parties to conduct our ongoing and planned clinical trials for RMC-4630 and any other product candidates we develop. If these third parties do not successfully carry out their contractual duties, comply with regulatory requirements or meet expected deadlines, we may not be able to obtain marketing approval for or commercialize RMC-4630 and any other product candidates we develop and our business could be substantially harmed.</w:t>
      </w:r>
    </w:p>
    <w:p>
      <w:pPr>
        <w:spacing w:after="0" w:line="9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do not have the ability to independently conduct clinical trials. We rely on medical institutions, clinical investigators, contract laboratories, and other third parties, including collaboration partners, to conduct or otherwise support clinical trials for RMC-4630 and other product candidates. We rely heavily on these parties for execution of clinical trials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untitled and warning letters or enforcement action that may include civil penalties up to and including criminal prosecution.</w:t>
      </w:r>
    </w:p>
    <w:p>
      <w:pPr>
        <w:spacing w:after="0" w:line="101"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We and third parties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EEA and comparable foreign regulatory authorities for any drugs in clinical development. The FDA enforces GCP requirements through periodic inspections of clinical trial sponsors, principal investigators and trial sites. If we or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 In addition, our clinical trials must be conducted with product candidates produced under cGMP regulations. Our failure or the failure of third parties to comply with these regulations may require us to repeat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07"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Although we intend to design the clinical trials for our product candidates, or be involved in the design when other parties sponsor the trials, third parties conduct all of the clinical trials. For example, Amgen will conduct the planned Phase 1b trial evaluating the combination of RMC-4630 and AMG510. As a result, many important aspects of our clinical development, including their conduct and timing, will be outside of our direct control. Our reliance on third parties to conduct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6" w:lineRule="exact"/>
        <w:rPr>
          <w:sz w:val="20"/>
          <w:szCs w:val="20"/>
          <w:color w:val="auto"/>
        </w:rPr>
      </w:pPr>
    </w:p>
    <w:p>
      <w:pPr>
        <w:ind w:left="420" w:hanging="216"/>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have staffing difficulties;</w:t>
      </w:r>
    </w:p>
    <w:p>
      <w:pPr>
        <w:ind w:left="420" w:hanging="216"/>
        <w:spacing w:after="0" w:line="234"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ind w:left="420" w:hanging="216"/>
        <w:spacing w:after="0" w:line="234"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ind w:left="420" w:hanging="216"/>
        <w:spacing w:after="0" w:line="234" w:lineRule="auto"/>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ind w:left="420" w:hanging="216"/>
        <w:spacing w:after="0"/>
        <w:tabs>
          <w:tab w:leader="none" w:pos="4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04" w:lineRule="exact"/>
        <w:rPr>
          <w:sz w:val="20"/>
          <w:szCs w:val="20"/>
          <w:color w:val="auto"/>
        </w:rPr>
      </w:pPr>
    </w:p>
    <w:p>
      <w:pPr>
        <w:ind w:left="200" w:right="520"/>
        <w:spacing w:after="0" w:line="239"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clinical trials in a satisfactory manner, breach their obligations to us or fail to comply with regulatory requirements, the development, marketing approval and commercialization of our product candidates may be delayed, we may not be able to obtain marketing approval and commercialize our product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0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on commercially reasonable terms, or at all. If CROs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81" w:lineRule="exact"/>
        <w:rPr>
          <w:sz w:val="20"/>
          <w:szCs w:val="20"/>
          <w:color w:val="auto"/>
        </w:rPr>
      </w:pPr>
    </w:p>
    <w:p>
      <w:pPr>
        <w:ind w:left="200" w:right="240"/>
        <w:spacing w:after="0" w:line="244" w:lineRule="auto"/>
        <w:rPr>
          <w:sz w:val="20"/>
          <w:szCs w:val="20"/>
          <w:color w:val="auto"/>
        </w:rPr>
      </w:pPr>
      <w:r>
        <w:rPr>
          <w:rFonts w:ascii="Arial" w:cs="Arial" w:eastAsia="Arial" w:hAnsi="Arial"/>
          <w:sz w:val="18"/>
          <w:szCs w:val="18"/>
          <w:b w:val="1"/>
          <w:bCs w:val="1"/>
          <w:i w:val="1"/>
          <w:iCs w:val="1"/>
          <w:color w:val="auto"/>
        </w:rPr>
        <w:t>We rely on third parties to manufacture preclinical and clinical drug supplies, and we intend to rely on third parties to produce commercial supplies of any approved product which increases the risk that we will not have sufficient quantities of such product candidates or products or such quantities at an acceptable cost, which could delay, prevent or impair our development or commercialization efforts.</w:t>
      </w:r>
    </w:p>
    <w:p>
      <w:pPr>
        <w:spacing w:after="0" w:line="9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We do not own or operate manufacturing facilities for the production of preclinical,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preclinical, clinical or commercial scale. We rely on third parties for supply of our preclinical and clinical drug supplies (including key starting and intermediate materials), and our strategy is to outsource all manufacturing of our product candidates and products to third parties, including Sanofi.</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order to conduct clinical trials of product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spacing w:after="0" w:line="100" w:lineRule="exact"/>
        <w:rPr>
          <w:sz w:val="20"/>
          <w:szCs w:val="20"/>
          <w:color w:val="auto"/>
        </w:rPr>
      </w:pPr>
    </w:p>
    <w:p>
      <w:pPr>
        <w:jc w:val="both"/>
        <w:ind w:left="200" w:right="20"/>
        <w:spacing w:after="0" w:line="281" w:lineRule="auto"/>
        <w:rPr>
          <w:sz w:val="20"/>
          <w:szCs w:val="20"/>
          <w:color w:val="auto"/>
        </w:rPr>
      </w:pPr>
      <w:r>
        <w:rPr>
          <w:rFonts w:ascii="Arial" w:cs="Arial" w:eastAsia="Arial" w:hAnsi="Arial"/>
          <w:sz w:val="16"/>
          <w:szCs w:val="16"/>
          <w:color w:val="auto"/>
        </w:rPr>
        <w:t>Our use of new third-party manufacturers increases the risk of delays in production or insufficient supplies of our product candidates (and the key starting and intermediate materials for such product candidates) as we transfer our manufacturing technology to these manufacturers and as they gain experience manufacturing our product candidates (and the key starting and intermediate materials for such product candidates).</w:t>
      </w:r>
    </w:p>
    <w:p>
      <w:pPr>
        <w:spacing w:after="0" w:line="70"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Even after a third-party manufacturer has gained significant experience in manufacturing our product candidates (or the key starting and intermediate materials for such product candidates) or even if we believe we have succeeded in optimizing the manufacturing process, there can be no assurance that such manufacturer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will produce sufficient quantities of our product candidates (or the key starting and intermediate materials for such product candidates) in a timely manner or continuously over time, or at all.</w:t>
      </w:r>
    </w:p>
    <w:p>
      <w:pPr>
        <w:spacing w:after="0" w:line="101" w:lineRule="exact"/>
        <w:rPr>
          <w:sz w:val="20"/>
          <w:szCs w:val="20"/>
          <w:color w:val="auto"/>
        </w:rPr>
      </w:pPr>
    </w:p>
    <w:p>
      <w:pPr>
        <w:jc w:val="both"/>
        <w:ind w:left="200" w:right="120"/>
        <w:spacing w:after="0" w:line="238" w:lineRule="auto"/>
        <w:rPr>
          <w:sz w:val="20"/>
          <w:szCs w:val="20"/>
          <w:color w:val="auto"/>
        </w:rPr>
      </w:pPr>
      <w:r>
        <w:rPr>
          <w:rFonts w:ascii="Arial" w:cs="Arial" w:eastAsia="Arial" w:hAnsi="Arial"/>
          <w:sz w:val="18"/>
          <w:szCs w:val="18"/>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00" w:lineRule="exact"/>
        <w:rPr>
          <w:sz w:val="20"/>
          <w:szCs w:val="20"/>
          <w:color w:val="auto"/>
        </w:rPr>
      </w:pPr>
    </w:p>
    <w:p>
      <w:pPr>
        <w:jc w:val="both"/>
        <w:ind w:left="200" w:right="80"/>
        <w:spacing w:after="0" w:line="237"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p>
    <w:p>
      <w:pPr>
        <w:spacing w:after="0" w:line="114" w:lineRule="exact"/>
        <w:rPr>
          <w:sz w:val="20"/>
          <w:szCs w:val="20"/>
          <w:color w:val="auto"/>
        </w:rPr>
      </w:pPr>
    </w:p>
    <w:p>
      <w:pPr>
        <w:ind w:left="420" w:hanging="216"/>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0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03"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Our future product candidates and any products that we may develop may compete with other product candidates and products for access to manufacturing facilities. There are a limited number of manufacturers that operate under cGMP requirements particularly for the development of monoclonal antibodies, and that might be capable of manufacturing for us.</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If the third parties that we engage to supply any materials or manufacture product for our preclinical tests and clinical trials should cease to continue to do so for any reason,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spacing w:after="0" w:line="103" w:lineRule="exact"/>
        <w:rPr>
          <w:sz w:val="20"/>
          <w:szCs w:val="20"/>
          <w:color w:val="auto"/>
        </w:rPr>
      </w:pPr>
    </w:p>
    <w:p>
      <w:pPr>
        <w:ind w:left="200" w:right="820"/>
        <w:spacing w:after="0" w:line="238"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the key starting and intermediate materials for such product candidates) may adversely affect our future profit margins and our ability to develop product candidates and commercialize any products that receive marketing approval on a timely and competitive basis.</w:t>
      </w:r>
    </w:p>
    <w:p>
      <w:pPr>
        <w:spacing w:after="0" w:line="80" w:lineRule="exact"/>
        <w:rPr>
          <w:sz w:val="20"/>
          <w:szCs w:val="20"/>
          <w:color w:val="auto"/>
        </w:rPr>
      </w:pPr>
    </w:p>
    <w:p>
      <w:pPr>
        <w:ind w:left="200" w:right="440"/>
        <w:spacing w:after="0" w:line="244" w:lineRule="auto"/>
        <w:rPr>
          <w:sz w:val="20"/>
          <w:szCs w:val="20"/>
          <w:color w:val="auto"/>
        </w:rPr>
      </w:pPr>
      <w:r>
        <w:rPr>
          <w:rFonts w:ascii="Arial" w:cs="Arial" w:eastAsia="Arial" w:hAnsi="Arial"/>
          <w:sz w:val="18"/>
          <w:szCs w:val="18"/>
          <w:b w:val="1"/>
          <w:bCs w:val="1"/>
          <w:i w:val="1"/>
          <w:iCs w:val="1"/>
          <w:color w:val="auto"/>
        </w:rPr>
        <w:t>Our future relationships with customers and third-party payors in the United States and elsewhere may be subject, directly or indirectly, to applicable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97"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marketing</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approval. Our future arrangements with third-party payors and customers may expose us to broadly applicable fraud and abuse and other healthcare laws and regulations, including, without limitation, the federal Anti-Kickback Statute and the federal False Claims Act, or FCA, which may constrain the business or financial arrangements and relationships through which we sell, market and distribute any products for which we obtain marketing approval. In addition, we may be subject to transparency laws and patient privacy regulation by the U.S. federal and state governments and by governments in foreign jurisdictions in which we conduct our business. The applicable federal, state and foreign healthcare laws and regulations that may affect our ability to operate include:</w:t>
      </w:r>
    </w:p>
    <w:p>
      <w:pPr>
        <w:spacing w:after="0" w:line="116" w:lineRule="exact"/>
        <w:rPr>
          <w:sz w:val="20"/>
          <w:szCs w:val="20"/>
          <w:color w:val="auto"/>
        </w:rPr>
      </w:pPr>
    </w:p>
    <w:p>
      <w:pPr>
        <w:ind w:left="420" w:right="20" w:hanging="216"/>
        <w:spacing w:after="0" w:line="235"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In addition, the government may assert that a claim including items or services resulting from a violation of the federal Anti-Kickback Statute constitutes a false or fraudulent claim for purposes of the FCA.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120" w:lineRule="exact"/>
        <w:rPr>
          <w:rFonts w:ascii="Arial" w:cs="Arial" w:eastAsia="Arial" w:hAnsi="Arial"/>
          <w:sz w:val="18"/>
          <w:szCs w:val="18"/>
          <w:color w:val="auto"/>
        </w:rPr>
      </w:pPr>
    </w:p>
    <w:p>
      <w:pPr>
        <w:ind w:left="420" w:right="100" w:hanging="216"/>
        <w:spacing w:after="0" w:line="237"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civil and criminal false claims laws and civil monetary penalty laws, including the FCA,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w:t>
      </w:r>
    </w:p>
    <w:p>
      <w:pPr>
        <w:spacing w:after="0" w:line="114" w:lineRule="exact"/>
        <w:rPr>
          <w:rFonts w:ascii="Arial" w:cs="Arial" w:eastAsia="Arial" w:hAnsi="Arial"/>
          <w:sz w:val="18"/>
          <w:szCs w:val="18"/>
          <w:color w:val="auto"/>
        </w:rPr>
      </w:pPr>
    </w:p>
    <w:p>
      <w:pPr>
        <w:ind w:left="420" w:hanging="216"/>
        <w:spacing w:after="0" w:line="236"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114" w:lineRule="exact"/>
        <w:rPr>
          <w:rFonts w:ascii="Arial" w:cs="Arial" w:eastAsia="Arial" w:hAnsi="Arial"/>
          <w:sz w:val="18"/>
          <w:szCs w:val="18"/>
          <w:color w:val="auto"/>
        </w:rPr>
      </w:pPr>
    </w:p>
    <w:p>
      <w:pPr>
        <w:ind w:left="420" w:right="100" w:hanging="216"/>
        <w:spacing w:after="0" w:line="236"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or HITECH, and their respective implementing regulations, which impose, among other things, specified requirements relating to the privacy, security and transmission of individually identifiable health information held by covered entities and their business associates.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15" w:lineRule="exact"/>
        <w:rPr>
          <w:rFonts w:ascii="Arial" w:cs="Arial" w:eastAsia="Arial" w:hAnsi="Arial"/>
          <w:sz w:val="18"/>
          <w:szCs w:val="18"/>
          <w:color w:val="auto"/>
        </w:rPr>
      </w:pPr>
    </w:p>
    <w:p>
      <w:pPr>
        <w:ind w:left="420" w:right="220" w:hanging="216"/>
        <w:spacing w:after="0" w:line="238" w:lineRule="auto"/>
        <w:tabs>
          <w:tab w:leader="none" w:pos="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200"/>
        <w:spacing w:after="0" w:line="238" w:lineRule="auto"/>
        <w:rPr>
          <w:sz w:val="20"/>
          <w:szCs w:val="20"/>
          <w:color w:val="auto"/>
        </w:rPr>
      </w:pPr>
      <w:r>
        <w:rPr>
          <w:rFonts w:ascii="Arial" w:cs="Arial" w:eastAsia="Arial" w:hAnsi="Arial"/>
          <w:sz w:val="18"/>
          <w:szCs w:val="18"/>
          <w:color w:val="auto"/>
        </w:rPr>
        <w:t>annually to CMS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w:t>
      </w:r>
    </w:p>
    <w:p>
      <w:pPr>
        <w:spacing w:after="0" w:line="114" w:lineRule="exact"/>
        <w:rPr>
          <w:sz w:val="20"/>
          <w:szCs w:val="20"/>
          <w:color w:val="auto"/>
        </w:rPr>
      </w:pPr>
    </w:p>
    <w:p>
      <w:pPr>
        <w:ind w:left="420" w:right="180" w:hanging="216"/>
        <w:spacing w:after="0" w:line="239" w:lineRule="auto"/>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114" w:lineRule="exact"/>
        <w:rPr>
          <w:rFonts w:ascii="Arial" w:cs="Arial" w:eastAsia="Arial" w:hAnsi="Arial"/>
          <w:sz w:val="18"/>
          <w:szCs w:val="18"/>
          <w:color w:val="auto"/>
        </w:rPr>
      </w:pPr>
    </w:p>
    <w:p>
      <w:pPr>
        <w:ind w:left="420" w:right="40" w:hanging="216"/>
        <w:spacing w:after="0" w:line="235" w:lineRule="auto"/>
        <w:tabs>
          <w:tab w:leader="none" w:pos="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state laws that require drug manufacturers to report information related to payments and other transfers of value to physicians and other healthcare providers or marketing expenditures; and healthcare and data protection laws in the European Union and other jurisdictions, including reporting requirements detailing interactions with and payments to healthcare providers and laws governing the privacy and security of certain protected information, such as the General Data Protection Regulation, or GDPR, which imposes obligations and restrictions on the collection and use of personal data relating to individuals located in the European Economic Area, or the EEA, and the United Kingdom (including health data).</w:t>
      </w:r>
    </w:p>
    <w:p>
      <w:pPr>
        <w:spacing w:after="0" w:line="107"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77" w:lineRule="exact"/>
        <w:rPr>
          <w:sz w:val="20"/>
          <w:szCs w:val="20"/>
          <w:color w:val="auto"/>
        </w:rPr>
      </w:pPr>
    </w:p>
    <w:p>
      <w:pPr>
        <w:ind w:left="200" w:right="20"/>
        <w:spacing w:after="0" w:line="269"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product candidate we develop outside the United States will also likely subject us to foreign equivalents of the healthcare laws mentioned above, among other foreign laws.</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intellectual property</w:t>
      </w:r>
    </w:p>
    <w:p>
      <w:pPr>
        <w:spacing w:after="0" w:line="114" w:lineRule="exact"/>
        <w:rPr>
          <w:sz w:val="20"/>
          <w:szCs w:val="20"/>
          <w:color w:val="auto"/>
        </w:rPr>
      </w:pPr>
    </w:p>
    <w:p>
      <w:pPr>
        <w:ind w:left="200"/>
        <w:spacing w:after="0" w:line="244" w:lineRule="auto"/>
        <w:rPr>
          <w:sz w:val="20"/>
          <w:szCs w:val="20"/>
          <w:color w:val="auto"/>
        </w:rPr>
      </w:pPr>
      <w:r>
        <w:rPr>
          <w:rFonts w:ascii="Arial" w:cs="Arial" w:eastAsia="Arial" w:hAnsi="Arial"/>
          <w:sz w:val="18"/>
          <w:szCs w:val="18"/>
          <w:b w:val="1"/>
          <w:bCs w:val="1"/>
          <w:i w:val="1"/>
          <w:iCs w:val="1"/>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97" w:lineRule="exact"/>
        <w:rPr>
          <w:sz w:val="20"/>
          <w:szCs w:val="20"/>
          <w:color w:val="auto"/>
        </w:rPr>
      </w:pPr>
    </w:p>
    <w:p>
      <w:pPr>
        <w:ind w:left="200" w:right="60"/>
        <w:spacing w:after="0" w:line="268" w:lineRule="auto"/>
        <w:rPr>
          <w:sz w:val="20"/>
          <w:szCs w:val="20"/>
          <w:color w:val="auto"/>
        </w:rPr>
      </w:pPr>
      <w:r>
        <w:rPr>
          <w:rFonts w:ascii="Arial" w:cs="Arial" w:eastAsia="Arial" w:hAnsi="Arial"/>
          <w:sz w:val="16"/>
          <w:szCs w:val="16"/>
          <w:color w:val="auto"/>
        </w:rPr>
        <w:t>Our success depends in significant part on our ability and the ability of our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If we and our collaborators are unable to obtain and maintain sufficient intellectual property protection for RMC-4630 or other product candidates that we may identify, or if the scope of the intellectual property protection obtained is not sufficiently broad, our competitors and other third parties could develop and commercialize product candidates similar or identical to ours, and our ability (and the ability of our collaborators) to successfully commercialize RMC-4630 and other product candidates that we (and our collaborators) may pursue may be impaired. We do not have any issued patents with respect to our SHP2 program, including RMC-4630, and we can provide no assurance that any of our current or future patent applications will result in issued patents or that any issued patents will provide us with any competitive advantage. Failure to obtain such issued patents could have a material adverse effect on our and Sanofi’s ability to develop and commercialize SHP2 inhibitor products, including RMC-4630, and on our ability to receive milestone, royalty or other payments from Sanofi pursuant to the Sanofi Agreement.</w:t>
      </w:r>
    </w:p>
    <w:p>
      <w:pPr>
        <w:spacing w:after="0" w:line="282"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seek to protect our proprietary positions by, among other things, filing patent applications in the United States and abroad related to RMC-4630 or other product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prosecution and maintenance of patent applications, or to maintain the rights to patents licensed to or from third parties.</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Further, we may not be aware of all third-party intellectual property rights 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00"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before the patent is issued, and its scope can be reinterpreted after issuance. Therefore, our pending and future patent applications may not result in patents being issued in relevant jurisdictions that protect our product candidates, in whole or in part, or which effectively prevent others from</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commercializing competitive product candidates, and even if our patent applications issue as patents in relevant jurisdictions, they may not issue in a form that will provide us with any meaningful protection for our product candidates or technology, prevent competitors from competing with us or otherwise provide us with any competitive advantage. Additionally, our competitors may be able to circumvent our patents by developing similar or alternative product candidates or technologies in a non-infringing manner.</w:t>
      </w:r>
    </w:p>
    <w:p>
      <w:pPr>
        <w:spacing w:after="0" w:line="101" w:lineRule="exact"/>
        <w:rPr>
          <w:sz w:val="20"/>
          <w:szCs w:val="20"/>
          <w:color w:val="auto"/>
        </w:rPr>
      </w:pPr>
    </w:p>
    <w:p>
      <w:pPr>
        <w:ind w:left="200" w:right="20"/>
        <w:spacing w:after="0" w:line="267"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or the USPTO, or become involved in opposition, derivation, revocation,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freedom to operate, patent claims being narrowed, invalidated or held unenforceable, in whole or in part, limit the scope or duration of the patent protection of our product candidates, all of which could limit our ability to stop others from using or commercializing similar or identical product candidates or technology to compete directly with us, without payment to us, or result in our inability to manufacture or commercialize products without infringing third-party patent rights.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have a material adverse effect on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81" w:lineRule="exact"/>
        <w:rPr>
          <w:sz w:val="20"/>
          <w:szCs w:val="20"/>
          <w:color w:val="auto"/>
        </w:rPr>
      </w:pPr>
    </w:p>
    <w:p>
      <w:pPr>
        <w:ind w:left="200" w:right="160"/>
        <w:spacing w:after="0" w:line="235" w:lineRule="auto"/>
        <w:rPr>
          <w:sz w:val="20"/>
          <w:szCs w:val="20"/>
          <w:color w:val="auto"/>
        </w:rPr>
      </w:pPr>
      <w:r>
        <w:rPr>
          <w:rFonts w:ascii="Arial" w:cs="Arial" w:eastAsia="Arial" w:hAnsi="Arial"/>
          <w:sz w:val="18"/>
          <w:szCs w:val="18"/>
          <w:color w:val="auto"/>
        </w:rPr>
        <w:t>In addition,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owned or licensed patents and patent applications are, and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87" w:lineRule="exact"/>
        <w:rPr>
          <w:sz w:val="20"/>
          <w:szCs w:val="20"/>
          <w:color w:val="auto"/>
        </w:rPr>
      </w:pPr>
    </w:p>
    <w:p>
      <w:pPr>
        <w:ind w:left="200" w:right="180"/>
        <w:spacing w:after="0" w:line="244" w:lineRule="auto"/>
        <w:rPr>
          <w:sz w:val="20"/>
          <w:szCs w:val="20"/>
          <w:color w:val="auto"/>
        </w:rPr>
      </w:pPr>
      <w:r>
        <w:rPr>
          <w:rFonts w:ascii="Arial" w:cs="Arial" w:eastAsia="Arial" w:hAnsi="Arial"/>
          <w:sz w:val="18"/>
          <w:szCs w:val="18"/>
          <w:b w:val="1"/>
          <w:bCs w:val="1"/>
          <w:i w:val="1"/>
          <w:iCs w:val="1"/>
          <w:color w:val="auto"/>
        </w:rPr>
        <w:t>We have entered into licensing agreements with third parties. If we fail to comply with our obligations in the agreements under which we license intellectual property rights to or from third parties, or these agreements are terminated, or we otherwise experience disruptions to our business relationships with our licensors or licensees, our competitive position, business, financial condition, results of operations and prospects could be harmed.</w:t>
      </w:r>
    </w:p>
    <w:p>
      <w:pPr>
        <w:spacing w:after="0" w:line="9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to patent and other intellectual property rights we own or co-own, we have licensed, and may in the future license, patent and other intellectual property rights to and from other parties. Licenses may not provide us with exclusive rights to use the applicable intellectual property and technology in all relevant fields of use and in all territories in which we may wish to develop or commercialize our products and technology in the future. As a result, we may not be able to prevent competitors from developing and commercializing competitive products or technologies.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in June 2018, we entered into the Sanofi Agreement, wherein we exclusively licensed the worldwide rights in our SHP2 inhibitor program, including RMC-4630, to Sanofi. Although we have review and comment rights regarding patent prosecution decisions, Sanofi retains ultimate decision-making control, as well as the sole and exclusive right to enforce infringement of or defend claims against patents that relate to SHP2 inhibitor products licensed to it pursuant to the Sanofi Agreement. Consequently, any such licensed patents and applications may not be prepared, filed, prosecuted, maintained, enforced, and defended in a manner consistent with the best interests of our business. If our current or future licensors, licensees or collaborators fail to prepare, file, prosecute, maintain, enforce, and defend licensed patents and other intellectual property rights, such rights may be reduced or eliminated, and our right to develop and commercialize any of our product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07"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If we fail to comply with our obligations in the agreements under which we license intellectual property rights from third parties, the licensor may have the right to terminate the license. If these agreements are terminated, the underlying patents fail to provide the intended exclusivity or we otherwise experience disruptions to our business relationships with our licensors, we could lose intellectual property rights that are important to our business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28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addition, the research resulting in certain of our owned and in-licensed patent rights and technology was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07"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114" w:lineRule="exact"/>
        <w:rPr>
          <w:sz w:val="20"/>
          <w:szCs w:val="20"/>
          <w:color w:val="auto"/>
        </w:rPr>
      </w:pPr>
    </w:p>
    <w:p>
      <w:pPr>
        <w:ind w:left="5620" w:right="3340" w:hanging="5416"/>
        <w:spacing w:after="0" w:line="411" w:lineRule="auto"/>
        <w:tabs>
          <w:tab w:leader="none" w:pos="42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 48</w:t>
      </w:r>
    </w:p>
    <w:p>
      <w:pPr>
        <w:sectPr>
          <w:pgSz w:w="11900" w:h="16838" w:orient="portrait"/>
          <w:cols w:equalWidth="0" w:num="1">
            <w:col w:w="11160"/>
          </w:cols>
          <w:pgMar w:left="240" w:top="459" w:right="4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480" w:hanging="216"/>
        <w:spacing w:after="0" w:line="239" w:lineRule="auto"/>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on intellectual property of the other party that are not subject to the licensing agreement;</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product candidates, and what activities satisfy those diligence obligations;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10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03"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color w:val="auto"/>
        </w:rPr>
        <w:t>In addition, if our licensors fail to abide by the terms of the license, if the licensors fail to prevent infringement by third parties or if the licensed patents or other rights are found to be invalid or unenforceable, our business, competitive position, financial condition, results of operations and prospects could be materially harmed. For more information regarding our license agreements, see “Business—Collaboration agreement with Sanofi.” Any of the foregoing could harm our competitive position, business, financial condition, results of operations and prospects.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00"/>
          </w:cols>
          <w:pgMar w:left="24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80"/>
        <w:spacing w:after="0" w:line="325"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product candidates.</w:t>
      </w:r>
    </w:p>
    <w:p>
      <w:pPr>
        <w:spacing w:after="0" w:line="35"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w:t>
      </w:r>
    </w:p>
    <w:p>
      <w:pPr>
        <w:spacing w:after="0" w:line="10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24"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for a meaningful amount of time, or at all.</w:t>
      </w:r>
    </w:p>
    <w:p>
      <w:pPr>
        <w:spacing w:after="0" w:line="100" w:lineRule="exact"/>
        <w:rPr>
          <w:sz w:val="20"/>
          <w:szCs w:val="20"/>
          <w:color w:val="auto"/>
        </w:rPr>
      </w:pPr>
    </w:p>
    <w:p>
      <w:pPr>
        <w:jc w:val="both"/>
        <w:ind w:left="200" w:right="160"/>
        <w:spacing w:after="0" w:line="238" w:lineRule="auto"/>
        <w:rPr>
          <w:sz w:val="20"/>
          <w:szCs w:val="20"/>
          <w:color w:val="auto"/>
        </w:rPr>
      </w:pPr>
      <w:r>
        <w:rPr>
          <w:rFonts w:ascii="Arial" w:cs="Arial" w:eastAsia="Arial" w:hAnsi="Arial"/>
          <w:sz w:val="18"/>
          <w:szCs w:val="18"/>
          <w:color w:val="auto"/>
        </w:rPr>
        <w:t>Depending upon the timing, duration and conditions of any FDA marketing approval of our product candidates, one or more of our owned or licensed U.S. patents may be eligible for limited patent term extension under the Drug Price Competition and Patent Term Restoration Act of 1984, referred to as the Hatch-Waxman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 and our competitive position, business, financial condition, results of operations and prospects could be materially harmed.</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Also, there are detailed rules and requirements regarding the patents that may be submitted to the FDA for listing in the Approved Drug Products with Therapeutic Equivalence Evaluations, or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harm our competitive position, business, financial condition, results of operations and prospects.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07"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issuing and could provoke third parties to assert claims against us. We may not prevail in any lawsuits that we initiate, and the damages or other remedies awarded, if any, may not be commercially meaningful.</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Many foreign countries, including some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This could limit our potential revenue opportunities. Accordingly, our efforts to enforce our intellectual property rights around the world may be inadequate to obtain a significant commercial advantage from the intellectual property that we develop or license, which could adversely affect our business, financial condition, results of operations and prospects.</w:t>
      </w:r>
    </w:p>
    <w:p>
      <w:pPr>
        <w:spacing w:after="0" w:line="81" w:lineRule="exact"/>
        <w:rPr>
          <w:sz w:val="20"/>
          <w:szCs w:val="20"/>
          <w:color w:val="auto"/>
        </w:rPr>
      </w:pPr>
    </w:p>
    <w:p>
      <w:pPr>
        <w:ind w:left="200" w:right="940"/>
        <w:spacing w:after="0" w:line="262"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 candidates.</w:t>
      </w:r>
    </w:p>
    <w:p>
      <w:pPr>
        <w:spacing w:after="0" w:line="8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U.S. Supreme Court has ruled 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spacing w:after="0" w:line="101" w:lineRule="exact"/>
        <w:rPr>
          <w:sz w:val="20"/>
          <w:szCs w:val="20"/>
          <w:color w:val="auto"/>
        </w:rPr>
      </w:pPr>
    </w:p>
    <w:p>
      <w:pPr>
        <w:ind w:left="200" w:right="100"/>
        <w:spacing w:after="0" w:line="266" w:lineRule="auto"/>
        <w:rPr>
          <w:sz w:val="20"/>
          <w:szCs w:val="20"/>
          <w:color w:val="auto"/>
        </w:rPr>
      </w:pPr>
      <w:r>
        <w:rPr>
          <w:rFonts w:ascii="Arial" w:cs="Arial" w:eastAsia="Arial" w:hAnsi="Arial"/>
          <w:sz w:val="16"/>
          <w:szCs w:val="16"/>
          <w:color w:val="auto"/>
        </w:rPr>
        <w:t xml:space="preserve">Recent patent reform legislation could increase the uncertainties and costs surrounding the prosecution of our and our licensors’ or collaborators’ patent applications and the enforcement or defense of our or our licensors’ or collaborators’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or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The USPTO recently developed new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 All of the foregoing could harm our business, financial condition, results of operations and prospects.</w:t>
      </w:r>
    </w:p>
    <w:p>
      <w:pPr>
        <w:spacing w:after="0" w:line="33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60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9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Periodic maintenance fees, renewal fees, annuity fees, and various other fees are required to be paid to the USPTO and foreign patent agencies in several stages over the lifetime of a patent. In certain circumstances, we rely on our licensors and collaborators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or collaborators fail to maintain the patents and patent applications covering our product candidates, our competitors might be able to enter the market with similar or identical products or technology, which would harm our business, financial condition, results of operations and prospects.</w:t>
      </w:r>
    </w:p>
    <w:p>
      <w:pPr>
        <w:spacing w:after="0" w:line="87" w:lineRule="exact"/>
        <w:rPr>
          <w:sz w:val="20"/>
          <w:szCs w:val="20"/>
          <w:color w:val="auto"/>
        </w:rPr>
      </w:pPr>
    </w:p>
    <w:p>
      <w:pPr>
        <w:ind w:left="200" w:right="180"/>
        <w:spacing w:after="0" w:line="248"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spacing w:after="0" w:line="94" w:lineRule="exact"/>
        <w:rPr>
          <w:sz w:val="20"/>
          <w:szCs w:val="20"/>
          <w:color w:val="auto"/>
        </w:rPr>
      </w:pPr>
    </w:p>
    <w:p>
      <w:pPr>
        <w:ind w:left="200" w:right="20"/>
        <w:spacing w:after="0" w:line="267" w:lineRule="auto"/>
        <w:rPr>
          <w:sz w:val="20"/>
          <w:szCs w:val="20"/>
          <w:color w:val="auto"/>
        </w:rPr>
      </w:pPr>
      <w:r>
        <w:rPr>
          <w:rFonts w:ascii="Arial" w:cs="Arial" w:eastAsia="Arial" w:hAnsi="Arial"/>
          <w:sz w:val="16"/>
          <w:szCs w:val="16"/>
          <w:color w:val="auto"/>
        </w:rPr>
        <w:t>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 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285"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inter</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partes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 Such a loss of patent protection would materially harm our business, financial condition, results of operations and prospects.</w:t>
      </w:r>
    </w:p>
    <w:p>
      <w:pPr>
        <w:spacing w:after="0" w:line="100" w:lineRule="exact"/>
        <w:rPr>
          <w:sz w:val="20"/>
          <w:szCs w:val="20"/>
          <w:color w:val="auto"/>
        </w:rPr>
      </w:pPr>
    </w:p>
    <w:p>
      <w:pPr>
        <w:jc w:val="both"/>
        <w:ind w:left="200" w:right="60"/>
        <w:spacing w:after="0" w:line="237"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01"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01"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 Any of the foregoing events could harm our business, financial condition, results of operation and prospects.</w:t>
      </w:r>
    </w:p>
    <w:p>
      <w:pPr>
        <w:spacing w:after="0" w:line="87" w:lineRule="exact"/>
        <w:rPr>
          <w:sz w:val="20"/>
          <w:szCs w:val="20"/>
          <w:color w:val="auto"/>
        </w:rPr>
      </w:pPr>
    </w:p>
    <w:p>
      <w:pPr>
        <w:ind w:left="200" w:right="60"/>
        <w:spacing w:after="0" w:line="262"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8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considerable intellectual property litigation in the pharmaceutical industry. We may become party to, or threatened with, future adversarial proceedings or litigation regarding intellectual property rights with respect to our product candidates and their manufacture and our other technology, including re-examination, interference, post-grant review, inter partes review or derivation proceedings before the USPTO or an equivalent foreign body.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 regardless of their merit.</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such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prevent us from commercializing our product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product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 Any of the foregoing events would harm our business, financial condition, results of operations and prospects.</w:t>
      </w:r>
    </w:p>
    <w:p>
      <w:pPr>
        <w:spacing w:after="0" w:line="86" w:lineRule="exact"/>
        <w:rPr>
          <w:sz w:val="20"/>
          <w:szCs w:val="20"/>
          <w:color w:val="auto"/>
        </w:rPr>
      </w:pPr>
    </w:p>
    <w:p>
      <w:pPr>
        <w:ind w:left="200" w:right="20"/>
        <w:spacing w:after="0" w:line="262"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infringed upon, misappropriated or otherwise violated their intellectual property rights, or claiming ownership of what we regard as our own intellectual property.</w:t>
      </w:r>
    </w:p>
    <w:p>
      <w:pPr>
        <w:spacing w:after="0" w:line="8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product candidates, are rightfully owned by their former or concurrent employer. Litigation may be necessary to defend against these claims.</w:t>
      </w:r>
    </w:p>
    <w:p>
      <w:pPr>
        <w:spacing w:after="0" w:line="102"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delay development of our product candidates and be a distraction to management. Any of the foregoing events would harm our business, financial condition, results of operations and prospects.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24" w:lineRule="exact"/>
        <w:rPr>
          <w:sz w:val="20"/>
          <w:szCs w:val="20"/>
          <w:color w:val="auto"/>
        </w:rPr>
      </w:pPr>
    </w:p>
    <w:p>
      <w:pPr>
        <w:ind w:left="200" w:right="440"/>
        <w:spacing w:after="0" w:line="275"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While it is our policy to require our employees and contractors who may be involved in the development of intellectual</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80" w:lineRule="exact"/>
        <w:rPr>
          <w:sz w:val="20"/>
          <w:szCs w:val="20"/>
          <w:color w:val="auto"/>
        </w:rPr>
      </w:pPr>
    </w:p>
    <w:p>
      <w:pPr>
        <w:ind w:left="200" w:right="800"/>
        <w:spacing w:after="0" w:line="262"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81"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product candidates, if approved. Any of the foregoing events would harm our business, financial condition, results of operations and prospects.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rely on trade secrets and confidentiality agreements to protect our unpatented know-how, technology and other proprietary information (including unpatented know-how associated with Warp Drive)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such agreements with each party that may have or has had access to our trade secrets or proprietary technology and processes. Despite these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products that we consider proprietary. Monitoring unauthorized uses and disclosures is difficult, and we do not know whether the steps we have taken to protect our proprietary information will be effective.</w:t>
      </w:r>
    </w:p>
    <w:p>
      <w:pPr>
        <w:spacing w:after="0" w:line="107"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80"/>
          </w:cols>
          <w:pgMar w:left="24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83" w:lineRule="exact"/>
        <w:rPr>
          <w:sz w:val="20"/>
          <w:szCs w:val="20"/>
          <w:color w:val="auto"/>
        </w:rPr>
      </w:pPr>
    </w:p>
    <w:p>
      <w:pPr>
        <w:ind w:left="200" w:right="100"/>
        <w:spacing w:after="0" w:line="262"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8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business, financial condition, results of operations and prospects.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24"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4" w:lineRule="exact"/>
        <w:rPr>
          <w:sz w:val="20"/>
          <w:szCs w:val="20"/>
          <w:color w:val="auto"/>
        </w:rPr>
      </w:pPr>
    </w:p>
    <w:p>
      <w:pPr>
        <w:ind w:left="420" w:right="240" w:hanging="216"/>
        <w:spacing w:after="0" w:line="239"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the patents that we license or may own in the future;</w:t>
      </w:r>
    </w:p>
    <w:p>
      <w:pPr>
        <w:spacing w:after="0" w:line="114" w:lineRule="exact"/>
        <w:rPr>
          <w:rFonts w:ascii="Arial" w:cs="Arial" w:eastAsia="Arial" w:hAnsi="Arial"/>
          <w:sz w:val="18"/>
          <w:szCs w:val="18"/>
          <w:color w:val="auto"/>
        </w:rPr>
      </w:pPr>
    </w:p>
    <w:p>
      <w:pPr>
        <w:ind w:left="420" w:right="200" w:hanging="216"/>
        <w:spacing w:after="0" w:line="239"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current or future licensors might not have been the first to make the inventions covered by the issued patent or pending patent application that we license or may own in the future;</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or our current or future licensors might not have been the first to file patent applications covering certain of our or their inventions;</w:t>
      </w:r>
    </w:p>
    <w:p>
      <w:pPr>
        <w:spacing w:after="0" w:line="117" w:lineRule="exact"/>
        <w:rPr>
          <w:rFonts w:ascii="Arial" w:cs="Arial" w:eastAsia="Arial" w:hAnsi="Arial"/>
          <w:sz w:val="18"/>
          <w:szCs w:val="18"/>
          <w:color w:val="auto"/>
        </w:rPr>
      </w:pPr>
    </w:p>
    <w:p>
      <w:pPr>
        <w:ind w:left="420" w:right="220" w:hanging="216"/>
        <w:spacing w:after="0" w:line="239"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114"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520" w:hanging="216"/>
        <w:spacing w:after="0" w:line="239" w:lineRule="auto"/>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420" w:right="120" w:hanging="216"/>
        <w:spacing w:after="0" w:line="239" w:lineRule="auto"/>
        <w:tabs>
          <w:tab w:leader="none" w:pos="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Should any of these events occur, they could harm our business, financial condition, results of operations and prospects.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employee matters, managing our growth and other risks related to our business</w:t>
      </w:r>
    </w:p>
    <w:p>
      <w:pPr>
        <w:spacing w:after="0" w:line="114" w:lineRule="exact"/>
        <w:rPr>
          <w:sz w:val="20"/>
          <w:szCs w:val="20"/>
          <w:color w:val="auto"/>
        </w:rPr>
      </w:pPr>
    </w:p>
    <w:p>
      <w:pPr>
        <w:ind w:left="200" w:right="160"/>
        <w:spacing w:after="0" w:line="262"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81"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The loss of the services of one or more of our key personnel might impede the achievement of our research, development and commercialization objectives.</w:t>
      </w:r>
    </w:p>
    <w:p>
      <w:pPr>
        <w:spacing w:after="0" w:line="101"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Recruiting and retaining qualified employees, consultants and advisors for our business, including scientific and technical personnel, also will be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 and have a material adverse effect on our business, financial condition, results of operations and prospects.</w:t>
      </w:r>
    </w:p>
    <w:p>
      <w:pPr>
        <w:spacing w:after="0" w:line="81" w:lineRule="exact"/>
        <w:rPr>
          <w:sz w:val="20"/>
          <w:szCs w:val="20"/>
          <w:color w:val="auto"/>
        </w:rPr>
      </w:pPr>
    </w:p>
    <w:p>
      <w:pPr>
        <w:ind w:left="200"/>
        <w:spacing w:after="0" w:line="262"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8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73" w:lineRule="auto"/>
        <w:rPr>
          <w:sz w:val="20"/>
          <w:szCs w:val="20"/>
          <w:color w:val="auto"/>
        </w:rPr>
      </w:pPr>
      <w:r>
        <w:rPr>
          <w:rFonts w:ascii="Arial" w:cs="Arial" w:eastAsia="Arial" w:hAnsi="Arial"/>
          <w:sz w:val="16"/>
          <w:szCs w:val="16"/>
          <w:color w:val="auto"/>
        </w:rPr>
        <w:t>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 If we are not successful in commercializing products, either on our own or through arrangements with one or more third parties, we may not be able to generate any future product revenue and we would incur significant additional losses.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12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As of September 30, 2019, we had 90 full-time employees, including 74 employees engaged in research and development. As our development and commercialization plans and strategies develop,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114" w:lineRule="exact"/>
        <w:rPr>
          <w:sz w:val="20"/>
          <w:szCs w:val="20"/>
          <w:color w:val="auto"/>
        </w:rPr>
      </w:pPr>
    </w:p>
    <w:p>
      <w:pPr>
        <w:ind w:left="420" w:hanging="216"/>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420" w:right="180" w:hanging="216"/>
        <w:spacing w:after="0" w:line="239" w:lineRule="auto"/>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RMC-4630 and any other product candidate we develop, while complying with our contractual obligations to contractors and other third parties;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10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Our future financial performance and our ability to advance development of and, if approved, commercialize RMC-4630 and any other product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0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substantially all aspects of marketing approval,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00" w:lineRule="exact"/>
        <w:rPr>
          <w:sz w:val="20"/>
          <w:szCs w:val="20"/>
          <w:color w:val="auto"/>
        </w:rPr>
      </w:pPr>
    </w:p>
    <w:p>
      <w:pPr>
        <w:jc w:val="both"/>
        <w:ind w:left="200" w:right="200"/>
        <w:spacing w:after="0" w:line="238"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RMC-4630 and any future product candidates we develop and, accordingly, may not achieve our research, development and commercialization goals.</w:t>
      </w:r>
    </w:p>
    <w:p>
      <w:pPr>
        <w:spacing w:after="0" w:line="80"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b w:val="1"/>
          <w:bCs w:val="1"/>
          <w:i w:val="1"/>
          <w:iCs w:val="1"/>
          <w:color w:val="auto"/>
        </w:rPr>
        <w:t>We have in the past engaged and may in the future engage in strategic transactions; such transactions could affect our liquidity, dilute our existing stockholders, increase our expenses and present significant challenges in focus and energy to our management or prove not to be successful.</w:t>
      </w:r>
    </w:p>
    <w:p>
      <w:pPr>
        <w:spacing w:after="0" w:line="94" w:lineRule="exact"/>
        <w:rPr>
          <w:sz w:val="20"/>
          <w:szCs w:val="20"/>
          <w:color w:val="auto"/>
        </w:rPr>
      </w:pPr>
    </w:p>
    <w:p>
      <w:pPr>
        <w:ind w:left="200" w:right="800"/>
        <w:spacing w:after="0" w:line="239"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 For example, in October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80"/>
        <w:spacing w:after="0" w:line="239" w:lineRule="auto"/>
        <w:rPr>
          <w:sz w:val="20"/>
          <w:szCs w:val="20"/>
          <w:color w:val="auto"/>
        </w:rPr>
      </w:pPr>
      <w:r>
        <w:rPr>
          <w:rFonts w:ascii="Arial" w:cs="Arial" w:eastAsia="Arial" w:hAnsi="Arial"/>
          <w:sz w:val="18"/>
          <w:szCs w:val="18"/>
          <w:color w:val="auto"/>
        </w:rPr>
        <w:t>2018, we acquired all of the outstanding shares of Warp Drive Bio, which became our direct wholly-owned subsidiary. See “Business— Acquisition of Warp Drive.”</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Additional potential transactions that we may consider in the future include a variety of business arrangements, including spin-offs, strategic partnerships, joint ventures, restructurings, divestitures, business combinations and investments.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80" w:lineRule="exact"/>
        <w:rPr>
          <w:sz w:val="20"/>
          <w:szCs w:val="20"/>
          <w:color w:val="auto"/>
        </w:rPr>
      </w:pPr>
    </w:p>
    <w:p>
      <w:pPr>
        <w:ind w:left="200" w:right="320"/>
        <w:spacing w:after="0" w:line="262"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81"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01"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81" w:lineRule="exact"/>
        <w:rPr>
          <w:sz w:val="20"/>
          <w:szCs w:val="20"/>
          <w:color w:val="auto"/>
        </w:rPr>
      </w:pPr>
    </w:p>
    <w:p>
      <w:pPr>
        <w:ind w:left="200" w:right="740"/>
        <w:spacing w:after="0" w:line="262"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8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both severe earthquakes and wildfires. We do not carry earthquake insurance. Earthquakes, wildfires or other natural disasters could severely disrupt our operations, and have a material adverse effect on our business, results of operations, financial condition and prospects.</w:t>
      </w:r>
    </w:p>
    <w:p>
      <w:pPr>
        <w:spacing w:after="0" w:line="100"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If a natural disaster, power outage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Furthermore, integral parties in our supply chain are similarly vulnerable to natural disasters or other sudden, unforeseen and severe adverse events. If such an event were to affect our supply chain, it could have a material adverse effect on our business.</w:t>
      </w:r>
    </w:p>
    <w:p>
      <w:pPr>
        <w:spacing w:after="0" w:line="81" w:lineRule="exact"/>
        <w:rPr>
          <w:sz w:val="20"/>
          <w:szCs w:val="20"/>
          <w:color w:val="auto"/>
        </w:rPr>
      </w:pPr>
    </w:p>
    <w:p>
      <w:pPr>
        <w:ind w:left="200" w:right="840"/>
        <w:spacing w:after="0" w:line="262" w:lineRule="auto"/>
        <w:rPr>
          <w:sz w:val="20"/>
          <w:szCs w:val="20"/>
          <w:color w:val="auto"/>
        </w:rPr>
      </w:pPr>
      <w:r>
        <w:rPr>
          <w:rFonts w:ascii="Arial" w:cs="Arial" w:eastAsia="Arial" w:hAnsi="Arial"/>
          <w:sz w:val="18"/>
          <w:szCs w:val="18"/>
          <w:b w:val="1"/>
          <w:bCs w:val="1"/>
          <w:i w:val="1"/>
          <w:iCs w:val="1"/>
          <w:color w:val="auto"/>
        </w:rPr>
        <w:t>Our internal computer systems, or those used by our CROs or other contractors or consultants, may fail or suffer security breaches.</w:t>
      </w:r>
    </w:p>
    <w:p>
      <w:pPr>
        <w:spacing w:after="0" w:line="81" w:lineRule="exact"/>
        <w:rPr>
          <w:sz w:val="20"/>
          <w:szCs w:val="20"/>
          <w:color w:val="auto"/>
        </w:rPr>
      </w:pPr>
    </w:p>
    <w:p>
      <w:pPr>
        <w:ind w:left="200" w:right="20"/>
        <w:spacing w:after="0" w:line="268"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other contractors and consultants are vulnerable to damage from computer viruses and unauthorized access. While we have not to our knowledge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marketing approval efforts and significantly increase our costs to recover or reproduce the data. Likewise, we rely on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future product candidates could be delayed.</w:t>
      </w:r>
    </w:p>
    <w:p>
      <w:pPr>
        <w:spacing w:after="0" w:line="62" w:lineRule="exact"/>
        <w:rPr>
          <w:sz w:val="20"/>
          <w:szCs w:val="20"/>
          <w:color w:val="auto"/>
        </w:rPr>
      </w:pPr>
    </w:p>
    <w:p>
      <w:pPr>
        <w:ind w:left="200" w:right="340"/>
        <w:spacing w:after="0" w:line="325" w:lineRule="auto"/>
        <w:rPr>
          <w:sz w:val="20"/>
          <w:szCs w:val="20"/>
          <w:color w:val="auto"/>
        </w:rPr>
      </w:pPr>
      <w:r>
        <w:rPr>
          <w:rFonts w:ascii="Arial" w:cs="Arial" w:eastAsia="Arial" w:hAnsi="Arial"/>
          <w:sz w:val="16"/>
          <w:szCs w:val="16"/>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w:t>
      </w:r>
    </w:p>
    <w:p>
      <w:pPr>
        <w:spacing w:after="0" w:line="35" w:lineRule="exact"/>
        <w:rPr>
          <w:sz w:val="20"/>
          <w:szCs w:val="20"/>
          <w:color w:val="auto"/>
        </w:rPr>
      </w:pPr>
    </w:p>
    <w:p>
      <w:pPr>
        <w:ind w:left="200"/>
        <w:spacing w:after="0" w:line="266" w:lineRule="auto"/>
        <w:rPr>
          <w:sz w:val="20"/>
          <w:szCs w:val="20"/>
          <w:color w:val="auto"/>
        </w:rPr>
      </w:pPr>
      <w:r>
        <w:rPr>
          <w:rFonts w:ascii="Arial" w:cs="Arial" w:eastAsia="Arial" w:hAnsi="Arial"/>
          <w:sz w:val="16"/>
          <w:szCs w:val="16"/>
          <w:color w:val="auto"/>
        </w:rPr>
        <w:t>We are exposed to the risk that our employees, independent contractors, vendors,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3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related to our common stock and this offering</w:t>
      </w:r>
    </w:p>
    <w:p>
      <w:pPr>
        <w:spacing w:after="0" w:line="114" w:lineRule="exact"/>
        <w:rPr>
          <w:sz w:val="20"/>
          <w:szCs w:val="20"/>
          <w:color w:val="auto"/>
        </w:rPr>
      </w:pPr>
    </w:p>
    <w:p>
      <w:pPr>
        <w:ind w:left="200" w:right="520"/>
        <w:spacing w:after="0" w:line="262"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8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initial public offering price of our common stock will be substantially higher than the pro forma as adjusted net tangible book value per share of our common stock. Therefore, if you purchase our common stock in this offering, you will pay a price per share that substantially exceeds the pro forma as adjusted net tangible book value per share after the completion of this offering. Based on an assumed initial public offering price of $15.00 per share, which is the midpoint of the price range set forth on the cover page of this prospectus, you will experience immediate dilution of $10.75 per share, representing the difference between our pro forma as adjusted net tangible book value per share and the assumed initial public offering price. In addition, investors purchasing common stock in this offering will contribute 33% of the total amount invested by stockholders since inception, but will own only 19% of our common stock outstanding after this offering. In the past, we issued options and other securities to acquire common stock at prices significantly below the initial public offering price. To the extent these outstanding securities are ultimately exercised, investors purchasing common stock in this offering will incur further dilution. See “Dilution” for a more detailed description of the dilution to new investors in the offering.</w:t>
      </w:r>
    </w:p>
    <w:p>
      <w:pPr>
        <w:spacing w:after="0" w:line="87" w:lineRule="exact"/>
        <w:rPr>
          <w:sz w:val="20"/>
          <w:szCs w:val="20"/>
          <w:color w:val="auto"/>
        </w:rPr>
      </w:pPr>
    </w:p>
    <w:p>
      <w:pPr>
        <w:ind w:left="200" w:right="100"/>
        <w:spacing w:after="0" w:line="262"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81"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Our stock price is likely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114" w:lineRule="exact"/>
        <w:rPr>
          <w:sz w:val="20"/>
          <w:szCs w:val="20"/>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or those of our competitors;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 or companion diagnostics;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right="360"/>
        <w:spacing w:after="0" w:line="262"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you may not be able to resell your shares at or above the initial public offering price.</w:t>
      </w:r>
    </w:p>
    <w:p>
      <w:pPr>
        <w:spacing w:after="0" w:line="8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Prior to this offering, there has been no public market for shares of our common stock and an active trading market for our shares may never develop or be sustained following this offering. The initial public offering price of our common stock will be determined through negotiations between us and the underwriters. This initial public offering price may not be indicative of the market price of our common stock after this offering. In the absence of an active trading market for our common stock, investors may not be able to sell their common stock at or above the initial public offering price or at the time that they would like to sell.</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We currently intend to invest our future earnings, if any, to fund our growth. Therefore, you are not likely to receive any dividends on your common stock for the foreseeable future. Since we do not intend to pay dividends, your ability to receive a return on your investment will depend on any future appreciation in the market value of our common stock. There is no guarantee that our common stock will appreciate or even maintain the price at which our holders have purchased it.</w:t>
      </w:r>
    </w:p>
    <w:p>
      <w:pPr>
        <w:spacing w:after="0" w:line="83" w:lineRule="exact"/>
        <w:rPr>
          <w:sz w:val="20"/>
          <w:szCs w:val="20"/>
          <w:color w:val="auto"/>
        </w:rPr>
      </w:pPr>
    </w:p>
    <w:p>
      <w:pPr>
        <w:ind w:left="200" w:right="500"/>
        <w:spacing w:after="0" w:line="262"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8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requires the market value of our common stock that is held by non-affiliates to exceed $700.0 million as of the prior June 30th, and (2) the date on which we have issued more than $1.0 billion in non-convertible debt during the prior three-year period.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07" w:lineRule="exact"/>
        <w:rPr>
          <w:sz w:val="20"/>
          <w:szCs w:val="20"/>
          <w:color w:val="auto"/>
        </w:rPr>
      </w:pPr>
    </w:p>
    <w:p>
      <w:pPr>
        <w:ind w:left="200" w:right="300"/>
        <w:spacing w:after="0" w:line="236"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the extended transition period for any other new or revised accounting standards during the period in which we remain an emerging growth company; however, we may adopt certain new or revised accounting standards early. As a result, changes in rules of U.S. generally accepted accounting principles or their interpretation, the adoption of new guidance or the application of existing guidance to changes in our business could significantly affect our financial position and results of operations.</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60"/>
          </w:cols>
          <w:pgMar w:left="240" w:top="459"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00" w:right="600"/>
        <w:spacing w:after="0" w:line="325" w:lineRule="auto"/>
        <w:rPr>
          <w:sz w:val="20"/>
          <w:szCs w:val="20"/>
          <w:color w:val="auto"/>
        </w:rPr>
      </w:pPr>
      <w:r>
        <w:rPr>
          <w:rFonts w:ascii="Arial" w:cs="Arial" w:eastAsia="Arial" w:hAnsi="Arial"/>
          <w:sz w:val="16"/>
          <w:szCs w:val="16"/>
          <w:b w:val="1"/>
          <w:bCs w:val="1"/>
          <w:i w:val="1"/>
          <w:iCs w:val="1"/>
          <w:color w:val="auto"/>
        </w:rPr>
        <w:t>Our executive officers, directors and their affiliates will continue to exercise significant influence over our company after this offering, which will limit your ability to influence corporate matters and could delay or prevent a change in corporate control.</w:t>
      </w:r>
    </w:p>
    <w:p>
      <w:pPr>
        <w:spacing w:after="0" w:line="35"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Immediately following the completion of this offering, our executive officers, directors and their affiliates will beneficially own, in the aggregate, approximately 47.1% of our outstanding common stock, assuming the sale by us of 10,000,000 shares of common stock in this offering, based on an assumed initial public offering price of $15.00 per share, which is the midpoint of the price range set forth on the cover page of this prospectus. As a result, these stockholders, if they act together, will be able to influence our management and affairs and the outcome of matters submitted to our stockholders for approval, including the election of directors and any sale, merger, consolidation or sale of all or substantially all of our assets. These stockholders acquired their shares of common stock for substantially less than the price of the shares of common stock being acquired in this offering, and these stockholders may have interests, with respect to their common stock, that are different from those of investors in this offering, and the concentration of voting power among these stockholders may have an adverse effect on the price of our common stock. In addition, this concentration of ownership might adversely affect the market price of our common stock by:</w:t>
      </w:r>
    </w:p>
    <w:p>
      <w:pPr>
        <w:spacing w:after="0" w:line="121" w:lineRule="exact"/>
        <w:rPr>
          <w:sz w:val="20"/>
          <w:szCs w:val="20"/>
          <w:color w:val="auto"/>
        </w:rPr>
      </w:pPr>
    </w:p>
    <w:p>
      <w:pPr>
        <w:ind w:left="420" w:hanging="216"/>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04" w:lineRule="exact"/>
        <w:rPr>
          <w:sz w:val="20"/>
          <w:szCs w:val="20"/>
          <w:color w:val="auto"/>
        </w:rPr>
      </w:pPr>
    </w:p>
    <w:p>
      <w:pPr>
        <w:ind w:left="200" w:right="700"/>
        <w:spacing w:after="0" w:line="239" w:lineRule="auto"/>
        <w:rPr>
          <w:sz w:val="20"/>
          <w:szCs w:val="20"/>
          <w:color w:val="auto"/>
        </w:rPr>
      </w:pPr>
      <w:r>
        <w:rPr>
          <w:rFonts w:ascii="Arial" w:cs="Arial" w:eastAsia="Arial" w:hAnsi="Arial"/>
          <w:sz w:val="18"/>
          <w:szCs w:val="18"/>
          <w:color w:val="auto"/>
        </w:rPr>
        <w:t>See “Principal stockholders” in this prospectus for more information regarding the ownership of our outstanding common stock by our executive officers, directors and their affiliates.</w:t>
      </w:r>
    </w:p>
    <w:p>
      <w:pPr>
        <w:spacing w:after="0" w:line="81" w:lineRule="exact"/>
        <w:rPr>
          <w:sz w:val="20"/>
          <w:szCs w:val="20"/>
          <w:color w:val="auto"/>
        </w:rPr>
      </w:pPr>
    </w:p>
    <w:p>
      <w:pPr>
        <w:ind w:left="200" w:right="440"/>
        <w:spacing w:after="0" w:line="262" w:lineRule="auto"/>
        <w:rPr>
          <w:sz w:val="20"/>
          <w:szCs w:val="20"/>
          <w:color w:val="auto"/>
        </w:rPr>
      </w:pPr>
      <w:r>
        <w:rPr>
          <w:rFonts w:ascii="Arial" w:cs="Arial" w:eastAsia="Arial" w:hAnsi="Arial"/>
          <w:sz w:val="18"/>
          <w:szCs w:val="18"/>
          <w:b w:val="1"/>
          <w:bCs w:val="1"/>
          <w:i w:val="1"/>
          <w:iCs w:val="1"/>
          <w:color w:val="auto"/>
        </w:rPr>
        <w:t>We have broad discretion in how we use the proceeds of this offering and may not use these proceeds effectively, which could affect our results of operations and cause our stock price to decline.</w:t>
      </w:r>
    </w:p>
    <w:p>
      <w:pPr>
        <w:spacing w:after="0" w:line="81" w:lineRule="exact"/>
        <w:rPr>
          <w:sz w:val="20"/>
          <w:szCs w:val="20"/>
          <w:color w:val="auto"/>
        </w:rPr>
      </w:pPr>
    </w:p>
    <w:p>
      <w:pPr>
        <w:ind w:left="200" w:right="140"/>
        <w:spacing w:after="0" w:line="275" w:lineRule="auto"/>
        <w:rPr>
          <w:sz w:val="20"/>
          <w:szCs w:val="20"/>
          <w:color w:val="auto"/>
        </w:rPr>
      </w:pPr>
      <w:r>
        <w:rPr>
          <w:rFonts w:ascii="Arial" w:cs="Arial" w:eastAsia="Arial" w:hAnsi="Arial"/>
          <w:sz w:val="16"/>
          <w:szCs w:val="16"/>
          <w:color w:val="auto"/>
        </w:rPr>
        <w:t>We will have considerable discretion in the application of the net proceeds from this offering. As a result, investors will be relying upon management’s judgment with only limited information about our specific intentions for the use of the net proceeds from this offering. We may use the net proceeds from this offering for purposes that do not yield a significant return or any return at all for our stockholders. In addition, pending their use, we may invest the net proceeds from this offering in a manner that does not produce income or that loses value.</w:t>
      </w:r>
    </w:p>
    <w:p>
      <w:pPr>
        <w:spacing w:after="0" w:line="55" w:lineRule="exact"/>
        <w:rPr>
          <w:sz w:val="20"/>
          <w:szCs w:val="20"/>
          <w:color w:val="auto"/>
        </w:rPr>
      </w:pPr>
    </w:p>
    <w:p>
      <w:pPr>
        <w:ind w:left="200" w:right="320"/>
        <w:spacing w:after="0" w:line="262" w:lineRule="auto"/>
        <w:rPr>
          <w:sz w:val="20"/>
          <w:szCs w:val="20"/>
          <w:color w:val="auto"/>
        </w:rPr>
      </w:pPr>
      <w:r>
        <w:rPr>
          <w:rFonts w:ascii="Arial" w:cs="Arial" w:eastAsia="Arial" w:hAnsi="Arial"/>
          <w:sz w:val="18"/>
          <w:szCs w:val="18"/>
          <w:b w:val="1"/>
          <w:bCs w:val="1"/>
          <w:i w:val="1"/>
          <w:iCs w:val="1"/>
          <w:color w:val="auto"/>
        </w:rPr>
        <w:t>We will incur significantly increased costs as a result of operating as a public company, and our management will be required to devote substantial time to new compliance initiatives.</w:t>
      </w:r>
    </w:p>
    <w:p>
      <w:pPr>
        <w:spacing w:after="0" w:line="8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Securities Exchange Act of 1934, as amended, or the Exchange Act, which will require, among other things, that we file with the U.S. Securities and Exchange Commission, or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40"/>
        <w:spacing w:after="0" w:line="236" w:lineRule="auto"/>
        <w:rPr>
          <w:sz w:val="20"/>
          <w:szCs w:val="20"/>
          <w:color w:val="auto"/>
        </w:rPr>
      </w:pPr>
      <w:r>
        <w:rPr>
          <w:rFonts w:ascii="Arial" w:cs="Arial" w:eastAsia="Arial" w:hAnsi="Arial"/>
          <w:sz w:val="18"/>
          <w:szCs w:val="18"/>
          <w:color w:val="auto"/>
        </w:rPr>
        <w:t>pricing of this offering.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0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results of operations and prospects.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24"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If our existing stockholders sell, or indicate an intention to sell, substantial amounts of our common stock in the public market after the lock-up and other legal restrictions on resale discussed in this prospectus lapse, the market price of our common stock could decline. Based upon the number of shares of common stock, on an as-converted basis, outstanding as of September 30, 2019, upon the completion of this offering, we will have outstanding a total of 52,902,309 shares of common stock, assuming no exercise of the underwriters’ option to purchase an additional 1,500,000 shares and no exercise of outstanding options. Of these shares, as of the date of this prospectus, approximately 10,000,000 shares of our common stock, or 18.9% of shares of our common stock, plus any shares sold upon exercise of the underwriters’ option to purchase additional shares, will be freely tradable, without restriction, in the public market immediately following this offering.</w:t>
      </w:r>
    </w:p>
    <w:p>
      <w:pPr>
        <w:spacing w:after="0" w:line="77"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lock-up agreements with the underwriters pertaining to this offering or market stand-off provisions in agreements with us will expire 180 days from the date of this prospectus. J.P. Morgan Securities LLC may, in its sole discretion, permit our stockholders who are subject to these lock-up agreements to sell shares prior to the expiration of the lock-up agreements. After the lock-up agreements with the underwriters or market stand-off provisions in agreements with us expire, based upon the number of shares of common stock, on an as-converted basis, outstanding as of September 30, 2019, up to an additional 42,902,309 shares of common stock will be eligible for sale in the public market. Approximately 54.9% of these additional shares are held by directors, executive officers and other affiliates and will be subject to certain limitations of Rule 144 under the Securities Act of 1933, as amended, or the Securities Act.</w:t>
      </w:r>
    </w:p>
    <w:p>
      <w:pPr>
        <w:spacing w:after="0" w:line="10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Upon completion of this offering, 11,483,390 shares of common stock that are either subject to outstanding options or reserved for future issuance under our equity incentive plans will become eligible for sale in the public market to the extent permitted by the provisions of various vesting schedules, the lock-up agreements, market stand-off provisions in agreements with us and Rule 144 and Rule 701 under the Securities Act. If these additional shares of common stock are sold, or if it is perceived that they will be sold, in the public market, the market price of our common stock could decline.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After this offering, the holders of approximately 39.6 million shares of our common stock, including those issuable upon the conversion of our preferred stock, will be entitled to rights with respect to the registration of their shares under the Securities Act, subject to the lock-up agreements described above. Registration of these shares under the Securities Act would result in the shares becoming freely tradable without restriction under the Securities Act, except for shares purchased by affiliates. Any sales of securities by these stockholders could have a material adverse effect on the market price of our common stock.</w:t>
      </w:r>
    </w:p>
    <w:p>
      <w:pPr>
        <w:spacing w:after="0" w:line="83" w:lineRule="exact"/>
        <w:rPr>
          <w:sz w:val="20"/>
          <w:szCs w:val="20"/>
          <w:color w:val="auto"/>
        </w:rPr>
      </w:pPr>
    </w:p>
    <w:p>
      <w:pPr>
        <w:ind w:left="200" w:right="80"/>
        <w:spacing w:after="0" w:line="262"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has been limited by “ownership changes” and may be further limited.</w:t>
      </w:r>
    </w:p>
    <w:p>
      <w:pPr>
        <w:spacing w:after="0" w:line="8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Under Sections 382 and 383 of the Internal Revenue Code of 1986, as amended, or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carryforwards and other pre-change tax attributes to offset its post-change income may be limited. We have in the past experienced, and we may in the future experience ownership changes as a result of this offering or other changes in our stock ownership (some of which are not in our control). Use of our federal and state net operating loss carryforwards have been limited and could be further limited if we experience additional ownership changes, which could have an adverse effect on our future results of operations.</w:t>
      </w:r>
    </w:p>
    <w:p>
      <w:pPr>
        <w:spacing w:after="0" w:line="81" w:lineRule="exact"/>
        <w:rPr>
          <w:sz w:val="20"/>
          <w:szCs w:val="20"/>
          <w:color w:val="auto"/>
        </w:rPr>
      </w:pPr>
    </w:p>
    <w:p>
      <w:pPr>
        <w:ind w:left="200" w:right="280"/>
        <w:spacing w:after="0" w:line="262"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81"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If we issue common stock or securities convertible into common stock, our common stockholders would experience additional dilution and, as a result, our stock price may decline.</w:t>
      </w:r>
    </w:p>
    <w:p>
      <w:pPr>
        <w:spacing w:after="0" w:line="83" w:lineRule="exact"/>
        <w:rPr>
          <w:sz w:val="20"/>
          <w:szCs w:val="20"/>
          <w:color w:val="auto"/>
        </w:rPr>
      </w:pPr>
    </w:p>
    <w:p>
      <w:pPr>
        <w:ind w:left="200" w:right="20"/>
        <w:spacing w:after="0" w:line="262"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81" w:lineRule="exact"/>
        <w:rPr>
          <w:sz w:val="20"/>
          <w:szCs w:val="20"/>
          <w:color w:val="auto"/>
        </w:rPr>
      </w:pPr>
    </w:p>
    <w:p>
      <w:pPr>
        <w:jc w:val="both"/>
        <w:ind w:left="200" w:right="140"/>
        <w:spacing w:after="0" w:line="236"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83" w:lineRule="exact"/>
        <w:rPr>
          <w:sz w:val="20"/>
          <w:szCs w:val="20"/>
          <w:color w:val="auto"/>
        </w:rPr>
      </w:pPr>
    </w:p>
    <w:p>
      <w:pPr>
        <w:ind w:left="200" w:right="60"/>
        <w:spacing w:after="0" w:line="248" w:lineRule="auto"/>
        <w:rPr>
          <w:sz w:val="20"/>
          <w:szCs w:val="20"/>
          <w:color w:val="auto"/>
        </w:rPr>
      </w:pPr>
      <w:r>
        <w:rPr>
          <w:rFonts w:ascii="Arial" w:cs="Arial" w:eastAsia="Arial" w:hAnsi="Arial"/>
          <w:sz w:val="18"/>
          <w:szCs w:val="18"/>
          <w:b w:val="1"/>
          <w:bCs w:val="1"/>
          <w:i w:val="1"/>
          <w:iCs w:val="1"/>
          <w:color w:val="auto"/>
        </w:rPr>
        <w:t>If we fail to implement and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9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Pursuant to Section 404 of Sarbanes-Oxley, our management will be required to report upon the effectiveness of our internal control over financial reporting beginning with the annual report for our fiscal year ending December 31, 2021. When we lose our status as an “emerging growth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To comply with the requirements of being a reporting company under the Exchange Act, we will need to implement additional financial and management controls, reporting systems and procedures and hire additional accounting and finance staff.</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cannot assure you that there will not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80" w:lineRule="exact"/>
        <w:rPr>
          <w:sz w:val="20"/>
          <w:szCs w:val="20"/>
          <w:color w:val="auto"/>
        </w:rPr>
      </w:pPr>
    </w:p>
    <w:p>
      <w:pPr>
        <w:ind w:left="200" w:right="780"/>
        <w:spacing w:after="0" w:line="262"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8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immediately prior to the consummation of this offering will contain provisions that could delay or prevent changes in control or changes in our management without the consent of our board of directors. These provisions will include the following:</w:t>
      </w:r>
    </w:p>
    <w:p>
      <w:pPr>
        <w:spacing w:after="0" w:line="114" w:lineRule="exact"/>
        <w:rPr>
          <w:sz w:val="20"/>
          <w:szCs w:val="20"/>
          <w:color w:val="auto"/>
        </w:rPr>
      </w:pPr>
    </w:p>
    <w:p>
      <w:pPr>
        <w:ind w:left="420" w:right="80" w:hanging="216"/>
        <w:spacing w:after="0" w:line="239"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420" w:right="400" w:hanging="216"/>
        <w:spacing w:after="0" w:line="299" w:lineRule="auto"/>
        <w:tabs>
          <w:tab w:leader="none" w:pos="4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68" w:lineRule="exact"/>
        <w:rPr>
          <w:rFonts w:ascii="Arial" w:cs="Arial" w:eastAsia="Arial" w:hAnsi="Arial"/>
          <w:sz w:val="16"/>
          <w:szCs w:val="16"/>
          <w:color w:val="auto"/>
        </w:rPr>
      </w:pPr>
    </w:p>
    <w:p>
      <w:pPr>
        <w:ind w:left="420" w:right="380" w:hanging="216"/>
        <w:spacing w:after="0" w:line="238"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113" w:lineRule="exact"/>
        <w:rPr>
          <w:rFonts w:ascii="Arial" w:cs="Arial" w:eastAsia="Arial" w:hAnsi="Arial"/>
          <w:sz w:val="18"/>
          <w:szCs w:val="18"/>
          <w:color w:val="auto"/>
        </w:rPr>
      </w:pPr>
    </w:p>
    <w:p>
      <w:pPr>
        <w:ind w:left="420" w:hanging="216"/>
        <w:spacing w:after="0"/>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7" w:lineRule="exact"/>
        <w:rPr>
          <w:rFonts w:ascii="Arial" w:cs="Arial" w:eastAsia="Arial" w:hAnsi="Arial"/>
          <w:sz w:val="18"/>
          <w:szCs w:val="18"/>
          <w:color w:val="auto"/>
        </w:rPr>
      </w:pPr>
    </w:p>
    <w:p>
      <w:pPr>
        <w:ind w:left="420" w:right="40" w:hanging="216"/>
        <w:spacing w:after="0" w:line="238"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113" w:lineRule="exact"/>
        <w:rPr>
          <w:rFonts w:ascii="Arial" w:cs="Arial" w:eastAsia="Arial" w:hAnsi="Arial"/>
          <w:sz w:val="18"/>
          <w:szCs w:val="18"/>
          <w:color w:val="auto"/>
        </w:rPr>
      </w:pPr>
    </w:p>
    <w:p>
      <w:pPr>
        <w:ind w:left="420" w:right="220" w:hanging="216"/>
        <w:spacing w:after="0" w:line="239"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114" w:lineRule="exact"/>
        <w:rPr>
          <w:rFonts w:ascii="Arial" w:cs="Arial" w:eastAsia="Arial" w:hAnsi="Arial"/>
          <w:sz w:val="18"/>
          <w:szCs w:val="18"/>
          <w:color w:val="auto"/>
        </w:rPr>
      </w:pPr>
    </w:p>
    <w:p>
      <w:pPr>
        <w:jc w:val="both"/>
        <w:ind w:left="420" w:right="340" w:hanging="216"/>
        <w:spacing w:after="0" w:line="238"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president or by the board of directors, which may delay the ability of our stockholders to force consideration of a proposal or to take action, including the removal of directors; and</w:t>
      </w:r>
    </w:p>
    <w:p>
      <w:pPr>
        <w:spacing w:after="0" w:line="113" w:lineRule="exact"/>
        <w:rPr>
          <w:rFonts w:ascii="Arial" w:cs="Arial" w:eastAsia="Arial" w:hAnsi="Arial"/>
          <w:sz w:val="18"/>
          <w:szCs w:val="18"/>
          <w:color w:val="auto"/>
        </w:rPr>
      </w:pPr>
    </w:p>
    <w:p>
      <w:pPr>
        <w:ind w:left="420" w:right="400" w:hanging="216"/>
        <w:spacing w:after="0" w:line="239" w:lineRule="auto"/>
        <w:tabs>
          <w:tab w:leader="none" w:pos="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240"/>
        <w:spacing w:after="0" w:line="239" w:lineRule="auto"/>
        <w:rPr>
          <w:sz w:val="20"/>
          <w:szCs w:val="20"/>
          <w:color w:val="auto"/>
        </w:rPr>
      </w:pPr>
      <w:r>
        <w:rPr>
          <w:rFonts w:ascii="Arial" w:cs="Arial" w:eastAsia="Arial" w:hAnsi="Arial"/>
          <w:sz w:val="18"/>
          <w:szCs w:val="18"/>
          <w:color w:val="auto"/>
        </w:rPr>
        <w:t>deter a potential acquiror from conducting a solicitation of proxies to elect the acquiror’s own slate of directors or otherwise attempting to obtain control of us.</w:t>
      </w:r>
    </w:p>
    <w:p>
      <w:pPr>
        <w:spacing w:after="0" w:line="10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 For a description of our capital stock, see the section titled “Description of capital stock.”</w:t>
      </w:r>
    </w:p>
    <w:p>
      <w:pPr>
        <w:spacing w:after="0" w:line="81" w:lineRule="exact"/>
        <w:rPr>
          <w:sz w:val="20"/>
          <w:szCs w:val="20"/>
          <w:color w:val="auto"/>
        </w:rPr>
      </w:pPr>
    </w:p>
    <w:p>
      <w:pPr>
        <w:ind w:left="200" w:right="420"/>
        <w:spacing w:after="0" w:line="262"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81"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we will indemnify our directors and officers, in each case to the fullest extent permitted by Delaware law.</w:t>
      </w:r>
    </w:p>
    <w:p>
      <w:pPr>
        <w:spacing w:after="0" w:line="101" w:lineRule="exact"/>
        <w:rPr>
          <w:sz w:val="20"/>
          <w:szCs w:val="20"/>
          <w:color w:val="auto"/>
        </w:rPr>
      </w:pPr>
    </w:p>
    <w:p>
      <w:pPr>
        <w:ind w:left="200" w:right="560"/>
        <w:spacing w:after="0" w:line="238"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to be effective immediately prior to the completion of this offering and our indemnification agreements that we have entered into with our directors and officers will provide that:</w:t>
      </w:r>
    </w:p>
    <w:p>
      <w:pPr>
        <w:spacing w:after="0" w:line="114" w:lineRule="exact"/>
        <w:rPr>
          <w:sz w:val="20"/>
          <w:szCs w:val="20"/>
          <w:color w:val="auto"/>
        </w:rPr>
      </w:pPr>
    </w:p>
    <w:p>
      <w:pPr>
        <w:ind w:left="420" w:hanging="216"/>
        <w:spacing w:after="0" w:line="237" w:lineRule="auto"/>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color w:val="auto"/>
        </w:rPr>
      </w:pPr>
    </w:p>
    <w:p>
      <w:pPr>
        <w:ind w:left="420" w:right="400" w:hanging="216"/>
        <w:spacing w:after="0" w:line="238" w:lineRule="auto"/>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13" w:lineRule="exact"/>
        <w:rPr>
          <w:rFonts w:ascii="Arial" w:cs="Arial" w:eastAsia="Arial" w:hAnsi="Arial"/>
          <w:sz w:val="18"/>
          <w:szCs w:val="18"/>
          <w:color w:val="auto"/>
        </w:rPr>
      </w:pPr>
    </w:p>
    <w:p>
      <w:pPr>
        <w:ind w:left="420" w:right="20" w:hanging="216"/>
        <w:spacing w:after="0" w:line="238" w:lineRule="auto"/>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113" w:lineRule="exact"/>
        <w:rPr>
          <w:rFonts w:ascii="Arial" w:cs="Arial" w:eastAsia="Arial" w:hAnsi="Arial"/>
          <w:sz w:val="18"/>
          <w:szCs w:val="18"/>
          <w:color w:val="auto"/>
        </w:rPr>
      </w:pPr>
    </w:p>
    <w:p>
      <w:pPr>
        <w:ind w:left="420" w:right="40" w:hanging="216"/>
        <w:spacing w:after="0" w:line="239" w:lineRule="auto"/>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114"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81" w:lineRule="exact"/>
        <w:rPr>
          <w:sz w:val="20"/>
          <w:szCs w:val="20"/>
          <w:color w:val="auto"/>
        </w:rPr>
      </w:pPr>
    </w:p>
    <w:p>
      <w:pPr>
        <w:ind w:left="200" w:right="160"/>
        <w:spacing w:after="0" w:line="248"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will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94" w:lineRule="exact"/>
        <w:rPr>
          <w:sz w:val="20"/>
          <w:szCs w:val="20"/>
          <w:color w:val="auto"/>
        </w:rPr>
      </w:pPr>
    </w:p>
    <w:p>
      <w:pPr>
        <w:ind w:left="200" w:right="160"/>
        <w:spacing w:after="0" w:line="275"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the Court of Chancery of the State of Delaware is the exclusive forum for any state law derivative action or proceeding brought on our behalf, any action asserting a breach of fiduciary duty, any action asserting a claim against us arising pursuant to the Delaware General Corporation Law, any action to interpret, apply, enforce, or determine the validity of our amended and restated certificate of incorporation or our amended and restated</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71" w:lineRule="auto"/>
        <w:rPr>
          <w:sz w:val="20"/>
          <w:szCs w:val="20"/>
          <w:color w:val="auto"/>
        </w:rPr>
      </w:pPr>
      <w:r>
        <w:rPr>
          <w:rFonts w:ascii="Arial" w:cs="Arial" w:eastAsia="Arial" w:hAnsi="Arial"/>
          <w:sz w:val="16"/>
          <w:szCs w:val="16"/>
          <w:color w:val="auto"/>
        </w:rPr>
        <w:t>bylaws, or any action asserting a claim against us that is governed by the internal affairs doctrine; provided that, the exclusive forum provision will not apply to suits brought to enforce any liability or duty created by the Securities Act or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Nothing in our amended and restated certificate of incorporation or amended and restated bylaws will preclude stockholders that assert claims under the Securities Act or the Exchange Act from bringing such claims in state or federal court, subject to applicable law.</w:t>
      </w:r>
    </w:p>
    <w:p>
      <w:pPr>
        <w:spacing w:after="0" w:line="77"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If a court were to find the choice of forum provision that will be contained in our amended and restated certificate of incorporation to be inapplicable or unenforceable in an action, we may incur additional costs associated with resolving such action in other jurisdictions, which could adversely affect our business, financial condition, results of operations and prospects.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On December 22, 2017, the U.S. government enacted the TCJA, which significantly reforms the Code. The TCJA, among other things, contains significant changes to corporate taxation, including reduction of the U.S. federal income corporate tax rate from a top marginal rate of 35% to a flat rate of 21%, effective January 1, 2018; limitation of the tax deduction for interest expense; limitation of the deduction for net operating losses and elimination of net operating loss carrybacks, in each case, for losses arising in taxable years beginning after December 31, 2017 (though any such tax losses may be carried forward indefinitely); and modifying or repealing many business deductions and credits, including reducing the business tax credit for certain clinical testing expenses incurred in the testing of certain drugs for rare diseases or conditions generally referred to as “orphan drugs.” The tax rate change resulted in (i) a reduction in the gross amount of our deferred tax assets recorded as of December 31, 2017, without an impact on the net amount of our deferred tax assets, which are recorded with a full valuation allowance, and (ii) no income tax expense or benefit being recognized as of the enactment date of the TCJA. We continue to examine the impact this tax reform legislation may have on our business. The U.S. Department of Treasury has broad authority to issue regulations and interpretative guidance that may significantly impact how we will apply the law and impact our results of operations in the period issued. As such, the application of accounting guidance for such items is currently uncertain. While we have completed our accounting for the effects of the TCJA, additional regulatory guidance may still be issued by the applicable taxing authorities which could materially affect our tax obligations and effective tax rate.</w:t>
      </w:r>
    </w:p>
    <w:p>
      <w:pPr>
        <w:spacing w:after="0" w:line="14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5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This prospectus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115" w:lineRule="exact"/>
        <w:rPr>
          <w:sz w:val="20"/>
          <w:szCs w:val="20"/>
          <w:color w:val="auto"/>
        </w:rPr>
      </w:pPr>
    </w:p>
    <w:p>
      <w:pPr>
        <w:ind w:left="420" w:right="62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 including our RMC-4630 Phase 1/2 clinical program;</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17" w:lineRule="exact"/>
        <w:rPr>
          <w:rFonts w:ascii="Arial" w:cs="Arial" w:eastAsia="Arial" w:hAnsi="Arial"/>
          <w:sz w:val="18"/>
          <w:szCs w:val="18"/>
          <w:color w:val="auto"/>
        </w:rPr>
      </w:pPr>
    </w:p>
    <w:p>
      <w:pPr>
        <w:ind w:left="420" w:right="24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current or future product candidates, and any related restrictions, limitations, and/or warnings in the label of an approved product candidate;</w:t>
      </w:r>
    </w:p>
    <w:p>
      <w:pPr>
        <w:spacing w:after="0" w:line="114" w:lineRule="exact"/>
        <w:rPr>
          <w:rFonts w:ascii="Arial" w:cs="Arial" w:eastAsia="Arial" w:hAnsi="Arial"/>
          <w:sz w:val="18"/>
          <w:szCs w:val="18"/>
          <w:color w:val="auto"/>
        </w:rPr>
      </w:pPr>
    </w:p>
    <w:p>
      <w:pPr>
        <w:ind w:left="420" w:right="76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RMC-4630, our other product candidates and any future product candidates, if approved for commercial use;</w:t>
      </w:r>
    </w:p>
    <w:p>
      <w:pPr>
        <w:spacing w:after="0" w:line="114" w:lineRule="exact"/>
        <w:rPr>
          <w:rFonts w:ascii="Arial" w:cs="Arial" w:eastAsia="Arial" w:hAnsi="Arial"/>
          <w:sz w:val="18"/>
          <w:szCs w:val="18"/>
          <w:color w:val="auto"/>
        </w:rPr>
      </w:pPr>
    </w:p>
    <w:p>
      <w:pPr>
        <w:ind w:left="420" w:right="50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maintain existing, and establish new, collaborations, licensing or other arrangements and the financial terms of any such agreements, including our collaboration with Sanofi;</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pricing and reimbursement of our product candidates, if approved;</w:t>
      </w:r>
    </w:p>
    <w:p>
      <w:pPr>
        <w:spacing w:after="0" w:line="114" w:lineRule="exact"/>
        <w:rPr>
          <w:rFonts w:ascii="Arial" w:cs="Arial" w:eastAsia="Arial" w:hAnsi="Arial"/>
          <w:sz w:val="18"/>
          <w:szCs w:val="18"/>
          <w:color w:val="auto"/>
        </w:rPr>
      </w:pPr>
    </w:p>
    <w:p>
      <w:pPr>
        <w:ind w:left="420" w:right="34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 including additional indications for which we may pursue;</w:t>
      </w:r>
    </w:p>
    <w:p>
      <w:pPr>
        <w:spacing w:after="0" w:line="114" w:lineRule="exact"/>
        <w:rPr>
          <w:rFonts w:ascii="Arial" w:cs="Arial" w:eastAsia="Arial" w:hAnsi="Arial"/>
          <w:sz w:val="18"/>
          <w:szCs w:val="18"/>
          <w:color w:val="auto"/>
        </w:rPr>
      </w:pPr>
    </w:p>
    <w:p>
      <w:pPr>
        <w:ind w:left="420" w:right="14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including the projected term of patent protection;</w:t>
      </w:r>
    </w:p>
    <w:p>
      <w:pPr>
        <w:spacing w:after="0" w:line="114" w:lineRule="exact"/>
        <w:rPr>
          <w:rFonts w:ascii="Arial" w:cs="Arial" w:eastAsia="Arial" w:hAnsi="Arial"/>
          <w:sz w:val="18"/>
          <w:szCs w:val="18"/>
          <w:color w:val="auto"/>
        </w:rPr>
      </w:pPr>
    </w:p>
    <w:p>
      <w:pPr>
        <w:ind w:left="420" w:right="500" w:hanging="216"/>
        <w:spacing w:after="0" w:line="239" w:lineRule="auto"/>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expectations regarding our ability to obtain, maintain, enforce and defend our intellectual property protection for our product candidates;</w:t>
      </w:r>
    </w:p>
    <w:p>
      <w:pPr>
        <w:spacing w:after="0" w:line="140" w:lineRule="exact"/>
        <w:rPr>
          <w:rFonts w:ascii="Arial" w:cs="Arial" w:eastAsia="Arial" w:hAnsi="Arial"/>
          <w:sz w:val="16"/>
          <w:szCs w:val="16"/>
          <w:color w:val="auto"/>
        </w:rPr>
      </w:pPr>
    </w:p>
    <w:p>
      <w:pPr>
        <w:ind w:left="420" w:hanging="216"/>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use of proceeds from this offering;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104"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These forward-looking statements are based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As a result, any or all of our forward-looking statements in this prospectus may turn out to be inaccurate. Factors that may cause actual results to differ materially from current expectations include, among other things, those listed under “Risk factors” and elsewhere in this prospectus. Potential investors are urged to consider these factors carefully in evaluating the forward-looking statements. These forward-looking statements speak only as of the date of this prospectus.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prospectus. See “Where you can find more information.”</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Market and industry data</w:t>
      </w:r>
    </w:p>
    <w:p>
      <w:pPr>
        <w:spacing w:after="0" w:line="158"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This prospectus contains estimates, projections and other information concerning our industry and, business, as well as data regarding market research, estimates and forecasts prepared by our management.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107"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This industry, business, market and other information involves a number of assumptions and limitations, and you are cautioned not to give undue weight to such estimates. We have not independently verified any third-party information and cannot assure you of its accuracy or completeness. Although we are responsible for all of the disclosure contained in this prospectus and we believe the market position, market opportunity, market size and other information included in this prospectus is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the section titled “Risk factors” and elsewhere in this prospectus. These and other factors could cause results to differ materially from those expressed in the estimates made by the independent parties and by us.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Use of proceeds</w:t>
      </w:r>
    </w:p>
    <w:p>
      <w:pPr>
        <w:spacing w:after="0" w:line="158"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We estimate that the net proceeds to us from the sale of 10,000,000 shares of our common stock in this offering will be approximately $136.3 million at an assumed initial public offering price of $15.00 per share (the midpoint of the price range set forth on the cover of this prospectus), after deducting the underwriting discounts and commissions and estimated offering expenses payable by us. If the underwriters exercise their option to purchase additional shares in full, we estimate that the net proceeds will be approximately $157.2 million at an assumed initial public offering price of $15.00 per share (the midpoint of the price range set forth on the cover of this prospectus), after deducting the underwriting discounts and commissions and estimated offering expenses payable by us.</w:t>
      </w:r>
    </w:p>
    <w:p>
      <w:pPr>
        <w:spacing w:after="0" w:line="10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Each $1.00 increase (decrease) in the assumed initial public offering price of $15.00 per share (the midpoint of the price range set forth on the cover of this prospectus) would increase (decrease) the net proceeds to us from this offering, after deducting the underwriting discounts and commissions and estimated offering expenses payable by us, by $9.3 million, assuming that the number of shares offered by us, as set forth on the cover page of this prospectus, remains the same. We may also increase or decrease the number of shares we are offering. Each increase (decrease) of 1,000,000 in the number of shares we are offering would increase (decrease) the net proceeds to us from this offering, after deducting the underwriting discounts and commissions and estimated offering expenses payable by us, by $14.0 million, assuming the assumed initial public offering price stays the same. We do not expect that a change in the offering price or the number of shares by these amounts would have a material effect on our intended uses of the net proceeds from this offering, although it may impact the amount of time prior to which we may need to seek additional capital.</w:t>
      </w:r>
    </w:p>
    <w:p>
      <w:pPr>
        <w:spacing w:after="0" w:line="107"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We currently expect to use our net proceeds from this offering, together with our existing cash, cash equivalents and marketable securities, as follows:</w:t>
      </w:r>
    </w:p>
    <w:p>
      <w:pPr>
        <w:spacing w:after="0" w:line="114" w:lineRule="exact"/>
        <w:rPr>
          <w:sz w:val="20"/>
          <w:szCs w:val="20"/>
          <w:color w:val="auto"/>
        </w:rPr>
      </w:pPr>
    </w:p>
    <w:p>
      <w:pPr>
        <w:ind w:left="420" w:right="260" w:hanging="216"/>
        <w:spacing w:after="0" w:line="239"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$100 million to fund the development of our multiple RAS programs, including our RAS(ON) portfolio and SOS1 program, through completion of IND-enabling studies for one or more development candidates;</w:t>
      </w:r>
    </w:p>
    <w:p>
      <w:pPr>
        <w:spacing w:after="0" w:line="114" w:lineRule="exact"/>
        <w:rPr>
          <w:rFonts w:ascii="Arial" w:cs="Arial" w:eastAsia="Arial" w:hAnsi="Arial"/>
          <w:sz w:val="18"/>
          <w:szCs w:val="18"/>
          <w:color w:val="auto"/>
        </w:rPr>
      </w:pPr>
    </w:p>
    <w:p>
      <w:pPr>
        <w:ind w:left="420" w:right="100" w:hanging="216"/>
        <w:spacing w:after="0" w:line="239"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$10 million to fund the development of our 4EBP1/mTORC1 program through completion of IND-enabling studies for RMC-5552;</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Approximately $1 million, net of reimbursement from Sanofi, to fund our share of research costs for the SHP2 program; and</w:t>
      </w:r>
    </w:p>
    <w:p>
      <w:pPr>
        <w:spacing w:after="0" w:line="117" w:lineRule="exact"/>
        <w:rPr>
          <w:rFonts w:ascii="Arial" w:cs="Arial" w:eastAsia="Arial" w:hAnsi="Arial"/>
          <w:sz w:val="18"/>
          <w:szCs w:val="18"/>
          <w:color w:val="auto"/>
        </w:rPr>
      </w:pPr>
    </w:p>
    <w:p>
      <w:pPr>
        <w:ind w:left="420" w:right="240" w:hanging="216"/>
        <w:spacing w:after="0" w:line="239"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remaining proceeds for other general corporate purposes, which may include the hiring of additional personnel, capital expenditures and the costs of operating as a public company.</w:t>
      </w:r>
    </w:p>
    <w:p>
      <w:pPr>
        <w:spacing w:after="0" w:line="101" w:lineRule="exact"/>
        <w:rPr>
          <w:sz w:val="20"/>
          <w:szCs w:val="20"/>
          <w:color w:val="auto"/>
        </w:rPr>
      </w:pPr>
    </w:p>
    <w:p>
      <w:pPr>
        <w:ind w:left="200" w:right="300"/>
        <w:spacing w:after="0" w:line="237" w:lineRule="auto"/>
        <w:rPr>
          <w:sz w:val="20"/>
          <w:szCs w:val="20"/>
          <w:color w:val="auto"/>
        </w:rPr>
      </w:pPr>
      <w:r>
        <w:rPr>
          <w:rFonts w:ascii="Arial" w:cs="Arial" w:eastAsia="Arial" w:hAnsi="Arial"/>
          <w:sz w:val="18"/>
          <w:szCs w:val="18"/>
          <w:color w:val="auto"/>
        </w:rPr>
        <w:t>Under our collaboration with Sanofi, Sanofi is responsible for reimbursing substantially all of our research costs and all of our development costs for the SHP2 program. We may also use a portion of the remaining net proceeds from this offering and our existing cash, cash equivalents and marketable securities to in-license, acquire or invest in complementary businesses, technologies, products or assets. However, we have no current commitments or obligations to do so.</w:t>
      </w:r>
    </w:p>
    <w:p>
      <w:pPr>
        <w:spacing w:after="0" w:line="10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Due to the uncertainties inherent in the clinical development and regulatory approval process, it is difficult to estimate with certainty the exact amounts of the net proceeds from this offering that may be used for the above purposes. As such, our management will retain broad discretion over the use of the net proceeds from this offering. The amounts and timing of our expenditures may depend upon numerous factors, including: (i) continued research and development SHP2 program reimbursement by Sanofi under the Sanofi Agreement; (ii) the time and cost necessary to advance our product candidates through clinical trials and future clinical trials; (iii) the time and cost associated with our research and development activities for our pipeline; (iv) the</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time and cost associated with the manufacture and supply of product candidates for clinical development or commercialization; and (v) our ability to obtain regulatory approval for and subsequently commercialize our product candidates.</w:t>
      </w:r>
    </w:p>
    <w:p>
      <w:pPr>
        <w:spacing w:after="0" w:line="101"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We believe that the net proceeds from this offering, together with our existing cash, cash equivalents and marketable securities, will enable us to fund our operations for at least 12 months following the date of this offering. After this offering, we will require substantial capital in order to advance our current and future product candidates through clinical trials, regulatory approval and, if approved, commercialization. For additional information regarding our potential capital requirements, see “Risk factors—Even if this offering is successful, 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77" w:lineRule="exact"/>
        <w:rPr>
          <w:sz w:val="20"/>
          <w:szCs w:val="20"/>
          <w:color w:val="auto"/>
        </w:rPr>
      </w:pPr>
    </w:p>
    <w:p>
      <w:pPr>
        <w:ind w:left="200" w:right="460"/>
        <w:spacing w:after="0" w:line="239" w:lineRule="auto"/>
        <w:rPr>
          <w:sz w:val="20"/>
          <w:szCs w:val="20"/>
          <w:color w:val="auto"/>
        </w:rPr>
      </w:pPr>
      <w:r>
        <w:rPr>
          <w:rFonts w:ascii="Arial" w:cs="Arial" w:eastAsia="Arial" w:hAnsi="Arial"/>
          <w:sz w:val="18"/>
          <w:szCs w:val="18"/>
          <w:color w:val="auto"/>
        </w:rPr>
        <w:t>Pending the use of the proceeds from this offering, we intend to invest the net proceeds in interest-bearing, investment-grade securities, certificates of deposit or government securities.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24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Dividend policy</w:t>
      </w:r>
    </w:p>
    <w:p>
      <w:pPr>
        <w:spacing w:after="0" w:line="15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240" w:top="459" w:right="5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Capitalization</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our cash, cash equivalents and marketable securities and capitalization as of September 30, 2019:</w:t>
      </w:r>
    </w:p>
    <w:p>
      <w:pPr>
        <w:spacing w:after="0" w:line="117" w:lineRule="exact"/>
        <w:rPr>
          <w:sz w:val="20"/>
          <w:szCs w:val="20"/>
          <w:color w:val="auto"/>
        </w:rPr>
      </w:pPr>
    </w:p>
    <w:p>
      <w:pPr>
        <w:ind w:left="420" w:hanging="216"/>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420" w:right="60" w:hanging="216"/>
        <w:spacing w:after="0" w:line="237"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 pro forma basis to give effect to: (i) the conversion of all 39,600,423 shares of our redeemable convertible preferred stock outstanding as of September 30, 2019 into an equivalent number of shares of our common stock, which will be effective upon the closing of this offering; and (ii) the filing and effectiveness of our amended and restated certificate of incorporation, which will occur immediately prior to the consummation of this offering; and</w:t>
      </w:r>
    </w:p>
    <w:p>
      <w:pPr>
        <w:spacing w:after="0" w:line="114" w:lineRule="exact"/>
        <w:rPr>
          <w:rFonts w:ascii="Arial" w:cs="Arial" w:eastAsia="Arial" w:hAnsi="Arial"/>
          <w:sz w:val="18"/>
          <w:szCs w:val="18"/>
          <w:color w:val="auto"/>
        </w:rPr>
      </w:pPr>
    </w:p>
    <w:p>
      <w:pPr>
        <w:ind w:left="420" w:right="60" w:hanging="216"/>
        <w:spacing w:after="0" w:line="236" w:lineRule="auto"/>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 pro forma as adjusted basis to give further effect to: (i) the sale of 10,000,000 shares of common stock in this offering at an assumed initial public offering price of $15.00 per share (the midpoint of the price range set forth on the cover of this prospectus), after deducting the underwriting discounts and commissions and estimated offering expenses payable by us, net of $0.1 million of offering costs paid as of September 30, 2019; and (ii) the reclassification of $1.3 million in deferred offering costs from other noncurrent assets to additional paid-in-capital.</w:t>
      </w:r>
    </w:p>
    <w:p>
      <w:pPr>
        <w:spacing w:after="0" w:line="103"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You should read this information together with our consolidated financial statements and related notes appearing elsewhere in this prospectus and the information set forth under the headings “Selected consolidated financial data,” “Unaudited pro forma condensed combined financial statements” and “Management’s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740" w:type="dxa"/>
            <w:vAlign w:val="bottom"/>
            <w:gridSpan w:val="5"/>
          </w:tcPr>
          <w:p>
            <w:pPr>
              <w:jc w:val="right"/>
              <w:ind w:right="1520"/>
              <w:spacing w:after="0"/>
              <w:rPr>
                <w:sz w:val="20"/>
                <w:szCs w:val="20"/>
                <w:color w:val="auto"/>
              </w:rPr>
            </w:pPr>
            <w:r>
              <w:rPr>
                <w:rFonts w:ascii="Arial" w:cs="Arial" w:eastAsia="Arial" w:hAnsi="Arial"/>
                <w:sz w:val="18"/>
                <w:szCs w:val="18"/>
                <w:b w:val="1"/>
                <w:bCs w:val="1"/>
                <w:color w:val="auto"/>
              </w:rPr>
              <w:t>As of September 30, 2019</w:t>
            </w:r>
          </w:p>
        </w:tc>
      </w:tr>
      <w:tr>
        <w:trPr>
          <w:trHeight w:val="177"/>
        </w:trPr>
        <w:tc>
          <w:tcPr>
            <w:tcW w:w="20" w:type="dxa"/>
            <w:vAlign w:val="bottom"/>
          </w:tcPr>
          <w:p>
            <w:pPr>
              <w:spacing w:after="0"/>
              <w:rPr>
                <w:sz w:val="15"/>
                <w:szCs w:val="15"/>
                <w:color w:val="auto"/>
              </w:rPr>
            </w:pPr>
          </w:p>
        </w:tc>
        <w:tc>
          <w:tcPr>
            <w:tcW w:w="5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332"/>
              <w:spacing w:after="0" w:line="177" w:lineRule="exact"/>
              <w:rPr>
                <w:sz w:val="20"/>
                <w:szCs w:val="20"/>
                <w:color w:val="auto"/>
              </w:rPr>
            </w:pPr>
            <w:r>
              <w:rPr>
                <w:rFonts w:ascii="Arial" w:cs="Arial" w:eastAsia="Arial" w:hAnsi="Arial"/>
                <w:sz w:val="18"/>
                <w:szCs w:val="18"/>
                <w:b w:val="1"/>
                <w:bCs w:val="1"/>
                <w:color w:val="auto"/>
              </w:rPr>
              <w:t>Pro forma</w:t>
            </w:r>
          </w:p>
        </w:tc>
        <w:tc>
          <w:tcPr>
            <w:tcW w:w="120" w:type="dxa"/>
            <w:vAlign w:val="bottom"/>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5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Actual</w:t>
            </w:r>
          </w:p>
        </w:tc>
        <w:tc>
          <w:tcPr>
            <w:tcW w:w="4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w w:val="98"/>
              </w:rPr>
              <w:t>Pro forma</w:t>
            </w:r>
          </w:p>
        </w:tc>
        <w:tc>
          <w:tcPr>
            <w:tcW w:w="3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as adjusted(1)</w:t>
            </w:r>
          </w:p>
        </w:tc>
      </w:tr>
      <w:tr>
        <w:trPr>
          <w:trHeight w:val="196"/>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40" w:type="dxa"/>
            <w:vAlign w:val="bottom"/>
            <w:gridSpan w:val="6"/>
          </w:tcPr>
          <w:p>
            <w:pPr>
              <w:jc w:val="right"/>
              <w:ind w:right="120"/>
              <w:spacing w:after="0" w:line="196" w:lineRule="exact"/>
              <w:rPr>
                <w:sz w:val="20"/>
                <w:szCs w:val="20"/>
                <w:color w:val="auto"/>
              </w:rPr>
            </w:pPr>
            <w:r>
              <w:rPr>
                <w:rFonts w:ascii="Arial" w:cs="Arial" w:eastAsia="Arial" w:hAnsi="Arial"/>
                <w:sz w:val="18"/>
                <w:szCs w:val="18"/>
                <w:b w:val="1"/>
                <w:bCs w:val="1"/>
                <w:color w:val="auto"/>
              </w:rPr>
              <w:t>(in thousands, except share and per share amounts)</w:t>
            </w: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marketable securities(2)</w:t>
            </w:r>
          </w:p>
        </w:tc>
        <w:tc>
          <w:tcPr>
            <w:tcW w:w="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136,288</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136,288</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272,695</w:t>
            </w:r>
          </w:p>
        </w:tc>
        <w:tc>
          <w:tcPr>
            <w:tcW w:w="120" w:type="dxa"/>
            <w:vAlign w:val="bottom"/>
            <w:shd w:val="clear" w:color="auto" w:fill="CCEEFF"/>
          </w:tcPr>
          <w:p>
            <w:pPr>
              <w:spacing w:after="0"/>
              <w:rPr>
                <w:sz w:val="17"/>
                <w:szCs w:val="17"/>
                <w:color w:val="auto"/>
              </w:rPr>
            </w:pPr>
          </w:p>
        </w:tc>
      </w:tr>
      <w:tr>
        <w:trPr>
          <w:trHeight w:val="213"/>
        </w:trPr>
        <w:tc>
          <w:tcPr>
            <w:tcW w:w="584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 $0.0001 par value per</w:t>
            </w:r>
          </w:p>
        </w:tc>
        <w:tc>
          <w:tcPr>
            <w:tcW w:w="1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share; 192,904,770 shares authorized, 39,600,423 shares issued and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outstanding, actual; no shares authorized, issued and outstanding,</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1"/>
        </w:trPr>
        <w:tc>
          <w:tcPr>
            <w:tcW w:w="20" w:type="dxa"/>
            <w:vAlign w:val="bottom"/>
          </w:tcPr>
          <w:p>
            <w:pPr>
              <w:spacing w:after="0"/>
              <w:rPr>
                <w:sz w:val="18"/>
                <w:szCs w:val="18"/>
                <w:color w:val="auto"/>
              </w:rPr>
            </w:pPr>
          </w:p>
        </w:tc>
        <w:tc>
          <w:tcPr>
            <w:tcW w:w="5820" w:type="dxa"/>
            <w:vAlign w:val="bottom"/>
          </w:tcPr>
          <w:p>
            <w:pPr>
              <w:ind w:left="200"/>
              <w:spacing w:after="0"/>
              <w:rPr>
                <w:sz w:val="20"/>
                <w:szCs w:val="20"/>
                <w:color w:val="auto"/>
              </w:rPr>
            </w:pPr>
            <w:r>
              <w:rPr>
                <w:rFonts w:ascii="Arial" w:cs="Arial" w:eastAsia="Arial" w:hAnsi="Arial"/>
                <w:sz w:val="18"/>
                <w:szCs w:val="18"/>
                <w:color w:val="auto"/>
              </w:rPr>
              <w:t>pro forma and pro forma as adjusted</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305,114</w:t>
            </w:r>
          </w:p>
        </w:tc>
        <w:tc>
          <w:tcPr>
            <w:tcW w:w="440" w:type="dxa"/>
            <w:vAlign w:val="bottom"/>
          </w:tcPr>
          <w:p>
            <w:pPr>
              <w:spacing w:after="0"/>
              <w:rPr>
                <w:sz w:val="18"/>
                <w:szCs w:val="18"/>
                <w:color w:val="auto"/>
              </w:rPr>
            </w:pP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56"/>
        </w:trPr>
        <w:tc>
          <w:tcPr>
            <w:tcW w:w="584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5840" w:type="dxa"/>
            <w:vAlign w:val="bottom"/>
            <w:gridSpan w:val="2"/>
          </w:tcPr>
          <w:p>
            <w:pPr>
              <w:spacing w:after="0" w:line="206" w:lineRule="exact"/>
              <w:rPr>
                <w:sz w:val="20"/>
                <w:szCs w:val="20"/>
                <w:color w:val="auto"/>
              </w:rPr>
            </w:pPr>
            <w:r>
              <w:rPr>
                <w:rFonts w:ascii="Arial" w:cs="Arial" w:eastAsia="Arial" w:hAnsi="Arial"/>
                <w:sz w:val="18"/>
                <w:szCs w:val="18"/>
                <w:color w:val="auto"/>
              </w:rPr>
              <w:t>Preferred stock, $0.0001 par value per share; no shares authorized,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tcPr>
          <w:p>
            <w:pPr>
              <w:ind w:left="200"/>
              <w:spacing w:after="0" w:line="202" w:lineRule="exact"/>
              <w:rPr>
                <w:sz w:val="20"/>
                <w:szCs w:val="20"/>
                <w:color w:val="auto"/>
              </w:rPr>
            </w:pPr>
            <w:r>
              <w:rPr>
                <w:rFonts w:ascii="Arial" w:cs="Arial" w:eastAsia="Arial" w:hAnsi="Arial"/>
                <w:sz w:val="18"/>
                <w:szCs w:val="18"/>
                <w:color w:val="auto"/>
              </w:rPr>
              <w:t>issued and outstanding, actual; 10,000,000 shares authorized, and no</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820" w:type="dxa"/>
            <w:vAlign w:val="bottom"/>
          </w:tcPr>
          <w:p>
            <w:pPr>
              <w:ind w:left="200"/>
              <w:spacing w:after="0" w:line="200" w:lineRule="exact"/>
              <w:rPr>
                <w:sz w:val="20"/>
                <w:szCs w:val="20"/>
                <w:color w:val="auto"/>
              </w:rPr>
            </w:pPr>
            <w:r>
              <w:rPr>
                <w:rFonts w:ascii="Arial" w:cs="Arial" w:eastAsia="Arial" w:hAnsi="Arial"/>
                <w:sz w:val="18"/>
                <w:szCs w:val="18"/>
                <w:color w:val="auto"/>
              </w:rPr>
              <w:t>shares issued and outstanding, pro forma and pro forma as adjusted</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300" w:type="dxa"/>
            <w:vAlign w:val="bottom"/>
          </w:tcPr>
          <w:p>
            <w:pPr>
              <w:jc w:val="right"/>
              <w:ind w:right="192"/>
              <w:spacing w:after="0" w:line="200"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6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58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Common stock, $0.0001 par value per share; 249,000,000 shares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authorized, 3,301,886 shares issued and outstanding, actual;</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249,000,000 shares authorized, 42,902,309 shares issued and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outstanding, pro forma; 300,000,000 shares authorized, 52,902,309</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58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shares issued and outstanding, pro forma as adjusted</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2"/>
              <w:spacing w:after="0" w:line="200"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2"/>
              <w:spacing w:after="0" w:line="200" w:lineRule="exact"/>
              <w:rPr>
                <w:sz w:val="20"/>
                <w:szCs w:val="20"/>
                <w:color w:val="auto"/>
              </w:rPr>
            </w:pPr>
            <w:r>
              <w:rPr>
                <w:rFonts w:ascii="Arial" w:cs="Arial" w:eastAsia="Arial" w:hAnsi="Arial"/>
                <w:sz w:val="18"/>
                <w:szCs w:val="18"/>
                <w:color w:val="auto"/>
              </w:rPr>
              <w:t>4</w:t>
            </w: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7"/>
                <w:szCs w:val="17"/>
                <w:color w:val="auto"/>
              </w:rPr>
            </w:pPr>
          </w:p>
        </w:tc>
      </w:tr>
      <w:tr>
        <w:trPr>
          <w:trHeight w:val="203"/>
        </w:trPr>
        <w:tc>
          <w:tcPr>
            <w:tcW w:w="5840" w:type="dxa"/>
            <w:vAlign w:val="bottom"/>
            <w:gridSpan w:val="2"/>
          </w:tcPr>
          <w:p>
            <w:pPr>
              <w:spacing w:after="0" w:line="202" w:lineRule="exact"/>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3,290</w:t>
            </w:r>
          </w:p>
        </w:tc>
        <w:tc>
          <w:tcPr>
            <w:tcW w:w="440" w:type="dxa"/>
            <w:vAlign w:val="bottom"/>
          </w:tcPr>
          <w:p>
            <w:pPr>
              <w:spacing w:after="0"/>
              <w:rPr>
                <w:sz w:val="17"/>
                <w:szCs w:val="17"/>
                <w:color w:val="auto"/>
              </w:rPr>
            </w:pPr>
          </w:p>
        </w:tc>
        <w:tc>
          <w:tcPr>
            <w:tcW w:w="130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308,400</w:t>
            </w:r>
          </w:p>
        </w:tc>
        <w:tc>
          <w:tcPr>
            <w:tcW w:w="38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444,699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54</w:t>
            </w:r>
          </w:p>
        </w:tc>
        <w:tc>
          <w:tcPr>
            <w:tcW w:w="4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54</w:t>
            </w:r>
          </w:p>
        </w:tc>
        <w:tc>
          <w:tcPr>
            <w:tcW w:w="38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r>
      <w:tr>
        <w:trPr>
          <w:trHeight w:val="210"/>
        </w:trPr>
        <w:tc>
          <w:tcPr>
            <w:tcW w:w="5840" w:type="dxa"/>
            <w:vAlign w:val="bottom"/>
            <w:gridSpan w:val="2"/>
          </w:tcPr>
          <w:p>
            <w:pPr>
              <w:spacing w:after="0" w:line="202" w:lineRule="exact"/>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(142,790)</w:t>
            </w:r>
          </w:p>
        </w:tc>
        <w:tc>
          <w:tcPr>
            <w:tcW w:w="440" w:type="dxa"/>
            <w:vAlign w:val="bottom"/>
          </w:tcPr>
          <w:p>
            <w:pPr>
              <w:spacing w:after="0"/>
              <w:rPr>
                <w:sz w:val="18"/>
                <w:szCs w:val="18"/>
                <w:color w:val="auto"/>
              </w:rPr>
            </w:pPr>
          </w:p>
        </w:tc>
        <w:tc>
          <w:tcPr>
            <w:tcW w:w="130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(142,790)</w:t>
            </w:r>
          </w:p>
        </w:tc>
        <w:tc>
          <w:tcPr>
            <w:tcW w:w="380" w:type="dxa"/>
            <w:vAlign w:val="bottom"/>
          </w:tcPr>
          <w:p>
            <w:pPr>
              <w:spacing w:after="0"/>
              <w:rPr>
                <w:sz w:val="18"/>
                <w:szCs w:val="18"/>
                <w:color w:val="auto"/>
              </w:rPr>
            </w:pPr>
          </w:p>
        </w:tc>
        <w:tc>
          <w:tcPr>
            <w:tcW w:w="16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(142,790)</w:t>
            </w:r>
          </w:p>
        </w:tc>
      </w:tr>
      <w:tr>
        <w:trPr>
          <w:trHeight w:val="203"/>
        </w:trPr>
        <w:tc>
          <w:tcPr>
            <w:tcW w:w="20" w:type="dxa"/>
            <w:vAlign w:val="bottom"/>
          </w:tcPr>
          <w:p>
            <w:pPr>
              <w:spacing w:after="0"/>
              <w:rPr>
                <w:sz w:val="17"/>
                <w:szCs w:val="17"/>
                <w:color w:val="auto"/>
              </w:rPr>
            </w:pPr>
          </w:p>
        </w:tc>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(139,446)</w:t>
            </w: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165,668</w:t>
            </w: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5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301,968</w:t>
            </w:r>
          </w:p>
        </w:tc>
        <w:tc>
          <w:tcPr>
            <w:tcW w:w="120" w:type="dxa"/>
            <w:vAlign w:val="bottom"/>
            <w:shd w:val="clear" w:color="auto" w:fill="CCEEFF"/>
          </w:tcPr>
          <w:p>
            <w:pPr>
              <w:spacing w:after="0"/>
              <w:rPr>
                <w:sz w:val="17"/>
                <w:szCs w:val="17"/>
                <w:color w:val="auto"/>
              </w:rPr>
            </w:pPr>
          </w:p>
        </w:tc>
      </w:tr>
      <w:tr>
        <w:trPr>
          <w:trHeight w:val="222"/>
        </w:trPr>
        <w:tc>
          <w:tcPr>
            <w:tcW w:w="584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165,668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165,668</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301,968</w:t>
            </w:r>
          </w:p>
        </w:tc>
        <w:tc>
          <w:tcPr>
            <w:tcW w:w="120" w:type="dxa"/>
            <w:vAlign w:val="bottom"/>
          </w:tcPr>
          <w:p>
            <w:pPr>
              <w:spacing w:after="0"/>
              <w:rPr>
                <w:sz w:val="19"/>
                <w:szCs w:val="19"/>
                <w:color w:val="auto"/>
              </w:rPr>
            </w:pPr>
          </w:p>
        </w:tc>
      </w:tr>
      <w:tr>
        <w:trPr>
          <w:trHeight w:val="357"/>
        </w:trPr>
        <w:tc>
          <w:tcPr>
            <w:tcW w:w="20" w:type="dxa"/>
            <w:vAlign w:val="bottom"/>
          </w:tcPr>
          <w:p>
            <w:pPr>
              <w:spacing w:after="0"/>
              <w:rPr>
                <w:sz w:val="24"/>
                <w:szCs w:val="24"/>
                <w:color w:val="auto"/>
              </w:rPr>
            </w:pPr>
          </w:p>
        </w:tc>
        <w:tc>
          <w:tcPr>
            <w:tcW w:w="5820" w:type="dxa"/>
            <w:vAlign w:val="bottom"/>
            <w:tcBorders>
              <w:top w:val="single" w:sz="8" w:color="auto"/>
            </w:tcBorders>
          </w:tcPr>
          <w:p>
            <w:pPr>
              <w:ind w:left="5400"/>
              <w:spacing w:after="0"/>
              <w:rPr>
                <w:sz w:val="20"/>
                <w:szCs w:val="20"/>
                <w:color w:val="auto"/>
              </w:rPr>
            </w:pPr>
            <w:r>
              <w:rPr>
                <w:rFonts w:ascii="Arial" w:cs="Arial" w:eastAsia="Arial" w:hAnsi="Arial"/>
                <w:sz w:val="18"/>
                <w:szCs w:val="18"/>
                <w:color w:val="auto"/>
              </w:rPr>
              <w:t>76</w:t>
            </w:r>
          </w:p>
        </w:tc>
        <w:tc>
          <w:tcPr>
            <w:tcW w:w="1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right="140" w:hanging="316"/>
        <w:spacing w:after="0" w:line="264" w:lineRule="auto"/>
        <w:tabs>
          <w:tab w:leader="none" w:pos="5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Each $1.00 increase (decrease) in the assumed initial public offering price of $15.00 per share (the midpoint of the price range set forth on the cover of this prospectus) would increase (decrease) the amount of each of cash, cash equivalents and marketable securities, additional paid-in capital, total stockholders’ equity and total capitalization by $9.3 million, assuming the number of shares offered by us, as set forth on the cover page of this prospectus, remains the same and after deducting underwriting discounts and commissions and estimated offering expenses payable by us. We may also increase or decrease the number of shares we are offering. Each increase (decrease) of 1,000,000 shares in the number of shares offered by us would increase (decrease) each of cash, cash equivalents and marketable securities, additional paid-in capital, total stockholders’ equity and total capitalization by $14.0 million, assuming the assumed initial public offering price of $15.00 per share (the midpoint of the price range set forth on the cover of this prospectus) remains the same, and after deducting underwriting discounts and commissions and estimated offering expenses payable by us. The pro forma as adjusted information discussed above is illustrative only and will be adjusted based on the actual public offering price and other terms of this offering determined at pricing.</w:t>
      </w:r>
    </w:p>
    <w:p>
      <w:pPr>
        <w:spacing w:after="0" w:line="41" w:lineRule="exact"/>
        <w:rPr>
          <w:rFonts w:ascii="Arial" w:cs="Arial" w:eastAsia="Arial" w:hAnsi="Arial"/>
          <w:sz w:val="12"/>
          <w:szCs w:val="12"/>
          <w:color w:val="auto"/>
        </w:rPr>
      </w:pPr>
    </w:p>
    <w:p>
      <w:pPr>
        <w:ind w:left="520" w:right="20" w:hanging="316"/>
        <w:spacing w:after="0" w:line="228" w:lineRule="auto"/>
        <w:tabs>
          <w:tab w:leader="none" w:pos="520" w:val="left"/>
        </w:tabs>
        <w:numPr>
          <w:ilvl w:val="0"/>
          <w:numId w:val="54"/>
        </w:numPr>
        <w:rPr>
          <w:rFonts w:ascii="Arial" w:cs="Arial" w:eastAsia="Arial" w:hAnsi="Arial"/>
          <w:sz w:val="14"/>
          <w:szCs w:val="14"/>
          <w:color w:val="auto"/>
        </w:rPr>
      </w:pPr>
      <w:r>
        <w:rPr>
          <w:rFonts w:ascii="Arial" w:cs="Arial" w:eastAsia="Arial" w:hAnsi="Arial"/>
          <w:sz w:val="14"/>
          <w:szCs w:val="14"/>
          <w:color w:val="auto"/>
        </w:rPr>
        <w:t>We have classified our marketable securities as available-for-sale, and may sell these securities prior to their stated maturities. We view these marketable securities as available to support current operations, and classify marketable securities with maturities beyond 12 months as current assets under the caption marketable securities in the unaudited condensed consolidated financial statements appearing elsewhere in this prospectus.</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outstanding share information in the table above excludes the following:</w:t>
      </w:r>
    </w:p>
    <w:p>
      <w:pPr>
        <w:spacing w:after="0" w:line="117" w:lineRule="exact"/>
        <w:rPr>
          <w:sz w:val="20"/>
          <w:szCs w:val="20"/>
          <w:color w:val="auto"/>
        </w:rPr>
      </w:pPr>
    </w:p>
    <w:p>
      <w:pPr>
        <w:ind w:left="420" w:right="120" w:hanging="216"/>
        <w:spacing w:after="0" w:line="239"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4,670,745 shares of common stock issuable upon the exercise of outstanding stock options as of September 30, 2019 having a weighted-average exercise price of $3.36 per share;</w:t>
      </w:r>
    </w:p>
    <w:p>
      <w:pPr>
        <w:spacing w:after="0" w:line="114" w:lineRule="exact"/>
        <w:rPr>
          <w:rFonts w:ascii="Arial" w:cs="Arial" w:eastAsia="Arial" w:hAnsi="Arial"/>
          <w:sz w:val="18"/>
          <w:szCs w:val="18"/>
          <w:color w:val="auto"/>
        </w:rPr>
      </w:pPr>
    </w:p>
    <w:p>
      <w:pPr>
        <w:ind w:left="420" w:right="620" w:hanging="216"/>
        <w:spacing w:after="0" w:line="239"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277,012 shares of common stock issuable upon the exercise of stock options granted after September 30, 2019 having a weighted-average exercise price of $7.50 per share;</w:t>
      </w:r>
    </w:p>
    <w:p>
      <w:pPr>
        <w:spacing w:after="0" w:line="114" w:lineRule="exact"/>
        <w:rPr>
          <w:rFonts w:ascii="Arial" w:cs="Arial" w:eastAsia="Arial" w:hAnsi="Arial"/>
          <w:sz w:val="18"/>
          <w:szCs w:val="18"/>
          <w:color w:val="auto"/>
        </w:rPr>
      </w:pPr>
    </w:p>
    <w:p>
      <w:pPr>
        <w:jc w:val="both"/>
        <w:ind w:left="420" w:hanging="216"/>
        <w:spacing w:after="0" w:line="238"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1,041,448 shares of common stock reserved for issuance pursuant to future awards under our 2014 Equity Incentive Plan, as amended, as of September 30, 2019, which will become available for issuance under our 2020 Incentive Award Plan on the day prior to the effectiveness of the registration statement to which this prospectus relates;</w:t>
      </w:r>
    </w:p>
    <w:p>
      <w:pPr>
        <w:spacing w:after="0" w:line="113" w:lineRule="exact"/>
        <w:rPr>
          <w:rFonts w:ascii="Arial" w:cs="Arial" w:eastAsia="Arial" w:hAnsi="Arial"/>
          <w:sz w:val="18"/>
          <w:szCs w:val="18"/>
          <w:color w:val="auto"/>
        </w:rPr>
      </w:pPr>
    </w:p>
    <w:p>
      <w:pPr>
        <w:ind w:left="420" w:right="20" w:hanging="216"/>
        <w:spacing w:after="0" w:line="236"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5,771,197 shares of common stock reserved for issuance pursuant to future awards under our 2020 Incentive Award Plan, as well as any automatic increases in the number of shares of our common stock reserved for future issuance under this plan, which will become effective on the day prior to the effectiveness of the registration statement to which this prospectus relates, of which options to purchase 481,600 shares of common stock at an exercise price equal to the initial public offering price set forth on the cover of this prospectus will be granted coincident with this offering; and</w:t>
      </w:r>
    </w:p>
    <w:p>
      <w:pPr>
        <w:spacing w:after="0" w:line="116" w:lineRule="exact"/>
        <w:rPr>
          <w:rFonts w:ascii="Arial" w:cs="Arial" w:eastAsia="Arial" w:hAnsi="Arial"/>
          <w:sz w:val="18"/>
          <w:szCs w:val="18"/>
          <w:color w:val="auto"/>
        </w:rPr>
      </w:pPr>
    </w:p>
    <w:p>
      <w:pPr>
        <w:ind w:left="420" w:right="60" w:hanging="216"/>
        <w:spacing w:after="0" w:line="238" w:lineRule="auto"/>
        <w:tabs>
          <w:tab w:leader="none" w:pos="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528,959 shares of common stock reserved for issuance pursuant to future awards under our 2020 Employee Stock Purchase Plan, as well as any automatic increases in the number of shares of our common stock reserved for future issuance under this plan, which will become effective on the day prior to the effectiveness of the registration statement to which this prospectus relates.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Dilution</w:t>
      </w:r>
    </w:p>
    <w:p>
      <w:pPr>
        <w:spacing w:after="0" w:line="158"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this offering.</w:t>
      </w:r>
    </w:p>
    <w:p>
      <w:pPr>
        <w:spacing w:after="0" w:line="10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As of September 30, 2019, we had a historical net tangible book value (deficit) of $(217.6) million, or $(65.91) per share of common stock. Our historical net tangible book value (deficit) represents total tangible assets less total liabilities and redeemable convertible preferred stock, all divided by 3,301,886 shares of common stock outstanding on September 30, 2019. Our pro forma net tangible book value as of September 30, 2019, before giving effect to this offering, was $87.5 million, or $2.04 per share of our common stock. Pro forma net tangible book value, before the issuance and sale of shares in this offering, gives effect to:</w:t>
      </w:r>
    </w:p>
    <w:p>
      <w:pPr>
        <w:spacing w:after="0" w:line="117" w:lineRule="exact"/>
        <w:rPr>
          <w:sz w:val="20"/>
          <w:szCs w:val="20"/>
          <w:color w:val="auto"/>
        </w:rPr>
      </w:pPr>
    </w:p>
    <w:p>
      <w:pPr>
        <w:ind w:left="420" w:right="560" w:hanging="216"/>
        <w:spacing w:after="0" w:line="239"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conversion of all 39,600,423 outstanding shares of our redeemable convertible preferred stock as of September 30, 2019 into an equivalent number of shares of common stock upon the closing of this offering; and</w:t>
      </w:r>
    </w:p>
    <w:p>
      <w:pPr>
        <w:spacing w:after="0" w:line="114" w:lineRule="exact"/>
        <w:rPr>
          <w:rFonts w:ascii="Arial" w:cs="Arial" w:eastAsia="Arial" w:hAnsi="Arial"/>
          <w:sz w:val="18"/>
          <w:szCs w:val="18"/>
          <w:color w:val="auto"/>
        </w:rPr>
      </w:pPr>
    </w:p>
    <w:p>
      <w:pPr>
        <w:ind w:left="420" w:right="1200" w:hanging="216"/>
        <w:spacing w:after="0" w:line="239" w:lineRule="auto"/>
        <w:tabs>
          <w:tab w:leader="none" w:pos="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which will occur immediately prior to the consummation of this offering.</w:t>
      </w:r>
    </w:p>
    <w:p>
      <w:pPr>
        <w:spacing w:after="0" w:line="10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After giving effect to (i) the sale of 10,000,000 shares of common stock in this offering at an assumed initial public offering price of $15.00 per share (the midpoint of the price range set forth on the cover of this prospectus) and after deducting the underwriting discounts and commissions and estimated offering expenses payable by us, net of $0.1 million of offering costs paid as of September 30, 2019, (ii) the reclassification of $1.3 million in deferred offering costs from other noncurrent assets to additional paid-in-capital, and (iii) the reduction of $1.2 million in current liabilities to reflect the payment of unpaid deferred offering costs, our pro forma as adjusted net tangible book value as of September 30, 2019 would have been $225.1 million, or $4.25 per share. This represents an immediate increase in pro forma as adjusted net tangible book value of $2.21 per share to existing stockholders and an immediate dilution in pro forma net tangible book value of $10.75 per share to new investors. The following table illustrates this per share dilution:</w:t>
      </w:r>
    </w:p>
    <w:p>
      <w:pPr>
        <w:spacing w:after="0" w:line="91"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9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78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Borders>
              <w:top w:val="single" w:sz="8" w:color="auto"/>
            </w:tcBorders>
            <w:shd w:val="clear" w:color="auto" w:fill="CCEEFF"/>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200"/>
              <w:spacing w:after="0" w:line="202" w:lineRule="exact"/>
              <w:rPr>
                <w:sz w:val="20"/>
                <w:szCs w:val="20"/>
                <w:color w:val="auto"/>
              </w:rPr>
            </w:pPr>
            <w:r>
              <w:rPr>
                <w:rFonts w:ascii="Arial" w:cs="Arial" w:eastAsia="Arial" w:hAnsi="Arial"/>
                <w:sz w:val="18"/>
                <w:szCs w:val="18"/>
                <w:color w:val="auto"/>
              </w:rPr>
              <w:t>Historical net tangible book value (deficit) per share as of September 30, 2019</w:t>
            </w:r>
          </w:p>
        </w:tc>
        <w:tc>
          <w:tcPr>
            <w:tcW w:w="122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$(65.91)</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w w:val="99"/>
              </w:rPr>
              <w:t>Pro forma change in historical net tangible book value (deficit) per share attributable to the pro forma transactions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1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described in the preceding paragraphs</w:t>
            </w:r>
          </w:p>
        </w:tc>
        <w:tc>
          <w:tcPr>
            <w:tcW w:w="1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67.95</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180" w:type="dxa"/>
            <w:vAlign w:val="bottom"/>
          </w:tcPr>
          <w:p>
            <w:pPr>
              <w:ind w:left="200"/>
              <w:spacing w:after="0"/>
              <w:rPr>
                <w:sz w:val="20"/>
                <w:szCs w:val="20"/>
                <w:color w:val="auto"/>
              </w:rPr>
            </w:pPr>
            <w:r>
              <w:rPr>
                <w:rFonts w:ascii="Arial" w:cs="Arial" w:eastAsia="Arial" w:hAnsi="Arial"/>
                <w:sz w:val="18"/>
                <w:szCs w:val="18"/>
                <w:color w:val="auto"/>
              </w:rPr>
              <w:t>Pro forma net tangible book value per share as of September 30, 2019</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91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Increase in pro forma net tangible book value per share attributable to new investors purchasing shares in this</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91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offering</w:t>
            </w:r>
          </w:p>
        </w:tc>
        <w:tc>
          <w:tcPr>
            <w:tcW w:w="18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2.21</w:t>
            </w: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7"/>
        </w:trPr>
        <w:tc>
          <w:tcPr>
            <w:tcW w:w="920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220" w:type="dxa"/>
            <w:vAlign w:val="bottom"/>
            <w:gridSpan w:val="3"/>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purchasing shares in this offering</w:t>
            </w:r>
          </w:p>
        </w:tc>
        <w:tc>
          <w:tcPr>
            <w:tcW w:w="178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$10.75</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Each $1.00 increase (decrease) in the assumed initial public offering price of $15.00 per share (the midpoint of the price range set forth on the cover of this prospectus) would increase (decrease) our pro forma as adjusted net tangible book value as of September 30, 2019 after this offering by $9.3 million, or $0.18 per share, and would increase (decrease) dilution to investors in this offering by $0.82 per share, assuming that the number of shares offered by us, as set forth on the cover page of this prospectus, remains the same, after deducting the underwriting discounts and commissions and estimated offering expenses payable by us. We may also increase or decrease the number of shares we are offering. Assuming the assumed initial public price of $15.00 per share (the midpoint of the price range set forth on the cover of this prospectus) remains the same, after</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80"/>
        <w:spacing w:after="0" w:line="236" w:lineRule="auto"/>
        <w:rPr>
          <w:sz w:val="20"/>
          <w:szCs w:val="20"/>
          <w:color w:val="auto"/>
        </w:rPr>
      </w:pPr>
      <w:r>
        <w:rPr>
          <w:rFonts w:ascii="Arial" w:cs="Arial" w:eastAsia="Arial" w:hAnsi="Arial"/>
          <w:sz w:val="18"/>
          <w:szCs w:val="18"/>
          <w:color w:val="auto"/>
        </w:rPr>
        <w:t>deducting the underwriting discounts and commissions and estimated offering expenses payable by us, each increase of 1,000,000 in the number of shares we are offering would increase our pro forma as adjusted net tangible book value as of September 30, 2019 after this offering by $14.0 million, or $0.18 per share, and would decrease dilution to investors in this offering by $0.18 per share, and a decrease of 1,000,000 in the number of shares we are offering would decrease our pro forma as adjusted net tangible book value as of September 30, 2019 after this offering by $14.0 million, or $0.19 per share, and would increase dilution to investors in this offering by $0.19 per share. The pro forma as adjusted information is illustrative only, and we will adjust this information based on the actual initial public offering price and other terms of this offering determined at pricing.</w:t>
      </w:r>
    </w:p>
    <w:p>
      <w:pPr>
        <w:spacing w:after="0" w:line="101" w:lineRule="exact"/>
        <w:rPr>
          <w:sz w:val="20"/>
          <w:szCs w:val="20"/>
          <w:color w:val="auto"/>
        </w:rPr>
      </w:pPr>
    </w:p>
    <w:p>
      <w:pPr>
        <w:ind w:left="200" w:right="320"/>
        <w:spacing w:after="0" w:line="237" w:lineRule="auto"/>
        <w:rPr>
          <w:sz w:val="20"/>
          <w:szCs w:val="20"/>
          <w:color w:val="auto"/>
        </w:rPr>
      </w:pPr>
      <w:r>
        <w:rPr>
          <w:rFonts w:ascii="Arial" w:cs="Arial" w:eastAsia="Arial" w:hAnsi="Arial"/>
          <w:sz w:val="18"/>
          <w:szCs w:val="18"/>
          <w:color w:val="auto"/>
        </w:rPr>
        <w:t>If the underwriters fully exercise their option to purchase additional shares, the pro forma as adjusted net tangible book value after this offering would be $246.0 million, the increase in pro forma as adjusted net tangible book value per share to existing stockholders would be $2.48 per share, and there would be an immediate dilution of $10.48 per share to new investors, in each case assuming an initial offering price of $15.00 per share (the midpoint of the price range set forth on the cover of this prospectus).</w:t>
      </w:r>
    </w:p>
    <w:p>
      <w:pPr>
        <w:spacing w:after="0" w:line="101"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To the extent that outstanding options with an exercise price per share that is less than the pro forma as adjusted net tangible book value per share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103"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following table shows, as of September 30, 2019, on a pro forma as adjusted basis, the number of shares of common stock purchased from us, the total consideration paid or to be paid to us and the average price paid per share by existing stockholders for shares issued prior to this offering and the price to be paid by new investors purchasing common stock in this offering at an assumed initial public offering price of $15.00 per share (the midpoint of the price range set forth on the cover of this prospectus), before deducting the estimated underwriting discounts and commissions and estimated offering expenses payable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7" w:lineRule="exact"/>
        <w:rPr>
          <w:sz w:val="20"/>
          <w:szCs w:val="20"/>
          <w:color w:val="auto"/>
        </w:rPr>
      </w:pPr>
    </w:p>
    <w:tbl>
      <w:tblPr>
        <w:tblLayout w:type="fixed"/>
        <w:tblInd w:w="20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94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8"/>
                <w:szCs w:val="18"/>
                <w:b w:val="1"/>
                <w:bCs w:val="1"/>
                <w:color w:val="auto"/>
              </w:rPr>
              <w:t>Shares purchased</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b w:val="1"/>
                <w:bCs w:val="1"/>
                <w:color w:val="auto"/>
                <w:w w:val="98"/>
              </w:rPr>
              <w:t>Total consideration</w:t>
            </w:r>
          </w:p>
        </w:tc>
        <w:tc>
          <w:tcPr>
            <w:tcW w:w="1580" w:type="dxa"/>
            <w:vAlign w:val="bottom"/>
            <w:gridSpan w:val="2"/>
          </w:tcPr>
          <w:p>
            <w:pPr>
              <w:ind w:left="360"/>
              <w:spacing w:after="0"/>
              <w:rPr>
                <w:sz w:val="20"/>
                <w:szCs w:val="20"/>
                <w:color w:val="auto"/>
              </w:rPr>
            </w:pPr>
            <w:r>
              <w:rPr>
                <w:rFonts w:ascii="Arial" w:cs="Arial" w:eastAsia="Arial" w:hAnsi="Arial"/>
                <w:sz w:val="18"/>
                <w:szCs w:val="18"/>
                <w:b w:val="1"/>
                <w:bCs w:val="1"/>
                <w:color w:val="auto"/>
              </w:rPr>
              <w:t>Average price</w:t>
            </w:r>
          </w:p>
        </w:tc>
      </w:tr>
      <w:tr>
        <w:trPr>
          <w:trHeight w:val="223"/>
        </w:trPr>
        <w:tc>
          <w:tcPr>
            <w:tcW w:w="20" w:type="dxa"/>
            <w:vAlign w:val="bottom"/>
          </w:tcPr>
          <w:p>
            <w:pPr>
              <w:spacing w:after="0"/>
              <w:rPr>
                <w:sz w:val="19"/>
                <w:szCs w:val="19"/>
                <w:color w:val="auto"/>
              </w:rPr>
            </w:pPr>
          </w:p>
        </w:tc>
        <w:tc>
          <w:tcPr>
            <w:tcW w:w="5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Number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7"/>
              </w:rPr>
              <w:t>Amount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Percent</w:t>
            </w: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w w:val="98"/>
              </w:rPr>
              <w:t>per share</w:t>
            </w:r>
          </w:p>
        </w:tc>
      </w:tr>
      <w:tr>
        <w:trPr>
          <w:trHeight w:val="142"/>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Existing stockholders before this offering</w:t>
            </w:r>
          </w:p>
        </w:tc>
        <w:tc>
          <w:tcPr>
            <w:tcW w:w="11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42,902,309</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w:t>
            </w:r>
          </w:p>
        </w:tc>
        <w:tc>
          <w:tcPr>
            <w:tcW w:w="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302,379</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w:t>
            </w:r>
          </w:p>
        </w:tc>
        <w:tc>
          <w:tcPr>
            <w:tcW w:w="50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w:t>
            </w:r>
          </w:p>
        </w:tc>
      </w:tr>
      <w:tr>
        <w:trPr>
          <w:trHeight w:val="210"/>
        </w:trPr>
        <w:tc>
          <w:tcPr>
            <w:tcW w:w="5240" w:type="dxa"/>
            <w:vAlign w:val="bottom"/>
            <w:gridSpan w:val="2"/>
          </w:tcPr>
          <w:p>
            <w:pPr>
              <w:spacing w:after="0" w:line="202" w:lineRule="exact"/>
              <w:rPr>
                <w:sz w:val="20"/>
                <w:szCs w:val="20"/>
                <w:color w:val="auto"/>
              </w:rPr>
            </w:pPr>
            <w:r>
              <w:rPr>
                <w:rFonts w:ascii="Arial" w:cs="Arial" w:eastAsia="Arial" w:hAnsi="Arial"/>
                <w:sz w:val="18"/>
                <w:szCs w:val="18"/>
                <w:color w:val="auto"/>
              </w:rPr>
              <w:t>Investors participating in this offering</w:t>
            </w:r>
          </w:p>
        </w:tc>
        <w:tc>
          <w:tcPr>
            <w:tcW w:w="11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10,000,000</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w:t>
            </w:r>
          </w:p>
        </w:tc>
        <w:tc>
          <w:tcPr>
            <w:tcW w:w="460" w:type="dxa"/>
            <w:vAlign w:val="bottom"/>
            <w:tcBorders>
              <w:bottom w:val="single" w:sz="8" w:color="auto"/>
            </w:tcBorders>
            <w:gridSpan w:val="2"/>
          </w:tcPr>
          <w:p>
            <w:pPr>
              <w:ind w:left="3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150,000</w:t>
            </w: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33%</w:t>
            </w:r>
          </w:p>
        </w:tc>
        <w:tc>
          <w:tcPr>
            <w:tcW w:w="500" w:type="dxa"/>
            <w:vAlign w:val="bottom"/>
          </w:tcPr>
          <w:p>
            <w:pPr>
              <w:ind w:left="34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20" w:type="dxa"/>
            <w:vAlign w:val="bottom"/>
          </w:tcPr>
          <w:p>
            <w:pPr>
              <w:spacing w:after="0"/>
              <w:rPr>
                <w:sz w:val="17"/>
                <w:szCs w:val="17"/>
                <w:color w:val="auto"/>
              </w:rPr>
            </w:pPr>
          </w:p>
        </w:tc>
        <w:tc>
          <w:tcPr>
            <w:tcW w:w="5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1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52,902,309</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460" w:type="dxa"/>
            <w:vAlign w:val="bottom"/>
            <w:gridSpan w:val="2"/>
            <w:shd w:val="clear" w:color="auto" w:fill="CCEEFF"/>
          </w:tcPr>
          <w:p>
            <w:pPr>
              <w:ind w:left="340"/>
              <w:spacing w:after="0" w:line="202" w:lineRule="exact"/>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452,379</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c>
          <w:tcPr>
            <w:tcW w:w="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number of shares of common stock to be outstanding after this offering is based on the number of shares outstanding as of</w:t>
      </w:r>
    </w:p>
    <w:p>
      <w:pPr>
        <w:ind w:left="200"/>
        <w:spacing w:after="0"/>
        <w:rPr>
          <w:sz w:val="20"/>
          <w:szCs w:val="20"/>
          <w:color w:val="auto"/>
        </w:rPr>
      </w:pPr>
      <w:r>
        <w:rPr>
          <w:rFonts w:ascii="Arial" w:cs="Arial" w:eastAsia="Arial" w:hAnsi="Arial"/>
          <w:sz w:val="18"/>
          <w:szCs w:val="18"/>
          <w:color w:val="auto"/>
        </w:rPr>
        <w:t>September 30, 2019 and excludes the following:</w:t>
      </w:r>
    </w:p>
    <w:p>
      <w:pPr>
        <w:spacing w:after="0" w:line="117" w:lineRule="exact"/>
        <w:rPr>
          <w:sz w:val="20"/>
          <w:szCs w:val="20"/>
          <w:color w:val="auto"/>
        </w:rPr>
      </w:pPr>
    </w:p>
    <w:p>
      <w:pPr>
        <w:ind w:left="420" w:right="140" w:hanging="216"/>
        <w:spacing w:after="0" w:line="239" w:lineRule="auto"/>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4,670,745 shares of common stock issuable upon the exercise of outstanding stock options as of September 30, 2019 having a weighted-average exercise price of $3.36 per share;</w:t>
      </w:r>
    </w:p>
    <w:p>
      <w:pPr>
        <w:spacing w:after="0" w:line="114" w:lineRule="exact"/>
        <w:rPr>
          <w:rFonts w:ascii="Arial" w:cs="Arial" w:eastAsia="Arial" w:hAnsi="Arial"/>
          <w:sz w:val="18"/>
          <w:szCs w:val="18"/>
          <w:color w:val="auto"/>
        </w:rPr>
      </w:pPr>
    </w:p>
    <w:p>
      <w:pPr>
        <w:ind w:left="420" w:right="640" w:hanging="216"/>
        <w:spacing w:after="0" w:line="239" w:lineRule="auto"/>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277,012 shares of common stock issuable upon the exercise of stock options granted after September 30, 2019 having a weighted-average exercise price of $7.50 per share;</w:t>
      </w:r>
    </w:p>
    <w:p>
      <w:pPr>
        <w:spacing w:after="0" w:line="114" w:lineRule="exact"/>
        <w:rPr>
          <w:rFonts w:ascii="Arial" w:cs="Arial" w:eastAsia="Arial" w:hAnsi="Arial"/>
          <w:sz w:val="18"/>
          <w:szCs w:val="18"/>
          <w:color w:val="auto"/>
        </w:rPr>
      </w:pPr>
    </w:p>
    <w:p>
      <w:pPr>
        <w:jc w:val="both"/>
        <w:ind w:left="420" w:right="20" w:hanging="216"/>
        <w:spacing w:after="0" w:line="238" w:lineRule="auto"/>
        <w:tabs>
          <w:tab w:leader="none" w:pos="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1,041,448 shares of common stock reserved for issuance pursuant to future awards under our 2014 Equity Incentive Plan, as amended, as of September 30, 2019, which will become available for issuance under our 2020 Incentive Award Plan on the day prior to the effectiveness of the registration statement to which this prospectus relates;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240" w:top="459" w:right="4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line="236" w:lineRule="auto"/>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5,771,197 shares of common stock reserved for issuance pursuant to future awards under our 2020 Incentive Award Plan, as well as any automatic increases in the number of shares of our common stock reserved for future issuance under this plan, which will become effective on the day prior to the effectiveness of the registration statement to which this prospectus relates, of which options to purchase 481,600 shares of common stock at an exercise price equal to the initial public offering price set forth on the cover of this prospectus will be granted coincident with this offering; and</w:t>
      </w:r>
    </w:p>
    <w:p>
      <w:pPr>
        <w:spacing w:after="0" w:line="116" w:lineRule="exact"/>
        <w:rPr>
          <w:rFonts w:ascii="Arial" w:cs="Arial" w:eastAsia="Arial" w:hAnsi="Arial"/>
          <w:sz w:val="18"/>
          <w:szCs w:val="18"/>
          <w:color w:val="auto"/>
        </w:rPr>
      </w:pPr>
    </w:p>
    <w:p>
      <w:pPr>
        <w:ind w:left="420" w:right="40" w:hanging="216"/>
        <w:spacing w:after="0" w:line="238" w:lineRule="auto"/>
        <w:tabs>
          <w:tab w:leader="none" w:pos="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528,959 shares of common stock reserved for issuance pursuant to future awards under our 2020 Employee Stock Purchase Plan, as well as any automatic increases in the number of shares of our common stock reserved for future issuance under this plan, which will become effective on the day prior to the effectiveness of the registration statement to which this prospectus relates.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00"/>
          </w:cols>
          <w:pgMar w:left="24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Selected consolidated financial data</w:t>
      </w:r>
    </w:p>
    <w:p>
      <w:pPr>
        <w:spacing w:after="0" w:line="140" w:lineRule="exact"/>
        <w:rPr>
          <w:sz w:val="20"/>
          <w:szCs w:val="20"/>
          <w:color w:val="auto"/>
        </w:rPr>
      </w:pPr>
    </w:p>
    <w:p>
      <w:pPr>
        <w:ind w:left="200" w:right="100"/>
        <w:spacing w:after="0" w:line="241" w:lineRule="auto"/>
        <w:rPr>
          <w:sz w:val="20"/>
          <w:szCs w:val="20"/>
          <w:color w:val="auto"/>
        </w:rPr>
      </w:pPr>
      <w:r>
        <w:rPr>
          <w:rFonts w:ascii="Arial" w:cs="Arial" w:eastAsia="Arial" w:hAnsi="Arial"/>
          <w:sz w:val="18"/>
          <w:szCs w:val="18"/>
          <w:i w:val="1"/>
          <w:iCs w:val="1"/>
          <w:color w:val="auto"/>
        </w:rPr>
        <w:t>The following tables summarize our selected consolidated financial data. You should read this data together with our consolidated financial statements and related notes appearing elsewhere in this prospectus and the information under the caption “Unaudited pro forma condensed combined financial statements” and “Management’s discussion and analysis of financial condition and results of operations.” The selected consolidated financial data in this section are not intended to replace the financial statements and are qualified in their entirety by the consolidated financial statements and related notes included elsewhere in this prospectus.</w:t>
      </w:r>
    </w:p>
    <w:p>
      <w:pPr>
        <w:spacing w:after="0" w:line="100"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We have derived the following selected consolidated statements of operations data for the years ended December 31, 2017 and 2018 (except for the pro forma net loss per share and the pro forma share information) and the balance sheet data as of December 31, 2017 and 2018 from our audited consolidated financial statements and related notes included elsewhere in this prospectus. The selected consolidated statements of operations data for the nine months ended September 30, 2018 and 2019 and the selected consolidated balance sheet data as of September 30, 2019 are derived from our unaudited interim consolidated financial statements included elsewhere in this prospectus. The unaudited interim financial statements have been prepared in accordance with generally accepted accounting principles in the United Stated and on the same basis as the audited consolidated financial statements and, in the opinion of management, reflect all adjustments, which include only normal recurring adjustments, necessary to state fairly our financial position as of September 30, 2019 and the results of operations for the nine months ended September 30, 2018 and 2019. On October 24, 2018, we acquired Warp Drive for total consideration valued at $69.0 million. Our consolidated financial statements included the results of operations of Warp Drive and estimated fair values of assets acquired and liabilities assumed commencing as of the acquisition date. Our historical results are not necessarily indicative of the results that may be expected in the future and results for the nine months ended September 30, 2019 are not necessarily indicative of results to be expected for the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74295</wp:posOffset>
            </wp:positionV>
            <wp:extent cx="699770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7"/>
              </w:rPr>
              <w:t>Year ended 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60" w:type="dxa"/>
            <w:vAlign w:val="bottom"/>
            <w:gridSpan w:val="12"/>
          </w:tcPr>
          <w:p>
            <w:pPr>
              <w:jc w:val="right"/>
              <w:ind w:right="640"/>
              <w:spacing w:after="0"/>
              <w:rPr>
                <w:sz w:val="20"/>
                <w:szCs w:val="20"/>
                <w:color w:val="auto"/>
              </w:rPr>
            </w:pPr>
            <w:r>
              <w:rPr>
                <w:rFonts w:ascii="Arial" w:cs="Arial" w:eastAsia="Arial" w:hAnsi="Arial"/>
                <w:sz w:val="14"/>
                <w:szCs w:val="14"/>
                <w:b w:val="1"/>
                <w:bCs w:val="1"/>
                <w:color w:val="auto"/>
              </w:rPr>
              <w:t>(in thousands, except share and per share data)</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6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Consolidated Statements of Operations Data:</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line="149" w:lineRule="exact"/>
              <w:rPr>
                <w:sz w:val="20"/>
                <w:szCs w:val="20"/>
                <w:color w:val="auto"/>
              </w:rPr>
            </w:pPr>
            <w:r>
              <w:rPr>
                <w:rFonts w:ascii="Arial" w:cs="Arial" w:eastAsia="Arial" w:hAnsi="Arial"/>
                <w:sz w:val="14"/>
                <w:szCs w:val="14"/>
                <w:color w:val="auto"/>
              </w:rPr>
              <w:t>Revenue: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Collaboration revenue, related party</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19,420</w:t>
            </w:r>
          </w:p>
        </w:tc>
        <w:tc>
          <w:tcPr>
            <w:tcW w:w="20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9,818</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Collaboration revenue, other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745</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revenue</w:t>
            </w: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20,165</w:t>
            </w:r>
          </w:p>
        </w:tc>
        <w:tc>
          <w:tcPr>
            <w:tcW w:w="2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9,818</w:t>
            </w:r>
          </w:p>
        </w:tc>
        <w:tc>
          <w:tcPr>
            <w:tcW w:w="1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37,953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Research and development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26,586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51,084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32,903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64,265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General and administrative</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4,543</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9,410</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rPr>
              <w:t>5,575</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8,244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operating expenses</w:t>
            </w:r>
          </w:p>
        </w:tc>
        <w:tc>
          <w:tcPr>
            <w:tcW w:w="2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31,129</w:t>
            </w:r>
          </w:p>
        </w:tc>
        <w:tc>
          <w:tcPr>
            <w:tcW w:w="1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60,494</w:t>
            </w:r>
          </w:p>
        </w:tc>
        <w:tc>
          <w:tcPr>
            <w:tcW w:w="200" w:type="dxa"/>
            <w:vAlign w:val="bottom"/>
            <w:tcBorders>
              <w:bottom w:val="single" w:sz="8" w:color="auto"/>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38,478</w:t>
            </w:r>
          </w:p>
        </w:tc>
        <w:tc>
          <w:tcPr>
            <w:tcW w:w="1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72,509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560" w:type="dxa"/>
            <w:vAlign w:val="bottom"/>
            <w:gridSpan w:val="2"/>
          </w:tcPr>
          <w:p>
            <w:pPr>
              <w:spacing w:after="0"/>
              <w:rPr>
                <w:sz w:val="20"/>
                <w:szCs w:val="20"/>
                <w:color w:val="auto"/>
              </w:rPr>
            </w:pPr>
            <w:r>
              <w:rPr>
                <w:rFonts w:ascii="Arial" w:cs="Arial" w:eastAsia="Arial" w:hAnsi="Arial"/>
                <w:sz w:val="14"/>
                <w:szCs w:val="14"/>
                <w:color w:val="auto"/>
              </w:rPr>
              <w:t>Loss from operations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(31,129)</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4"/>
                <w:szCs w:val="14"/>
                <w:color w:val="auto"/>
              </w:rPr>
              <w:t>(40,329)</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92"/>
              <w:spacing w:after="0"/>
              <w:rPr>
                <w:sz w:val="20"/>
                <w:szCs w:val="20"/>
                <w:color w:val="auto"/>
              </w:rPr>
            </w:pPr>
            <w:r>
              <w:rPr>
                <w:rFonts w:ascii="Arial" w:cs="Arial" w:eastAsia="Arial" w:hAnsi="Arial"/>
                <w:sz w:val="14"/>
                <w:szCs w:val="14"/>
                <w:color w:val="auto"/>
              </w:rPr>
              <w:t>(28,660)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(34,556)</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6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 net: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Interest income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777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414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1,571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Interest and other expense</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(103)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(83)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Change in fair value of redeemable convertible preferred stock liability</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(2,121)</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Total other income (expense), net</w:t>
            </w: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152"/>
              <w:spacing w:after="0" w:line="149" w:lineRule="exact"/>
              <w:rPr>
                <w:sz w:val="20"/>
                <w:szCs w:val="20"/>
                <w:color w:val="auto"/>
              </w:rPr>
            </w:pPr>
            <w:r>
              <w:rPr>
                <w:rFonts w:ascii="Arial" w:cs="Arial" w:eastAsia="Arial" w:hAnsi="Arial"/>
                <w:sz w:val="14"/>
                <w:szCs w:val="14"/>
                <w:color w:val="auto"/>
              </w:rPr>
              <w:t>2</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(1,460)</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(1,790)</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1,488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560" w:type="dxa"/>
            <w:vAlign w:val="bottom"/>
            <w:gridSpan w:val="2"/>
          </w:tcPr>
          <w:p>
            <w:pPr>
              <w:spacing w:after="0" w:line="155" w:lineRule="exact"/>
              <w:rPr>
                <w:sz w:val="20"/>
                <w:szCs w:val="20"/>
                <w:color w:val="auto"/>
              </w:rPr>
            </w:pPr>
            <w:r>
              <w:rPr>
                <w:rFonts w:ascii="Arial" w:cs="Arial" w:eastAsia="Arial" w:hAnsi="Arial"/>
                <w:sz w:val="14"/>
                <w:szCs w:val="14"/>
                <w:color w:val="auto"/>
              </w:rPr>
              <w:t>Net loss</w:t>
            </w:r>
          </w:p>
        </w:tc>
        <w:tc>
          <w:tcPr>
            <w:tcW w:w="3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55" w:lineRule="exact"/>
              <w:rPr>
                <w:sz w:val="20"/>
                <w:szCs w:val="20"/>
                <w:color w:val="auto"/>
              </w:rPr>
            </w:pPr>
            <w:r>
              <w:rPr>
                <w:rFonts w:ascii="Arial" w:cs="Arial" w:eastAsia="Arial" w:hAnsi="Arial"/>
                <w:sz w:val="14"/>
                <w:szCs w:val="14"/>
                <w:color w:val="auto"/>
              </w:rPr>
              <w:t>(31,127)</w:t>
            </w:r>
          </w:p>
        </w:tc>
        <w:tc>
          <w:tcPr>
            <w:tcW w:w="2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(41,789)</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55" w:lineRule="exact"/>
              <w:rPr>
                <w:sz w:val="20"/>
                <w:szCs w:val="20"/>
                <w:color w:val="auto"/>
              </w:rPr>
            </w:pPr>
            <w:r>
              <w:rPr>
                <w:rFonts w:ascii="Arial" w:cs="Arial" w:eastAsia="Arial" w:hAnsi="Arial"/>
                <w:sz w:val="14"/>
                <w:szCs w:val="14"/>
                <w:color w:val="auto"/>
              </w:rPr>
              <w:t>(30,450)</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(33,068)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Redeemable convertible preferred stock dividends—undeclared and cumulative</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(3,763)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(4,512)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(9,987)</w:t>
            </w: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560" w:type="dxa"/>
            <w:vAlign w:val="bottom"/>
            <w:gridSpan w:val="2"/>
          </w:tcPr>
          <w:p>
            <w:pPr>
              <w:spacing w:after="0" w:line="155" w:lineRule="exact"/>
              <w:rPr>
                <w:sz w:val="20"/>
                <w:szCs w:val="20"/>
                <w:color w:val="auto"/>
              </w:rPr>
            </w:pPr>
            <w:r>
              <w:rPr>
                <w:rFonts w:ascii="Arial" w:cs="Arial" w:eastAsia="Arial" w:hAnsi="Arial"/>
                <w:sz w:val="14"/>
                <w:szCs w:val="14"/>
                <w:color w:val="auto"/>
              </w:rPr>
              <w:t>Net loss attributable to common stockholders</w:t>
            </w:r>
          </w:p>
        </w:tc>
        <w:tc>
          <w:tcPr>
            <w:tcW w:w="32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55" w:lineRule="exact"/>
              <w:rPr>
                <w:sz w:val="20"/>
                <w:szCs w:val="20"/>
                <w:color w:val="auto"/>
              </w:rPr>
            </w:pPr>
            <w:r>
              <w:rPr>
                <w:rFonts w:ascii="Arial" w:cs="Arial" w:eastAsia="Arial" w:hAnsi="Arial"/>
                <w:sz w:val="14"/>
                <w:szCs w:val="14"/>
                <w:color w:val="auto"/>
              </w:rPr>
              <w:t>(34,890)</w:t>
            </w:r>
          </w:p>
        </w:tc>
        <w:tc>
          <w:tcPr>
            <w:tcW w:w="2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(48,820)</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92"/>
              <w:spacing w:after="0" w:line="155" w:lineRule="exact"/>
              <w:rPr>
                <w:sz w:val="20"/>
                <w:szCs w:val="20"/>
                <w:color w:val="auto"/>
              </w:rPr>
            </w:pPr>
            <w:r>
              <w:rPr>
                <w:rFonts w:ascii="Arial" w:cs="Arial" w:eastAsia="Arial" w:hAnsi="Arial"/>
                <w:sz w:val="14"/>
                <w:szCs w:val="14"/>
                <w:color w:val="auto"/>
              </w:rPr>
              <w:t>(34,962)</w:t>
            </w: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(43,055)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per share attributable to common stockholders—basic and diluted(1)</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(20.25)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(21.24)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(15.77)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(15.81)</w:t>
            </w:r>
          </w:p>
        </w:tc>
        <w:tc>
          <w:tcPr>
            <w:tcW w:w="0" w:type="dxa"/>
            <w:vAlign w:val="bottom"/>
          </w:tcPr>
          <w:p>
            <w:pPr>
              <w:spacing w:after="0"/>
              <w:rPr>
                <w:sz w:val="1"/>
                <w:szCs w:val="1"/>
                <w:color w:val="auto"/>
              </w:rPr>
            </w:pPr>
          </w:p>
        </w:tc>
      </w:tr>
      <w:tr>
        <w:trPr>
          <w:trHeight w:val="155"/>
        </w:trPr>
        <w:tc>
          <w:tcPr>
            <w:tcW w:w="6560" w:type="dxa"/>
            <w:vAlign w:val="bottom"/>
            <w:gridSpan w:val="2"/>
          </w:tcPr>
          <w:p>
            <w:pPr>
              <w:spacing w:after="0" w:line="155" w:lineRule="exact"/>
              <w:rPr>
                <w:sz w:val="20"/>
                <w:szCs w:val="20"/>
                <w:color w:val="auto"/>
              </w:rPr>
            </w:pPr>
            <w:r>
              <w:rPr>
                <w:rFonts w:ascii="Arial" w:cs="Arial" w:eastAsia="Arial" w:hAnsi="Arial"/>
                <w:sz w:val="14"/>
                <w:szCs w:val="14"/>
                <w:color w:val="auto"/>
                <w:w w:val="99"/>
              </w:rPr>
              <w:t>Weighted-average shares used to compute net loss per share attributable to common stockholders—basic</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540" w:type="dxa"/>
            <w:vAlign w:val="bottom"/>
          </w:tcPr>
          <w:p>
            <w:pPr>
              <w:ind w:left="200"/>
              <w:spacing w:after="0" w:line="149" w:lineRule="exact"/>
              <w:rPr>
                <w:sz w:val="20"/>
                <w:szCs w:val="20"/>
                <w:color w:val="auto"/>
              </w:rPr>
            </w:pPr>
            <w:r>
              <w:rPr>
                <w:rFonts w:ascii="Arial" w:cs="Arial" w:eastAsia="Arial" w:hAnsi="Arial"/>
                <w:sz w:val="14"/>
                <w:szCs w:val="14"/>
                <w:color w:val="auto"/>
              </w:rPr>
              <w:t>and diluted(1)</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w w:val="93"/>
              </w:rPr>
              <w:t>1,723,387</w:t>
            </w:r>
          </w:p>
        </w:tc>
        <w:tc>
          <w:tcPr>
            <w:tcW w:w="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2,298,820</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52"/>
              <w:spacing w:after="0" w:line="149" w:lineRule="exact"/>
              <w:rPr>
                <w:sz w:val="20"/>
                <w:szCs w:val="20"/>
                <w:color w:val="auto"/>
              </w:rPr>
            </w:pPr>
            <w:r>
              <w:rPr>
                <w:rFonts w:ascii="Arial" w:cs="Arial" w:eastAsia="Arial" w:hAnsi="Arial"/>
                <w:sz w:val="14"/>
                <w:szCs w:val="14"/>
                <w:color w:val="auto"/>
                <w:w w:val="93"/>
              </w:rPr>
              <w:t>2,217,159</w:t>
            </w: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2,723,541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 forma net loss per share—basic and diluted(1)</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69"/>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Weighted-average shares used in computing pro forma net loss per share—basic and diluted(1)</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23,163,260</w:t>
            </w: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4"/>
              </w:rPr>
              <w:t>36,473,121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459" w:right="4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right="20" w:hanging="316"/>
        <w:spacing w:after="0" w:line="231" w:lineRule="auto"/>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For the calculation of our basic and diluted net loss per share attributable to common stockholders, basic and diluted pro forma net loss per share and weighted-average number of shares used in the computation of the per share amounts, see Note 12 to our consolidated financial statements included elsewhere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69215</wp:posOffset>
            </wp:positionV>
            <wp:extent cx="699770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480" w:type="dxa"/>
            <w:vAlign w:val="bottom"/>
            <w:gridSpan w:val="3"/>
            <w:vMerge w:val="restart"/>
          </w:tcPr>
          <w:p>
            <w:pPr>
              <w:jc w:val="right"/>
              <w:ind w:right="660"/>
              <w:spacing w:after="0"/>
              <w:rPr>
                <w:sz w:val="20"/>
                <w:szCs w:val="20"/>
                <w:color w:val="auto"/>
              </w:rPr>
            </w:pPr>
            <w:r>
              <w:rPr>
                <w:rFonts w:ascii="Arial" w:cs="Arial" w:eastAsia="Arial" w:hAnsi="Arial"/>
                <w:sz w:val="18"/>
                <w:szCs w:val="18"/>
                <w:b w:val="1"/>
                <w:bCs w:val="1"/>
                <w:color w:val="auto"/>
              </w:rPr>
              <w:t>As of December 31,</w:t>
            </w:r>
          </w:p>
        </w:tc>
        <w:tc>
          <w:tcPr>
            <w:tcW w:w="260" w:type="dxa"/>
            <w:vAlign w:val="bottom"/>
          </w:tcPr>
          <w:p>
            <w:pPr>
              <w:spacing w:after="0"/>
              <w:rPr>
                <w:sz w:val="17"/>
                <w:szCs w:val="17"/>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55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2480" w:type="dxa"/>
            <w:vAlign w:val="bottom"/>
            <w:gridSpan w:val="3"/>
            <w:vMerge w:val="continue"/>
          </w:tcPr>
          <w:p>
            <w:pPr>
              <w:spacing w:after="0"/>
              <w:rPr>
                <w:sz w:val="7"/>
                <w:szCs w:val="7"/>
                <w:color w:val="auto"/>
              </w:rPr>
            </w:pPr>
          </w:p>
        </w:tc>
        <w:tc>
          <w:tcPr>
            <w:tcW w:w="1360" w:type="dxa"/>
            <w:vAlign w:val="bottom"/>
            <w:gridSpan w:val="3"/>
            <w:vMerge w:val="restart"/>
          </w:tcPr>
          <w:p>
            <w:pPr>
              <w:jc w:val="center"/>
              <w:ind w:right="80"/>
              <w:spacing w:after="0" w:line="202" w:lineRule="exact"/>
              <w:rPr>
                <w:sz w:val="20"/>
                <w:szCs w:val="20"/>
                <w:color w:val="auto"/>
              </w:rPr>
            </w:pPr>
            <w:r>
              <w:rPr>
                <w:rFonts w:ascii="Arial" w:cs="Arial" w:eastAsia="Arial" w:hAnsi="Arial"/>
                <w:sz w:val="18"/>
                <w:szCs w:val="18"/>
                <w:b w:val="1"/>
                <w:bCs w:val="1"/>
                <w:color w:val="auto"/>
                <w:w w:val="97"/>
              </w:rPr>
              <w:t>September 30,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5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3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8"/>
                <w:szCs w:val="18"/>
                <w:b w:val="1"/>
                <w:bCs w:val="1"/>
                <w:color w:val="auto"/>
              </w:rPr>
              <w:t>2017</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2"/>
              <w:spacing w:after="0"/>
              <w:rPr>
                <w:sz w:val="20"/>
                <w:szCs w:val="20"/>
                <w:color w:val="auto"/>
              </w:rPr>
            </w:pPr>
            <w:r>
              <w:rPr>
                <w:rFonts w:ascii="Arial" w:cs="Arial" w:eastAsia="Arial" w:hAnsi="Arial"/>
                <w:sz w:val="18"/>
                <w:szCs w:val="18"/>
                <w:b w:val="1"/>
                <w:bCs w:val="1"/>
                <w:color w:val="auto"/>
                <w:w w:val="99"/>
              </w:rPr>
              <w:t>2019</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20" w:type="dxa"/>
            <w:vAlign w:val="bottom"/>
            <w:vMerge w:val="restart"/>
          </w:tcPr>
          <w:p>
            <w:pPr>
              <w:spacing w:after="0"/>
              <w:rPr>
                <w:sz w:val="3"/>
                <w:szCs w:val="3"/>
                <w:color w:val="auto"/>
              </w:rPr>
            </w:pPr>
          </w:p>
        </w:tc>
        <w:tc>
          <w:tcPr>
            <w:tcW w:w="5500" w:type="dxa"/>
            <w:vAlign w:val="bottom"/>
          </w:tcPr>
          <w:p>
            <w:pPr>
              <w:spacing w:after="0"/>
              <w:rPr>
                <w:sz w:val="3"/>
                <w:szCs w:val="3"/>
                <w:color w:val="auto"/>
              </w:rPr>
            </w:pPr>
          </w:p>
        </w:tc>
        <w:tc>
          <w:tcPr>
            <w:tcW w:w="16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Consolidated Balance Sheet Data:</w:t>
            </w:r>
          </w:p>
        </w:tc>
        <w:tc>
          <w:tcPr>
            <w:tcW w:w="16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Cash, cash equivalents and marketable securities</w:t>
            </w:r>
          </w:p>
        </w:tc>
        <w:tc>
          <w:tcPr>
            <w:tcW w:w="2660" w:type="dxa"/>
            <w:vAlign w:val="bottom"/>
            <w:gridSpan w:val="2"/>
          </w:tcPr>
          <w:p>
            <w:pPr>
              <w:jc w:val="right"/>
              <w:ind w:right="192"/>
              <w:spacing w:after="0" w:line="202" w:lineRule="exact"/>
              <w:rPr>
                <w:sz w:val="20"/>
                <w:szCs w:val="20"/>
                <w:color w:val="auto"/>
              </w:rPr>
            </w:pPr>
            <w:r>
              <w:rPr>
                <w:rFonts w:ascii="Arial" w:cs="Arial" w:eastAsia="Arial" w:hAnsi="Arial"/>
                <w:sz w:val="18"/>
                <w:szCs w:val="18"/>
                <w:color w:val="auto"/>
              </w:rPr>
              <w:t>$  9,079</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  69,586</w:t>
            </w:r>
          </w:p>
        </w:tc>
        <w:tc>
          <w:tcPr>
            <w:tcW w:w="460" w:type="dxa"/>
            <w:vAlign w:val="bottom"/>
          </w:tcPr>
          <w:p>
            <w:pPr>
              <w:spacing w:after="0"/>
              <w:rPr>
                <w:sz w:val="17"/>
                <w:szCs w:val="17"/>
                <w:color w:val="auto"/>
              </w:rPr>
            </w:pPr>
          </w:p>
        </w:tc>
        <w:tc>
          <w:tcPr>
            <w:tcW w:w="2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136,288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capital(1)</w:t>
            </w:r>
          </w:p>
        </w:tc>
        <w:tc>
          <w:tcPr>
            <w:tcW w:w="2660" w:type="dxa"/>
            <w:vAlign w:val="bottom"/>
            <w:gridSpan w:val="2"/>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1,843</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54,879</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110,477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Total assets</w:t>
            </w:r>
          </w:p>
        </w:tc>
        <w:tc>
          <w:tcPr>
            <w:tcW w:w="2660" w:type="dxa"/>
            <w:vAlign w:val="bottom"/>
            <w:gridSpan w:val="2"/>
          </w:tcPr>
          <w:p>
            <w:pPr>
              <w:jc w:val="right"/>
              <w:ind w:right="192"/>
              <w:spacing w:after="0" w:line="202" w:lineRule="exact"/>
              <w:rPr>
                <w:sz w:val="20"/>
                <w:szCs w:val="20"/>
                <w:color w:val="auto"/>
              </w:rPr>
            </w:pPr>
            <w:r>
              <w:rPr>
                <w:rFonts w:ascii="Arial" w:cs="Arial" w:eastAsia="Arial" w:hAnsi="Arial"/>
                <w:sz w:val="18"/>
                <w:szCs w:val="18"/>
                <w:color w:val="auto"/>
              </w:rPr>
              <w:t>15,077</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170,586</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234,745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2660" w:type="dxa"/>
            <w:vAlign w:val="bottom"/>
            <w:gridSpan w:val="2"/>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10,546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73,927</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69,077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gridSpan w:val="2"/>
          </w:tcPr>
          <w:p>
            <w:pPr>
              <w:spacing w:after="0" w:line="202" w:lineRule="exact"/>
              <w:rPr>
                <w:sz w:val="20"/>
                <w:szCs w:val="20"/>
                <w:color w:val="auto"/>
              </w:rPr>
            </w:pPr>
            <w:r>
              <w:rPr>
                <w:rFonts w:ascii="Arial" w:cs="Arial" w:eastAsia="Arial" w:hAnsi="Arial"/>
                <w:sz w:val="18"/>
                <w:szCs w:val="18"/>
                <w:color w:val="auto"/>
              </w:rPr>
              <w:t>Redeemable convertible preferred stock</w:t>
            </w:r>
          </w:p>
        </w:tc>
        <w:tc>
          <w:tcPr>
            <w:tcW w:w="2660" w:type="dxa"/>
            <w:vAlign w:val="bottom"/>
            <w:gridSpan w:val="2"/>
          </w:tcPr>
          <w:p>
            <w:pPr>
              <w:jc w:val="right"/>
              <w:ind w:right="192"/>
              <w:spacing w:after="0" w:line="202" w:lineRule="exact"/>
              <w:rPr>
                <w:sz w:val="20"/>
                <w:szCs w:val="20"/>
                <w:color w:val="auto"/>
              </w:rPr>
            </w:pPr>
            <w:r>
              <w:rPr>
                <w:rFonts w:ascii="Arial" w:cs="Arial" w:eastAsia="Arial" w:hAnsi="Arial"/>
                <w:sz w:val="18"/>
                <w:szCs w:val="18"/>
                <w:color w:val="auto"/>
              </w:rPr>
              <w:t>72,248</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205,081</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305,114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266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(67,933)</w:t>
            </w:r>
          </w:p>
        </w:tc>
        <w:tc>
          <w:tcPr>
            <w:tcW w:w="1500" w:type="dxa"/>
            <w:vAlign w:val="bottom"/>
            <w:gridSpan w:val="2"/>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(109,722)</w:t>
            </w: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(142,790)</w:t>
            </w:r>
          </w:p>
        </w:tc>
        <w:tc>
          <w:tcPr>
            <w:tcW w:w="0" w:type="dxa"/>
            <w:vAlign w:val="bottom"/>
          </w:tcPr>
          <w:p>
            <w:pPr>
              <w:spacing w:after="0"/>
              <w:rPr>
                <w:sz w:val="1"/>
                <w:szCs w:val="1"/>
                <w:color w:val="auto"/>
              </w:rPr>
            </w:pPr>
          </w:p>
        </w:tc>
      </w:tr>
      <w:tr>
        <w:trPr>
          <w:trHeight w:val="215"/>
        </w:trPr>
        <w:tc>
          <w:tcPr>
            <w:tcW w:w="5520" w:type="dxa"/>
            <w:vAlign w:val="bottom"/>
            <w:gridSpan w:val="2"/>
          </w:tcPr>
          <w:p>
            <w:pPr>
              <w:spacing w:after="0"/>
              <w:rPr>
                <w:sz w:val="20"/>
                <w:szCs w:val="20"/>
                <w:color w:val="auto"/>
              </w:rPr>
            </w:pPr>
            <w:r>
              <w:rPr>
                <w:rFonts w:ascii="Arial" w:cs="Arial" w:eastAsia="Arial" w:hAnsi="Arial"/>
                <w:sz w:val="18"/>
                <w:szCs w:val="18"/>
                <w:color w:val="auto"/>
              </w:rPr>
              <w:t>Total stockholders’ deficit</w:t>
            </w:r>
          </w:p>
        </w:tc>
        <w:tc>
          <w:tcPr>
            <w:tcW w:w="2660" w:type="dxa"/>
            <w:vAlign w:val="bottom"/>
            <w:gridSpan w:val="2"/>
          </w:tcPr>
          <w:p>
            <w:pPr>
              <w:jc w:val="right"/>
              <w:ind w:right="132"/>
              <w:spacing w:after="0"/>
              <w:rPr>
                <w:sz w:val="20"/>
                <w:szCs w:val="20"/>
                <w:color w:val="auto"/>
              </w:rPr>
            </w:pPr>
            <w:r>
              <w:rPr>
                <w:rFonts w:ascii="Arial" w:cs="Arial" w:eastAsia="Arial" w:hAnsi="Arial"/>
                <w:sz w:val="18"/>
                <w:szCs w:val="18"/>
                <w:color w:val="auto"/>
              </w:rPr>
              <w:t>(67,717)</w:t>
            </w:r>
          </w:p>
        </w:tc>
        <w:tc>
          <w:tcPr>
            <w:tcW w:w="1500" w:type="dxa"/>
            <w:vAlign w:val="bottom"/>
            <w:gridSpan w:val="2"/>
          </w:tcPr>
          <w:p>
            <w:pPr>
              <w:jc w:val="right"/>
              <w:ind w:right="400"/>
              <w:spacing w:after="0"/>
              <w:rPr>
                <w:sz w:val="20"/>
                <w:szCs w:val="20"/>
                <w:color w:val="auto"/>
              </w:rPr>
            </w:pPr>
            <w:r>
              <w:rPr>
                <w:rFonts w:ascii="Arial" w:cs="Arial" w:eastAsia="Arial" w:hAnsi="Arial"/>
                <w:sz w:val="18"/>
                <w:szCs w:val="18"/>
                <w:color w:val="auto"/>
              </w:rPr>
              <w:t>(108,422)</w:t>
            </w:r>
          </w:p>
        </w:tc>
        <w:tc>
          <w:tcPr>
            <w:tcW w:w="2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(139,446)</w:t>
            </w: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55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hanging="316"/>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240" w:top="459" w:right="41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Unaudited pro forma condensed combined financial statements</w:t>
      </w:r>
    </w:p>
    <w:p>
      <w:pPr>
        <w:spacing w:after="0" w:line="15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On October 24, 2018, Revolution Medicines, Inc. (the Company) acquired all outstanding shares of Warp Drive Bio, Inc. (Warp Drive), for total consideration valued at $69.0 million. Warp Drive was engaged in research involving the use of intracellular biologics to develop transformative medicines. Warp Drive’s business included a genome mining platform that was subject to a collaboration agreement with Hoffman-La Roche Ltd. (Roche) involving research in the area of neomorph antibiotics. The genome mining platform was accounted for as held for sale as of the acquisition date and was divested in January 2019.</w:t>
      </w:r>
    </w:p>
    <w:p>
      <w:pPr>
        <w:spacing w:after="0" w:line="103"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 xml:space="preserve">The acquisition of Warp Drive was accounted for as a business combination in accordance with Accounting Standards Codification Topic 805, </w:t>
      </w: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(ASC 805). The Company’s management used its best estimates and assumptions to assign fair values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tangible and identifiable intangible assets acquired and liabilities assumed and related income tax impacts as of the acquisition date. Goodwill as of the acquisition date was measured as the excess of purchase consideration over the fair value of net tangible and identifiable intangible assets acquired.</w:t>
      </w:r>
    </w:p>
    <w:p>
      <w:pPr>
        <w:spacing w:after="0" w:line="103" w:lineRule="exact"/>
        <w:rPr>
          <w:sz w:val="20"/>
          <w:szCs w:val="20"/>
          <w:color w:val="auto"/>
        </w:rPr>
      </w:pPr>
    </w:p>
    <w:p>
      <w:pPr>
        <w:ind w:left="200" w:right="200"/>
        <w:spacing w:after="0" w:line="275" w:lineRule="auto"/>
        <w:rPr>
          <w:sz w:val="20"/>
          <w:szCs w:val="20"/>
          <w:color w:val="auto"/>
        </w:rPr>
      </w:pPr>
      <w:r>
        <w:rPr>
          <w:rFonts w:ascii="Arial" w:cs="Arial" w:eastAsia="Arial" w:hAnsi="Arial"/>
          <w:sz w:val="16"/>
          <w:szCs w:val="16"/>
          <w:color w:val="auto"/>
        </w:rPr>
        <w:t>The estimated purchase price consideration, as calculated and described in Note 2 to the unaudited pro forma condensed combined statement of operations, has been allocated to the tangible and intangible assets acquired and liabilities assumed based on their respective estimated fair values. The Company has made significant assumptions and estimates in determining the estimated purchase price consideration and the allocation of the estimated purchase price in the unaudited pro forma condensed combined statement of operations.</w:t>
      </w:r>
    </w:p>
    <w:p>
      <w:pPr>
        <w:spacing w:after="0" w:line="75" w:lineRule="exact"/>
        <w:rPr>
          <w:sz w:val="20"/>
          <w:szCs w:val="20"/>
          <w:color w:val="auto"/>
        </w:rPr>
      </w:pPr>
    </w:p>
    <w:p>
      <w:pPr>
        <w:ind w:left="200" w:right="520"/>
        <w:spacing w:after="0" w:line="236" w:lineRule="auto"/>
        <w:rPr>
          <w:sz w:val="20"/>
          <w:szCs w:val="20"/>
          <w:color w:val="auto"/>
        </w:rPr>
      </w:pPr>
      <w:r>
        <w:rPr>
          <w:rFonts w:ascii="Arial" w:cs="Arial" w:eastAsia="Arial" w:hAnsi="Arial"/>
          <w:sz w:val="18"/>
          <w:szCs w:val="18"/>
          <w:color w:val="auto"/>
        </w:rPr>
        <w:t>The following unaudited pro forma condensed combined statement of operations is based upon the historical consolidated statement of operations of the Company and statement of operations of Warp Drive after giving effect to the acquisition, and after applying the assumptions, reclassifications and adjustments described in the accompanying notes. The acquisition of Warp Drive has already been reflected in the Company’s historical audited consolidated balance sheet as of December 31, 2018. Therefore, no unaudited pro forma condensed combined balance sheet as of December 31, 2018 has been presented herein.</w:t>
      </w:r>
    </w:p>
    <w:p>
      <w:pPr>
        <w:spacing w:after="0" w:line="103" w:lineRule="exact"/>
        <w:rPr>
          <w:sz w:val="20"/>
          <w:szCs w:val="20"/>
          <w:color w:val="auto"/>
        </w:rPr>
      </w:pPr>
    </w:p>
    <w:p>
      <w:pPr>
        <w:ind w:left="200" w:right="400"/>
        <w:spacing w:after="0" w:line="264" w:lineRule="auto"/>
        <w:rPr>
          <w:sz w:val="20"/>
          <w:szCs w:val="20"/>
          <w:color w:val="auto"/>
        </w:rPr>
      </w:pPr>
      <w:r>
        <w:rPr>
          <w:rFonts w:ascii="Arial" w:cs="Arial" w:eastAsia="Arial" w:hAnsi="Arial"/>
          <w:sz w:val="16"/>
          <w:szCs w:val="16"/>
          <w:color w:val="auto"/>
        </w:rPr>
        <w:t>The unaudited pro forma condensed combined statement of operations for the year ended December 31, 2018 is presented as if the acquisition had occurred on January 1, 2018. The historical consolidated statement of operations has been adjusted in the unaudited pro forma condensed combined statement of operations to give effect to pro forma events that are (1) directly attributable to the acquisition,</w:t>
      </w:r>
    </w:p>
    <w:p>
      <w:pPr>
        <w:spacing w:after="0" w:line="1" w:lineRule="exact"/>
        <w:rPr>
          <w:sz w:val="20"/>
          <w:szCs w:val="20"/>
          <w:color w:val="auto"/>
        </w:rPr>
      </w:pPr>
    </w:p>
    <w:p>
      <w:pPr>
        <w:ind w:left="200" w:right="40" w:firstLine="4"/>
        <w:spacing w:after="0" w:line="236" w:lineRule="auto"/>
        <w:tabs>
          <w:tab w:leader="none" w:pos="463"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factually supportable, and (3) expected to have a continuing impact on the combined results following the acquisition. The unaudited pro forma condensed combined statement of operations also reflects the effects of the disposal of the genome mining platform as if it had occurred on January 1, 2018. The unaudited pro forma condensed combined statement of operations should be read in conjunction with the accompanying notes thereto. In addition, the unaudited pro forma condensed combined statement of operations was based on and should be read in conjunction with the:</w:t>
      </w:r>
    </w:p>
    <w:p>
      <w:pPr>
        <w:spacing w:after="0" w:line="117" w:lineRule="exact"/>
        <w:rPr>
          <w:sz w:val="20"/>
          <w:szCs w:val="20"/>
          <w:color w:val="auto"/>
        </w:rPr>
      </w:pPr>
    </w:p>
    <w:p>
      <w:pPr>
        <w:ind w:left="420" w:right="560" w:hanging="216"/>
        <w:spacing w:after="0" w:line="239"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separate audited historical consolidated financial statements and accompanying notes of the Company as of and for the year ended December 31, 2018 included elsewhere in this prospectus;</w:t>
      </w:r>
    </w:p>
    <w:p>
      <w:pPr>
        <w:spacing w:after="0" w:line="114"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separate unaudited historical condensed financial statements and accompanying notes of Warp Drive as of and for the nine months ended September 30, 2018 and 2017 included elsewhere in this prospectus; and</w:t>
      </w:r>
    </w:p>
    <w:p>
      <w:pPr>
        <w:spacing w:after="0" w:line="114" w:lineRule="exact"/>
        <w:rPr>
          <w:rFonts w:ascii="Arial" w:cs="Arial" w:eastAsia="Arial" w:hAnsi="Arial"/>
          <w:sz w:val="18"/>
          <w:szCs w:val="18"/>
          <w:color w:val="auto"/>
        </w:rPr>
      </w:pPr>
    </w:p>
    <w:p>
      <w:pPr>
        <w:ind w:left="420" w:right="100" w:hanging="216"/>
        <w:spacing w:after="0" w:line="239" w:lineRule="auto"/>
        <w:tabs>
          <w:tab w:leader="none" w:pos="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separate audited historical financial statements and accompanying notes of Warp Drive as of and for the years ended December 31, 2017 and 2016 included elsewhere in this prospectus.</w:t>
      </w:r>
    </w:p>
    <w:p>
      <w:pPr>
        <w:spacing w:after="0" w:line="101"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The unaudited pro forma condensed combined statement of operations has been presented for informational purposes only. The pro forma information is not necessarily indicative of what the combined company’s results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of operations actually would have been had the acquisition been completed as of the dates indicated or that may be achieved in the future.</w:t>
      </w:r>
    </w:p>
    <w:p>
      <w:pPr>
        <w:spacing w:after="0" w:line="1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the unaudited pro forma condensed combined statement of operations does not purport to project the future operating results of the combined company. The actual results reported by the combined company in periods following the acquisition may differ significantly from those reflected in these unaudited pro forma condensed combined statement of operations for a number of reasons, including cost savings from operating efficiencies, synergies, asset dispositions or restructuring that could result from the acquisition. There were no intercompany transactions between the Company and Warp Drive for the periods presented in the unaudited pro forma condensed combined statement of operations.</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80"/>
          </w:cols>
          <w:pgMar w:left="24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Unaudited pro forma condensed combined statement of operations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 the year ended December 31, 2018</w:t>
      </w:r>
    </w:p>
    <w:p>
      <w:pPr>
        <w:ind w:left="20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w w:val="95"/>
              </w:rPr>
              <w:t>Historical</w:t>
            </w: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spacing w:after="0" w:line="177" w:lineRule="exact"/>
              <w:rPr>
                <w:sz w:val="20"/>
                <w:szCs w:val="20"/>
                <w:color w:val="auto"/>
              </w:rPr>
            </w:pPr>
            <w:r>
              <w:rPr>
                <w:rFonts w:ascii="Arial" w:cs="Arial" w:eastAsia="Arial" w:hAnsi="Arial"/>
                <w:sz w:val="18"/>
                <w:szCs w:val="18"/>
                <w:b w:val="1"/>
                <w:bCs w:val="1"/>
                <w:color w:val="auto"/>
                <w:w w:val="96"/>
              </w:rPr>
              <w:t>Warp Drive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6"/>
              </w:rPr>
              <w:t>Revolution</w:t>
            </w:r>
          </w:p>
        </w:tc>
        <w:tc>
          <w:tcPr>
            <w:tcW w:w="100" w:type="dxa"/>
            <w:vAlign w:val="bottom"/>
          </w:tcPr>
          <w:p>
            <w:pPr>
              <w:spacing w:after="0"/>
              <w:rPr>
                <w:sz w:val="17"/>
                <w:szCs w:val="17"/>
                <w:color w:val="auto"/>
              </w:rPr>
            </w:pPr>
          </w:p>
        </w:tc>
        <w:tc>
          <w:tcPr>
            <w:tcW w:w="11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7"/>
              </w:rPr>
              <w:t>for period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6"/>
              </w:rPr>
              <w:t>Medicines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40"/>
              <w:spacing w:after="0" w:line="202" w:lineRule="exact"/>
              <w:rPr>
                <w:sz w:val="20"/>
                <w:szCs w:val="20"/>
                <w:color w:val="auto"/>
              </w:rPr>
            </w:pPr>
            <w:r>
              <w:rPr>
                <w:rFonts w:ascii="Arial" w:cs="Arial" w:eastAsia="Arial" w:hAnsi="Arial"/>
                <w:sz w:val="18"/>
                <w:szCs w:val="18"/>
                <w:b w:val="1"/>
                <w:bCs w:val="1"/>
                <w:color w:val="auto"/>
                <w:w w:val="94"/>
              </w:rPr>
              <w:t>from</w:t>
            </w:r>
          </w:p>
        </w:tc>
        <w:tc>
          <w:tcPr>
            <w:tcW w:w="100" w:type="dxa"/>
            <w:vAlign w:val="bottom"/>
          </w:tcPr>
          <w:p>
            <w:pPr>
              <w:spacing w:after="0"/>
              <w:rPr>
                <w:sz w:val="17"/>
                <w:szCs w:val="17"/>
                <w:color w:val="auto"/>
              </w:rPr>
            </w:pPr>
          </w:p>
        </w:tc>
        <w:tc>
          <w:tcPr>
            <w:tcW w:w="92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Genome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7"/>
              </w:rPr>
              <w:t>for the year</w:t>
            </w:r>
          </w:p>
        </w:tc>
        <w:tc>
          <w:tcPr>
            <w:tcW w:w="100" w:type="dxa"/>
            <w:vAlign w:val="bottom"/>
          </w:tcPr>
          <w:p>
            <w:pPr>
              <w:spacing w:after="0"/>
              <w:rPr>
                <w:sz w:val="17"/>
                <w:szCs w:val="17"/>
                <w:color w:val="auto"/>
              </w:rPr>
            </w:pPr>
          </w:p>
        </w:tc>
        <w:tc>
          <w:tcPr>
            <w:tcW w:w="11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6"/>
              </w:rPr>
              <w:t>January 1,</w:t>
            </w:r>
          </w:p>
        </w:tc>
        <w:tc>
          <w:tcPr>
            <w:tcW w:w="100" w:type="dxa"/>
            <w:vAlign w:val="bottom"/>
          </w:tcPr>
          <w:p>
            <w:pPr>
              <w:spacing w:after="0"/>
              <w:rPr>
                <w:sz w:val="17"/>
                <w:szCs w:val="17"/>
                <w:color w:val="auto"/>
              </w:rPr>
            </w:pPr>
          </w:p>
        </w:tc>
        <w:tc>
          <w:tcPr>
            <w:tcW w:w="92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4"/>
              </w:rPr>
              <w:t>mining</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8"/>
              </w:rPr>
              <w:t>ended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6"/>
              </w:rPr>
              <w:t>2018 to</w:t>
            </w:r>
          </w:p>
        </w:tc>
        <w:tc>
          <w:tcPr>
            <w:tcW w:w="100" w:type="dxa"/>
            <w:vAlign w:val="bottom"/>
          </w:tcPr>
          <w:p>
            <w:pPr>
              <w:spacing w:after="0"/>
              <w:rPr>
                <w:sz w:val="17"/>
                <w:szCs w:val="17"/>
                <w:color w:val="auto"/>
              </w:rPr>
            </w:pPr>
          </w:p>
        </w:tc>
        <w:tc>
          <w:tcPr>
            <w:tcW w:w="92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platform</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420" w:type="dxa"/>
            <w:vAlign w:val="bottom"/>
            <w:gridSpan w:val="4"/>
          </w:tcPr>
          <w:p>
            <w:pPr>
              <w:ind w:left="100"/>
              <w:spacing w:after="0" w:line="202" w:lineRule="exact"/>
              <w:rPr>
                <w:sz w:val="20"/>
                <w:szCs w:val="20"/>
                <w:color w:val="auto"/>
              </w:rPr>
            </w:pPr>
            <w:r>
              <w:rPr>
                <w:rFonts w:ascii="Arial" w:cs="Arial" w:eastAsia="Arial" w:hAnsi="Arial"/>
                <w:sz w:val="18"/>
                <w:szCs w:val="18"/>
                <w:b w:val="1"/>
                <w:bCs w:val="1"/>
                <w:color w:val="auto"/>
              </w:rPr>
              <w:t>December 31,</w:t>
            </w:r>
          </w:p>
        </w:tc>
        <w:tc>
          <w:tcPr>
            <w:tcW w:w="1240" w:type="dxa"/>
            <w:vAlign w:val="bottom"/>
            <w:gridSpan w:val="4"/>
          </w:tcPr>
          <w:p>
            <w:pPr>
              <w:ind w:left="100"/>
              <w:spacing w:after="0" w:line="202" w:lineRule="exact"/>
              <w:rPr>
                <w:sz w:val="20"/>
                <w:szCs w:val="20"/>
                <w:color w:val="auto"/>
              </w:rPr>
            </w:pPr>
            <w:r>
              <w:rPr>
                <w:rFonts w:ascii="Arial" w:cs="Arial" w:eastAsia="Arial" w:hAnsi="Arial"/>
                <w:sz w:val="18"/>
                <w:szCs w:val="18"/>
                <w:b w:val="1"/>
                <w:bCs w:val="1"/>
                <w:color w:val="auto"/>
              </w:rPr>
              <w:t>October 23,</w:t>
            </w:r>
          </w:p>
        </w:tc>
        <w:tc>
          <w:tcPr>
            <w:tcW w:w="100" w:type="dxa"/>
            <w:vAlign w:val="bottom"/>
          </w:tcPr>
          <w:p>
            <w:pPr>
              <w:spacing w:after="0"/>
              <w:rPr>
                <w:sz w:val="17"/>
                <w:szCs w:val="17"/>
                <w:color w:val="auto"/>
              </w:rPr>
            </w:pPr>
          </w:p>
        </w:tc>
        <w:tc>
          <w:tcPr>
            <w:tcW w:w="920" w:type="dxa"/>
            <w:vAlign w:val="bottom"/>
            <w:gridSpan w:val="3"/>
          </w:tcPr>
          <w:p>
            <w:pPr>
              <w:ind w:left="20"/>
              <w:spacing w:after="0" w:line="202" w:lineRule="exact"/>
              <w:rPr>
                <w:sz w:val="20"/>
                <w:szCs w:val="20"/>
                <w:color w:val="auto"/>
              </w:rPr>
            </w:pPr>
            <w:r>
              <w:rPr>
                <w:rFonts w:ascii="Arial" w:cs="Arial" w:eastAsia="Arial" w:hAnsi="Arial"/>
                <w:sz w:val="18"/>
                <w:szCs w:val="18"/>
                <w:b w:val="1"/>
                <w:bCs w:val="1"/>
                <w:color w:val="auto"/>
              </w:rPr>
              <w:t>disposal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300"/>
              <w:spacing w:after="0" w:line="202" w:lineRule="exact"/>
              <w:rPr>
                <w:sz w:val="20"/>
                <w:szCs w:val="20"/>
                <w:color w:val="auto"/>
              </w:rPr>
            </w:pPr>
            <w:r>
              <w:rPr>
                <w:rFonts w:ascii="Arial" w:cs="Arial" w:eastAsia="Arial" w:hAnsi="Arial"/>
                <w:sz w:val="18"/>
                <w:szCs w:val="18"/>
                <w:b w:val="1"/>
                <w:bCs w:val="1"/>
                <w:color w:val="auto"/>
                <w:w w:val="94"/>
              </w:rPr>
              <w:t>Pro forma</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right"/>
              <w:ind w:right="160"/>
              <w:spacing w:after="0" w:line="202" w:lineRule="exact"/>
              <w:rPr>
                <w:sz w:val="20"/>
                <w:szCs w:val="20"/>
                <w:color w:val="auto"/>
              </w:rPr>
            </w:pPr>
            <w:r>
              <w:rPr>
                <w:rFonts w:ascii="Arial" w:cs="Arial" w:eastAsia="Arial" w:hAnsi="Arial"/>
                <w:sz w:val="18"/>
                <w:szCs w:val="18"/>
                <w:b w:val="1"/>
                <w:bCs w:val="1"/>
                <w:color w:val="auto"/>
                <w:w w:val="96"/>
              </w:rPr>
              <w:t>Pro forma</w:t>
            </w:r>
          </w:p>
        </w:tc>
      </w:tr>
      <w:tr>
        <w:trPr>
          <w:trHeight w:val="235"/>
        </w:trPr>
        <w:tc>
          <w:tcPr>
            <w:tcW w:w="20" w:type="dxa"/>
            <w:vAlign w:val="bottom"/>
          </w:tcPr>
          <w:p>
            <w:pPr>
              <w:spacing w:after="0"/>
              <w:rPr>
                <w:sz w:val="20"/>
                <w:szCs w:val="20"/>
                <w:color w:val="auto"/>
              </w:rPr>
            </w:pPr>
          </w:p>
        </w:tc>
        <w:tc>
          <w:tcPr>
            <w:tcW w:w="3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b w:val="1"/>
                <w:bCs w:val="1"/>
                <w:color w:val="auto"/>
                <w:w w:val="99"/>
              </w:rPr>
              <w:t>2018</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b w:val="1"/>
                <w:bCs w:val="1"/>
                <w:color w:val="auto"/>
                <w:w w:val="94"/>
              </w:rPr>
              <w:t>2018</w:t>
            </w: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(Note 3a)</w:t>
            </w:r>
          </w:p>
        </w:tc>
        <w:tc>
          <w:tcPr>
            <w:tcW w:w="13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rPr>
              <w:t>adjustments</w:t>
            </w:r>
          </w:p>
        </w:tc>
        <w:tc>
          <w:tcPr>
            <w:tcW w:w="9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Note 3</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w w:val="96"/>
              </w:rPr>
              <w:t>combined</w:t>
            </w:r>
          </w:p>
        </w:tc>
      </w:tr>
      <w:tr>
        <w:trPr>
          <w:trHeight w:val="48"/>
        </w:trPr>
        <w:tc>
          <w:tcPr>
            <w:tcW w:w="20" w:type="dxa"/>
            <w:vAlign w:val="bottom"/>
          </w:tcPr>
          <w:p>
            <w:pPr>
              <w:spacing w:after="0"/>
              <w:rPr>
                <w:sz w:val="4"/>
                <w:szCs w:val="4"/>
                <w:color w:val="auto"/>
              </w:rPr>
            </w:pPr>
          </w:p>
        </w:tc>
        <w:tc>
          <w:tcPr>
            <w:tcW w:w="3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Collaboration revenue, related party</w:t>
            </w:r>
          </w:p>
        </w:tc>
        <w:tc>
          <w:tcPr>
            <w:tcW w:w="20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19,420</w:t>
            </w:r>
          </w:p>
        </w:tc>
        <w:tc>
          <w:tcPr>
            <w:tcW w:w="160" w:type="dxa"/>
            <w:vAlign w:val="bottom"/>
          </w:tcPr>
          <w:p>
            <w:pPr>
              <w:spacing w:after="0"/>
              <w:rPr>
                <w:sz w:val="17"/>
                <w:szCs w:val="17"/>
                <w:color w:val="auto"/>
              </w:rPr>
            </w:pPr>
          </w:p>
        </w:tc>
        <w:tc>
          <w:tcPr>
            <w:tcW w:w="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882</w:t>
            </w:r>
          </w:p>
        </w:tc>
        <w:tc>
          <w:tcPr>
            <w:tcW w:w="160" w:type="dxa"/>
            <w:vAlign w:val="bottom"/>
          </w:tcPr>
          <w:p>
            <w:pPr>
              <w:spacing w:after="0"/>
              <w:rPr>
                <w:sz w:val="17"/>
                <w:szCs w:val="17"/>
                <w:color w:val="auto"/>
              </w:rPr>
            </w:pPr>
          </w:p>
        </w:tc>
        <w:tc>
          <w:tcPr>
            <w:tcW w:w="28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ind w:left="140"/>
              <w:spacing w:after="0" w:line="202" w:lineRule="exact"/>
              <w:rPr>
                <w:sz w:val="20"/>
                <w:szCs w:val="20"/>
                <w:color w:val="auto"/>
              </w:rPr>
            </w:pPr>
            <w:r>
              <w:rPr>
                <w:rFonts w:ascii="Arial" w:cs="Arial" w:eastAsia="Arial" w:hAnsi="Arial"/>
                <w:sz w:val="18"/>
                <w:szCs w:val="18"/>
                <w:color w:val="auto"/>
              </w:rPr>
              <w:t>b</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20,302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Collaboration revenue, other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3,747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(4,492)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Grant revenue</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464</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ind w:right="100"/>
              <w:spacing w:after="0" w:line="202" w:lineRule="exact"/>
              <w:rPr>
                <w:sz w:val="20"/>
                <w:szCs w:val="20"/>
                <w:color w:val="auto"/>
              </w:rPr>
            </w:pPr>
            <w:r>
              <w:rPr>
                <w:rFonts w:ascii="Arial" w:cs="Arial" w:eastAsia="Arial" w:hAnsi="Arial"/>
                <w:sz w:val="18"/>
                <w:szCs w:val="18"/>
                <w:color w:val="auto"/>
              </w:rPr>
              <w:t>(464)</w:t>
            </w: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20,165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5,093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(4,956)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20,302</w:t>
            </w:r>
          </w:p>
        </w:tc>
        <w:tc>
          <w:tcPr>
            <w:tcW w:w="120" w:type="dxa"/>
            <w:vAlign w:val="bottom"/>
            <w:shd w:val="clear" w:color="auto" w:fill="CCEEFF"/>
          </w:tcPr>
          <w:p>
            <w:pPr>
              <w:spacing w:after="0"/>
              <w:rPr>
                <w:sz w:val="17"/>
                <w:szCs w:val="17"/>
                <w:color w:val="auto"/>
              </w:rPr>
            </w:pPr>
          </w:p>
        </w:tc>
      </w:tr>
      <w:tr>
        <w:trPr>
          <w:trHeight w:val="270"/>
        </w:trPr>
        <w:tc>
          <w:tcPr>
            <w:tcW w:w="3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51,084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16,025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ind w:left="580"/>
              <w:spacing w:after="0" w:line="202" w:lineRule="exact"/>
              <w:rPr>
                <w:sz w:val="20"/>
                <w:szCs w:val="20"/>
                <w:color w:val="auto"/>
              </w:rPr>
            </w:pPr>
            <w:r>
              <w:rPr>
                <w:rFonts w:ascii="Arial" w:cs="Arial" w:eastAsia="Arial" w:hAnsi="Arial"/>
                <w:sz w:val="18"/>
                <w:szCs w:val="18"/>
                <w:color w:val="auto"/>
              </w:rPr>
              <w:t>(300)   c &amp; e &amp; g</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62,379</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9,410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6,002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(1,693)</w:t>
            </w:r>
          </w:p>
        </w:tc>
        <w:tc>
          <w:tcPr>
            <w:tcW w:w="960" w:type="dxa"/>
            <w:vAlign w:val="bottom"/>
          </w:tcPr>
          <w:p>
            <w:pPr>
              <w:ind w:left="140"/>
              <w:spacing w:after="0" w:line="202" w:lineRule="exact"/>
              <w:rPr>
                <w:sz w:val="20"/>
                <w:szCs w:val="20"/>
                <w:color w:val="auto"/>
              </w:rPr>
            </w:pPr>
            <w:r>
              <w:rPr>
                <w:rFonts w:ascii="Arial" w:cs="Arial" w:eastAsia="Arial" w:hAnsi="Arial"/>
                <w:sz w:val="18"/>
                <w:szCs w:val="18"/>
                <w:color w:val="auto"/>
              </w:rPr>
              <w:t>d &amp; 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13,719</w:t>
            </w:r>
          </w:p>
        </w:tc>
        <w:tc>
          <w:tcPr>
            <w:tcW w:w="12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60,494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22,027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(4,430)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(1,993)</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76,098</w:t>
            </w:r>
          </w:p>
        </w:tc>
        <w:tc>
          <w:tcPr>
            <w:tcW w:w="120" w:type="dxa"/>
            <w:vAlign w:val="bottom"/>
            <w:shd w:val="clear" w:color="auto" w:fill="CCEEFF"/>
          </w:tcPr>
          <w:p>
            <w:pPr>
              <w:spacing w:after="0"/>
              <w:rPr>
                <w:sz w:val="17"/>
                <w:szCs w:val="17"/>
                <w:color w:val="auto"/>
              </w:rPr>
            </w:pPr>
          </w:p>
        </w:tc>
      </w:tr>
      <w:tr>
        <w:trPr>
          <w:trHeight w:val="20"/>
        </w:trPr>
        <w:tc>
          <w:tcPr>
            <w:tcW w:w="3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1"/>
        </w:trPr>
        <w:tc>
          <w:tcPr>
            <w:tcW w:w="394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(40,329)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(16,934)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1,993</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(55,796)</w:t>
            </w:r>
          </w:p>
        </w:tc>
      </w:tr>
      <w:tr>
        <w:trPr>
          <w:trHeight w:val="56"/>
        </w:trPr>
        <w:tc>
          <w:tcPr>
            <w:tcW w:w="39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Gain on restructuring of debt, related party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5,054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(5,054)</w:t>
            </w:r>
          </w:p>
        </w:tc>
        <w:tc>
          <w:tcPr>
            <w:tcW w:w="960" w:type="dxa"/>
            <w:vAlign w:val="bottom"/>
          </w:tcPr>
          <w:p>
            <w:pPr>
              <w:ind w:left="140"/>
              <w:spacing w:after="0" w:line="202" w:lineRule="exact"/>
              <w:rPr>
                <w:sz w:val="20"/>
                <w:szCs w:val="20"/>
                <w:color w:val="auto"/>
              </w:rPr>
            </w:pPr>
            <w:r>
              <w:rPr>
                <w:rFonts w:ascii="Arial" w:cs="Arial" w:eastAsia="Arial" w:hAnsi="Arial"/>
                <w:sz w:val="18"/>
                <w:szCs w:val="18"/>
                <w:color w:val="auto"/>
              </w:rPr>
              <w:t>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882</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1,099</w:t>
            </w:r>
          </w:p>
        </w:tc>
        <w:tc>
          <w:tcPr>
            <w:tcW w:w="180" w:type="dxa"/>
            <w:vAlign w:val="bottom"/>
          </w:tcPr>
          <w:p>
            <w:pPr>
              <w:spacing w:after="0"/>
              <w:rPr>
                <w:sz w:val="17"/>
                <w:szCs w:val="17"/>
                <w:color w:val="auto"/>
              </w:rPr>
            </w:pPr>
          </w:p>
        </w:tc>
        <w:tc>
          <w:tcPr>
            <w:tcW w:w="960" w:type="dxa"/>
            <w:vAlign w:val="bottom"/>
          </w:tcPr>
          <w:p>
            <w:pPr>
              <w:ind w:left="140"/>
              <w:spacing w:after="0" w:line="202" w:lineRule="exact"/>
              <w:rPr>
                <w:sz w:val="20"/>
                <w:szCs w:val="20"/>
                <w:color w:val="auto"/>
              </w:rPr>
            </w:pPr>
            <w:r>
              <w:rPr>
                <w:rFonts w:ascii="Arial" w:cs="Arial" w:eastAsia="Arial" w:hAnsi="Arial"/>
                <w:sz w:val="18"/>
                <w:szCs w:val="18"/>
                <w:color w:val="auto"/>
              </w:rPr>
              <w:t>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w:t>
            </w:r>
          </w:p>
        </w:tc>
      </w:tr>
      <w:tr>
        <w:trPr>
          <w:trHeight w:val="206"/>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w w:val="99"/>
              </w:rPr>
              <w:t>Change in fair value of redeemable convertible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2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preferred stock liability</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(2,121)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(2,121)</w:t>
            </w: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(3,955)</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(1,355)</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(41,789)</w:t>
            </w:r>
          </w:p>
        </w:tc>
        <w:tc>
          <w:tcPr>
            <w:tcW w:w="2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(12,874)</w:t>
            </w:r>
          </w:p>
        </w:tc>
        <w:tc>
          <w:tcPr>
            <w:tcW w:w="2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(526)</w:t>
            </w: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(1,962)</w:t>
            </w:r>
          </w:p>
        </w:tc>
        <w:tc>
          <w:tcPr>
            <w:tcW w:w="9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h</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(57,151)</w:t>
            </w:r>
          </w:p>
        </w:tc>
      </w:tr>
      <w:tr>
        <w:trPr>
          <w:trHeight w:val="213"/>
        </w:trPr>
        <w:tc>
          <w:tcPr>
            <w:tcW w:w="394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3920" w:type="dxa"/>
            <w:vAlign w:val="bottom"/>
          </w:tcPr>
          <w:p>
            <w:pPr>
              <w:ind w:left="200"/>
              <w:spacing w:after="0" w:line="200" w:lineRule="exact"/>
              <w:rPr>
                <w:sz w:val="20"/>
                <w:szCs w:val="20"/>
                <w:color w:val="auto"/>
              </w:rPr>
            </w:pPr>
            <w:r>
              <w:rPr>
                <w:rFonts w:ascii="Arial" w:cs="Arial" w:eastAsia="Arial" w:hAnsi="Arial"/>
                <w:sz w:val="18"/>
                <w:szCs w:val="18"/>
                <w:color w:val="auto"/>
              </w:rPr>
              <w:t>dividends—undeclared and cumulative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(7,031)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2"/>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40"/>
              <w:spacing w:after="0" w:line="200" w:lineRule="exact"/>
              <w:rPr>
                <w:sz w:val="20"/>
                <w:szCs w:val="20"/>
                <w:color w:val="auto"/>
              </w:rPr>
            </w:pPr>
            <w:r>
              <w:rPr>
                <w:rFonts w:ascii="Arial" w:cs="Arial" w:eastAsia="Arial" w:hAnsi="Arial"/>
                <w:sz w:val="18"/>
                <w:szCs w:val="18"/>
                <w:color w:val="auto"/>
              </w:rPr>
              <w:t>(2,414)</w:t>
            </w:r>
          </w:p>
        </w:tc>
        <w:tc>
          <w:tcPr>
            <w:tcW w:w="960" w:type="dxa"/>
            <w:vAlign w:val="bottom"/>
          </w:tcPr>
          <w:p>
            <w:pPr>
              <w:ind w:left="140"/>
              <w:spacing w:after="0" w:line="200"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(9,445)</w:t>
            </w:r>
          </w:p>
        </w:tc>
      </w:tr>
      <w:tr>
        <w:trPr>
          <w:trHeight w:val="27"/>
        </w:trPr>
        <w:tc>
          <w:tcPr>
            <w:tcW w:w="2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(48,820)</w:t>
            </w:r>
          </w:p>
        </w:tc>
        <w:tc>
          <w:tcPr>
            <w:tcW w:w="2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(12,874)</w:t>
            </w:r>
          </w:p>
        </w:tc>
        <w:tc>
          <w:tcPr>
            <w:tcW w:w="28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(526)</w:t>
            </w:r>
          </w:p>
        </w:tc>
        <w:tc>
          <w:tcPr>
            <w:tcW w:w="22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(4,376)</w:t>
            </w:r>
          </w:p>
        </w:tc>
        <w:tc>
          <w:tcPr>
            <w:tcW w:w="9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(66,596)</w:t>
            </w:r>
          </w:p>
        </w:tc>
      </w:tr>
      <w:tr>
        <w:trPr>
          <w:trHeight w:val="213"/>
        </w:trPr>
        <w:tc>
          <w:tcPr>
            <w:tcW w:w="3940" w:type="dxa"/>
            <w:vAlign w:val="bottom"/>
            <w:gridSpan w:val="2"/>
          </w:tcPr>
          <w:p>
            <w:pPr>
              <w:spacing w:after="0"/>
              <w:rPr>
                <w:sz w:val="20"/>
                <w:szCs w:val="20"/>
                <w:color w:val="auto"/>
              </w:rPr>
            </w:pPr>
            <w:r>
              <w:rPr>
                <w:rFonts w:ascii="Arial" w:cs="Arial" w:eastAsia="Arial" w:hAnsi="Arial"/>
                <w:sz w:val="18"/>
                <w:szCs w:val="18"/>
                <w:color w:val="auto"/>
              </w:rPr>
              <w:t>Net loss per share attributable to common</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3920" w:type="dxa"/>
            <w:vAlign w:val="bottom"/>
          </w:tcPr>
          <w:p>
            <w:pPr>
              <w:ind w:left="200"/>
              <w:spacing w:after="0" w:line="200" w:lineRule="exact"/>
              <w:rPr>
                <w:sz w:val="20"/>
                <w:szCs w:val="20"/>
                <w:color w:val="auto"/>
              </w:rPr>
            </w:pPr>
            <w:r>
              <w:rPr>
                <w:rFonts w:ascii="Arial" w:cs="Arial" w:eastAsia="Arial" w:hAnsi="Arial"/>
                <w:sz w:val="18"/>
                <w:szCs w:val="18"/>
                <w:color w:val="auto"/>
              </w:rPr>
              <w:t>stockholders—basic and diluted</w:t>
            </w:r>
          </w:p>
        </w:tc>
        <w:tc>
          <w:tcPr>
            <w:tcW w:w="200" w:type="dxa"/>
            <w:vAlign w:val="bottom"/>
            <w:gridSpan w:val="2"/>
          </w:tcPr>
          <w:p>
            <w:pPr>
              <w:ind w:left="100"/>
              <w:spacing w:after="0" w:line="200" w:lineRule="exact"/>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(21.24)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(28.97)</w:t>
            </w:r>
          </w:p>
        </w:tc>
      </w:tr>
      <w:tr>
        <w:trPr>
          <w:trHeight w:val="206"/>
        </w:trPr>
        <w:tc>
          <w:tcPr>
            <w:tcW w:w="20" w:type="dxa"/>
            <w:vAlign w:val="bottom"/>
          </w:tcPr>
          <w:p>
            <w:pPr>
              <w:spacing w:after="0"/>
              <w:rPr>
                <w:sz w:val="17"/>
                <w:szCs w:val="17"/>
                <w:color w:val="auto"/>
              </w:rPr>
            </w:pPr>
          </w:p>
        </w:tc>
        <w:tc>
          <w:tcPr>
            <w:tcW w:w="39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 average shares used to compute net</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per share attributable to common</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392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stockholders—basic and diluted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2,298,820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7"/>
              </w:rPr>
              <w:t>2,298,820</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See accompanying notes to unaudited pro forma condensed combined statement of operations.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1060"/>
        <w:spacing w:after="0" w:line="260"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3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 1. Description of transaction and basis of presentation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124"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In October 2018, the Company acquired all outstanding shares of Warp Drive in exchange for issuing 6,797,915 shares of its Series B redeemable convertible preferred stock and cash. Warp Drive, based in Cambridge, Massachusetts, was engaged in research involving the use of intracellular biologics to develop transformative medicines.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The following unaudited pro forma combined statement of operations for the year ended December 31, 2018 is presented to give effect to the Company’s acquisition of Warp Drive on October 24, 2018 for total consideration valued at $69.0 million. The unaudited pro forma condensed combined statement of operations was prepared in accordance with Article 11 of Regulation S-X.</w:t>
      </w:r>
    </w:p>
    <w:p>
      <w:pPr>
        <w:spacing w:after="0" w:line="100"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The acquisition of Warp Drive is accounted for as a business combination in accordance with ASC 805. The accounting standards define the term “fair value” and set forth the valuation requirements for any asset or liability measured at fair value, and specifies a hierarchy of valuation techniques based on the inputs used to develop the fair value measures. Management used its best estimates and assumptions to assign fair value to the tangible and intangible assets acquired and liabilities assumed at the acquisition date. Goodwill as of the acquisition date is measured as the excess of purchase consideration over the fair value of net tangible and identifiable intangible assets acquired.</w:t>
      </w:r>
    </w:p>
    <w:p>
      <w:pPr>
        <w:spacing w:after="0" w:line="75" w:lineRule="exact"/>
        <w:rPr>
          <w:sz w:val="20"/>
          <w:szCs w:val="20"/>
          <w:color w:val="auto"/>
        </w:rPr>
      </w:pPr>
    </w:p>
    <w:p>
      <w:pPr>
        <w:ind w:left="200" w:right="780"/>
        <w:spacing w:after="0" w:line="239"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2018 is presented as if the acquisition had occurred on January 1, 2018.</w:t>
      </w:r>
    </w:p>
    <w:p>
      <w:pPr>
        <w:spacing w:after="0" w:line="101" w:lineRule="exact"/>
        <w:rPr>
          <w:sz w:val="20"/>
          <w:szCs w:val="20"/>
          <w:color w:val="auto"/>
        </w:rPr>
      </w:pPr>
    </w:p>
    <w:p>
      <w:pPr>
        <w:ind w:left="200" w:right="660"/>
        <w:spacing w:after="0" w:line="238" w:lineRule="auto"/>
        <w:rPr>
          <w:sz w:val="20"/>
          <w:szCs w:val="20"/>
          <w:color w:val="auto"/>
        </w:rPr>
      </w:pPr>
      <w:r>
        <w:rPr>
          <w:rFonts w:ascii="Arial" w:cs="Arial" w:eastAsia="Arial" w:hAnsi="Arial"/>
          <w:sz w:val="18"/>
          <w:szCs w:val="18"/>
          <w:color w:val="auto"/>
        </w:rPr>
        <w:t>Under the acquisition method of accounting, acquisition-related transaction costs are not included as consideration transferred but are accounted for as expenses in the periods in which the costs are incurred. These costs are not presented in the unaudited pro forma condensed combined statement of operations because they will not have a continuing impact on the combined results.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 2. Purchase price consideration and allocation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Purchase price consideration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presents a summary of the purchase price consideration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720" w:type="dxa"/>
            <w:vAlign w:val="bottom"/>
            <w:tcBorders>
              <w:bottom w:val="single" w:sz="8" w:color="auto"/>
            </w:tcBorders>
          </w:tcPr>
          <w:p>
            <w:pPr>
              <w:spacing w:after="0"/>
              <w:rPr>
                <w:sz w:val="19"/>
                <w:szCs w:val="19"/>
                <w:color w:val="auto"/>
              </w:rPr>
            </w:pPr>
          </w:p>
        </w:tc>
        <w:tc>
          <w:tcPr>
            <w:tcW w:w="4300" w:type="dxa"/>
            <w:vAlign w:val="bottom"/>
            <w:tcBorders>
              <w:bottom w:val="single" w:sz="8" w:color="auto"/>
            </w:tcBorders>
            <w:gridSpan w:val="4"/>
          </w:tcPr>
          <w:p>
            <w:pPr>
              <w:ind w:left="2960"/>
              <w:spacing w:after="0"/>
              <w:rPr>
                <w:sz w:val="20"/>
                <w:szCs w:val="20"/>
                <w:color w:val="auto"/>
              </w:rPr>
            </w:pPr>
            <w:r>
              <w:rPr>
                <w:rFonts w:ascii="Arial" w:cs="Arial" w:eastAsia="Arial" w:hAnsi="Arial"/>
                <w:sz w:val="18"/>
                <w:szCs w:val="18"/>
                <w:b w:val="1"/>
                <w:bCs w:val="1"/>
                <w:color w:val="auto"/>
              </w:rPr>
              <w:t>(in thousands)</w:t>
            </w: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Series B redeemable convertible preferred stock</w:t>
            </w:r>
          </w:p>
        </w:tc>
        <w:tc>
          <w:tcPr>
            <w:tcW w:w="3340" w:type="dxa"/>
            <w:vAlign w:val="bottom"/>
            <w:gridSpan w:val="2"/>
            <w:shd w:val="clear" w:color="auto" w:fill="CCEEFF"/>
          </w:tcPr>
          <w:p>
            <w:pPr>
              <w:ind w:left="2960"/>
              <w:spacing w:after="0" w:line="19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68,144</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Cash</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1,172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Contingently returnable consideration asset</w:t>
            </w:r>
          </w:p>
        </w:tc>
        <w:tc>
          <w:tcPr>
            <w:tcW w:w="2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(310)</w:t>
            </w:r>
          </w:p>
        </w:tc>
      </w:tr>
      <w:tr>
        <w:trPr>
          <w:trHeight w:val="222"/>
        </w:trPr>
        <w:tc>
          <w:tcPr>
            <w:tcW w:w="6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consideration</w:t>
            </w:r>
          </w:p>
        </w:tc>
        <w:tc>
          <w:tcPr>
            <w:tcW w:w="296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69,006</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The fair value of $10.03 per share of Series B redeemable convertible preferred stock was determined using a discounted cash flow model to estimate the value of the Company’s equity, and subsequently allocated to the Series B redeemable convertible preferred stock using an option pricing method.</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1060"/>
        <w:spacing w:after="0" w:line="260"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80"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The fair value of the contingently returnable consideration asset was determined using an income-based approach. The key assumptions used in determining the fair value are the discount rate and the probability assigned to the potential holdback.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Allocation of purchase price to assets acquired and liabilities assumed</w:t>
      </w:r>
    </w:p>
    <w:p>
      <w:pPr>
        <w:spacing w:after="0" w:line="124"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The following table summarizes the estimated fair values of assets acquired and liabilities assumed at the acquisition date, including those held for sale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1"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100" w:type="dxa"/>
            <w:vAlign w:val="bottom"/>
            <w:tcBorders>
              <w:bottom w:val="single" w:sz="8" w:color="auto"/>
            </w:tcBorders>
          </w:tcPr>
          <w:p>
            <w:pPr>
              <w:spacing w:after="0"/>
              <w:rPr>
                <w:sz w:val="19"/>
                <w:szCs w:val="19"/>
                <w:color w:val="auto"/>
              </w:rPr>
            </w:pPr>
          </w:p>
        </w:tc>
        <w:tc>
          <w:tcPr>
            <w:tcW w:w="3920" w:type="dxa"/>
            <w:vAlign w:val="bottom"/>
            <w:tcBorders>
              <w:bottom w:val="single" w:sz="8" w:color="auto"/>
            </w:tcBorders>
            <w:gridSpan w:val="4"/>
          </w:tcPr>
          <w:p>
            <w:pPr>
              <w:ind w:left="2640"/>
              <w:spacing w:after="0"/>
              <w:rPr>
                <w:sz w:val="20"/>
                <w:szCs w:val="20"/>
                <w:color w:val="auto"/>
              </w:rPr>
            </w:pPr>
            <w:r>
              <w:rPr>
                <w:rFonts w:ascii="Arial" w:cs="Arial" w:eastAsia="Arial" w:hAnsi="Arial"/>
                <w:sz w:val="18"/>
                <w:szCs w:val="18"/>
                <w:b w:val="1"/>
                <w:bCs w:val="1"/>
                <w:color w:val="auto"/>
              </w:rPr>
              <w:t>(in thousands)</w:t>
            </w:r>
          </w:p>
        </w:tc>
      </w:tr>
      <w:tr>
        <w:trPr>
          <w:trHeight w:val="48"/>
        </w:trPr>
        <w:tc>
          <w:tcPr>
            <w:tcW w:w="20" w:type="dxa"/>
            <w:vAlign w:val="bottom"/>
          </w:tcPr>
          <w:p>
            <w:pPr>
              <w:spacing w:after="0"/>
              <w:rPr>
                <w:sz w:val="4"/>
                <w:szCs w:val="4"/>
                <w:color w:val="auto"/>
              </w:rPr>
            </w:pPr>
          </w:p>
        </w:tc>
        <w:tc>
          <w:tcPr>
            <w:tcW w:w="7100" w:type="dxa"/>
            <w:vAlign w:val="bottom"/>
          </w:tcPr>
          <w:p>
            <w:pPr>
              <w:spacing w:after="0"/>
              <w:rPr>
                <w:sz w:val="4"/>
                <w:szCs w:val="4"/>
                <w:color w:val="auto"/>
              </w:rPr>
            </w:pPr>
          </w:p>
        </w:tc>
        <w:tc>
          <w:tcPr>
            <w:tcW w:w="2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acquired: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Cash and other current assets</w:t>
            </w:r>
          </w:p>
        </w:tc>
        <w:tc>
          <w:tcPr>
            <w:tcW w:w="3020" w:type="dxa"/>
            <w:vAlign w:val="bottom"/>
            <w:gridSpan w:val="2"/>
          </w:tcPr>
          <w:p>
            <w:pPr>
              <w:ind w:left="26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1,594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55,800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technology—tri-complex platform</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7,480</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Developed technology—genome mining platform</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6,100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assets acquired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73,125</w:t>
            </w:r>
          </w:p>
        </w:tc>
        <w:tc>
          <w:tcPr>
            <w:tcW w:w="60" w:type="dxa"/>
            <w:vAlign w:val="bottom"/>
            <w:shd w:val="clear" w:color="auto" w:fill="CCEEFF"/>
          </w:tcPr>
          <w:p>
            <w:pPr>
              <w:spacing w:after="0"/>
              <w:rPr>
                <w:sz w:val="17"/>
                <w:szCs w:val="17"/>
                <w:color w:val="auto"/>
              </w:rPr>
            </w:pPr>
          </w:p>
        </w:tc>
      </w:tr>
      <w:tr>
        <w:trPr>
          <w:trHeight w:val="270"/>
        </w:trPr>
        <w:tc>
          <w:tcPr>
            <w:tcW w:w="712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 and other accrued liabilities</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Convertible note payable, related party</w:t>
            </w: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Deferred tax liability</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12,192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 assumed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18,727</w:t>
            </w:r>
          </w:p>
        </w:tc>
        <w:tc>
          <w:tcPr>
            <w:tcW w:w="60" w:type="dxa"/>
            <w:vAlign w:val="bottom"/>
            <w:shd w:val="clear" w:color="auto" w:fill="CCEEFF"/>
          </w:tcPr>
          <w:p>
            <w:pPr>
              <w:spacing w:after="0"/>
              <w:rPr>
                <w:sz w:val="17"/>
                <w:szCs w:val="17"/>
                <w:color w:val="auto"/>
              </w:rPr>
            </w:pPr>
          </w:p>
        </w:tc>
      </w:tr>
      <w:tr>
        <w:trPr>
          <w:trHeight w:val="210"/>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CCEEFF"/>
          </w:tcPr>
          <w:p>
            <w:pPr>
              <w:ind w:left="26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69,006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valuations of the IPR&amp;D—RAS programs and developed technology—genome mining platform were determined using the income approach, which discounts expected future cash flows to present value. The discount rates used were between 13% and 14%. The projected cash flows were based on key assumptions such as: estimates of revenues and operating profits related to each program or platform considering its stage of development on the acquisition date; the time and resources needed to complete the development and approval of product candidates; the life of the potential commercialized products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101"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Intangible assets associated with acquired IPR&amp;D relate to the RAS programs. Management determined that the estimated acquisition-date fair value of the intangible asset related to IPR&amp;D was $55.8 million, which was comprised of $44.1 million related to the KRAS</w:t>
      </w:r>
      <w:r>
        <w:rPr>
          <w:rFonts w:ascii="Arial" w:cs="Arial" w:eastAsia="Arial" w:hAnsi="Arial"/>
          <w:sz w:val="11"/>
          <w:szCs w:val="11"/>
          <w:color w:val="auto"/>
        </w:rPr>
        <w:t>G12C</w:t>
      </w:r>
      <w:r>
        <w:rPr>
          <w:rFonts w:ascii="Arial" w:cs="Arial" w:eastAsia="Arial" w:hAnsi="Arial"/>
          <w:sz w:val="18"/>
          <w:szCs w:val="18"/>
          <w:color w:val="auto"/>
        </w:rPr>
        <w:t xml:space="preserve"> program and $11.7 million related to the KRAS</w:t>
      </w:r>
      <w:r>
        <w:rPr>
          <w:rFonts w:ascii="Arial" w:cs="Arial" w:eastAsia="Arial" w:hAnsi="Arial"/>
          <w:sz w:val="11"/>
          <w:szCs w:val="11"/>
          <w:color w:val="auto"/>
        </w:rPr>
        <w:t>G12D</w:t>
      </w:r>
      <w:r>
        <w:rPr>
          <w:rFonts w:ascii="Arial" w:cs="Arial" w:eastAsia="Arial" w:hAnsi="Arial"/>
          <w:sz w:val="18"/>
          <w:szCs w:val="18"/>
          <w:color w:val="auto"/>
        </w:rPr>
        <w:t xml:space="preserve"> program. The KRAS</w:t>
      </w:r>
      <w:r>
        <w:rPr>
          <w:rFonts w:ascii="Arial" w:cs="Arial" w:eastAsia="Arial" w:hAnsi="Arial"/>
          <w:sz w:val="11"/>
          <w:szCs w:val="11"/>
          <w:color w:val="auto"/>
        </w:rPr>
        <w:t>G12C</w:t>
      </w:r>
      <w:r>
        <w:rPr>
          <w:rFonts w:ascii="Arial" w:cs="Arial" w:eastAsia="Arial" w:hAnsi="Arial"/>
          <w:sz w:val="18"/>
          <w:szCs w:val="18"/>
          <w:color w:val="auto"/>
        </w:rPr>
        <w:t xml:space="preserve"> and KRAS</w:t>
      </w:r>
      <w:r>
        <w:rPr>
          <w:rFonts w:ascii="Arial" w:cs="Arial" w:eastAsia="Arial" w:hAnsi="Arial"/>
          <w:sz w:val="11"/>
          <w:szCs w:val="11"/>
          <w:color w:val="auto"/>
        </w:rPr>
        <w:t>G12D</w:t>
      </w:r>
      <w:r>
        <w:rPr>
          <w:rFonts w:ascii="Arial" w:cs="Arial" w:eastAsia="Arial" w:hAnsi="Arial"/>
          <w:sz w:val="18"/>
          <w:szCs w:val="18"/>
          <w:color w:val="auto"/>
        </w:rPr>
        <w:t xml:space="preserve"> programs are each focused on developing inhibitors which target specific mutations of KRAS(ON) proteins. The acquired IPR&amp;D is considered to be an indefinite-lived asset until the completion or abandonment of the research and development efforts. The acquired IPR&amp;D will not be amortized until completion of the related products which is determined by when the underlying programs reach technological</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240" w:top="459" w:right="4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1020"/>
        <w:spacing w:after="0" w:line="260"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feasibility and commence commercial production. Upon completion, the acquired IPR&amp;D will be amortized over its useful life.</w:t>
      </w:r>
    </w:p>
    <w:p>
      <w:pPr>
        <w:spacing w:after="0" w:line="10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valuation of the developed technology—tri-complex platform was based on a replacement cost approach as the Company’s management intends to leverage the platform internally, but does not have the ability to assign a specific income stream to the asset. The tri-complex platform was accounted for as developed technology and is being amortized over 7 years.</w:t>
      </w:r>
    </w:p>
    <w:p>
      <w:pPr>
        <w:spacing w:after="0" w:line="100" w:lineRule="exact"/>
        <w:rPr>
          <w:sz w:val="20"/>
          <w:szCs w:val="20"/>
          <w:color w:val="auto"/>
        </w:rPr>
      </w:pPr>
    </w:p>
    <w:p>
      <w:pPr>
        <w:ind w:left="200" w:right="680"/>
        <w:spacing w:after="0" w:line="239" w:lineRule="auto"/>
        <w:rPr>
          <w:sz w:val="20"/>
          <w:szCs w:val="20"/>
          <w:color w:val="auto"/>
        </w:rPr>
      </w:pPr>
      <w:r>
        <w:rPr>
          <w:rFonts w:ascii="Arial" w:cs="Arial" w:eastAsia="Arial" w:hAnsi="Arial"/>
          <w:sz w:val="18"/>
          <w:szCs w:val="18"/>
          <w:color w:val="auto"/>
        </w:rPr>
        <w:t>The genome mining platform, including the associated Roche collaboration agreement, was accounted for as held for sale developed technology and was divested in January 2019.</w:t>
      </w:r>
    </w:p>
    <w:p>
      <w:pPr>
        <w:spacing w:after="0" w:line="101" w:lineRule="exact"/>
        <w:rPr>
          <w:sz w:val="20"/>
          <w:szCs w:val="20"/>
          <w:color w:val="auto"/>
        </w:rPr>
      </w:pPr>
    </w:p>
    <w:p>
      <w:pPr>
        <w:ind w:left="200" w:right="100"/>
        <w:spacing w:after="0" w:line="299" w:lineRule="auto"/>
        <w:rPr>
          <w:sz w:val="20"/>
          <w:szCs w:val="20"/>
          <w:color w:val="auto"/>
        </w:rPr>
      </w:pPr>
      <w:r>
        <w:rPr>
          <w:rFonts w:ascii="Arial" w:cs="Arial" w:eastAsia="Arial" w:hAnsi="Arial"/>
          <w:sz w:val="16"/>
          <w:szCs w:val="16"/>
          <w:color w:val="auto"/>
        </w:rPr>
        <w:t>The Company assumed a convertible promissory note of $2.0 million as part of the acquisition. Subsequent to the acquisition, at the Company’s election, the convertible promissory note was converted into 200,493 shares of Series B redeemable convertible preferred stock.</w:t>
      </w:r>
    </w:p>
    <w:p>
      <w:pPr>
        <w:spacing w:after="0" w:line="55"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Company recorded $14.6 million in goodwill associated with this acquisition, which relates to the establishment of a deferred tax liability for the non-deductible in-process research and development intangible assets acquired and synergies resulting from the acquisition. Goodwill will not be amortized but will be tested at least annually for impairment. Goodwill recognized in the acquisition is not expected to be deductible for tax purposes.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Note 3. Pro forma adjustments</w:t>
      </w:r>
    </w:p>
    <w:p>
      <w:pPr>
        <w:spacing w:after="0" w:line="134" w:lineRule="exact"/>
        <w:rPr>
          <w:sz w:val="20"/>
          <w:szCs w:val="20"/>
          <w:color w:val="auto"/>
        </w:rPr>
      </w:pPr>
    </w:p>
    <w:p>
      <w:pPr>
        <w:jc w:val="both"/>
        <w:ind w:left="200" w:right="560"/>
        <w:spacing w:after="0" w:line="299" w:lineRule="auto"/>
        <w:rPr>
          <w:sz w:val="20"/>
          <w:szCs w:val="20"/>
          <w:color w:val="auto"/>
        </w:rPr>
      </w:pPr>
      <w:r>
        <w:rPr>
          <w:rFonts w:ascii="Arial" w:cs="Arial" w:eastAsia="Arial" w:hAnsi="Arial"/>
          <w:sz w:val="16"/>
          <w:szCs w:val="16"/>
          <w:color w:val="auto"/>
        </w:rPr>
        <w:t>This note should be read in conjunction with “Note 1. Description of transaction and basis of presentation” and “Note 2. Purchase price consideration and allocation.” Adjustments included in the column under the heading “Pro Forma Adjustments” represent the following:</w:t>
      </w:r>
    </w:p>
    <w:p>
      <w:pPr>
        <w:spacing w:after="0" w:line="14" w:lineRule="exact"/>
        <w:rPr>
          <w:sz w:val="20"/>
          <w:szCs w:val="20"/>
          <w:color w:val="auto"/>
        </w:rPr>
      </w:pPr>
    </w:p>
    <w:p>
      <w:pPr>
        <w:ind w:left="640" w:right="20" w:hanging="436"/>
        <w:spacing w:after="0" w:line="236"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unaudited pro forma condensed combined statement of operations gives consideration to the impact of the genome mining platform disposition. In January 2019, the Company sold the genome mining platform and related Roche collaboration agreement acquired during the Warp Drive acquisition to Gingko Bioworks (Gingko). The adjustments reflect the elimination of the historical operating results of the genome mining platform for the year ended December 31, 2018 at the amounts that have been reflected in the Company’s and Warp Drive’s statements of operations for this period. These amounts are based on the best available information and certain assumptions that the Company’s management believe are reasonable, such as allocated resources. These amounts do not include allocations of corporate overhead expenses included in general and administrative expenses.</w:t>
      </w:r>
    </w:p>
    <w:p>
      <w:pPr>
        <w:spacing w:after="0" w:line="60" w:lineRule="exact"/>
        <w:rPr>
          <w:rFonts w:ascii="Arial" w:cs="Arial" w:eastAsia="Arial" w:hAnsi="Arial"/>
          <w:sz w:val="18"/>
          <w:szCs w:val="18"/>
          <w:color w:val="auto"/>
        </w:rPr>
      </w:pPr>
    </w:p>
    <w:p>
      <w:pPr>
        <w:jc w:val="both"/>
        <w:ind w:left="640" w:right="140" w:hanging="436"/>
        <w:spacing w:after="0" w:line="238" w:lineRule="auto"/>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Effective January 1, 2018, the Company adopted ASC 606. Warp Drive’s revenue recognition policy was in accordance with ASC 605. The Company evaluated the impact of aligning the revenue recognition policy for collaboration revenue, related party for Warp Drive to ASC 606 and determined the impact was not material.</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00"/>
          </w:cols>
          <w:pgMar w:left="24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1060"/>
        <w:spacing w:after="0" w:line="260" w:lineRule="auto"/>
        <w:rPr>
          <w:sz w:val="20"/>
          <w:szCs w:val="20"/>
          <w:color w:val="auto"/>
        </w:rPr>
      </w:pPr>
      <w:r>
        <w:rPr>
          <w:rFonts w:ascii="Arial" w:cs="Arial" w:eastAsia="Arial" w:hAnsi="Arial"/>
          <w:sz w:val="32"/>
          <w:szCs w:val="32"/>
          <w:b w:val="1"/>
          <w:bCs w:val="1"/>
          <w:color w:val="auto"/>
        </w:rPr>
        <w:t>Notes to unaudited pro forma condensed combined statement of operations</w:t>
      </w:r>
    </w:p>
    <w:p>
      <w:pPr>
        <w:spacing w:after="0" w:line="80" w:lineRule="exact"/>
        <w:rPr>
          <w:sz w:val="20"/>
          <w:szCs w:val="20"/>
          <w:color w:val="auto"/>
        </w:rPr>
      </w:pPr>
    </w:p>
    <w:p>
      <w:pPr>
        <w:ind w:left="640" w:hanging="436"/>
        <w:spacing w:after="0"/>
        <w:tabs>
          <w:tab w:leader="none" w:pos="6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To record amortization expense associated with the acquired intangible assets (in thousands, except for estimated useful life).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Amortization for</w:t>
            </w:r>
          </w:p>
        </w:tc>
        <w:tc>
          <w:tcPr>
            <w:tcW w:w="24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the period from</w:t>
            </w:r>
          </w:p>
        </w:tc>
        <w:tc>
          <w:tcPr>
            <w:tcW w:w="24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20" w:type="dxa"/>
            <w:vAlign w:val="bottom"/>
          </w:tcPr>
          <w:p>
            <w:pPr>
              <w:jc w:val="right"/>
              <w:ind w:right="152"/>
              <w:spacing w:after="0" w:line="202" w:lineRule="exact"/>
              <w:rPr>
                <w:sz w:val="20"/>
                <w:szCs w:val="20"/>
                <w:color w:val="auto"/>
              </w:rPr>
            </w:pPr>
            <w:r>
              <w:rPr>
                <w:rFonts w:ascii="Arial" w:cs="Arial" w:eastAsia="Arial" w:hAnsi="Arial"/>
                <w:sz w:val="18"/>
                <w:szCs w:val="18"/>
                <w:b w:val="1"/>
                <w:bCs w:val="1"/>
                <w:color w:val="auto"/>
              </w:rPr>
              <w:t>Estimated</w:t>
            </w:r>
          </w:p>
        </w:tc>
        <w:tc>
          <w:tcPr>
            <w:tcW w:w="20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January 1, 2018 to</w:t>
            </w:r>
          </w:p>
        </w:tc>
        <w:tc>
          <w:tcPr>
            <w:tcW w:w="2400" w:type="dxa"/>
            <w:vAlign w:val="bottom"/>
          </w:tcPr>
          <w:p>
            <w:pPr>
              <w:jc w:val="center"/>
              <w:ind w:left="132"/>
              <w:spacing w:after="0" w:line="202" w:lineRule="exact"/>
              <w:rPr>
                <w:sz w:val="20"/>
                <w:szCs w:val="20"/>
                <w:color w:val="auto"/>
              </w:rPr>
            </w:pPr>
            <w:r>
              <w:rPr>
                <w:rFonts w:ascii="Arial" w:cs="Arial" w:eastAsia="Arial" w:hAnsi="Arial"/>
                <w:sz w:val="18"/>
                <w:szCs w:val="18"/>
                <w:b w:val="1"/>
                <w:bCs w:val="1"/>
                <w:color w:val="auto"/>
                <w:w w:val="97"/>
              </w:rPr>
              <w:t>Line item in statement of</w:t>
            </w:r>
          </w:p>
        </w:tc>
      </w:tr>
      <w:tr>
        <w:trPr>
          <w:trHeight w:val="221"/>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Intangible asset</w:t>
            </w:r>
          </w:p>
        </w:tc>
        <w:tc>
          <w:tcPr>
            <w:tcW w:w="1460" w:type="dxa"/>
            <w:vAlign w:val="bottom"/>
          </w:tcPr>
          <w:p>
            <w:pPr>
              <w:ind w:left="400"/>
              <w:spacing w:after="0"/>
              <w:rPr>
                <w:sz w:val="20"/>
                <w:szCs w:val="20"/>
                <w:color w:val="auto"/>
              </w:rPr>
            </w:pPr>
            <w:r>
              <w:rPr>
                <w:rFonts w:ascii="Arial" w:cs="Arial" w:eastAsia="Arial" w:hAnsi="Arial"/>
                <w:sz w:val="18"/>
                <w:szCs w:val="18"/>
                <w:b w:val="1"/>
                <w:bCs w:val="1"/>
                <w:color w:val="auto"/>
              </w:rPr>
              <w:t>Fair value</w:t>
            </w:r>
          </w:p>
        </w:tc>
        <w:tc>
          <w:tcPr>
            <w:tcW w:w="1320" w:type="dxa"/>
            <w:vAlign w:val="bottom"/>
          </w:tcPr>
          <w:p>
            <w:pPr>
              <w:jc w:val="right"/>
              <w:ind w:right="172"/>
              <w:spacing w:after="0"/>
              <w:rPr>
                <w:sz w:val="20"/>
                <w:szCs w:val="20"/>
                <w:color w:val="auto"/>
              </w:rPr>
            </w:pPr>
            <w:r>
              <w:rPr>
                <w:rFonts w:ascii="Arial" w:cs="Arial" w:eastAsia="Arial" w:hAnsi="Arial"/>
                <w:sz w:val="18"/>
                <w:szCs w:val="18"/>
                <w:b w:val="1"/>
                <w:bCs w:val="1"/>
                <w:color w:val="auto"/>
              </w:rPr>
              <w:t>useful life</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October 23,</w:t>
            </w:r>
          </w:p>
        </w:tc>
        <w:tc>
          <w:tcPr>
            <w:tcW w:w="720" w:type="dxa"/>
            <w:vAlign w:val="bottom"/>
          </w:tcPr>
          <w:p>
            <w:pPr>
              <w:jc w:val="right"/>
              <w:ind w:right="192"/>
              <w:spacing w:after="0"/>
              <w:rPr>
                <w:sz w:val="20"/>
                <w:szCs w:val="20"/>
                <w:color w:val="auto"/>
              </w:rPr>
            </w:pPr>
            <w:r>
              <w:rPr>
                <w:rFonts w:ascii="Arial" w:cs="Arial" w:eastAsia="Arial" w:hAnsi="Arial"/>
                <w:sz w:val="18"/>
                <w:szCs w:val="18"/>
                <w:b w:val="1"/>
                <w:bCs w:val="1"/>
                <w:color w:val="auto"/>
              </w:rPr>
              <w:t>2018</w:t>
            </w:r>
          </w:p>
        </w:tc>
        <w:tc>
          <w:tcPr>
            <w:tcW w:w="2400" w:type="dxa"/>
            <w:vAlign w:val="bottom"/>
          </w:tcPr>
          <w:p>
            <w:pPr>
              <w:jc w:val="center"/>
              <w:ind w:left="132"/>
              <w:spacing w:after="0"/>
              <w:rPr>
                <w:sz w:val="20"/>
                <w:szCs w:val="20"/>
                <w:color w:val="auto"/>
              </w:rPr>
            </w:pPr>
            <w:r>
              <w:rPr>
                <w:rFonts w:ascii="Arial" w:cs="Arial" w:eastAsia="Arial" w:hAnsi="Arial"/>
                <w:sz w:val="18"/>
                <w:szCs w:val="18"/>
                <w:b w:val="1"/>
                <w:bCs w:val="1"/>
                <w:color w:val="auto"/>
                <w:w w:val="97"/>
              </w:rPr>
              <w:t>operations</w:t>
            </w:r>
          </w:p>
        </w:tc>
      </w:tr>
      <w:tr>
        <w:trPr>
          <w:trHeight w:val="196"/>
        </w:trPr>
        <w:tc>
          <w:tcPr>
            <w:tcW w:w="20" w:type="dxa"/>
            <w:vAlign w:val="bottom"/>
          </w:tcPr>
          <w:p>
            <w:pPr>
              <w:spacing w:after="0"/>
              <w:rPr>
                <w:sz w:val="17"/>
                <w:szCs w:val="17"/>
                <w:color w:val="auto"/>
              </w:rPr>
            </w:pPr>
          </w:p>
        </w:tc>
        <w:tc>
          <w:tcPr>
            <w:tcW w:w="38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Developed technology—tri-complex platform</w:t>
            </w:r>
          </w:p>
        </w:tc>
        <w:tc>
          <w:tcPr>
            <w:tcW w:w="1460" w:type="dxa"/>
            <w:vAlign w:val="bottom"/>
            <w:tcBorders>
              <w:top w:val="single" w:sz="8" w:color="auto"/>
              <w:bottom w:val="single" w:sz="8" w:color="auto"/>
            </w:tcBorders>
            <w:shd w:val="clear" w:color="auto" w:fill="CCEEFF"/>
          </w:tcPr>
          <w:p>
            <w:pPr>
              <w:ind w:left="400"/>
              <w:spacing w:after="0" w:line="196" w:lineRule="exact"/>
              <w:rPr>
                <w:sz w:val="20"/>
                <w:szCs w:val="20"/>
                <w:color w:val="auto"/>
              </w:rPr>
            </w:pPr>
            <w:r>
              <w:rPr>
                <w:rFonts w:ascii="Arial" w:cs="Arial" w:eastAsia="Arial" w:hAnsi="Arial"/>
                <w:sz w:val="18"/>
                <w:szCs w:val="18"/>
                <w:color w:val="auto"/>
              </w:rPr>
              <w:t>$   7,480</w:t>
            </w:r>
          </w:p>
        </w:tc>
        <w:tc>
          <w:tcPr>
            <w:tcW w:w="1320" w:type="dxa"/>
            <w:vAlign w:val="bottom"/>
            <w:tcBorders>
              <w:top w:val="single" w:sz="8" w:color="auto"/>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7 years</w:t>
            </w:r>
          </w:p>
        </w:tc>
        <w:tc>
          <w:tcPr>
            <w:tcW w:w="1280" w:type="dxa"/>
            <w:vAlign w:val="bottom"/>
            <w:tcBorders>
              <w:top w:val="single" w:sz="8" w:color="auto"/>
              <w:bottom w:val="single" w:sz="8" w:color="auto"/>
            </w:tcBorders>
            <w:shd w:val="clear" w:color="auto" w:fill="CCEEFF"/>
          </w:tcPr>
          <w:p>
            <w:pPr>
              <w:jc w:val="right"/>
              <w:ind w:right="852"/>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ind w:right="152"/>
              <w:spacing w:after="0" w:line="196" w:lineRule="exact"/>
              <w:rPr>
                <w:sz w:val="20"/>
                <w:szCs w:val="20"/>
                <w:color w:val="auto"/>
              </w:rPr>
            </w:pPr>
            <w:r>
              <w:rPr>
                <w:rFonts w:ascii="Arial" w:cs="Arial" w:eastAsia="Arial" w:hAnsi="Arial"/>
                <w:sz w:val="18"/>
                <w:szCs w:val="18"/>
                <w:color w:val="auto"/>
              </w:rPr>
              <w:t>867</w:t>
            </w:r>
          </w:p>
        </w:tc>
        <w:tc>
          <w:tcPr>
            <w:tcW w:w="2400" w:type="dxa"/>
            <w:vAlign w:val="bottom"/>
            <w:tcBorders>
              <w:top w:val="single" w:sz="8" w:color="auto"/>
              <w:bottom w:val="single" w:sz="8" w:color="auto"/>
            </w:tcBorders>
            <w:shd w:val="clear" w:color="auto" w:fill="CCEEFF"/>
          </w:tcPr>
          <w:p>
            <w:pPr>
              <w:jc w:val="center"/>
              <w:ind w:left="132"/>
              <w:spacing w:after="0" w:line="196" w:lineRule="exact"/>
              <w:rPr>
                <w:sz w:val="20"/>
                <w:szCs w:val="20"/>
                <w:color w:val="auto"/>
              </w:rPr>
            </w:pPr>
            <w:r>
              <w:rPr>
                <w:rFonts w:ascii="Arial" w:cs="Arial" w:eastAsia="Arial" w:hAnsi="Arial"/>
                <w:sz w:val="18"/>
                <w:szCs w:val="18"/>
                <w:color w:val="auto"/>
                <w:w w:val="97"/>
              </w:rPr>
              <w:t>Research and development</w:t>
            </w:r>
          </w:p>
        </w:tc>
      </w:tr>
    </w:tbl>
    <w:p>
      <w:pPr>
        <w:spacing w:after="0" w:line="71" w:lineRule="exact"/>
        <w:rPr>
          <w:sz w:val="20"/>
          <w:szCs w:val="20"/>
          <w:color w:val="auto"/>
        </w:rPr>
      </w:pPr>
    </w:p>
    <w:p>
      <w:pPr>
        <w:ind w:left="640" w:right="700" w:hanging="436"/>
        <w:spacing w:after="0" w:line="239"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eliminate transaction costs of $1.0 million that have been incurred by the Company and Warp Drive related to the Warp Drive acquisition included in general and administrative expenses.</w:t>
      </w:r>
    </w:p>
    <w:p>
      <w:pPr>
        <w:spacing w:after="0" w:line="60" w:lineRule="exact"/>
        <w:rPr>
          <w:rFonts w:ascii="Arial" w:cs="Arial" w:eastAsia="Arial" w:hAnsi="Arial"/>
          <w:sz w:val="18"/>
          <w:szCs w:val="18"/>
          <w:color w:val="auto"/>
        </w:rPr>
      </w:pPr>
    </w:p>
    <w:p>
      <w:pPr>
        <w:ind w:left="640" w:right="40" w:hanging="436"/>
        <w:spacing w:after="0" w:line="239" w:lineRule="auto"/>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eliminate historical depreciation expense and recognize new depreciation expense based on the fair value of property and equipment and the estimated remaining useful lives of assets acquired. Depreciation is calculated on a straight-line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360" w:type="dxa"/>
            <w:vAlign w:val="bottom"/>
            <w:gridSpan w:val="2"/>
          </w:tcPr>
          <w:p>
            <w:pPr>
              <w:jc w:val="center"/>
              <w:ind w:left="212"/>
              <w:spacing w:after="0"/>
              <w:rPr>
                <w:sz w:val="20"/>
                <w:szCs w:val="20"/>
                <w:color w:val="auto"/>
              </w:rPr>
            </w:pPr>
            <w:r>
              <w:rPr>
                <w:rFonts w:ascii="Arial" w:cs="Arial" w:eastAsia="Arial" w:hAnsi="Arial"/>
                <w:sz w:val="18"/>
                <w:szCs w:val="18"/>
                <w:b w:val="1"/>
                <w:bCs w:val="1"/>
                <w:color w:val="auto"/>
                <w:w w:val="97"/>
              </w:rPr>
              <w:t>Depreciation for</w:t>
            </w: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jc w:val="center"/>
              <w:ind w:right="292"/>
              <w:spacing w:after="0" w:line="202" w:lineRule="exact"/>
              <w:rPr>
                <w:sz w:val="20"/>
                <w:szCs w:val="20"/>
                <w:color w:val="auto"/>
              </w:rPr>
            </w:pPr>
            <w:r>
              <w:rPr>
                <w:rFonts w:ascii="Arial" w:cs="Arial" w:eastAsia="Arial" w:hAnsi="Arial"/>
                <w:sz w:val="18"/>
                <w:szCs w:val="18"/>
                <w:b w:val="1"/>
                <w:bCs w:val="1"/>
                <w:color w:val="auto"/>
                <w:w w:val="96"/>
              </w:rPr>
              <w:t>the period from</w:t>
            </w: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January 1, 2018</w:t>
            </w:r>
          </w:p>
        </w:tc>
        <w:tc>
          <w:tcPr>
            <w:tcW w:w="2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jc w:val="center"/>
              <w:ind w:right="272"/>
              <w:spacing w:after="0" w:line="202" w:lineRule="exact"/>
              <w:rPr>
                <w:sz w:val="20"/>
                <w:szCs w:val="20"/>
                <w:color w:val="auto"/>
              </w:rPr>
            </w:pPr>
            <w:r>
              <w:rPr>
                <w:rFonts w:ascii="Arial" w:cs="Arial" w:eastAsia="Arial" w:hAnsi="Arial"/>
                <w:sz w:val="18"/>
                <w:szCs w:val="18"/>
                <w:b w:val="1"/>
                <w:bCs w:val="1"/>
                <w:color w:val="auto"/>
              </w:rPr>
              <w:t>to October 23,</w:t>
            </w:r>
          </w:p>
        </w:tc>
        <w:tc>
          <w:tcPr>
            <w:tcW w:w="2520" w:type="dxa"/>
            <w:vAlign w:val="bottom"/>
            <w:gridSpan w:val="2"/>
          </w:tcPr>
          <w:p>
            <w:pPr>
              <w:ind w:left="320"/>
              <w:spacing w:after="0" w:line="202" w:lineRule="exact"/>
              <w:rPr>
                <w:sz w:val="20"/>
                <w:szCs w:val="20"/>
                <w:color w:val="auto"/>
              </w:rPr>
            </w:pPr>
            <w:r>
              <w:rPr>
                <w:rFonts w:ascii="Arial" w:cs="Arial" w:eastAsia="Arial" w:hAnsi="Arial"/>
                <w:sz w:val="18"/>
                <w:szCs w:val="18"/>
                <w:b w:val="1"/>
                <w:bCs w:val="1"/>
                <w:color w:val="auto"/>
              </w:rPr>
              <w:t>Line item in statement of</w:t>
            </w:r>
          </w:p>
        </w:tc>
      </w:tr>
      <w:tr>
        <w:trPr>
          <w:trHeight w:val="221"/>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w:t>
            </w:r>
          </w:p>
        </w:tc>
        <w:tc>
          <w:tcPr>
            <w:tcW w:w="2360" w:type="dxa"/>
            <w:vAlign w:val="bottom"/>
            <w:gridSpan w:val="2"/>
          </w:tcPr>
          <w:p>
            <w:pPr>
              <w:jc w:val="center"/>
              <w:ind w:left="212"/>
              <w:spacing w:after="0"/>
              <w:rPr>
                <w:sz w:val="20"/>
                <w:szCs w:val="20"/>
                <w:color w:val="auto"/>
              </w:rPr>
            </w:pPr>
            <w:r>
              <w:rPr>
                <w:rFonts w:ascii="Arial" w:cs="Arial" w:eastAsia="Arial" w:hAnsi="Arial"/>
                <w:sz w:val="18"/>
                <w:szCs w:val="18"/>
                <w:b w:val="1"/>
                <w:bCs w:val="1"/>
                <w:color w:val="auto"/>
                <w:w w:val="94"/>
              </w:rPr>
              <w:t>2018</w:t>
            </w:r>
          </w:p>
        </w:tc>
        <w:tc>
          <w:tcPr>
            <w:tcW w:w="2520" w:type="dxa"/>
            <w:vAlign w:val="bottom"/>
            <w:gridSpan w:val="2"/>
          </w:tcPr>
          <w:p>
            <w:pPr>
              <w:ind w:left="900"/>
              <w:spacing w:after="0"/>
              <w:rPr>
                <w:sz w:val="20"/>
                <w:szCs w:val="20"/>
                <w:color w:val="auto"/>
              </w:rPr>
            </w:pPr>
            <w:r>
              <w:rPr>
                <w:rFonts w:ascii="Arial" w:cs="Arial" w:eastAsia="Arial" w:hAnsi="Arial"/>
                <w:sz w:val="18"/>
                <w:szCs w:val="18"/>
                <w:b w:val="1"/>
                <w:bCs w:val="1"/>
                <w:color w:val="auto"/>
              </w:rPr>
              <w:t>operations</w:t>
            </w:r>
          </w:p>
        </w:tc>
      </w:tr>
      <w:tr>
        <w:trPr>
          <w:trHeight w:val="196"/>
        </w:trPr>
        <w:tc>
          <w:tcPr>
            <w:tcW w:w="20" w:type="dxa"/>
            <w:vAlign w:val="bottom"/>
          </w:tcPr>
          <w:p>
            <w:pPr>
              <w:spacing w:after="0"/>
              <w:rPr>
                <w:sz w:val="17"/>
                <w:szCs w:val="17"/>
                <w:color w:val="auto"/>
              </w:rPr>
            </w:pPr>
          </w:p>
        </w:tc>
        <w:tc>
          <w:tcPr>
            <w:tcW w:w="6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jc w:val="right"/>
              <w:ind w:right="272"/>
              <w:spacing w:after="0" w:line="196" w:lineRule="exact"/>
              <w:rPr>
                <w:sz w:val="20"/>
                <w:szCs w:val="20"/>
                <w:color w:val="auto"/>
              </w:rPr>
            </w:pPr>
            <w:r>
              <w:rPr>
                <w:rFonts w:ascii="Arial" w:cs="Arial" w:eastAsia="Arial" w:hAnsi="Arial"/>
                <w:sz w:val="18"/>
                <w:szCs w:val="18"/>
                <w:b w:val="1"/>
                <w:bCs w:val="1"/>
                <w:color w:val="auto"/>
              </w:rPr>
              <w:t>(in thousands)</w:t>
            </w:r>
          </w:p>
        </w:tc>
        <w:tc>
          <w:tcPr>
            <w:tcW w:w="24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1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Elimination of historical depreciation expense for acquired property and</w:t>
            </w:r>
          </w:p>
        </w:tc>
        <w:tc>
          <w:tcPr>
            <w:tcW w:w="6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14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equipment</w:t>
            </w:r>
          </w:p>
        </w:tc>
        <w:tc>
          <w:tcPr>
            <w:tcW w:w="2360" w:type="dxa"/>
            <w:vAlign w:val="bottom"/>
            <w:gridSpan w:val="2"/>
            <w:shd w:val="clear" w:color="auto" w:fill="CCEEFF"/>
          </w:tcPr>
          <w:p>
            <w:pPr>
              <w:jc w:val="right"/>
              <w:ind w:right="212"/>
              <w:spacing w:after="0" w:line="200" w:lineRule="exact"/>
              <w:rPr>
                <w:sz w:val="20"/>
                <w:szCs w:val="20"/>
                <w:color w:val="auto"/>
              </w:rPr>
            </w:pPr>
            <w:r>
              <w:rPr>
                <w:rFonts w:ascii="Arial" w:cs="Arial" w:eastAsia="Arial" w:hAnsi="Arial"/>
                <w:sz w:val="18"/>
                <w:szCs w:val="18"/>
                <w:color w:val="auto"/>
              </w:rPr>
              <w:t>(744)</w:t>
            </w:r>
          </w:p>
        </w:tc>
        <w:tc>
          <w:tcPr>
            <w:tcW w:w="2520" w:type="dxa"/>
            <w:vAlign w:val="bottom"/>
            <w:gridSpan w:val="2"/>
            <w:shd w:val="clear" w:color="auto" w:fill="CCEEFF"/>
          </w:tcPr>
          <w:p>
            <w:pPr>
              <w:ind w:left="300"/>
              <w:spacing w:after="0" w:line="200" w:lineRule="exact"/>
              <w:rPr>
                <w:sz w:val="20"/>
                <w:szCs w:val="20"/>
                <w:color w:val="auto"/>
              </w:rPr>
            </w:pPr>
            <w:r>
              <w:rPr>
                <w:rFonts w:ascii="Arial" w:cs="Arial" w:eastAsia="Arial" w:hAnsi="Arial"/>
                <w:sz w:val="18"/>
                <w:szCs w:val="18"/>
                <w:color w:val="auto"/>
                <w:w w:val="99"/>
              </w:rPr>
              <w:t>Research and development</w:t>
            </w:r>
          </w:p>
        </w:tc>
      </w:tr>
      <w:tr>
        <w:trPr>
          <w:trHeight w:val="210"/>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Depreciation expense for acquired property and equipment</w:t>
            </w:r>
          </w:p>
        </w:tc>
        <w:tc>
          <w:tcPr>
            <w:tcW w:w="660" w:type="dxa"/>
            <w:vAlign w:val="bottom"/>
          </w:tcPr>
          <w:p>
            <w:pPr>
              <w:spacing w:after="0"/>
              <w:rPr>
                <w:sz w:val="18"/>
                <w:szCs w:val="18"/>
                <w:color w:val="auto"/>
              </w:rPr>
            </w:pPr>
          </w:p>
        </w:tc>
        <w:tc>
          <w:tcPr>
            <w:tcW w:w="170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rPr>
              <w:t>376</w:t>
            </w:r>
          </w:p>
        </w:tc>
        <w:tc>
          <w:tcPr>
            <w:tcW w:w="2460" w:type="dxa"/>
            <w:vAlign w:val="bottom"/>
            <w:tcBorders>
              <w:bottom w:val="single" w:sz="8" w:color="auto"/>
            </w:tcBorders>
          </w:tcPr>
          <w:p>
            <w:pPr>
              <w:ind w:left="300"/>
              <w:spacing w:after="0" w:line="202" w:lineRule="exact"/>
              <w:rPr>
                <w:sz w:val="20"/>
                <w:szCs w:val="20"/>
                <w:color w:val="auto"/>
              </w:rPr>
            </w:pPr>
            <w:r>
              <w:rPr>
                <w:rFonts w:ascii="Arial" w:cs="Arial" w:eastAsia="Arial" w:hAnsi="Arial"/>
                <w:sz w:val="18"/>
                <w:szCs w:val="18"/>
                <w:color w:val="auto"/>
                <w:w w:val="97"/>
              </w:rPr>
              <w:t>Research and development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1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Total depreciation expense adjustment</w:t>
            </w:r>
          </w:p>
        </w:tc>
        <w:tc>
          <w:tcPr>
            <w:tcW w:w="2360" w:type="dxa"/>
            <w:vAlign w:val="bottom"/>
            <w:tcBorders>
              <w:bottom w:val="single" w:sz="8" w:color="auto"/>
            </w:tcBorders>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(368)</w:t>
            </w:r>
          </w:p>
        </w:tc>
        <w:tc>
          <w:tcPr>
            <w:tcW w:w="24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r>
    </w:tbl>
    <w:p>
      <w:pPr>
        <w:spacing w:after="0" w:line="71" w:lineRule="exact"/>
        <w:rPr>
          <w:sz w:val="20"/>
          <w:szCs w:val="20"/>
          <w:color w:val="auto"/>
        </w:rPr>
      </w:pPr>
    </w:p>
    <w:p>
      <w:pPr>
        <w:ind w:left="640" w:right="80" w:hanging="436"/>
        <w:spacing w:after="0" w:line="238"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eliminate interest expense of $1.1 million and gain on the restructuring of debt of $5.1 million related to Warp Drive’s convertible note payable, which was converted into Warp Drive common stock immediately prior to the acquisition and subsequently converted into the Company’s Series B redeemable convertible preferred stock in connection with the acquisition.</w:t>
      </w:r>
    </w:p>
    <w:p>
      <w:pPr>
        <w:spacing w:after="0" w:line="59" w:lineRule="exact"/>
        <w:rPr>
          <w:rFonts w:ascii="Arial" w:cs="Arial" w:eastAsia="Arial" w:hAnsi="Arial"/>
          <w:sz w:val="18"/>
          <w:szCs w:val="18"/>
          <w:color w:val="auto"/>
        </w:rPr>
      </w:pPr>
    </w:p>
    <w:p>
      <w:pPr>
        <w:ind w:left="640" w:right="140" w:hanging="436"/>
        <w:spacing w:after="0" w:line="239" w:lineRule="auto"/>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To eliminate severance costs of $1.4 million of certain Warp Drive employees recorded in the Company’s historical financial statements as a non-recurring charge directly related to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7"/>
              </w:rPr>
              <w:t>Severance</w:t>
            </w:r>
          </w:p>
        </w:tc>
      </w:tr>
      <w:tr>
        <w:trPr>
          <w:trHeight w:val="22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Line item in statement of operations</w:t>
            </w:r>
          </w:p>
        </w:tc>
        <w:tc>
          <w:tcPr>
            <w:tcW w:w="3380" w:type="dxa"/>
            <w:vAlign w:val="bottom"/>
          </w:tcPr>
          <w:p>
            <w:pPr>
              <w:spacing w:after="0"/>
              <w:rPr>
                <w:sz w:val="19"/>
                <w:szCs w:val="19"/>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7"/>
              </w:rPr>
              <w:t>costs</w:t>
            </w:r>
          </w:p>
        </w:tc>
      </w:tr>
      <w:tr>
        <w:trPr>
          <w:trHeight w:val="196"/>
        </w:trPr>
        <w:tc>
          <w:tcPr>
            <w:tcW w:w="20" w:type="dxa"/>
            <w:vAlign w:val="bottom"/>
          </w:tcPr>
          <w:p>
            <w:pPr>
              <w:spacing w:after="0"/>
              <w:rPr>
                <w:sz w:val="17"/>
                <w:szCs w:val="17"/>
                <w:color w:val="auto"/>
              </w:rPr>
            </w:pPr>
          </w:p>
        </w:tc>
        <w:tc>
          <w:tcPr>
            <w:tcW w:w="6360" w:type="dxa"/>
            <w:vAlign w:val="bottom"/>
            <w:tcBorders>
              <w:top w:val="single" w:sz="8" w:color="auto"/>
            </w:tcBorders>
          </w:tcPr>
          <w:p>
            <w:pPr>
              <w:spacing w:after="0"/>
              <w:rPr>
                <w:sz w:val="17"/>
                <w:szCs w:val="17"/>
                <w:color w:val="auto"/>
              </w:rPr>
            </w:pPr>
          </w:p>
        </w:tc>
        <w:tc>
          <w:tcPr>
            <w:tcW w:w="4660" w:type="dxa"/>
            <w:vAlign w:val="bottom"/>
            <w:tcBorders>
              <w:top w:val="single" w:sz="8" w:color="auto"/>
            </w:tcBorders>
            <w:gridSpan w:val="3"/>
          </w:tcPr>
          <w:p>
            <w:pPr>
              <w:jc w:val="center"/>
              <w:ind w:left="3232"/>
              <w:spacing w:after="0" w:line="196" w:lineRule="exact"/>
              <w:rPr>
                <w:sz w:val="20"/>
                <w:szCs w:val="20"/>
                <w:color w:val="auto"/>
              </w:rPr>
            </w:pPr>
            <w:r>
              <w:rPr>
                <w:rFonts w:ascii="Arial" w:cs="Arial" w:eastAsia="Arial" w:hAnsi="Arial"/>
                <w:sz w:val="18"/>
                <w:szCs w:val="18"/>
                <w:b w:val="1"/>
                <w:bCs w:val="1"/>
                <w:color w:val="auto"/>
                <w:w w:val="98"/>
              </w:rPr>
              <w:t>(in thousands)</w:t>
            </w: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4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799</w:t>
            </w:r>
          </w:p>
        </w:tc>
        <w:tc>
          <w:tcPr>
            <w:tcW w:w="60" w:type="dxa"/>
            <w:vAlign w:val="bottom"/>
            <w:shd w:val="clear" w:color="auto" w:fill="CCEEFF"/>
          </w:tcPr>
          <w:p>
            <w:pPr>
              <w:spacing w:after="0"/>
              <w:rPr>
                <w:sz w:val="17"/>
                <w:szCs w:val="17"/>
                <w:color w:val="auto"/>
              </w:rPr>
            </w:pPr>
          </w:p>
        </w:tc>
      </w:tr>
      <w:tr>
        <w:trPr>
          <w:trHeight w:val="210"/>
        </w:trPr>
        <w:tc>
          <w:tcPr>
            <w:tcW w:w="638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w:t>
            </w:r>
          </w:p>
        </w:tc>
        <w:tc>
          <w:tcPr>
            <w:tcW w:w="3380" w:type="dxa"/>
            <w:vAlign w:val="bottom"/>
          </w:tcPr>
          <w:p>
            <w:pPr>
              <w:spacing w:after="0"/>
              <w:rPr>
                <w:sz w:val="18"/>
                <w:szCs w:val="18"/>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severance costs</w:t>
            </w:r>
          </w:p>
        </w:tc>
        <w:tc>
          <w:tcPr>
            <w:tcW w:w="46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1,447</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1" w:lineRule="exact"/>
        <w:rPr>
          <w:sz w:val="20"/>
          <w:szCs w:val="20"/>
          <w:color w:val="auto"/>
        </w:rPr>
      </w:pPr>
    </w:p>
    <w:p>
      <w:pPr>
        <w:ind w:left="640" w:right="240" w:hanging="436"/>
        <w:spacing w:after="0" w:line="239"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pro forma adjustments have been made to the provision for income taxes as both the Company and Warp Drive have no provision for income taxes for the respective periods presented due to full valuation allowances.</w:t>
      </w:r>
    </w:p>
    <w:p>
      <w:pPr>
        <w:spacing w:after="0" w:line="60" w:lineRule="exact"/>
        <w:rPr>
          <w:rFonts w:ascii="Arial" w:cs="Arial" w:eastAsia="Arial" w:hAnsi="Arial"/>
          <w:sz w:val="18"/>
          <w:szCs w:val="18"/>
          <w:color w:val="auto"/>
        </w:rPr>
      </w:pPr>
    </w:p>
    <w:p>
      <w:pPr>
        <w:ind w:left="640" w:right="600" w:hanging="436"/>
        <w:spacing w:after="0" w:line="239" w:lineRule="auto"/>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record the redeemable convertible preferred stock dividends—undeclared and cumulative on Series B redeemable convertible preferred stock issued in connection with the acquisition as if the acquisition occurred on January 1, 2018.</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right="940"/>
        <w:spacing w:after="0" w:line="286" w:lineRule="auto"/>
        <w:rPr>
          <w:sz w:val="20"/>
          <w:szCs w:val="20"/>
          <w:color w:val="auto"/>
        </w:rPr>
      </w:pPr>
      <w:r>
        <w:rPr>
          <w:rFonts w:ascii="Arial" w:cs="Arial" w:eastAsia="Arial" w:hAnsi="Arial"/>
          <w:sz w:val="32"/>
          <w:szCs w:val="32"/>
          <w:b w:val="1"/>
          <w:bCs w:val="1"/>
          <w:color w:val="auto"/>
        </w:rPr>
        <w:t>Management’s discussion and analysis of financial condition and results of operations</w:t>
      </w:r>
    </w:p>
    <w:p>
      <w:pPr>
        <w:spacing w:after="0" w:line="9" w:lineRule="exact"/>
        <w:rPr>
          <w:sz w:val="20"/>
          <w:szCs w:val="20"/>
          <w:color w:val="auto"/>
        </w:rPr>
      </w:pPr>
    </w:p>
    <w:p>
      <w:pPr>
        <w:ind w:left="200" w:right="100"/>
        <w:spacing w:after="0" w:line="241"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the consolidated financial statements and the related notes included elsewhere in this prospectus. In addition to historical financial information, this discussion contains forward-looking statements based upon current expectations that involve risks and uncertainties. Our actual results could differ materially from those anticipated in these forward-looking statements as a result of various factors, including those set forth under “Risk factors” and elsewhere in this prospectus.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Overview</w:t>
      </w:r>
    </w:p>
    <w:p>
      <w:pPr>
        <w:spacing w:after="0" w:line="116"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 xml:space="preserve">We are a clinical-stage precision oncology company focused on developing novel targeted therapies to inhibit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targets within notorious growth and survival pathways, with particular emphasis on the RAS and mTOR signaling pathways. 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w:t>
      </w:r>
    </w:p>
    <w:p>
      <w:pPr>
        <w:spacing w:after="0" w:line="105" w:lineRule="exact"/>
        <w:rPr>
          <w:sz w:val="20"/>
          <w:szCs w:val="20"/>
          <w:color w:val="auto"/>
        </w:rPr>
      </w:pPr>
    </w:p>
    <w:p>
      <w:pPr>
        <w:ind w:left="200" w:right="20"/>
        <w:spacing w:after="0" w:line="267" w:lineRule="auto"/>
        <w:rPr>
          <w:sz w:val="20"/>
          <w:szCs w:val="20"/>
          <w:color w:val="auto"/>
        </w:rPr>
      </w:pPr>
      <w:r>
        <w:rPr>
          <w:rFonts w:ascii="Arial" w:cs="Arial" w:eastAsia="Arial" w:hAnsi="Arial"/>
          <w:sz w:val="16"/>
          <w:szCs w:val="16"/>
          <w:color w:val="auto"/>
        </w:rPr>
        <w:t>Our most advanced product candidate, RMC-4630, is a potent and selective inhibitor of SHP2, a central node in the RAS signaling pathway. In collaboration with Sanofi, we are evaluating RMC-4630 in a multi-cohort Phase 1/2 clinical program. This RMC-4630 Phase 1/2 program currently consists of two active clinical trials: RMC-4630-01, a Phase 1 study of RMC-4630 as a single agent, and RMC-4630-02, a Phase 1b/2 study of RMC-4630 in combination with the MEK inhibitor cobimetinib (Cotellic). In this prospectus, we report preliminary data from 63 patients who had enrolled in our Phase 1 study and received RMC-4630 as a monotherapy as of November 6, 2019 and from 8 patients who had enrolled in our Phase 1b/2 combination study and received RMC-4630 as of November 14, 2019. Leveraging our proprietary tri-complex technology platform, we are also developing a portfolio of mutant-selective RAS inhibitors that we believe are the first potent, selective, cell-active inhibitors of the active, GTP-bound form of RAS, or RAS(ON). Initially, we will prioritize four mutant RAS(ON) targets—KRAS</w:t>
      </w:r>
      <w:r>
        <w:rPr>
          <w:rFonts w:ascii="Arial" w:cs="Arial" w:eastAsia="Arial" w:hAnsi="Arial"/>
          <w:sz w:val="10"/>
          <w:szCs w:val="10"/>
          <w:color w:val="auto"/>
        </w:rPr>
        <w:t>G12C</w:t>
      </w:r>
      <w:r>
        <w:rPr>
          <w:rFonts w:ascii="Arial" w:cs="Arial" w:eastAsia="Arial" w:hAnsi="Arial"/>
          <w:sz w:val="16"/>
          <w:szCs w:val="16"/>
          <w:color w:val="auto"/>
        </w:rPr>
        <w:t>, KRAS</w:t>
      </w:r>
      <w:r>
        <w:rPr>
          <w:rFonts w:ascii="Arial" w:cs="Arial" w:eastAsia="Arial" w:hAnsi="Arial"/>
          <w:sz w:val="10"/>
          <w:szCs w:val="10"/>
          <w:color w:val="auto"/>
        </w:rPr>
        <w:t>G13C</w:t>
      </w:r>
      <w:r>
        <w:rPr>
          <w:rFonts w:ascii="Arial" w:cs="Arial" w:eastAsia="Arial" w:hAnsi="Arial"/>
          <w:sz w:val="16"/>
          <w:szCs w:val="16"/>
          <w:color w:val="auto"/>
        </w:rPr>
        <w:t>, KRAS</w:t>
      </w:r>
      <w:r>
        <w:rPr>
          <w:rFonts w:ascii="Arial" w:cs="Arial" w:eastAsia="Arial" w:hAnsi="Arial"/>
          <w:sz w:val="10"/>
          <w:szCs w:val="10"/>
          <w:color w:val="auto"/>
        </w:rPr>
        <w:t>G12D</w:t>
      </w:r>
      <w:r>
        <w:rPr>
          <w:rFonts w:ascii="Arial" w:cs="Arial" w:eastAsia="Arial" w:hAnsi="Arial"/>
          <w:sz w:val="16"/>
          <w:szCs w:val="16"/>
          <w:color w:val="auto"/>
        </w:rPr>
        <w:t xml:space="preserve"> and NRAS</w:t>
      </w:r>
      <w:r>
        <w:rPr>
          <w:rFonts w:ascii="Arial" w:cs="Arial" w:eastAsia="Arial" w:hAnsi="Arial"/>
          <w:sz w:val="10"/>
          <w:szCs w:val="10"/>
          <w:color w:val="auto"/>
        </w:rPr>
        <w:t>G12C</w:t>
      </w:r>
      <w:r>
        <w:rPr>
          <w:rFonts w:ascii="Arial" w:cs="Arial" w:eastAsia="Arial" w:hAnsi="Arial"/>
          <w:sz w:val="16"/>
          <w:szCs w:val="16"/>
          <w:color w:val="auto"/>
        </w:rPr>
        <w:t>—and expect to nominate our first development candidate in 2020. Our pipeline also includes inhibitors of other key nodes within the RAS and mTOR signaling pathways, such as SOS1 and mTORC1.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28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addition, we have two preclinical programs targeting other key nodes in the RAS and mTOR signaling pathways. Our program targeting SOS1, a protein that plays a key role in converting RAS(OFF) to RAS(ON) in cells, is currently 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0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We have incurred net losses in each year since inception in 2014. Our net losses were $31.1 million and $41.8 million for the years ended December 31, 2017 and 2018, respectively, and $30.5 million and $33.1 million for the nine months ended September 30, 2018 and 2019, respectively. As of September 30, 2019, we had an accumulated deficit of $142.8 million. Substantially all of our net losses have resulted from costs incurred in connection with our research and development programs and from general and administrative costs associated</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with our operations. We expect to continue to incur significant expenses and increasing operating losses over at least the next several years.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expect our expenses will increase in connection with our ongoing activities, as we:</w:t>
      </w:r>
    </w:p>
    <w:p>
      <w:pPr>
        <w:spacing w:after="0" w:line="117" w:lineRule="exact"/>
        <w:rPr>
          <w:sz w:val="20"/>
          <w:szCs w:val="20"/>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continue our platform research and drug discovery efforts to identify product candidates;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advance product candidates through preclinical programs and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manufacture supplies for our preclinical studies and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pursue regulatory approval of product candidates;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operate as a public company following completion of this offering;</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maintain, protect and expand our portfolio of intellectual property rights, including patents, trade secrets and know-how;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hire additional personnel to support our development programs and secure additional facilities to support our operations.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Collaboration agreement with Sanofi</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107"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Under the Sanofi Agreement, we have primary responsibility for performing preclinical research on SHP2 inhibitors, pursuant to an initial research plan and budget directed toward the identification, validation and optimization of SHP2 inhibitors for 2018-2020. The research plan and budget beyond 2020 will be determined by a joint research and development committee, over which Sanofi has final decision-making power subject to certain exceptions. We have primary responsibility for early clinical development of RMC-4630 pursuant to an initial development plan. The joint research and development committee is responsible for preparing development plans for other SHP2 inhibitors approved by such committee for development, if any. Sanofi is responsible for 80% of all internal and external research costs and expenses incurred under the research plan for 2019 and 2020, and for all other internal and external costs and expenses incurred to perform activities under the research and development plans. We are responsible for 20% of all internal and external research costs incurred under the research plan for 2019 and 2020, in which our share of these costs is estimated to be approximately $2 million in total, representing less than three percent of the anticipated overall budget for the SHP2 program in 2019 and 2020. Sanofi is responsible for all costs under the development plan, and since our SHP2 program is in clinical development, the costs under the development plan are expected to be significantly greater than the costs under the research plan. We are responsible for the manufacture of SHP2 inhibitors for Phase 1 and non-registrational Phase 2 clinical trials at Sanofi’s cost, while Sanofi is responsible for manufacturing SHP2 inhibitors for all other clinical trials and commercial supply. Sanofi has the sole right and responsibility to perform all regulatory activities under the Sanofi</w:t>
      </w:r>
    </w:p>
    <w:p>
      <w:pPr>
        <w:spacing w:after="0" w:line="14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 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 for at least one SHP2 inhibitor product candidate in certain major market countries. Sanofi agrees to provide us, and we agree to provide Sanofi, with research, development and commercialization updates through the joint committees.</w:t>
      </w:r>
    </w:p>
    <w:p>
      <w:pPr>
        <w:spacing w:after="0" w:line="100"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During the term of the Sanofi Agreement, we may not, alone or with any affiliate or third party, conduct certain research activities with respect to, or develop or commercialize, any product that contains a SHP2 inhibitor outside of the Sanofi Agreement.</w:t>
      </w:r>
    </w:p>
    <w:p>
      <w:pPr>
        <w:spacing w:after="0" w:line="101"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Pursuant to the Sanofi Agreement, we received an upfront payment of $50 million from Sanofi in July 2018. Upon the achievement of specified development and regulatory milestones, Sanofi will be obligated to pay us up to $520 million in the aggregate, including up to $235 million upon the achievement of specified development milestones and up to $285 million upon achievement of certain marketing approval milestones. In the United States, we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 mid-teen percentages. The royalty payments are subject to reduction under specified conditions set forth in the Sanofi Agreement. Subject to certain exceptions, the royalties are payable on a product-by-product and country-by-country basis until the latest of the expiration of all valid claims covering such product in such country contained in the patents licensed to Sanofi under the Sanofi Agreement and the expiration of regulatory exclusivity for such product in such country.</w:t>
      </w:r>
    </w:p>
    <w:p>
      <w:pPr>
        <w:spacing w:after="0" w:line="107"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101" w:lineRule="exact"/>
        <w:rPr>
          <w:sz w:val="20"/>
          <w:szCs w:val="20"/>
          <w:color w:val="auto"/>
        </w:rPr>
      </w:pPr>
    </w:p>
    <w:p>
      <w:pPr>
        <w:ind w:left="200" w:right="20"/>
        <w:spacing w:after="0" w:line="267" w:lineRule="auto"/>
        <w:rPr>
          <w:sz w:val="20"/>
          <w:szCs w:val="20"/>
          <w:color w:val="auto"/>
        </w:rPr>
      </w:pPr>
      <w:r>
        <w:rPr>
          <w:rFonts w:ascii="Arial" w:cs="Arial" w:eastAsia="Arial" w:hAnsi="Arial"/>
          <w:sz w:val="16"/>
          <w:szCs w:val="16"/>
          <w:color w:val="auto"/>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 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w:t>
      </w:r>
    </w:p>
    <w:p>
      <w:pPr>
        <w:spacing w:after="0" w:line="3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based on the development and regulatory status of such reverted products, in each case subject to reductions in accordance with the terms of the Sanofi Agreement.</w:t>
      </w:r>
    </w:p>
    <w:p>
      <w:pPr>
        <w:spacing w:after="0" w:line="101"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Through September 30, 2019, we have received an aggregate of $83.5 million from Sanofi, including the upfront payment and research and development expense reimbursements.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Acquisition of Warp Drive</w:t>
      </w:r>
    </w:p>
    <w:p>
      <w:pPr>
        <w:spacing w:after="0" w:line="13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In October 2018, we acquired all outstanding shares of Warp Drive Bio, Inc., or Warp Drive. In connection with the acquisition, we issued 6,797,915 shares of our Series B preferred stock and $0.9 million in other consideration, for total consideration valued at $69.0 million. The operating results associated with Warp Drive programs are reflected in our consolidated financial statements beginning on the closing date of the transaction.</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connection with the Warp Drive acquisition, we recorded $55.8 million of in-process research and development, or IPR&amp;D, and</w:t>
      </w:r>
    </w:p>
    <w:p>
      <w:pPr>
        <w:ind w:left="200" w:right="160"/>
        <w:spacing w:after="0" w:line="273" w:lineRule="auto"/>
        <w:rPr>
          <w:sz w:val="20"/>
          <w:szCs w:val="20"/>
          <w:color w:val="auto"/>
        </w:rPr>
      </w:pPr>
      <w:r>
        <w:rPr>
          <w:rFonts w:ascii="Arial" w:cs="Arial" w:eastAsia="Arial" w:hAnsi="Arial"/>
          <w:sz w:val="16"/>
          <w:szCs w:val="16"/>
          <w:color w:val="auto"/>
        </w:rPr>
        <w:t>$13.6 million of developed technology related to the tri-complex and genome mining platforms. Warp Drive’s RAS programs were accounted for as an IPR&amp;D asset. The IPR&amp;D asset is considered to be an indefinite-lived asset until the completion or abandonment of the associated research and development efforts. Warp Drive’s tri-complex development platform was accounted for as developed technology and is being amortized over seven years. Warp Drive’s genome mining platform was accounted for as held for sale developed technology and was divested in January 2019 when we sold this genome mining platform to Ginkgo Bioworks, Inc., or Ginkgo.</w:t>
      </w:r>
    </w:p>
    <w:p>
      <w:pPr>
        <w:spacing w:after="0" w:line="75"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In addition, we recorded $14.6 million in goodwill associated with the Warp Drive acquisition, which largely relates to the establishment of a deferred tax liability for the non-deductible IPR&amp;D intangible assets acquired. Goodwill will not be amortized. Goodwill and IPR&amp;D will be tested at least annually for impairment. No impairment has been recognized as of September 30, 2019.</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Components of results of operations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Collaboration revenue, related party, consists of revenue under the Sanofi Agreement for our SHP2 program. We entered into the Sanofi Agreement in June 2018 and Sanofi subsequently became a related party in October 2018 as it was a stockholder of Warp Drive to which we issued equity in connection with the acquisition. We received a $50.0 million upfront payment from Sanofi in July 2018, receive reimbursement for research and development services, and are entitled to future potential development and regulatory milestones.</w:t>
      </w:r>
    </w:p>
    <w:p>
      <w:pPr>
        <w:spacing w:after="0" w:line="101"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Collaboration revenue, other, consists of revenue under our collaboration agreement with F. Hoffmann-La Roche Ltd and Hoffmann-La Roche Inc. that we became a party to in October 2018 as part of the Warp Drive acquisition. This collaboration agreement was divested to Ginkgo in January 2019.</w:t>
      </w:r>
    </w:p>
    <w:p>
      <w:pPr>
        <w:spacing w:after="0" w:line="100"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For further information on our revenue recognition policies, see the section titled “Critical accounting policies, significant judgments, and use of estimates—Revenue recognition.”</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4"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We substantially rely on third parties to conduct our preclinical studies, clinical trials and manufacturing. We estimate research and development expenses based on estimates of services performed, and rely on third party contractors and vendors to provide us with timely and accurate estimates of expenses of services performed to</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24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assist us in these estimates. Research and development expenses consist primarily of costs incurred for the development of our product candidates and costs associated with identifying compounds through our discovery platform, which include:</w:t>
      </w:r>
    </w:p>
    <w:p>
      <w:pPr>
        <w:spacing w:after="0" w:line="114" w:lineRule="exact"/>
        <w:rPr>
          <w:sz w:val="20"/>
          <w:szCs w:val="20"/>
          <w:color w:val="auto"/>
        </w:rPr>
      </w:pPr>
    </w:p>
    <w:p>
      <w:pPr>
        <w:ind w:left="420" w:right="340" w:hanging="216"/>
        <w:spacing w:after="0" w:line="239" w:lineRule="auto"/>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expenses incurred under agreements with third-party contract organizations, investigative clinical trial sites that conduct research and development activities on our behalf, and consultants;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costs related to production of clinical materials, including fees paid to contract manufacturers;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discovery programs, preclinical and clinical trials;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 and</w:t>
      </w:r>
    </w:p>
    <w:p>
      <w:pPr>
        <w:spacing w:after="0" w:line="117" w:lineRule="exact"/>
        <w:rPr>
          <w:rFonts w:ascii="Arial" w:cs="Arial" w:eastAsia="Arial" w:hAnsi="Arial"/>
          <w:sz w:val="18"/>
          <w:szCs w:val="18"/>
          <w:color w:val="auto"/>
        </w:rPr>
      </w:pPr>
    </w:p>
    <w:p>
      <w:pPr>
        <w:ind w:left="420" w:right="500" w:hanging="216"/>
        <w:spacing w:after="0" w:line="239" w:lineRule="auto"/>
        <w:tabs>
          <w:tab w:leader="none" w:pos="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facilities and other expenses, which include allocated expenses for rent and maintenance of facilities, depreciation and amortization expense, information technology and other supplies.</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recorded as prepaid assets. The prepaid amounts are then expensed as the related goods are delivered or as services are performed.</w:t>
      </w:r>
    </w:p>
    <w:p>
      <w:pPr>
        <w:spacing w:after="0" w:line="103"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Under the Sanofi Agreement, all of our RMC-4630 research and development expenses incurred from June 2018 to December 2018 have been reimbursed by Sanofi. All RMC-4630 development expenses and 80% of RMC-4630 research expenses in 2019 are reimbursable by Sanofi. These reimbursements from Sanofi are recorded as collaboration revenue. We are responsible for early non-registrational clinical trials and Sanofi is responsible for conducting registrational clinical trials.</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expect our research and development expenses to increase substantially for the foreseeable future as we continue to invest in discovering and developing product candidates and advancing product candidates into later stages of development, which may include conducting larger clinical trials. The process of conducting the necessary research and development and clinical trials to seek regulatory approval for product candidates is costly and time-consuming, and the successful development of our product candidates is highly uncertain. As a result, we are unable to determine the duration and completion costs of our research and development projects or clinical trials or if and to what extent we will generate revenue from the commercialization and sale of any of our product candidates.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4" w:lineRule="exact"/>
        <w:rPr>
          <w:sz w:val="20"/>
          <w:szCs w:val="20"/>
          <w:color w:val="auto"/>
        </w:rPr>
      </w:pPr>
    </w:p>
    <w:p>
      <w:pPr>
        <w:ind w:left="200" w:right="20"/>
        <w:spacing w:after="0" w:line="270" w:lineRule="auto"/>
        <w:rPr>
          <w:sz w:val="20"/>
          <w:szCs w:val="20"/>
          <w:color w:val="auto"/>
        </w:rPr>
      </w:pPr>
      <w:r>
        <w:rPr>
          <w:rFonts w:ascii="Arial" w:cs="Arial" w:eastAsia="Arial" w:hAnsi="Arial"/>
          <w:sz w:val="16"/>
          <w:szCs w:val="16"/>
          <w:color w:val="auto"/>
        </w:rPr>
        <w:t>General and administrative expenses consist primarily of personnel-related costs, consultants and professional services expenses, including legal, audit, accounting and human resources services, allocated facilities and information technology costs, and other general operating expenses not otherwise classified as research and development expenses. Personnel-related costs consist of salaries, benefits and stock-based compensation. Facilities costs consist of rent, utilities and maintenance of facilities. We expect our general and administrative expenses to increase for the foreseeable future due to anticipated increases in headcount and as a result of operating as a public company, including expenses related to compliance with the rules and regulations of the Securities and Exchange Commission, the Nasdaq Global Market, additional insurance expenses, investor relations activities and other administrative and professional services.</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income primarily consists of interest earned on our cash equivalents and marketable securities.</w:t>
      </w:r>
    </w:p>
    <w:p>
      <w:pPr>
        <w:spacing w:after="0" w:line="14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240" w:top="459" w:right="5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and other expense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and other expense primarily consists of interest related to our capital lease and interest on other outstanding obligations.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fair value of redeemable convertible preferred stock liability</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Our March 2018 issuance and sale of Series B redeemable convertible preferred stock was tranched into two funding dates, a first closing in March 2018, and a second closing to purchase additional shares in June 2018. We classified the obligation for the future purchase of additional shares under the second closing as a liability on our consolidated balance sheets as the obligation met the definition of a freestanding financial instrument. This redeemable convertible preferred stock tranche liability was initially recorded at fair value upon the date of issuance and was subsequently remeasured to fair value at each reporting date. Changes in the fair value of the redeemable convertible preferred stock liability were recognized in the consolidated statements of operations and comprehensive loss until the obligation for the second tranche was fulfilled upon the second closing date in June 2018.</w:t>
      </w:r>
    </w:p>
    <w:p>
      <w:pPr>
        <w:spacing w:after="0" w:line="174" w:lineRule="exact"/>
        <w:rPr>
          <w:sz w:val="20"/>
          <w:szCs w:val="20"/>
          <w:color w:val="auto"/>
        </w:rPr>
      </w:pPr>
    </w:p>
    <w:p>
      <w:pPr>
        <w:ind w:left="1460"/>
        <w:spacing w:after="0"/>
        <w:rPr>
          <w:sz w:val="20"/>
          <w:szCs w:val="20"/>
          <w:color w:val="auto"/>
        </w:rPr>
      </w:pPr>
      <w:r>
        <w:rPr>
          <w:rFonts w:ascii="Arial" w:cs="Arial" w:eastAsia="Arial" w:hAnsi="Arial"/>
          <w:sz w:val="22"/>
          <w:szCs w:val="22"/>
          <w:b w:val="1"/>
          <w:bCs w:val="1"/>
          <w:color w:val="auto"/>
        </w:rPr>
        <w:t>Comparison of the results for the nine months ended September 30,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8"/>
              </w:rPr>
              <w:t>Nine months ended</w:t>
            </w: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1"/>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4"/>
          </w:tcPr>
          <w:p>
            <w:pPr>
              <w:jc w:val="center"/>
              <w:ind w:right="360"/>
              <w:spacing w:after="0" w:line="201" w:lineRule="exact"/>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19"/>
                <w:szCs w:val="19"/>
                <w:color w:val="auto"/>
              </w:rPr>
            </w:pPr>
          </w:p>
        </w:tc>
        <w:tc>
          <w:tcPr>
            <w:tcW w:w="90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w w:val="97"/>
              </w:rPr>
              <w:t>Increase/</w:t>
            </w:r>
          </w:p>
        </w:tc>
      </w:tr>
      <w:tr>
        <w:trPr>
          <w:trHeight w:val="223"/>
        </w:trPr>
        <w:tc>
          <w:tcPr>
            <w:tcW w:w="20" w:type="dxa"/>
            <w:vAlign w:val="bottom"/>
          </w:tcPr>
          <w:p>
            <w:pPr>
              <w:spacing w:after="0"/>
              <w:rPr>
                <w:sz w:val="19"/>
                <w:szCs w:val="19"/>
                <w:color w:val="auto"/>
              </w:rPr>
            </w:pPr>
          </w:p>
        </w:tc>
        <w:tc>
          <w:tcPr>
            <w:tcW w:w="66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(decrease)</w:t>
            </w:r>
          </w:p>
        </w:tc>
      </w:tr>
      <w:tr>
        <w:trPr>
          <w:trHeight w:val="226"/>
        </w:trPr>
        <w:tc>
          <w:tcPr>
            <w:tcW w:w="2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20" w:type="dxa"/>
            <w:vAlign w:val="bottom"/>
            <w:gridSpan w:val="4"/>
          </w:tcPr>
          <w:p>
            <w:pPr>
              <w:jc w:val="center"/>
              <w:ind w:right="360"/>
              <w:spacing w:after="0"/>
              <w:rPr>
                <w:sz w:val="20"/>
                <w:szCs w:val="20"/>
                <w:color w:val="auto"/>
              </w:rPr>
            </w:pPr>
            <w:r>
              <w:rPr>
                <w:rFonts w:ascii="Arial" w:cs="Arial" w:eastAsia="Arial" w:hAnsi="Arial"/>
                <w:sz w:val="18"/>
                <w:szCs w:val="18"/>
                <w:b w:val="1"/>
                <w:bCs w:val="1"/>
                <w:color w:val="auto"/>
                <w:w w:val="96"/>
              </w:rPr>
              <w:t>(in thousands)</w:t>
            </w: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7"/>
        </w:trPr>
        <w:tc>
          <w:tcPr>
            <w:tcW w:w="662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Collaboration revenue, related party</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12"/>
              <w:spacing w:after="0"/>
              <w:rPr>
                <w:sz w:val="20"/>
                <w:szCs w:val="20"/>
                <w:color w:val="auto"/>
              </w:rPr>
            </w:pPr>
            <w:r>
              <w:rPr>
                <w:rFonts w:ascii="Arial" w:cs="Arial" w:eastAsia="Arial" w:hAnsi="Arial"/>
                <w:sz w:val="18"/>
                <w:szCs w:val="18"/>
                <w:color w:val="auto"/>
              </w:rPr>
              <w:t>9,818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37,953</w:t>
            </w:r>
          </w:p>
        </w:tc>
        <w:tc>
          <w:tcPr>
            <w:tcW w:w="240" w:type="dxa"/>
            <w:vAlign w:val="bottom"/>
          </w:tcPr>
          <w:p>
            <w:pPr>
              <w:spacing w:after="0"/>
              <w:rPr>
                <w:sz w:val="18"/>
                <w:szCs w:val="18"/>
                <w:color w:val="auto"/>
              </w:rPr>
            </w:pP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28,135</w:t>
            </w:r>
          </w:p>
        </w:tc>
        <w:tc>
          <w:tcPr>
            <w:tcW w:w="120" w:type="dxa"/>
            <w:vAlign w:val="bottom"/>
          </w:tcPr>
          <w:p>
            <w:pPr>
              <w:spacing w:after="0"/>
              <w:rPr>
                <w:sz w:val="18"/>
                <w:szCs w:val="18"/>
                <w:color w:val="auto"/>
              </w:rPr>
            </w:pPr>
          </w:p>
        </w:tc>
      </w:tr>
      <w:tr>
        <w:trPr>
          <w:trHeight w:val="56"/>
        </w:trPr>
        <w:tc>
          <w:tcPr>
            <w:tcW w:w="6620" w:type="dxa"/>
            <w:vAlign w:val="bottom"/>
            <w:gridSpan w:val="2"/>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32,903</w:t>
            </w:r>
          </w:p>
        </w:tc>
        <w:tc>
          <w:tcPr>
            <w:tcW w:w="36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64,265</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31,362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10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5,575</w:t>
            </w:r>
          </w:p>
        </w:tc>
        <w:tc>
          <w:tcPr>
            <w:tcW w:w="3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8,244</w:t>
            </w:r>
          </w:p>
        </w:tc>
        <w:tc>
          <w:tcPr>
            <w:tcW w:w="2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1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38,478</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72,509</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34,031</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(28,660)</w:t>
            </w: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(34,556)</w:t>
            </w:r>
          </w:p>
        </w:tc>
        <w:tc>
          <w:tcPr>
            <w:tcW w:w="3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(5,896)</w:t>
            </w:r>
          </w:p>
        </w:tc>
      </w:tr>
      <w:tr>
        <w:trPr>
          <w:trHeight w:val="270"/>
        </w:trPr>
        <w:tc>
          <w:tcPr>
            <w:tcW w:w="66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414</w:t>
            </w:r>
          </w:p>
        </w:tc>
        <w:tc>
          <w:tcPr>
            <w:tcW w:w="3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1,571</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1,157</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0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expense</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(83)</w:t>
            </w:r>
          </w:p>
        </w:tc>
        <w:tc>
          <w:tcPr>
            <w:tcW w:w="360" w:type="dxa"/>
            <w:vAlign w:val="bottom"/>
          </w:tcPr>
          <w:p>
            <w:pPr>
              <w:spacing w:after="0"/>
              <w:rPr>
                <w:sz w:val="17"/>
                <w:szCs w:val="17"/>
                <w:color w:val="auto"/>
              </w:rPr>
            </w:pPr>
          </w:p>
        </w:tc>
        <w:tc>
          <w:tcPr>
            <w:tcW w:w="8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(83)</w:t>
            </w:r>
          </w:p>
        </w:tc>
        <w:tc>
          <w:tcPr>
            <w:tcW w:w="30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10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(2,121)</w:t>
            </w:r>
          </w:p>
        </w:tc>
        <w:tc>
          <w:tcPr>
            <w:tcW w:w="3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2,121</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660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1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(1,790)</w:t>
            </w:r>
          </w:p>
        </w:tc>
        <w:tc>
          <w:tcPr>
            <w:tcW w:w="3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2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1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w w:val="95"/>
              </w:rPr>
              <w:t>(30,450)</w:t>
            </w:r>
          </w:p>
        </w:tc>
        <w:tc>
          <w:tcPr>
            <w:tcW w:w="3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8"/>
              </w:rPr>
              <w:t>(33,068)</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(2,618)</w:t>
            </w:r>
          </w:p>
        </w:tc>
      </w:tr>
      <w:tr>
        <w:trPr>
          <w:trHeight w:val="20"/>
        </w:trPr>
        <w:tc>
          <w:tcPr>
            <w:tcW w:w="20" w:type="dxa"/>
            <w:vAlign w:val="bottom"/>
          </w:tcPr>
          <w:p>
            <w:pPr>
              <w:spacing w:after="0" w:line="20" w:lineRule="exact"/>
              <w:rPr>
                <w:sz w:val="1"/>
                <w:szCs w:val="1"/>
                <w:color w:val="auto"/>
              </w:rPr>
            </w:pPr>
          </w:p>
        </w:tc>
        <w:tc>
          <w:tcPr>
            <w:tcW w:w="66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4"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Collaboration revenue, related party consists of revenue under the Sanofi Agreement, which was entered into in June 2018. Collaboration revenue, related party increased by $28.1 million, or 287%, during the nine months ended September 30, 2019 compared to the same period in 2018. The increase in collaboration revenue, related party during the nine months ended September 30, 2019 was primarily due to increased research and development costs incurred by us for our SHP2 program under the Sanofi Agreement, which are subject to reimbursement by Sanofi to us and which advanced into a Phase 1 clinical trial in the third quarter of 2018. Cash received from Sanofi during the nine months ended September 30, 2018 and 2019 was $51.6 million and $26.1</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240" w:top="459" w:right="4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million, respectively. Revenue is recognized based on actual costs incurred relative to total estimated costs expected to fulfill the performance obligation. Accordingly, the timing of revenue recognition is not directly correlated to the timing of cash receipts.</w:t>
      </w:r>
    </w:p>
    <w:p>
      <w:pPr>
        <w:spacing w:after="0" w:line="101"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We anticipate collaboration revenue, related party to increase in 2020 from 2019 due to increased development costs for our SHP2 program, which are subject to reimbursement by Sanofi to us.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Research and development expenses increased by $31.4 million, or 95%, during the nine months ended September 30, 2019 compared to the same period in 2018. The increase in research and development expenses during the nine months ended September 30, 2019 was primarily due to a $9.2 million increase in third party expenses for our SHP2 program, which advanced into a Phase 1 clinical trial in the third quarter of 2018; a $8.9 million increase in third party costs for our RAS programs, which was acquired as part of the Warp Drive acquisition in October 2018; a $4.5 million increase in third party costs for our SOS1 program, which commenced in 2019; a $4.5 million increase in facilities and other allocated expenses as a result of higher rent, lab supplies, utilities and information technology expenses associated with higher headcount in 2019; a $3.4 million increase in salaries and other employee-related expenses due to increased headcount to support our research and development programs; and a $0.8 million increase related to amortization of developed technology acquired as part of the Warp Drive acquisition.</w:t>
      </w:r>
    </w:p>
    <w:p>
      <w:pPr>
        <w:spacing w:after="0" w:line="107" w:lineRule="exact"/>
        <w:rPr>
          <w:sz w:val="20"/>
          <w:szCs w:val="20"/>
          <w:color w:val="auto"/>
        </w:rPr>
      </w:pPr>
    </w:p>
    <w:p>
      <w:pPr>
        <w:ind w:left="200" w:right="660"/>
        <w:spacing w:after="0" w:line="239" w:lineRule="auto"/>
        <w:rPr>
          <w:sz w:val="20"/>
          <w:szCs w:val="20"/>
          <w:color w:val="auto"/>
        </w:rPr>
      </w:pPr>
      <w:r>
        <w:rPr>
          <w:rFonts w:ascii="Arial" w:cs="Arial" w:eastAsia="Arial" w:hAnsi="Arial"/>
          <w:sz w:val="18"/>
          <w:szCs w:val="18"/>
          <w:color w:val="auto"/>
        </w:rPr>
        <w:t>We expect our research and development expenses to increase in the foreseeable future from 2019 levels as we continue to invest in discovering and developing product candidates and advancing product candidates into later stages of development.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General and administrative expenses increased by $2.7 million, or 48%, during the nine months ended September 30, 2019 compared to the same period in 2018. The increase was primarily due to an increase of personnel-related expenses of $1.0 million related to higher headcount in 2019; an increase of $0.6 million in stock-based compensation expense; an increase of $0.6 million in legal, accounting and consulting expenses; and an increase of $0.4 million in facilities and other allocated expenses as a result of higher rent, utilities and information technology expenses associated with higher headcount in 2019.</w:t>
      </w:r>
    </w:p>
    <w:p>
      <w:pPr>
        <w:spacing w:after="0" w:line="10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We expect our general and administrative expenses to increase in the foreseeable future from 2019 levels due to increased headcount and as a result of increased costs from operating as a public company.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ind w:left="200" w:right="300"/>
        <w:spacing w:after="0" w:line="281" w:lineRule="auto"/>
        <w:rPr>
          <w:sz w:val="20"/>
          <w:szCs w:val="20"/>
          <w:color w:val="auto"/>
        </w:rPr>
      </w:pPr>
      <w:r>
        <w:rPr>
          <w:rFonts w:ascii="Arial" w:cs="Arial" w:eastAsia="Arial" w:hAnsi="Arial"/>
          <w:sz w:val="16"/>
          <w:szCs w:val="16"/>
          <w:color w:val="auto"/>
        </w:rPr>
        <w:t>Interest income increased by $1.2 million the nine months ended September 30, 2019 compared to the same period in 2018. The increase was primarily due to interest income earned from higher average investment balances resulting from the net proceeds from our Series B preferred stock financing in 2018, the upfront payment from Sanofi received in 2018, and our Series C preferred stock financing in 2019.</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and other expense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and other expense was $0.1 million for both the nine months ended September 30, 2019 and 2018.</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20"/>
          </w:cols>
          <w:pgMar w:left="24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fair value of redeemable convertible preferred stock liability</w:t>
      </w:r>
    </w:p>
    <w:p>
      <w:pPr>
        <w:spacing w:after="0" w:line="124"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The liability associated with our Series B redeemable convertible preferred stock was remeasured to fair value at each reporting date until it was settled in June 2018, and we recognized the changes in the fair value in our consolidated statements of operations and comprehensive loss during the nine months ended September 30, 2018. As the liability was settled in 2018, there were no amounts recorded to the consolidated statements of operations and comprehensive loss during the nine months ended September 30, 2019 associated with this liability.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Comparison of the results for the years ended December 31, 2017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6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7"/>
              </w:rPr>
              <w:t>Year ended December 31,</w:t>
            </w:r>
          </w:p>
        </w:tc>
        <w:tc>
          <w:tcPr>
            <w:tcW w:w="1180" w:type="dxa"/>
            <w:vAlign w:val="bottom"/>
            <w:gridSpan w:val="3"/>
            <w:vMerge w:val="restart"/>
          </w:tcPr>
          <w:p>
            <w:pPr>
              <w:ind w:left="180"/>
              <w:spacing w:after="0"/>
              <w:rPr>
                <w:sz w:val="20"/>
                <w:szCs w:val="20"/>
                <w:color w:val="auto"/>
              </w:rPr>
            </w:pPr>
            <w:r>
              <w:rPr>
                <w:rFonts w:ascii="Arial" w:cs="Arial" w:eastAsia="Arial" w:hAnsi="Arial"/>
                <w:sz w:val="18"/>
                <w:szCs w:val="18"/>
                <w:b w:val="1"/>
                <w:bCs w:val="1"/>
                <w:color w:val="auto"/>
              </w:rPr>
              <w:t>Increase /</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(decrease)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5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6420" w:type="dxa"/>
            <w:vAlign w:val="bottom"/>
            <w:gridSpan w:val="2"/>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line="202" w:lineRule="exact"/>
              <w:rPr>
                <w:sz w:val="20"/>
                <w:szCs w:val="20"/>
                <w:color w:val="auto"/>
              </w:rPr>
            </w:pPr>
            <w:r>
              <w:rPr>
                <w:rFonts w:ascii="Arial" w:cs="Arial" w:eastAsia="Arial" w:hAnsi="Arial"/>
                <w:sz w:val="18"/>
                <w:szCs w:val="18"/>
                <w:color w:val="auto"/>
              </w:rPr>
              <w:t>Collaboration revenue, related party</w:t>
            </w:r>
          </w:p>
        </w:tc>
        <w:tc>
          <w:tcPr>
            <w:tcW w:w="8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19,420</w:t>
            </w:r>
          </w:p>
        </w:tc>
        <w:tc>
          <w:tcPr>
            <w:tcW w:w="240" w:type="dxa"/>
            <w:vAlign w:val="bottom"/>
          </w:tcPr>
          <w:p>
            <w:pPr>
              <w:spacing w:after="0"/>
              <w:rPr>
                <w:sz w:val="17"/>
                <w:szCs w:val="17"/>
                <w:color w:val="auto"/>
              </w:rPr>
            </w:pPr>
          </w:p>
        </w:tc>
        <w:tc>
          <w:tcPr>
            <w:tcW w:w="360" w:type="dxa"/>
            <w:vAlign w:val="bottom"/>
          </w:tcPr>
          <w:p>
            <w:pPr>
              <w:ind w:left="16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19,420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Collaboration revenue, other</w:t>
            </w:r>
          </w:p>
        </w:tc>
        <w:tc>
          <w:tcPr>
            <w:tcW w:w="7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2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20,165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6"/>
        </w:trPr>
        <w:tc>
          <w:tcPr>
            <w:tcW w:w="6420" w:type="dxa"/>
            <w:vAlign w:val="bottom"/>
            <w:gridSpan w:val="2"/>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26,586</w:t>
            </w:r>
          </w:p>
        </w:tc>
        <w:tc>
          <w:tcPr>
            <w:tcW w:w="5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51,084</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24,498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7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4,543</w:t>
            </w:r>
          </w:p>
        </w:tc>
        <w:tc>
          <w:tcPr>
            <w:tcW w:w="5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9,410</w:t>
            </w:r>
          </w:p>
        </w:tc>
        <w:tc>
          <w:tcPr>
            <w:tcW w:w="2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4,867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31,129</w:t>
            </w:r>
          </w:p>
        </w:tc>
        <w:tc>
          <w:tcPr>
            <w:tcW w:w="5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60,494</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(31,129)</w:t>
            </w: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(40,329)</w:t>
            </w: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(9,200)</w:t>
            </w:r>
          </w:p>
        </w:tc>
        <w:tc>
          <w:tcPr>
            <w:tcW w:w="0" w:type="dxa"/>
            <w:vAlign w:val="bottom"/>
          </w:tcPr>
          <w:p>
            <w:pPr>
              <w:spacing w:after="0"/>
              <w:rPr>
                <w:sz w:val="1"/>
                <w:szCs w:val="1"/>
                <w:color w:val="auto"/>
              </w:rPr>
            </w:pPr>
          </w:p>
        </w:tc>
      </w:tr>
      <w:tr>
        <w:trPr>
          <w:trHeight w:val="270"/>
        </w:trPr>
        <w:tc>
          <w:tcPr>
            <w:tcW w:w="64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105</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expense</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(103)</w:t>
            </w:r>
          </w:p>
        </w:tc>
        <w:tc>
          <w:tcPr>
            <w:tcW w:w="540" w:type="dxa"/>
            <w:vAlign w:val="bottom"/>
          </w:tcPr>
          <w:p>
            <w:pPr>
              <w:spacing w:after="0"/>
              <w:rPr>
                <w:sz w:val="17"/>
                <w:szCs w:val="17"/>
                <w:color w:val="auto"/>
              </w:rPr>
            </w:pPr>
          </w:p>
        </w:tc>
        <w:tc>
          <w:tcPr>
            <w:tcW w:w="10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(116)</w:t>
            </w:r>
          </w:p>
        </w:tc>
        <w:tc>
          <w:tcPr>
            <w:tcW w:w="36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(2,121)</w:t>
            </w:r>
          </w:p>
        </w:tc>
        <w:tc>
          <w:tcPr>
            <w:tcW w:w="3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(1,460)</w:t>
            </w:r>
          </w:p>
        </w:tc>
        <w:tc>
          <w:tcPr>
            <w:tcW w:w="3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8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(31,127)</w:t>
            </w:r>
          </w:p>
        </w:tc>
        <w:tc>
          <w:tcPr>
            <w:tcW w:w="5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(41,789)</w:t>
            </w:r>
          </w:p>
        </w:tc>
        <w:tc>
          <w:tcPr>
            <w:tcW w:w="3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(10,662)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Collaboration revenue, related party consists of revenue under the Sanofi Agreement, which was entered into in June 2018. Collaboration revenue, related party for the years ended December 31, 2017 and 2018 was zero and $19.4 million, respectively. Cash received from Sanofi during the years ended December 31, 2017 and 2018 was zero and $57.4 million, respectively. Revenue is recognized based on actual costs incurred relative to total estimated costs expected to fulfill the performance obligation. Accordingly, the timing of revenue recognition is not directly correlated to the timing of cash receipts.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24"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Research and development expenses increased by $24.5 million, or 92%, during the year ended December 31, 2018 compared to the same period in 2017. The increase in research and development expenses in 2018 was primarily due to a $6.7 million increase in salaries and other employee-related expenses due to increased headcount to support our research and development programs; a $6.3 million increase in third party expenses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64" w:lineRule="auto"/>
        <w:rPr>
          <w:sz w:val="20"/>
          <w:szCs w:val="20"/>
          <w:color w:val="auto"/>
        </w:rPr>
      </w:pPr>
      <w:r>
        <w:rPr>
          <w:rFonts w:ascii="Arial" w:cs="Arial" w:eastAsia="Arial" w:hAnsi="Arial"/>
          <w:sz w:val="16"/>
          <w:szCs w:val="16"/>
          <w:color w:val="auto"/>
        </w:rPr>
        <w:t>for our SHP2 program, which advanced into a Phase 1 clinical trial in the third quarter of 2018; a $4.2 million increase in facilities and other allocated expenses as a result of higher rent, lab supplies, utilities and information technology expenses associated with higher headcount in 2018; a $3.4 million increase in third party expenses for our 4EBP1/mTORC1 program due to advancing the program into the lead optimization phase in 2018, which included increased pharmacology, chemistry CROs, and preliminary safety assessment costs; a</w:t>
      </w:r>
    </w:p>
    <w:p>
      <w:pPr>
        <w:spacing w:after="0" w:line="1"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$3.1 million increase in third party expenses related to our discovery programs; and a $0.5 million increase in stock-based compensation expense.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General and administrative expenses increased by $4.9 million, or 107%, during the year ended December 31, 2018 compared to 2017. The increase was primarily due to an increase of personnel-related expenses of $2.3 million related to higher headcount in 2018; an increase of $2.3 million in legal, accounting and consulting expenses primarily due to business development transactions and increased intellectual property activities; and an increase of $0.3 million in stock-based compensation expense.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Interest income increased by $0.7 million during the year ended December 31, 2018 compared to 2017. The increase was primarily due to interest income earned from higher average investment balances resulting from the net proceeds from our Series B preferred stock financing and the upfront payment from Sanofi received in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and other expense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Interest and other expense was $0.1 million for both the years ended December 31, 2018 and December 31, 2017.</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Change in fair value of redeemable convertible preferred stock liability</w:t>
      </w:r>
    </w:p>
    <w:p>
      <w:pPr>
        <w:spacing w:after="0" w:line="124" w:lineRule="exact"/>
        <w:rPr>
          <w:sz w:val="20"/>
          <w:szCs w:val="20"/>
          <w:color w:val="auto"/>
        </w:rPr>
      </w:pPr>
    </w:p>
    <w:p>
      <w:pPr>
        <w:jc w:val="both"/>
        <w:ind w:left="200" w:right="160"/>
        <w:spacing w:after="0" w:line="238" w:lineRule="auto"/>
        <w:rPr>
          <w:sz w:val="20"/>
          <w:szCs w:val="20"/>
          <w:color w:val="auto"/>
        </w:rPr>
      </w:pPr>
      <w:r>
        <w:rPr>
          <w:rFonts w:ascii="Arial" w:cs="Arial" w:eastAsia="Arial" w:hAnsi="Arial"/>
          <w:sz w:val="18"/>
          <w:szCs w:val="18"/>
          <w:color w:val="auto"/>
        </w:rPr>
        <w:t>The liability associated with our Series B redeemable convertible preferred stock was remeasured to fair value at each reporting date until it was settled in June 2018, and we recognized the changes in the fair value in our consolidated statements of operations and comprehensive loss during the year ended December 31, 2018.</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Liquidity and capital resources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ind w:left="200" w:right="360"/>
        <w:spacing w:after="0" w:line="238" w:lineRule="auto"/>
        <w:rPr>
          <w:sz w:val="20"/>
          <w:szCs w:val="20"/>
          <w:color w:val="auto"/>
        </w:rPr>
      </w:pPr>
      <w:r>
        <w:rPr>
          <w:rFonts w:ascii="Arial" w:cs="Arial" w:eastAsia="Arial" w:hAnsi="Arial"/>
          <w:sz w:val="18"/>
          <w:szCs w:val="18"/>
          <w:color w:val="auto"/>
        </w:rPr>
        <w:t>Since our inception through September 30, 2019, our operations have been financed primarily by net proceeds of $230.6 million from the issuance of our preferred stock and $83.5 million in proceeds received under the Sanofi Agreement. As of September 30, 2019, we had $136.3 million in cash, cash equivalents and marketable securities.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As of September 30, 2019, we had an accumulated deficit of $142.8 million. Our primary use of cash is to fund operating expenses, which consist primarily of research and development expenditures related to our product candidates and our discovery programs, and to a lesser extent, general and administrative expenditures. We expect our expenses to continue to increase in connection with our ongoing activities, in particular as we continue to advance our product candidates and our discovery programs. In addition, upon the completion of this offering, we expect to incur additional costs associated with operating as a public company.</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80"/>
          </w:cols>
          <w:pgMar w:left="24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Based upon our current operating plan, we believe that the net proceeds from this offering, together with our existing cash, cash equivalents and marketable securities will enable us to fund our planned operations for at least 12 months following the date of this offering. We have based this estimate on assumptions that may prove to be inaccurate, and we could utilize our available capital resources sooner than we currently expect.</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timing and amount of future funding requirements will depend on many factors, including:</w:t>
      </w:r>
    </w:p>
    <w:p>
      <w:pPr>
        <w:spacing w:after="0" w:line="117" w:lineRule="exact"/>
        <w:rPr>
          <w:sz w:val="20"/>
          <w:szCs w:val="20"/>
          <w:color w:val="auto"/>
        </w:rPr>
      </w:pPr>
    </w:p>
    <w:p>
      <w:pPr>
        <w:ind w:left="420" w:right="160" w:hanging="216"/>
        <w:spacing w:after="0" w:line="239"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programs, and of conducting preclinical studies and clinical trials;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marketing approvals for product candidates we develop if clinical trials are successful;</w:t>
      </w:r>
    </w:p>
    <w:p>
      <w:pPr>
        <w:spacing w:after="0" w:line="117"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success of our collaboration with Sanofi, including the continued reimbursement by Sanofi of substantially all of our research costs and all of our development costs for the SHP2 program under the Sanofi Agreement;</w:t>
      </w:r>
    </w:p>
    <w:p>
      <w:pPr>
        <w:spacing w:after="0" w:line="114" w:lineRule="exact"/>
        <w:rPr>
          <w:rFonts w:ascii="Arial" w:cs="Arial" w:eastAsia="Arial" w:hAnsi="Arial"/>
          <w:sz w:val="18"/>
          <w:szCs w:val="18"/>
          <w:color w:val="auto"/>
        </w:rPr>
      </w:pPr>
    </w:p>
    <w:p>
      <w:pPr>
        <w:ind w:left="420" w:right="180" w:hanging="216"/>
        <w:spacing w:after="0" w:line="239"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whether we achieve certain clinical and regulatory milestones under our collaboration agreement with Sanofi, each of which would trigger additional payments to us;</w:t>
      </w:r>
    </w:p>
    <w:p>
      <w:pPr>
        <w:spacing w:after="0" w:line="114" w:lineRule="exact"/>
        <w:rPr>
          <w:rFonts w:ascii="Arial" w:cs="Arial" w:eastAsia="Arial" w:hAnsi="Arial"/>
          <w:sz w:val="18"/>
          <w:szCs w:val="18"/>
          <w:color w:val="auto"/>
        </w:rPr>
      </w:pPr>
    </w:p>
    <w:p>
      <w:pPr>
        <w:ind w:left="420" w:hanging="216"/>
        <w:spacing w:after="0" w:line="238"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 of commercialization activities for RMC-4630, to the extent not borne by Sanofi, and any other future product candidates we develop, whether alone or in collaboration, including marketing, sales and distribution costs if RMC-4630 or any other product candidate we develop is approved for sale;</w:t>
      </w:r>
    </w:p>
    <w:p>
      <w:pPr>
        <w:spacing w:after="0" w:line="113" w:lineRule="exact"/>
        <w:rPr>
          <w:rFonts w:ascii="Arial" w:cs="Arial" w:eastAsia="Arial" w:hAnsi="Arial"/>
          <w:sz w:val="18"/>
          <w:szCs w:val="18"/>
          <w:color w:val="auto"/>
        </w:rPr>
      </w:pPr>
    </w:p>
    <w:p>
      <w:pPr>
        <w:ind w:left="420" w:right="860" w:hanging="216"/>
        <w:spacing w:after="0" w:line="239"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 of manufacturing our current and future product candidates for clinical trials in preparation for marketing approval and in preparation for commercialization;</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17" w:lineRule="exact"/>
        <w:rPr>
          <w:rFonts w:ascii="Arial" w:cs="Arial" w:eastAsia="Arial" w:hAnsi="Arial"/>
          <w:sz w:val="18"/>
          <w:szCs w:val="18"/>
          <w:color w:val="auto"/>
        </w:rPr>
      </w:pPr>
    </w:p>
    <w:p>
      <w:pPr>
        <w:ind w:left="420" w:right="60" w:hanging="216"/>
        <w:spacing w:after="0" w:line="239" w:lineRule="auto"/>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timing, receipt and amount of sales of, profit share or royalties on, our future products, if any;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emergence of competing cancer therapies and other adverse market developments;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plans to acquire or in-license other programs or technologies.</w:t>
      </w:r>
    </w:p>
    <w:p>
      <w:pPr>
        <w:spacing w:after="0" w:line="104"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We expect to need to obtain substantial additional funding in the future for our research and development activities and continuing operations. Sanofi reimburses us for almost all of our research and development expenses associated with our SHP2 program, however Sanofi has the right to terminate the Sanofi Agreement for any reason, upon prior notice to us within certain specified time periods and upon any such termination by Sanofi with respect to any product or country, all licenses to Sanofi with respect to such product or country shall automatically terminate and all rights generally revert back to us. If we need to raise additional capital to fund our operations, funding may not be available to us on acceptable terms, or at all. If we are unable to obtain adequate financing when needed, we may have to delay, reduce the scope of or suspend one or more of our clinical trials, research and development programs or commercialization efforts.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w:t>
      </w:r>
    </w:p>
    <w:p>
      <w:pPr>
        <w:spacing w:after="0" w:line="3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take specific actions, such as incurring additional debt, making capital expenditures or declaring dividends. If we are unable to raise capital, we may need to delay, reduce or terminate planned activities to reduce costs. Doing so will likely harm our ability to execute our business plans.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Cash flows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our consolidated cash flows for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6"/>
          </w:tcPr>
          <w:p>
            <w:pPr>
              <w:jc w:val="right"/>
              <w:ind w:right="28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3"/>
          </w:tcPr>
          <w:p>
            <w:pPr>
              <w:jc w:val="right"/>
              <w:ind w:right="92"/>
              <w:spacing w:after="0"/>
              <w:rPr>
                <w:sz w:val="20"/>
                <w:szCs w:val="20"/>
                <w:color w:val="auto"/>
              </w:rPr>
            </w:pPr>
            <w:r>
              <w:rPr>
                <w:rFonts w:ascii="Arial" w:cs="Arial" w:eastAsia="Arial" w:hAnsi="Arial"/>
                <w:sz w:val="18"/>
                <w:szCs w:val="18"/>
                <w:b w:val="1"/>
                <w:bCs w:val="1"/>
                <w:color w:val="auto"/>
                <w:w w:val="97"/>
              </w:rPr>
              <w:t>Year ended December 31,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Borders>
              <w:bottom w:val="single" w:sz="8" w:color="auto"/>
            </w:tcBorders>
            <w:gridSpan w:val="5"/>
          </w:tcPr>
          <w:p>
            <w:pPr>
              <w:jc w:val="right"/>
              <w:ind w:right="272"/>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b w:val="1"/>
                <w:bCs w:val="1"/>
                <w:color w:val="auto"/>
              </w:rPr>
              <w:t>2018</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6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(used in) operating activities</w:t>
            </w:r>
          </w:p>
        </w:tc>
        <w:tc>
          <w:tcPr>
            <w:tcW w:w="3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(25,148)</w:t>
            </w: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1,213</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$12,989</w:t>
            </w: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(37,964)</w:t>
            </w:r>
          </w:p>
        </w:tc>
      </w:tr>
      <w:tr>
        <w:trPr>
          <w:trHeight w:val="203"/>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(1,575)</w:t>
            </w:r>
          </w:p>
        </w:tc>
        <w:tc>
          <w:tcPr>
            <w:tcW w:w="440" w:type="dxa"/>
            <w:vAlign w:val="bottom"/>
          </w:tcPr>
          <w:p>
            <w:pPr>
              <w:spacing w:after="0"/>
              <w:rPr>
                <w:sz w:val="17"/>
                <w:szCs w:val="17"/>
                <w:color w:val="auto"/>
              </w:rPr>
            </w:pPr>
          </w:p>
        </w:tc>
        <w:tc>
          <w:tcPr>
            <w:tcW w:w="9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(1,339)</w:t>
            </w:r>
          </w:p>
        </w:tc>
        <w:tc>
          <w:tcPr>
            <w:tcW w:w="110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(1,283)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(109,990)</w:t>
            </w: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financing activities</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22,662</w:t>
            </w:r>
          </w:p>
        </w:tc>
        <w:tc>
          <w:tcPr>
            <w:tcW w:w="4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60,847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56,626</w:t>
            </w: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100,192</w:t>
            </w:r>
          </w:p>
        </w:tc>
        <w:tc>
          <w:tcPr>
            <w:tcW w:w="12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840" w:type="dxa"/>
            <w:vAlign w:val="bottom"/>
          </w:tcPr>
          <w:p>
            <w:pPr>
              <w:ind w:left="20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(4,061)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60,721</w:t>
            </w: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68,332</w:t>
            </w:r>
          </w:p>
        </w:tc>
        <w:tc>
          <w:tcPr>
            <w:tcW w:w="260" w:type="dxa"/>
            <w:vAlign w:val="bottom"/>
          </w:tcPr>
          <w:p>
            <w:pPr>
              <w:spacing w:after="0"/>
              <w:rPr>
                <w:sz w:val="19"/>
                <w:szCs w:val="19"/>
                <w:color w:val="auto"/>
              </w:rPr>
            </w:pP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(47,762)</w:t>
            </w:r>
          </w:p>
        </w:tc>
      </w:tr>
      <w:tr>
        <w:trPr>
          <w:trHeight w:val="20"/>
        </w:trPr>
        <w:tc>
          <w:tcPr>
            <w:tcW w:w="20" w:type="dxa"/>
            <w:vAlign w:val="bottom"/>
          </w:tcPr>
          <w:p>
            <w:pPr>
              <w:spacing w:after="0" w:line="20" w:lineRule="exact"/>
              <w:rPr>
                <w:sz w:val="1"/>
                <w:szCs w:val="1"/>
                <w:color w:val="auto"/>
              </w:rPr>
            </w:pPr>
          </w:p>
        </w:tc>
        <w:tc>
          <w:tcPr>
            <w:tcW w:w="5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(used in) operating activities</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During the year ended December 31, 2018, cash provided by operating activities of $1.2 million was attributable to a net change of</w:t>
      </w:r>
    </w:p>
    <w:p>
      <w:pPr>
        <w:ind w:left="200"/>
        <w:spacing w:after="0" w:line="234" w:lineRule="auto"/>
        <w:rPr>
          <w:sz w:val="20"/>
          <w:szCs w:val="20"/>
          <w:color w:val="auto"/>
        </w:rPr>
      </w:pPr>
      <w:r>
        <w:rPr>
          <w:rFonts w:ascii="Arial" w:cs="Arial" w:eastAsia="Arial" w:hAnsi="Arial"/>
          <w:sz w:val="18"/>
          <w:szCs w:val="18"/>
          <w:color w:val="auto"/>
        </w:rPr>
        <w:t>$38.1 million in our operating assets and liabilities and $4.9 million in non-cash charges, partially offset by a net loss of $41.8 million. The</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non-cash charges consisted of depreciation and amortization of $1.8 million, stock-based compensation expense of $0.9 million, a change in</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fair value of our redeemable convertible preferred stock liability of $2.1 million, and a loss on disposal of property and equipment of</w:t>
      </w:r>
    </w:p>
    <w:p>
      <w:pPr>
        <w:ind w:left="200"/>
        <w:spacing w:after="0"/>
        <w:rPr>
          <w:sz w:val="20"/>
          <w:szCs w:val="20"/>
          <w:color w:val="auto"/>
        </w:rPr>
      </w:pPr>
      <w:r>
        <w:rPr>
          <w:rFonts w:ascii="Arial" w:cs="Arial" w:eastAsia="Arial" w:hAnsi="Arial"/>
          <w:sz w:val="16"/>
          <w:szCs w:val="16"/>
          <w:color w:val="auto"/>
        </w:rPr>
        <w:t>$0.2 million. The change in operating assets and liabilities was primarily due to a $44.5 million increase in deferred revenue associated with</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Sanofi Agreement, a $2.0 million increase in accounts payable and accrued liabilities resulting from increases in spend for research and</w:t>
      </w:r>
    </w:p>
    <w:p>
      <w:pPr>
        <w:spacing w:after="0" w:line="1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development, offset by a $7.3 million increase in receivable from a related party resulting from the Sanofi Agreement and a $0.9 million</w:t>
      </w:r>
    </w:p>
    <w:p>
      <w:pPr>
        <w:ind w:left="200"/>
        <w:spacing w:after="0"/>
        <w:rPr>
          <w:sz w:val="20"/>
          <w:szCs w:val="20"/>
          <w:color w:val="auto"/>
        </w:rPr>
      </w:pPr>
      <w:r>
        <w:rPr>
          <w:rFonts w:ascii="Arial" w:cs="Arial" w:eastAsia="Arial" w:hAnsi="Arial"/>
          <w:sz w:val="16"/>
          <w:szCs w:val="16"/>
          <w:color w:val="auto"/>
        </w:rPr>
        <w:t>increase in prepaid expenses and other current assets primarily resulting from the timing of prepayments made for research and development</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activities.</w:t>
      </w:r>
    </w:p>
    <w:p>
      <w:pPr>
        <w:spacing w:after="0" w:line="10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During the year ended December 31, 2017, cash used in operating activities of $25.1 million was attributable to a net loss of $31.1 million, partially offset by $1.3 million in non-cash charges and a net change of $4.7 million in our operating assets and liabilities. The non-cash charges consisted of depreciation and amortization of $1.2 million and stock-based compensation expense of $0.1 million. The change in operating assets and liabilities was primarily due to a $4.0 million increase in accounts payable and accrued liabilities resulting from increases in spend for research and development, and a $0.6 million decrease in prepaid expenses and other current assets resulting from the timing of prepayments made for research and development activities.</w:t>
      </w:r>
    </w:p>
    <w:p>
      <w:pPr>
        <w:spacing w:after="0" w:line="102"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During the nine months ended September 30, 2019, cash used in operating activities of $38.0 million was attributable to a net loss of $33.1 million and a net change of $9.5 million in our operating assets and liabilities, partially offset by $4.6 million in non-cash charges. The non-cash charges primarily consisted of depreciation and amortization of $2.5 million, stock-based compensation expense of $1.8 million, and a loss on disposal of held-for-sale assets of $0.6 million, offset by accretion of marketable securities of $0.3 million. The change in operating assets and liabilities was primarily due to a $10.1 million decrease in deferred revenue associated with the Sanofi Agreement, a $1.9 million increase in prepaid expenses and other current assets resulting from the timing of prepayments made for research and development activities, a $1.6 million increase in receivable from a related party resulting from the Sanofi Agreement, a $1.3 million increase in other noncurrent assets,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60"/>
        <w:spacing w:after="0" w:line="239" w:lineRule="auto"/>
        <w:rPr>
          <w:sz w:val="20"/>
          <w:szCs w:val="20"/>
          <w:color w:val="auto"/>
        </w:rPr>
      </w:pPr>
      <w:r>
        <w:rPr>
          <w:rFonts w:ascii="Arial" w:cs="Arial" w:eastAsia="Arial" w:hAnsi="Arial"/>
          <w:sz w:val="18"/>
          <w:szCs w:val="18"/>
          <w:color w:val="auto"/>
        </w:rPr>
        <w:t>offset by a $5.7 million increase in accounts payable and accrued liabilities primarily resulting from increases in spend for research and development.</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During the nine months ended September 30, 2018, cash provided by operating activities of $13.0 million was attributable to a net change of $39.7 million in our operating assets and liabilities and $3.8 million in non-cash charges, partially offset by a net loss of $30.5 million. The non-cash charges consisted of depreciation and amortization of $1.1 million, stock-based compensation expense of $0.6 million, and a change in the fair value of our redeemable convertible preferred stock liability of $2.1 million. The change in operating assets and liabilities was primarily due to a $47.6 million increase in deferred revenue associated with the Sanofi Agreement, offset by a $5.9 million increase in receivable from a related party resulting from the Sanofi Agreement and a $1.4 million increase in prepaid expenses and other current assets primarily resulting from the timing of prepayments made for research and development activities.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24" w:lineRule="exact"/>
        <w:rPr>
          <w:sz w:val="20"/>
          <w:szCs w:val="20"/>
          <w:color w:val="auto"/>
        </w:rPr>
      </w:pPr>
    </w:p>
    <w:p>
      <w:pPr>
        <w:ind w:left="200" w:right="440"/>
        <w:spacing w:after="0" w:line="239" w:lineRule="auto"/>
        <w:rPr>
          <w:sz w:val="20"/>
          <w:szCs w:val="20"/>
          <w:color w:val="auto"/>
        </w:rPr>
      </w:pPr>
      <w:r>
        <w:rPr>
          <w:rFonts w:ascii="Arial" w:cs="Arial" w:eastAsia="Arial" w:hAnsi="Arial"/>
          <w:sz w:val="18"/>
          <w:szCs w:val="18"/>
          <w:color w:val="auto"/>
        </w:rPr>
        <w:t>During the years ended December 31, 2018 and 2017, cash used in investing activities of $1.3 million and $1.6 million, respectively, was comprised primarily of purchases of property and equipment.</w:t>
      </w:r>
    </w:p>
    <w:p>
      <w:pPr>
        <w:spacing w:after="0" w:line="101"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During the nine months ended September 30, 2019, cash used in investing activities of $110.0 million was primarily comprised of purchases of marketable securities of $143.7 million and purchases of property and equipment of $2.1 million, offset by maturities of marketable securities of $29.6 million and proceeds from the sale of held-for-sale assets of $6.0 million.</w:t>
      </w:r>
    </w:p>
    <w:p>
      <w:pPr>
        <w:spacing w:after="0" w:line="100"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During the nine months ended September 30, 2018, cash used in investing activities of $1.3 million was comprised of purchases of property and equipment.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24" w:lineRule="exact"/>
        <w:rPr>
          <w:sz w:val="20"/>
          <w:szCs w:val="20"/>
          <w:color w:val="auto"/>
        </w:rPr>
      </w:pPr>
    </w:p>
    <w:p>
      <w:pPr>
        <w:ind w:left="200" w:right="220"/>
        <w:spacing w:after="0" w:line="281" w:lineRule="auto"/>
        <w:rPr>
          <w:sz w:val="20"/>
          <w:szCs w:val="20"/>
          <w:color w:val="auto"/>
        </w:rPr>
      </w:pPr>
      <w:r>
        <w:rPr>
          <w:rFonts w:ascii="Arial" w:cs="Arial" w:eastAsia="Arial" w:hAnsi="Arial"/>
          <w:sz w:val="16"/>
          <w:szCs w:val="16"/>
          <w:color w:val="auto"/>
        </w:rPr>
        <w:t>During the year ended December 31, 2018, cash provided by financing activities of $60.8 million was comprised primarily of $60.6 million in net cash proceeds received from the issuances of our Series B redeemable convertible preferred stock, $0.4 million in proceeds from the issuance of common stock upon the exercise of stock options, offset by $0.1 million in repurchases of early exercised stock options.</w:t>
      </w:r>
    </w:p>
    <w:p>
      <w:pPr>
        <w:spacing w:after="0" w:line="70" w:lineRule="exact"/>
        <w:rPr>
          <w:sz w:val="20"/>
          <w:szCs w:val="20"/>
          <w:color w:val="auto"/>
        </w:rPr>
      </w:pPr>
    </w:p>
    <w:p>
      <w:pPr>
        <w:jc w:val="both"/>
        <w:ind w:left="200" w:right="220"/>
        <w:spacing w:after="0" w:line="238" w:lineRule="auto"/>
        <w:rPr>
          <w:sz w:val="20"/>
          <w:szCs w:val="20"/>
          <w:color w:val="auto"/>
        </w:rPr>
      </w:pPr>
      <w:r>
        <w:rPr>
          <w:rFonts w:ascii="Arial" w:cs="Arial" w:eastAsia="Arial" w:hAnsi="Arial"/>
          <w:sz w:val="18"/>
          <w:szCs w:val="18"/>
          <w:color w:val="auto"/>
        </w:rPr>
        <w:t>During the year ended December 31, 2017, cash provided by financing activities of $22.7 million was comprised primarily of $22.6 million in net cash proceeds received from the issuances of our Series A preferred stock, and $0.1 million in proceeds from the issuance of common stock upon the exercise of stock options.</w:t>
      </w:r>
    </w:p>
    <w:p>
      <w:pPr>
        <w:spacing w:after="0" w:line="100"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During the nine months ended September 30, 2019, cash provided by financing activities of $100.2 million was comprised of $100.0 million in net cash proceeds received from the issuances of our Series C redeemable convertible preferred stock and $0.2 million in proceeds from the issuance of common stock upon the exercise of stock options.</w:t>
      </w:r>
    </w:p>
    <w:p>
      <w:pPr>
        <w:spacing w:after="0" w:line="100"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During the nine months ended September 30, 2018, cash provided by financing activities of $56.6 million was comprised of $56.2 million in net cash proceeds received from the issuances of our Series B redeemable convertible preferred stock and $0.4 million in proceeds from the issuance of common stock upon the exercise of stock options.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our commitments and contractual obligations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center"/>
              <w:ind w:left="292"/>
              <w:spacing w:after="0"/>
              <w:rPr>
                <w:sz w:val="20"/>
                <w:szCs w:val="20"/>
                <w:color w:val="auto"/>
              </w:rPr>
            </w:pPr>
            <w:r>
              <w:rPr>
                <w:rFonts w:ascii="Arial" w:cs="Arial" w:eastAsia="Arial" w:hAnsi="Arial"/>
                <w:sz w:val="18"/>
                <w:szCs w:val="18"/>
                <w:b w:val="1"/>
                <w:bCs w:val="1"/>
                <w:color w:val="auto"/>
                <w:w w:val="97"/>
              </w:rPr>
              <w:t>Payments Due By Period</w:t>
            </w: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60" w:type="dxa"/>
            <w:vAlign w:val="bottom"/>
            <w:gridSpan w:val="2"/>
          </w:tcPr>
          <w:p>
            <w:pPr>
              <w:ind w:left="200"/>
              <w:spacing w:after="0"/>
              <w:rPr>
                <w:sz w:val="20"/>
                <w:szCs w:val="20"/>
                <w:color w:val="auto"/>
              </w:rPr>
            </w:pPr>
            <w:r>
              <w:rPr>
                <w:rFonts w:ascii="Arial" w:cs="Arial" w:eastAsia="Arial" w:hAnsi="Arial"/>
                <w:sz w:val="18"/>
                <w:szCs w:val="18"/>
                <w:b w:val="1"/>
                <w:bCs w:val="1"/>
                <w:color w:val="auto"/>
              </w:rPr>
              <w:t>Less than 1</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More than</w:t>
            </w:r>
          </w:p>
        </w:tc>
      </w:tr>
      <w:tr>
        <w:trPr>
          <w:trHeight w:val="221"/>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year</w:t>
            </w:r>
          </w:p>
        </w:tc>
        <w:tc>
          <w:tcPr>
            <w:tcW w:w="140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1-3 years</w:t>
            </w:r>
          </w:p>
        </w:tc>
        <w:tc>
          <w:tcPr>
            <w:tcW w:w="106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3-5 years</w:t>
            </w: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5 years</w:t>
            </w:r>
          </w:p>
        </w:tc>
      </w:tr>
      <w:tr>
        <w:trPr>
          <w:trHeight w:val="196"/>
        </w:trPr>
        <w:tc>
          <w:tcPr>
            <w:tcW w:w="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96"/>
              </w:rPr>
              <w:t>(in thousands)</w:t>
            </w: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118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$15,881</w:t>
            </w:r>
          </w:p>
        </w:tc>
        <w:tc>
          <w:tcPr>
            <w:tcW w:w="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3,557</w:t>
            </w:r>
          </w:p>
        </w:tc>
        <w:tc>
          <w:tcPr>
            <w:tcW w:w="5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7,435</w:t>
            </w:r>
          </w:p>
        </w:tc>
        <w:tc>
          <w:tcPr>
            <w:tcW w:w="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4,889</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5020" w:type="dxa"/>
            <w:vAlign w:val="bottom"/>
            <w:gridSpan w:val="2"/>
          </w:tcPr>
          <w:p>
            <w:pPr>
              <w:spacing w:after="0" w:line="202" w:lineRule="exact"/>
              <w:rPr>
                <w:sz w:val="20"/>
                <w:szCs w:val="20"/>
                <w:color w:val="auto"/>
              </w:rPr>
            </w:pPr>
            <w:r>
              <w:rPr>
                <w:rFonts w:ascii="Arial" w:cs="Arial" w:eastAsia="Arial" w:hAnsi="Arial"/>
                <w:sz w:val="18"/>
                <w:szCs w:val="18"/>
                <w:color w:val="auto"/>
              </w:rPr>
              <w:t>Capital lease obligations</w:t>
            </w:r>
          </w:p>
        </w:tc>
        <w:tc>
          <w:tcPr>
            <w:tcW w:w="340" w:type="dxa"/>
            <w:vAlign w:val="bottom"/>
          </w:tcPr>
          <w:p>
            <w:pPr>
              <w:spacing w:after="0"/>
              <w:rPr>
                <w:sz w:val="18"/>
                <w:szCs w:val="18"/>
                <w:color w:val="auto"/>
              </w:rPr>
            </w:pPr>
          </w:p>
        </w:tc>
        <w:tc>
          <w:tcPr>
            <w:tcW w:w="8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328</w:t>
            </w:r>
          </w:p>
        </w:tc>
        <w:tc>
          <w:tcPr>
            <w:tcW w:w="5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2"/>
              <w:spacing w:after="0" w:line="202" w:lineRule="exact"/>
              <w:rPr>
                <w:sz w:val="20"/>
                <w:szCs w:val="20"/>
                <w:color w:val="auto"/>
              </w:rPr>
            </w:pPr>
            <w:r>
              <w:rPr>
                <w:rFonts w:ascii="Arial" w:cs="Arial" w:eastAsia="Arial" w:hAnsi="Arial"/>
                <w:sz w:val="18"/>
                <w:szCs w:val="18"/>
                <w:color w:val="auto"/>
              </w:rPr>
              <w:t>157</w:t>
            </w: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32"/>
              <w:spacing w:after="0" w:line="202" w:lineRule="exact"/>
              <w:rPr>
                <w:sz w:val="20"/>
                <w:szCs w:val="20"/>
                <w:color w:val="auto"/>
              </w:rPr>
            </w:pPr>
            <w:r>
              <w:rPr>
                <w:rFonts w:ascii="Arial" w:cs="Arial" w:eastAsia="Arial" w:hAnsi="Arial"/>
                <w:sz w:val="18"/>
                <w:szCs w:val="18"/>
                <w:color w:val="auto"/>
              </w:rPr>
              <w:t>171</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contractual obligations</w:t>
            </w:r>
          </w:p>
        </w:tc>
        <w:tc>
          <w:tcPr>
            <w:tcW w:w="1180" w:type="dxa"/>
            <w:vAlign w:val="bottom"/>
            <w:gridSpan w:val="2"/>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$16,209</w:t>
            </w:r>
          </w:p>
        </w:tc>
        <w:tc>
          <w:tcPr>
            <w:tcW w:w="5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3,714</w:t>
            </w:r>
          </w:p>
        </w:tc>
        <w:tc>
          <w:tcPr>
            <w:tcW w:w="52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7,606</w:t>
            </w:r>
          </w:p>
        </w:tc>
        <w:tc>
          <w:tcPr>
            <w:tcW w:w="38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4,889</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Our contractual obligations reflect our minimum payments due for office and laboratory space leases in Redwood City, California and Cambridge, Massachusetts, which are our operating leases, and our equipment leases, which are our capital leases. Our primary Redwood City lease commenced in January 2015 and ends in April 2023. As part of the Warp Drive acquisition, we assumed Warp Drive’s office and laboratory space lease in Cambridge, which ends in February 2023. In March 2019, we fully subleased the Cambridge lease to Casma Therapeutics, Inc., or Casma, on financial terms substantially the same as the original lease. The amounts reflected in the table above include our lease payments for the Cambridge lease, but do not reflect any offset for the sublease payments we are entitled to receive from Casma. The sublease by Casma and related sublease payments by Casma to us are fully guaranteed by Third Rock Ventures, LLC.</w:t>
      </w:r>
    </w:p>
    <w:p>
      <w:pPr>
        <w:spacing w:after="0" w:line="77"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We enter into agreements in the normal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us upon 30 to 90 days prior written notice. These payments are not included in this table of contractual obligations.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Off-balance sheet arrangements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not entered into any off-balance sheet arrangements, as defined in Item 303 of Regulation S-K.</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Indemnification agreements</w:t>
      </w:r>
    </w:p>
    <w:p>
      <w:pPr>
        <w:spacing w:after="0" w:line="134" w:lineRule="exact"/>
        <w:rPr>
          <w:sz w:val="20"/>
          <w:szCs w:val="20"/>
          <w:color w:val="auto"/>
        </w:rPr>
      </w:pPr>
    </w:p>
    <w:p>
      <w:pPr>
        <w:ind w:left="200" w:right="100"/>
        <w:spacing w:after="0" w:line="271" w:lineRule="auto"/>
        <w:rPr>
          <w:sz w:val="20"/>
          <w:szCs w:val="20"/>
          <w:color w:val="auto"/>
        </w:rPr>
      </w:pPr>
      <w:r>
        <w:rPr>
          <w:rFonts w:ascii="Arial" w:cs="Arial" w:eastAsia="Arial" w:hAnsi="Arial"/>
          <w:sz w:val="16"/>
          <w:szCs w:val="16"/>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Qualitative and quantitative disclosures about market risk</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24" w:lineRule="exact"/>
        <w:rPr>
          <w:sz w:val="20"/>
          <w:szCs w:val="20"/>
          <w:color w:val="auto"/>
        </w:rPr>
      </w:pPr>
    </w:p>
    <w:p>
      <w:pPr>
        <w:jc w:val="both"/>
        <w:ind w:left="200" w:right="320"/>
        <w:spacing w:after="0" w:line="238"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The primary objective of our investment activities is to preserve capital to fund our operations. We also seek to maximize income from our investments without assuming significant risk. To</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achieve our objectives, we maintain a portfolio of investments in a variety of securities of high credit quality and short-term duration, invested in compliance with our policy.</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held cash and cash equivalents of $69.6 million as of December 31, 2018, which consisted of bank deposits and money market funds. We held cash, cash equivalents and marketable securities of $136.3 million as of September 30, 2019, which consisted of bank deposits, money market funds, U.S. government debt securities, U.S. government agency bonds, commercial paper and corporate bonds. Such interest-earning instruments carry a degree of interest rate risk; however, historical fluctuations in interest income have not been significant for us. Due to the short-term maturities of our cash equivalents, an immediate one percent change in interest rates would not have a material effect on the fair value of our cash equivalents and marketable securities.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Our expenses are generally denominated in U.S. dollars. However, we have entered into a limited number of contracts with vendors for research and development services with payments denominated in foreign currencies, including the Euro, British Pound and Chinese Yuan.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 increase or decrease in current exchange rates would not have a material effect on our financial results.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Critical accounting policies, significant judgments, and use of estimates</w:t>
      </w:r>
    </w:p>
    <w:p>
      <w:pPr>
        <w:spacing w:after="0" w:line="134"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consolidated financial statements, which have been prepared in accordance with United States generally accepted accounting principles, or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6"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 xml:space="preserve">Effective January 1, 2018, we adopted Accounting Standards Codification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using the full retrospective transition method. We did not have any effective contracts within the scope of this guidance prior to January 1, 2018, and the adoption of ASC 606 had no impact on our consolidated financial statements. Under ASC 606, an entity recognizes revenue when its customer obtains control of promised goods or services, in an amount that reflects the consideration which such entity expects to receive in exchange for those goods or services. In determining the appropriate amount of revenue to be recognized as we fulfill our obligations under arrangements, we perform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 At contract inception, once the contract is determined to be within the scope of ASC 606, we assess the goods or services promised within</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00"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We enter into collaboration agreements under which we may obtain upfront license fees, research and development funding, and development, regulatory and commercial milestone payments and royalty payments. Our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83"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our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we recognize revenue from upfront license fees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We evaluate the measure of proportional performance each reporting period and, if necessary, adjust the measure of performance and related revenue recognition.</w:t>
      </w:r>
    </w:p>
    <w:p>
      <w:pPr>
        <w:spacing w:after="0" w:line="83" w:lineRule="exact"/>
        <w:rPr>
          <w:sz w:val="20"/>
          <w:szCs w:val="20"/>
          <w:color w:val="auto"/>
        </w:rPr>
      </w:pPr>
    </w:p>
    <w:p>
      <w:pPr>
        <w:ind w:left="200" w:right="20"/>
        <w:spacing w:after="0" w:line="278" w:lineRule="auto"/>
        <w:rPr>
          <w:sz w:val="20"/>
          <w:szCs w:val="20"/>
          <w:color w:val="auto"/>
        </w:rPr>
      </w:pPr>
      <w:r>
        <w:rPr>
          <w:rFonts w:ascii="Arial" w:cs="Arial" w:eastAsia="Arial" w:hAnsi="Arial"/>
          <w:sz w:val="16"/>
          <w:szCs w:val="16"/>
          <w:i w:val="1"/>
          <w:iCs w:val="1"/>
          <w:color w:val="auto"/>
        </w:rPr>
        <w:t xml:space="preserve">Research, development and regulatory milestone payments: </w:t>
      </w:r>
      <w:r>
        <w:rPr>
          <w:rFonts w:ascii="Arial" w:cs="Arial" w:eastAsia="Arial" w:hAnsi="Arial"/>
          <w:sz w:val="16"/>
          <w:szCs w:val="16"/>
          <w:color w:val="auto"/>
        </w:rPr>
        <w:t>At the inception of each arrangement that includes research, development, or</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regulatory milestone payments, we evaluate whether the milestones are considered probable of being reached and estimate the amount to be included in the transaction price. We use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55" w:lineRule="exact"/>
        <w:rPr>
          <w:sz w:val="20"/>
          <w:szCs w:val="20"/>
          <w:color w:val="auto"/>
        </w:rPr>
      </w:pPr>
    </w:p>
    <w:p>
      <w:pPr>
        <w:ind w:left="200" w:right="20"/>
        <w:spacing w:after="0" w:line="283" w:lineRule="auto"/>
        <w:rPr>
          <w:sz w:val="20"/>
          <w:szCs w:val="20"/>
          <w:color w:val="auto"/>
        </w:rPr>
      </w:pPr>
      <w:r>
        <w:rPr>
          <w:rFonts w:ascii="Arial" w:cs="Arial" w:eastAsia="Arial" w:hAnsi="Arial"/>
          <w:sz w:val="16"/>
          <w:szCs w:val="16"/>
          <w:i w:val="1"/>
          <w:iCs w:val="1"/>
          <w:color w:val="auto"/>
        </w:rPr>
        <w:t xml:space="preserve">Sales-based milestones and royalties: </w:t>
      </w:r>
      <w:r>
        <w:rPr>
          <w:rFonts w:ascii="Arial" w:cs="Arial" w:eastAsia="Arial" w:hAnsi="Arial"/>
          <w:sz w:val="16"/>
          <w:szCs w:val="16"/>
          <w:color w:val="auto"/>
        </w:rPr>
        <w:t>For arrangements that include sales-based milestone or royalty payments based on the level of sales,</w:t>
      </w:r>
      <w:r>
        <w:rPr>
          <w:rFonts w:ascii="Arial" w:cs="Arial" w:eastAsia="Arial" w:hAnsi="Arial"/>
          <w:sz w:val="16"/>
          <w:szCs w:val="16"/>
          <w:i w:val="1"/>
          <w:iCs w:val="1"/>
          <w:color w:val="auto"/>
        </w:rPr>
        <w:t xml:space="preserve"> </w:t>
      </w:r>
      <w:r>
        <w:rPr>
          <w:rFonts w:ascii="Arial" w:cs="Arial" w:eastAsia="Arial" w:hAnsi="Arial"/>
          <w:sz w:val="16"/>
          <w:szCs w:val="16"/>
          <w:color w:val="auto"/>
        </w:rPr>
        <w:t>and in which the license is deemed to be the predominant item to which the sales-based milestone or royalties relate to, we recognize revenue in the period in which the sales-based milestone is achieved and in the period in which the sales associated with the royalty occur. To date, we have not recognized any sales-based milestone or royalty revenue resulting from our collaboration arrangements.</w:t>
      </w:r>
    </w:p>
    <w:p>
      <w:pPr>
        <w:spacing w:after="0" w:line="69" w:lineRule="exact"/>
        <w:rPr>
          <w:sz w:val="20"/>
          <w:szCs w:val="20"/>
          <w:color w:val="auto"/>
        </w:rPr>
      </w:pPr>
    </w:p>
    <w:p>
      <w:pPr>
        <w:jc w:val="both"/>
        <w:ind w:left="200" w:right="440"/>
        <w:spacing w:after="0" w:line="275" w:lineRule="auto"/>
        <w:rPr>
          <w:sz w:val="20"/>
          <w:szCs w:val="20"/>
          <w:color w:val="auto"/>
        </w:rPr>
      </w:pPr>
      <w:r>
        <w:rPr>
          <w:rFonts w:ascii="Arial" w:cs="Arial" w:eastAsia="Arial" w:hAnsi="Arial"/>
          <w:sz w:val="16"/>
          <w:szCs w:val="16"/>
          <w:color w:val="auto"/>
        </w:rPr>
        <w:t>The transaction price for each collaboration agreement is determined based on the amount of consideration we expect to be entitled for satisfying all performance obligations within the agreement. Significant judgment may be required in determining the amount of variable consideration to be included in the transaction price. We use the most likely amount method to determine variable consideration and will re-evaluate the transaction price in each reporting period and as uncertain events are resolved or other changes in circumstances occur.</w:t>
      </w:r>
    </w:p>
    <w:p>
      <w:pPr>
        <w:spacing w:after="0" w:line="7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Revenue is recognized based on actual costs incurred as a percentage of total estimated costs to be incurred over the performance obligation as we fulfill our performance obligations. A cost-based input method of revenue recognition requires management to make estimates of costs to complete our performance obligations. In making such estimates, significant judgment is required to evaluate assumptions related to cost estimates. The cumulative effect of revisions to estimated costs to fulfill our performance obligations will be recorded in the period in which changes are identified and amounts can be reasonably estimated.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24" w:lineRule="exact"/>
        <w:rPr>
          <w:sz w:val="20"/>
          <w:szCs w:val="20"/>
          <w:color w:val="auto"/>
        </w:rPr>
      </w:pPr>
    </w:p>
    <w:p>
      <w:pPr>
        <w:ind w:left="200" w:right="480"/>
        <w:spacing w:after="0" w:line="239"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with respect to tangible and intangible assets acquired and liabilities assumed and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60"/>
        <w:spacing w:after="0" w:line="264" w:lineRule="auto"/>
        <w:rPr>
          <w:sz w:val="20"/>
          <w:szCs w:val="20"/>
          <w:color w:val="auto"/>
        </w:rPr>
      </w:pPr>
      <w:r>
        <w:rPr>
          <w:rFonts w:ascii="Arial" w:cs="Arial" w:eastAsia="Arial" w:hAnsi="Arial"/>
          <w:sz w:val="16"/>
          <w:szCs w:val="16"/>
          <w:color w:val="auto"/>
        </w:rPr>
        <w:t>pre-acquisition contingencies. We use our best estimates and assumptions to accurately assign fair value to the tangible and intangible assets acquired and liabilities assumed at the acquisition date as well as the useful lives of those acquired intangible assets. Examples of critical estimates in valuing certain of the intangible assets we have acquired include but are not limited to developed technologies</w:t>
      </w:r>
    </w:p>
    <w:p>
      <w:pPr>
        <w:spacing w:after="0" w:line="1" w:lineRule="exact"/>
        <w:rPr>
          <w:sz w:val="20"/>
          <w:szCs w:val="20"/>
          <w:color w:val="auto"/>
        </w:rPr>
      </w:pPr>
    </w:p>
    <w:p>
      <w:pPr>
        <w:ind w:left="200" w:right="540"/>
        <w:spacing w:after="0" w:line="299" w:lineRule="auto"/>
        <w:rPr>
          <w:sz w:val="20"/>
          <w:szCs w:val="20"/>
          <w:color w:val="auto"/>
        </w:rPr>
      </w:pPr>
      <w:r>
        <w:rPr>
          <w:rFonts w:ascii="Arial" w:cs="Arial" w:eastAsia="Arial" w:hAnsi="Arial"/>
          <w:sz w:val="16"/>
          <w:szCs w:val="16"/>
          <w:color w:val="auto"/>
        </w:rPr>
        <w:t>and in-process research and development. Our estimates may also impact our deferred income tax assets and liabilities. Unanticipated events and circumstances may occur that may affect the accuracy or validity of such assumptions, estimates or actual results.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record accrued expenses for estimated preclinical study and clinical trial expenses. Estimates are based on the services performed pursuant to contracts with research institutions and contract research organizations and clinical manufacturing organizations that conduct and manage preclinical studies and clinical trials on our behalf based on actual time and expenses incurred by them. Further, we accrue expenses related to clinical trials based on the level of patient enrollment and activity according to the related agreement. We monitor patient enrollment levels and related activity to the extent reasonably possible and make judgments and estimates in determining the accrued balance in each reporting period. If we underestimate or overestimate the level of services performed or the costs of these services, our actual expenses could differ from our estimates. To date, we have not experienced significant changes in our estimates of preclinical studies and clinical trial accruals.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We maintain an equity incentive plan as a long-term incentive for employees, consultants and members of our board of directors. The plan allows for the issuance of non-statutory options, or NSOs, incentive stock options to employees and NSOs to nonemployees.</w:t>
      </w:r>
    </w:p>
    <w:p>
      <w:pPr>
        <w:spacing w:after="0" w:line="101"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Stock-based compensation is measured using estimated grant date fair value and recognized as compensation expense over the service period in which the awards are expected to vest. We estimate the grant date fair value, and the resulting stock-based compensation, using the Black-Scholes option-pricing model, and we use the straight-line method for expense attribution. The fair-value-based measurements of options granted to nonemployees are remeasured at each period end until the options vest and are amortized to expense as earned. The valuation model used for calculating the estimated fair value of stock awards is the Black-Scholes option-pricing model. The Black-Scholes model requires us to make assumptions and judgments about the variables used in the calculations, including the expected term (weighted-average period of time that the options granted are expected to be outstanding), the expected volatility of our common stock, the related risk-free interest rate and the expected dividend. We have elected to recognize forfeitures of stock-based awards as they occur.</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Black-Scholes option-pricing model requires the use of highly subjective assumptions to determine the fair value of stock-based awards.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assumptions include:</w:t>
      </w:r>
    </w:p>
    <w:p>
      <w:pPr>
        <w:spacing w:after="0" w:line="99" w:lineRule="exact"/>
        <w:rPr>
          <w:sz w:val="20"/>
          <w:szCs w:val="20"/>
          <w:color w:val="auto"/>
        </w:rPr>
      </w:pPr>
    </w:p>
    <w:p>
      <w:pPr>
        <w:ind w:left="420" w:right="160" w:hanging="216"/>
        <w:spacing w:after="0" w:line="247" w:lineRule="auto"/>
        <w:tabs>
          <w:tab w:leader="none" w:pos="4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weighted-average period the stock options are expected to remain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options’ vesting terms, contractual terms and industry peers, as we did not have sufficient historical information to develop reasonable expectations about future exercise patterns and post-vesting employment termination behavior.</w:t>
      </w:r>
    </w:p>
    <w:p>
      <w:pPr>
        <w:spacing w:after="0" w:line="90" w:lineRule="exact"/>
        <w:rPr>
          <w:rFonts w:ascii="Arial" w:cs="Arial" w:eastAsia="Arial" w:hAnsi="Arial"/>
          <w:sz w:val="18"/>
          <w:szCs w:val="18"/>
          <w:color w:val="auto"/>
        </w:rPr>
      </w:pPr>
    </w:p>
    <w:p>
      <w:pPr>
        <w:ind w:left="420" w:right="60" w:hanging="216"/>
        <w:spacing w:after="0" w:line="243" w:lineRule="auto"/>
        <w:tabs>
          <w:tab w:leader="none" w:pos="42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have been privately held and do not have any trading history for our common stock, the expected volatility is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based on the average volatility for comparable publicly traded biotechnology companies over a period equal to the expected term of the stock option grants. The comparable companies are chosen based on their similar size, stage in the life cycle or area of specialty.</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 w:right="480" w:hanging="216"/>
        <w:spacing w:after="0" w:line="260" w:lineRule="auto"/>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corresponding with the expected term of the option.</w:t>
      </w:r>
    </w:p>
    <w:p>
      <w:pPr>
        <w:spacing w:after="0" w:line="78" w:lineRule="exact"/>
        <w:rPr>
          <w:rFonts w:ascii="Arial" w:cs="Arial" w:eastAsia="Arial" w:hAnsi="Arial"/>
          <w:sz w:val="18"/>
          <w:szCs w:val="18"/>
          <w:color w:val="auto"/>
        </w:rPr>
      </w:pPr>
    </w:p>
    <w:p>
      <w:pPr>
        <w:ind w:left="420" w:right="480" w:hanging="216"/>
        <w:spacing w:after="0" w:line="260" w:lineRule="auto"/>
        <w:tabs>
          <w:tab w:leader="none" w:pos="420" w:val="left"/>
        </w:tabs>
        <w:numPr>
          <w:ilvl w:val="0"/>
          <w:numId w:val="72"/>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 valuation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Historically, for all periods prior to this initial public offering, the fair values of the shares of common stock underlying our stock-based awards were estimated on each grant date by our board of directors. In order to determine the fair value of our common stock underlying option grants, our board of directors considered, among other things, valuations of our common stock prepared by an unrelated third-party valuation firm in accordance with the guidance provided by the American Institute of Certified Public Accountants Practice Guide, </w:t>
      </w:r>
      <w:r>
        <w:rPr>
          <w:rFonts w:ascii="Arial" w:cs="Arial" w:eastAsia="Arial" w:hAnsi="Arial"/>
          <w:sz w:val="18"/>
          <w:szCs w:val="18"/>
          <w:i w:val="1"/>
          <w:iCs w:val="1"/>
          <w:color w:val="auto"/>
        </w:rPr>
        <w:t>Valuation of Privately-Held-Company Equity Securities Issued as Compensation.</w:t>
      </w:r>
    </w:p>
    <w:p>
      <w:pPr>
        <w:spacing w:after="0" w:line="103"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For our valuations performed on or prior to December 31, 2018, we used the discounted cash flow model to estimate the value of equity, and allocated the equity value to the various classes of equity using an option pricing method, or OPM. The OPM uses option theory to value the various classes of a company’s securities in light of their respective claims to the enterprise value. For our valuations performed in 2019, we utilized a multi-scenario OPM utilizing two scenarios, an initial public offering, or IPO, scenario and a non-IPO scenario. The IPO scenario value was based on management’s estimated IPO valuation and IPO timing, discounted back to the valuation date. The non-IPO scenario per share value was based on the discounted cash flow model to estimate the value of equity, allocating the equity value to the various classes of equity using an OPM. Under a multi-scenario OPM, the per share values calculated under each scenario of the OPM are weighted based on the probability of expected outcomes and the quality of the information specific to each allocation methodology to arrive at a final estimated fair value per share of the common stock before a discount for lack of marketability is applied.</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Given the absence of a public trading market for our common stock, our board of directors exercised their judgment and considered a number of objective and subjective factors to determine the best estimate of the fair value of our common stock, including important developments in our operations, valuations performed by an independent third party, sales of preferred stock, actual operating results and financial performance, the conditions in the biotechnology industry and the economy in general, the stock price performance and volatility of comparable public companies, and the lack of liquidity of our common stock, among other factors. After the closing of this offering, our board of directors will determine the fair value of each share of underlying common stock based on the closing price of our common stock as reported on the date of the grant. Our board of directors intends all options granted to be exercisable at a price per share not less than the per share fair value of our common stock underlying those options on the grant date.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Emerging growth company status</w:t>
      </w:r>
    </w:p>
    <w:p>
      <w:pPr>
        <w:spacing w:after="0" w:line="134"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In April 2012, the Jumpstart Our Business Startups Act of 2012, or the JOBS Act, was enacted. Section 107 of the JOBS Act provides that an “emerging growth company,” or an EGC, can take advantage of the extended transition period provided in Section 7(a)(2)(B) of the Securities Act of 1933, as amended, or the Securities Act, for complying with new or revised accounting standards. Thus, an EGC can delay the adoption of certain accounting standards until those standards would otherwise apply to private companies. We early adopted ASC 606 as the JOBS Act does not preclude an EGC from early adopting a new or revised accounting standard earlier than the time that such standard applies to private companies. We have elected to use the extended transition period for any other new or revised accounting standards during the period in which we remain an emerging growth company; however, we may adopt certain new or revised accounting standards early.</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Recent accounting pronouncements</w:t>
      </w:r>
    </w:p>
    <w:p>
      <w:pPr>
        <w:spacing w:after="0" w:line="13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See the sections titled “Summary of significant accounting policies—recently issued and adopted accounting Pronouncements” and “Recent accounting pronouncements not yet adopted” in Note 2 to our audited consolidated financial statements and Note 2 to our unaudited condensed consolidated financial statements included elsewhere in this prospectus for additional information.</w:t>
      </w:r>
    </w:p>
    <w:p>
      <w:pPr>
        <w:spacing w:after="0" w:line="1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40"/>
          </w:cols>
          <w:pgMar w:left="240" w:top="459" w:right="6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Business</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Overview</w:t>
      </w:r>
    </w:p>
    <w:p>
      <w:pPr>
        <w:spacing w:after="0" w:line="116" w:lineRule="exact"/>
        <w:rPr>
          <w:sz w:val="20"/>
          <w:szCs w:val="20"/>
          <w:color w:val="auto"/>
        </w:rPr>
      </w:pPr>
    </w:p>
    <w:p>
      <w:pPr>
        <w:ind w:left="200" w:right="20"/>
        <w:spacing w:after="0" w:line="241" w:lineRule="auto"/>
        <w:rPr>
          <w:sz w:val="20"/>
          <w:szCs w:val="20"/>
          <w:color w:val="auto"/>
        </w:rPr>
      </w:pPr>
      <w:r>
        <w:rPr>
          <w:rFonts w:ascii="Arial" w:cs="Arial" w:eastAsia="Arial" w:hAnsi="Arial"/>
          <w:sz w:val="18"/>
          <w:szCs w:val="18"/>
          <w:color w:val="auto"/>
        </w:rPr>
        <w:t xml:space="preserve">We are a clinical-stage precision oncology company focused on developing novel targeted therapies to inhibit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targets within notorious growth and survival pathways, with particular emphasis on the RAS and mTOR signaling pathways. We define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targets as proteins that play an important role in cancer and for which there is either: (1) no approved drug that directly </w:t>
      </w:r>
      <w:r>
        <w:rPr>
          <w:rFonts w:ascii="Arial" w:cs="Arial" w:eastAsia="Arial" w:hAnsi="Arial"/>
          <w:sz w:val="18"/>
          <w:szCs w:val="18"/>
          <w:b w:val="1"/>
          <w:bCs w:val="1"/>
          <w:color w:val="auto"/>
        </w:rPr>
        <w:t>inhibits</w:t>
      </w:r>
      <w:r>
        <w:rPr>
          <w:rFonts w:ascii="Arial" w:cs="Arial" w:eastAsia="Arial" w:hAnsi="Arial"/>
          <w:sz w:val="18"/>
          <w:szCs w:val="18"/>
          <w:color w:val="auto"/>
        </w:rPr>
        <w:t xml:space="preserve"> it, or (2) one or more approved drugs that directly inhibit it but through a mechanism of action that may not enable </w:t>
      </w:r>
      <w:r>
        <w:rPr>
          <w:rFonts w:ascii="Arial" w:cs="Arial" w:eastAsia="Arial" w:hAnsi="Arial"/>
          <w:sz w:val="18"/>
          <w:szCs w:val="18"/>
          <w:b w:val="1"/>
          <w:bCs w:val="1"/>
          <w:color w:val="auto"/>
        </w:rPr>
        <w:t>suppression of the full range of its</w:t>
      </w:r>
      <w:r>
        <w:rPr>
          <w:rFonts w:ascii="Arial" w:cs="Arial" w:eastAsia="Arial" w:hAnsi="Arial"/>
          <w:sz w:val="18"/>
          <w:szCs w:val="18"/>
          <w:color w:val="auto"/>
        </w:rPr>
        <w:t xml:space="preserve"> </w:t>
      </w:r>
      <w:r>
        <w:rPr>
          <w:rFonts w:ascii="Arial" w:cs="Arial" w:eastAsia="Arial" w:hAnsi="Arial"/>
          <w:sz w:val="18"/>
          <w:szCs w:val="18"/>
          <w:b w:val="1"/>
          <w:bCs w:val="1"/>
          <w:color w:val="auto"/>
        </w:rPr>
        <w:t>biologic contributions to cancer</w:t>
      </w:r>
      <w:r>
        <w:rPr>
          <w:rFonts w:ascii="Arial" w:cs="Arial" w:eastAsia="Arial" w:hAnsi="Arial"/>
          <w:sz w:val="18"/>
          <w:szCs w:val="18"/>
          <w:color w:val="auto"/>
        </w:rPr>
        <w:t>.</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 xml:space="preserve">Our understanding of genetic drivers and adaptive resistance mechanisms in cancer, coupled with robust drug discovery and medicinal chemistry capabilities, has guided us to establish a deep pipeline targeting critical signaling nodes within these pathways. This cohesive approach underpins our clinical strategy of exploring mechanism-based dosing paradigms and in-pathway combinations to optimize treatment for cancer patients. Our most advanced product candidate, RMC-4630, is a potent and selective inhibitor of SHP2, based on preclinical evidence described in this prospectus. SHP2 is a central node in the RAS signaling pathway. In collaboration with Sanofi, we are evaluating RMC-4630 in a multi-cohort Phase 1/2 clinical program. This RMC-4630 Phase 1/2 program currently consists of two active clinical trials: RMC-4630-01, a Phase 1 study of RMC-4630 as a single agent, and RMC-4630-02, a Phase 1b/2 study of RMC-4630 in combination with the MEK inhibitor cobimetinib (Cotellic). In this prospectus, we report preliminary data from 63 patients who had enrolled in our Phase 1 study and received RMC-4630 as a monotherapy as of November 6, 2019 and from eight patients who had enrolled in our Phase 1b/2 combination study and received RMC-4630 as of November 14, 2019. Leveraging our proprietary tri-complex technology platform, we are also developing a portfolio of mutant-selective RAS inhibitors that we believe are the first potent, selective, cell-active inhibitors of the active, GTP-bound form of RAS, or RAS(ON). These inhibitors also have exhibited anti-tumor activity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preclinical models. Initially, we will prioritize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—and expect to nominate our first development candidate in 2020. Our pipeline also includes inhibitors of other key nodes within the RAS and mTOR signaling pathways, such as SOS1 and mTORC1. Our pipeline includes one product candidate that is in clinical development and all of our other programs are in the preclinical stage. We believe our deep, differentiated pipeline and development strategies provide us with the opportunity to pioneer novel treatment regimens to maximize the depth and durability of clinical benefit and circumvent adaptive resistance mechanisms for patients with cancers dependent on these critical pathways.</w:t>
      </w:r>
    </w:p>
    <w:p>
      <w:pPr>
        <w:spacing w:after="0" w:line="106"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The RAS and mTOR signaling cascades are among the most frequently exploited by human cancers, where mutations in key nodes in these pathways cause excessive or aberrant signaling and cell growth. For example, mutations in RAS proteins account for approximately 30% of all human cancers in the United States, many of which are fatal. According to the National Cancer Institute, KRAS protein mutations occur in up to 35% of lung, 45% of colon and 95% of pancreatic cancers. Cancers caused by RAS-pathway mutations exhibit a phenomenon called “oncogene addiction,” in which tumor cells become highly dependent on signaling through the RAS pathway to survive. The importance of the RAS pathway in cancer has led to the development of several targeted therapies that can profoundly inhibit tumor growth and cause regressions in some instances. However, cancer cells can eventually develop adaptive resistance, losing sensitivity to treatment by hijacking other cell signaling circuitry to circumvent the inhibition and restore RAS-dependent signaling. The need to overcome this resistance in treating RAS-dependent tumors has led to the use of combination regimens designed to inhibit the RAS signaling pathway at multiple nodes simultaneously in an attempt to prolong the depth and durability of clinical benefit.</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 xml:space="preserve">Despite recent progress in targeted therapies, we believe there is a significant need and opportunity to further improve the treatment of certain cancers. We have built an innovation engine consisting of three complementary drivers that enable us to discover and develop targeted therapies for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targets within notorious growth and survival pathways:</w:t>
      </w:r>
    </w:p>
    <w:p>
      <w:pPr>
        <w:spacing w:after="0" w:line="92" w:lineRule="exact"/>
        <w:rPr>
          <w:sz w:val="20"/>
          <w:szCs w:val="20"/>
          <w:color w:val="auto"/>
        </w:rPr>
      </w:pPr>
    </w:p>
    <w:p>
      <w:pPr>
        <w:ind w:left="420" w:right="260" w:hanging="216"/>
        <w:spacing w:after="0" w:line="264" w:lineRule="auto"/>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Deep </w:t>
      </w:r>
      <w:r>
        <w:rPr>
          <w:rFonts w:ascii="Arial" w:cs="Arial" w:eastAsia="Arial" w:hAnsi="Arial"/>
          <w:sz w:val="18"/>
          <w:szCs w:val="18"/>
          <w:b w:val="1"/>
          <w:bCs w:val="1"/>
          <w:color w:val="auto"/>
        </w:rPr>
        <w:t>chemical biology and cancer pharmacology know-how</w:t>
      </w:r>
      <w:r>
        <w:rPr>
          <w:rFonts w:ascii="Arial" w:cs="Arial" w:eastAsia="Arial" w:hAnsi="Arial"/>
          <w:sz w:val="18"/>
          <w:szCs w:val="18"/>
          <w:color w:val="auto"/>
        </w:rPr>
        <w:t>, including assays and proprietary tool compounds, to define the critical vulnerabilities of “frontier” RAS and mTOR pathway targets and associated signaling circuits in cancer cells;</w:t>
      </w:r>
    </w:p>
    <w:p>
      <w:pPr>
        <w:spacing w:after="0" w:line="71" w:lineRule="exact"/>
        <w:rPr>
          <w:rFonts w:ascii="Arial" w:cs="Arial" w:eastAsia="Arial" w:hAnsi="Arial"/>
          <w:sz w:val="18"/>
          <w:szCs w:val="18"/>
          <w:color w:val="auto"/>
        </w:rPr>
      </w:pPr>
    </w:p>
    <w:p>
      <w:pPr>
        <w:ind w:left="420" w:right="540" w:hanging="216"/>
        <w:spacing w:after="0" w:line="264" w:lineRule="auto"/>
        <w:tabs>
          <w:tab w:leader="none" w:pos="4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Sophisticated </w:t>
      </w:r>
      <w:r>
        <w:rPr>
          <w:rFonts w:ascii="Arial" w:cs="Arial" w:eastAsia="Arial" w:hAnsi="Arial"/>
          <w:sz w:val="18"/>
          <w:szCs w:val="18"/>
          <w:b w:val="1"/>
          <w:bCs w:val="1"/>
          <w:color w:val="auto"/>
        </w:rPr>
        <w:t>structure-based drug discovery capabilities</w:t>
      </w:r>
      <w:r>
        <w:rPr>
          <w:rFonts w:ascii="Arial" w:cs="Arial" w:eastAsia="Arial" w:hAnsi="Arial"/>
          <w:sz w:val="18"/>
          <w:szCs w:val="18"/>
          <w:color w:val="auto"/>
        </w:rPr>
        <w:t xml:space="preserve">, including proven </w:t>
      </w:r>
      <w:r>
        <w:rPr>
          <w:rFonts w:ascii="Arial" w:cs="Arial" w:eastAsia="Arial" w:hAnsi="Arial"/>
          <w:sz w:val="18"/>
          <w:szCs w:val="18"/>
          <w:b w:val="1"/>
          <w:bCs w:val="1"/>
          <w:color w:val="auto"/>
        </w:rPr>
        <w:t>access to complex chemical space</w:t>
      </w:r>
      <w:r>
        <w:rPr>
          <w:rFonts w:ascii="Arial" w:cs="Arial" w:eastAsia="Arial" w:hAnsi="Arial"/>
          <w:sz w:val="18"/>
          <w:szCs w:val="18"/>
          <w:color w:val="auto"/>
        </w:rPr>
        <w:t>, to create drug candidates tailored to unconventional binding sites on elusive cancer targets; and</w:t>
      </w:r>
    </w:p>
    <w:p>
      <w:pPr>
        <w:spacing w:after="0" w:line="71" w:lineRule="exact"/>
        <w:rPr>
          <w:rFonts w:ascii="Arial" w:cs="Arial" w:eastAsia="Arial" w:hAnsi="Arial"/>
          <w:sz w:val="18"/>
          <w:szCs w:val="18"/>
          <w:color w:val="auto"/>
        </w:rPr>
      </w:pPr>
    </w:p>
    <w:p>
      <w:pPr>
        <w:ind w:left="420" w:right="540" w:hanging="216"/>
        <w:spacing w:after="0" w:line="328" w:lineRule="auto"/>
        <w:tabs>
          <w:tab w:leader="none" w:pos="420"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Astute </w:t>
      </w:r>
      <w:r>
        <w:rPr>
          <w:rFonts w:ascii="Arial" w:cs="Arial" w:eastAsia="Arial" w:hAnsi="Arial"/>
          <w:sz w:val="16"/>
          <w:szCs w:val="16"/>
          <w:b w:val="1"/>
          <w:bCs w:val="1"/>
          <w:color w:val="auto"/>
        </w:rPr>
        <w:t>precision medicine approach</w:t>
      </w:r>
      <w:r>
        <w:rPr>
          <w:rFonts w:ascii="Arial" w:cs="Arial" w:eastAsia="Arial" w:hAnsi="Arial"/>
          <w:sz w:val="16"/>
          <w:szCs w:val="16"/>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32"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Focusing these drivers on a cohesive set of related disease targets provides biological, chemical and translational insights that can be leveraged to maximize the efficiency and effectiveness of our discovery and development efforts. We have built a portfolio of compounds that inhibit select signaling nodes within these pathways, including clinical targets that previously have been difficult or impossible to drug. We believe our current and future product candidates, when used in specialized dosing paradigms and rational in-pathway combinations, will have the potential to promote profound and sustainable clinical benefit, combat adaptive resistance mechanisms and, in some cases, supplant the current standard of care for patients with tumors driven by these pathways.</w:t>
      </w:r>
    </w:p>
    <w:p>
      <w:pPr>
        <w:spacing w:after="0" w:line="102"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Our most advanced product candidate, RMC-4630, is a potent and selective inhibitor of SHP2, based on preclinical evidence described in this prospectus. SHP2 is a protein that plays a central role in modulating cell survival and growth by transmitting signals from upstream receptor tyrosine kinases, or RTKs, to RAS. In collaboration with Sanofi, we are evaluating RMC-4630 in a multi-cohort Phase 1/2 clinical program, which includes our ongoing Phase 1 study of RMC-4630 as monotherapy in patients with advanced cancers, including those with tumors harboring genetically defined mutations in the RAS signaling pathway and our ongoing Phase 1b/2 study of RMC-4630 in combination with the MEK inhibitor cobimetinib. Based on our own data, and supported by observations by others, we are evaluating intermittent dosing schedules in our clinical program to allow us to maximize dose intensity in order to achieve the greatest depth of response. We also plan to explore the potential clinical benefit of RMC-4630 in combination with other in-pathway agents such as RTK (initially epidermal growth factor receptor, or EGFR) and KRAS</w:t>
      </w:r>
      <w:r>
        <w:rPr>
          <w:rFonts w:ascii="Arial" w:cs="Arial" w:eastAsia="Arial" w:hAnsi="Arial"/>
          <w:sz w:val="11"/>
          <w:szCs w:val="11"/>
          <w:color w:val="auto"/>
        </w:rPr>
        <w:t>G12C</w:t>
      </w:r>
      <w:r>
        <w:rPr>
          <w:rFonts w:ascii="Arial" w:cs="Arial" w:eastAsia="Arial" w:hAnsi="Arial"/>
          <w:sz w:val="18"/>
          <w:szCs w:val="18"/>
          <w:color w:val="auto"/>
        </w:rPr>
        <w:t xml:space="preserve"> inhibitors, as well as in combination with PD-1 inhibitors. In November 2019, we entered into an agreement with Amgen to evaluate the combination of RMC-4630 and Amgen’s KRAS</w:t>
      </w:r>
      <w:r>
        <w:rPr>
          <w:rFonts w:ascii="Arial" w:cs="Arial" w:eastAsia="Arial" w:hAnsi="Arial"/>
          <w:sz w:val="11"/>
          <w:szCs w:val="11"/>
          <w:color w:val="auto"/>
        </w:rPr>
        <w:t>G12C</w:t>
      </w:r>
      <w:r>
        <w:rPr>
          <w:rFonts w:ascii="Arial" w:cs="Arial" w:eastAsia="Arial" w:hAnsi="Arial"/>
          <w:sz w:val="18"/>
          <w:szCs w:val="18"/>
          <w:color w:val="auto"/>
        </w:rPr>
        <w:t>(OFF) inhibitor AMG 510 in a Phase 1b trial that will be conducted by Amgen. Although we are at an early stage of clinical testing and product candidate development, we believe RMC-4630 is well-positioned to become the backbone of targeted therapy combinations for the treatment of various RAS-dependent tumors. Under our collaboration with Sanofi on our SHP2 program,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w:t>
      </w:r>
    </w:p>
    <w:p>
      <w:pPr>
        <w:spacing w:after="0" w:line="10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are also developing a portfolio of what we believe to be the first potent, selective and cell-active inhibitors of mutant RAS(ON) proteins. Historically, direct inhibition of any RAS protein has been challenging due to a lack of tractable, or “druggable,” binding pockets. Recently, selective inhibitors of inactive, GDP-bound forms of RAS, or RAS(OFF), have demonstrated encouraging preliminary anti-tumor effects and thus provide clinical validation for targeting mutant RAS in cancer. Our small molecule inhibitors of mutant RAS(ON) are derived from our proprietary tri-complex technology platform, which enables us to target proteins lacking intrinsic drug binding sites by inducing new druggable pockets. Initially, we will prioritize four mutant RAS(ON)</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75" w:lineRule="auto"/>
        <w:rPr>
          <w:sz w:val="20"/>
          <w:szCs w:val="20"/>
          <w:color w:val="auto"/>
        </w:rPr>
      </w:pPr>
      <w:r>
        <w:rPr>
          <w:rFonts w:ascii="Arial" w:cs="Arial" w:eastAsia="Arial" w:hAnsi="Arial"/>
          <w:sz w:val="16"/>
          <w:szCs w:val="16"/>
          <w:color w:val="auto"/>
        </w:rPr>
        <w:t>targets—KRAS</w:t>
      </w:r>
      <w:r>
        <w:rPr>
          <w:rFonts w:ascii="Arial" w:cs="Arial" w:eastAsia="Arial" w:hAnsi="Arial"/>
          <w:sz w:val="10"/>
          <w:szCs w:val="10"/>
          <w:color w:val="auto"/>
        </w:rPr>
        <w:t>G12C</w:t>
      </w:r>
      <w:r>
        <w:rPr>
          <w:rFonts w:ascii="Arial" w:cs="Arial" w:eastAsia="Arial" w:hAnsi="Arial"/>
          <w:sz w:val="16"/>
          <w:szCs w:val="16"/>
          <w:color w:val="auto"/>
        </w:rPr>
        <w:t>, KRAS</w:t>
      </w:r>
      <w:r>
        <w:rPr>
          <w:rFonts w:ascii="Arial" w:cs="Arial" w:eastAsia="Arial" w:hAnsi="Arial"/>
          <w:sz w:val="10"/>
          <w:szCs w:val="10"/>
          <w:color w:val="auto"/>
        </w:rPr>
        <w:t>G13C</w:t>
      </w:r>
      <w:r>
        <w:rPr>
          <w:rFonts w:ascii="Arial" w:cs="Arial" w:eastAsia="Arial" w:hAnsi="Arial"/>
          <w:sz w:val="16"/>
          <w:szCs w:val="16"/>
          <w:color w:val="auto"/>
        </w:rPr>
        <w:t>, KRAS</w:t>
      </w:r>
      <w:r>
        <w:rPr>
          <w:rFonts w:ascii="Arial" w:cs="Arial" w:eastAsia="Arial" w:hAnsi="Arial"/>
          <w:sz w:val="10"/>
          <w:szCs w:val="10"/>
          <w:color w:val="auto"/>
        </w:rPr>
        <w:t>G12D</w:t>
      </w:r>
      <w:r>
        <w:rPr>
          <w:rFonts w:ascii="Arial" w:cs="Arial" w:eastAsia="Arial" w:hAnsi="Arial"/>
          <w:sz w:val="16"/>
          <w:szCs w:val="16"/>
          <w:color w:val="auto"/>
        </w:rPr>
        <w:t xml:space="preserve"> and NRAS</w:t>
      </w:r>
      <w:r>
        <w:rPr>
          <w:rFonts w:ascii="Arial" w:cs="Arial" w:eastAsia="Arial" w:hAnsi="Arial"/>
          <w:sz w:val="10"/>
          <w:szCs w:val="10"/>
          <w:color w:val="auto"/>
        </w:rPr>
        <w:t>G12C</w:t>
      </w:r>
      <w:r>
        <w:rPr>
          <w:rFonts w:ascii="Arial" w:cs="Arial" w:eastAsia="Arial" w:hAnsi="Arial"/>
          <w:sz w:val="16"/>
          <w:szCs w:val="16"/>
          <w:color w:val="auto"/>
        </w:rPr>
        <w:t>—and expect to nominate our first development candidate in 2020. We plan to evaluate our RAS(ON) inhibitors alone and in combination with other drugs and investigational new drugs, particularly in-pathway agents. We believe that targeted inhibition of various oncogenic RAS(ON) mutants represents a highly differentiated approach for treating the large population of patients with diverse RAS mutations, including non-small cell lung cancer, or NSCLC, colorectal, pancreatic and other cancers.</w:t>
      </w:r>
    </w:p>
    <w:p>
      <w:pPr>
        <w:spacing w:after="0" w:line="75"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have two preclinical programs targeting other key nodes in the RAS and mTOR signaling pathways. Our program targeting SOS1, a protein that plays a key role in converting RAS(OFF) to RAS(ON) in cells, is currently in lead generation stage. In addition, our preclinical development candidate, RMC-5552, is designed to selectively and deeply inhibit mTORC1, thereby preventing phosphorylation and inactivation of 4EBP1, a downstream protein in the mTOR signaling pathway that normally suppresses expression of certain oncogenes such as C-MYC. We advanced RMC-5552 into IND-enabling development in June 2019.</w:t>
      </w:r>
    </w:p>
    <w:p>
      <w:pPr>
        <w:spacing w:after="0" w:line="103"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management team has significant experience in oncology and in progressing products from early stage research to clinical trials, and ultimately to regulatory approval and commercialization. Dr. Steve Kelsey, our President of Research and Development, was previously President of Onkaido Therapeutics, a Moderna venture focused on oncology mRNA therapeutics, and has held senior positions at Medivation, Geron and Genentech, where he played a significant role in the development of Perjeta, Kadcyla and Erivedge. Our President and Chief Executive Officer, Dr. Mark Goldsmith, served as Chief Executive Officer of Constellation Pharmaceuticals, where he led the creation of its oncology pipeline and drove the development of a strategic alliance with Genentech. He also has led four other companies spanning early discovery through development, including Global Blood Therapeutics, where he led the discovery and early development of voxelotor. We are also supported by a leading syndicate of investors, which include our founding investor, Third Rock Ventures, and BVF, Casdin Capital, Cormorant, Deerfield, Fidelity, Nextech, Tavistock, The Column Group and Vivo Ventures.</w:t>
      </w:r>
    </w:p>
    <w:p>
      <w:pPr>
        <w:spacing w:after="0" w:line="10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Our company was founded and continues to be supported by three world-class scientific advisors: Dr. Kevan Shokat (Professor and Chair of the Department of Cellular and Molecular Pharmacology at University of California, San Francisco, Professor of Chemistry at the University of California, Berkeley and an investigator at the Howard Hughes Medical Institute), Dr. Martin Burke (Professor of Chemistry at the University of Illinois at Urbana-Champaign) and Dr. Michael Fischbach (Associate Professor in the Department of Bioengineering at Stanford University and a Stanford ChEM-H Institute Scholar). Dr. Shokat is widely recognized for his seminal contributions to the field of kinase biology, using chemistry, protein engineering and genetic tools to pioneer novel therapeutic approaches to target key signaling pathways in cancer. He led the discovery of the first KRAS</w:t>
      </w:r>
      <w:r>
        <w:rPr>
          <w:rFonts w:ascii="Arial" w:cs="Arial" w:eastAsia="Arial" w:hAnsi="Arial"/>
          <w:sz w:val="11"/>
          <w:szCs w:val="11"/>
          <w:color w:val="auto"/>
        </w:rPr>
        <w:t>G12C</w:t>
      </w:r>
      <w:r>
        <w:rPr>
          <w:rFonts w:ascii="Arial" w:cs="Arial" w:eastAsia="Arial" w:hAnsi="Arial"/>
          <w:sz w:val="18"/>
          <w:szCs w:val="18"/>
          <w:color w:val="auto"/>
        </w:rPr>
        <w:t>(OFF) inhibitor.</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strategy</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goal is to develop novel targeted therapies to outsmart cancer for the benefit of patients. We plan to pursue the following strategies:</w:t>
      </w:r>
    </w:p>
    <w:p>
      <w:pPr>
        <w:spacing w:after="0" w:line="97" w:lineRule="exact"/>
        <w:rPr>
          <w:sz w:val="20"/>
          <w:szCs w:val="20"/>
          <w:color w:val="auto"/>
        </w:rPr>
      </w:pPr>
    </w:p>
    <w:p>
      <w:pPr>
        <w:ind w:left="420" w:right="40" w:hanging="216"/>
        <w:spacing w:after="0"/>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Deploy our innovation engine against frontier oncology targets. </w:t>
      </w:r>
      <w:r>
        <w:rPr>
          <w:rFonts w:ascii="Arial" w:cs="Arial" w:eastAsia="Arial" w:hAnsi="Arial"/>
          <w:sz w:val="18"/>
          <w:szCs w:val="18"/>
          <w:color w:val="auto"/>
        </w:rPr>
        <w:t>We use our chemical biology and cancer pharmacology know-how,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structure-based drug discovery capabilities, and precision medicine approach to discover and develop compounds designed to overcome the complex molecular circuitry of cancer. We focus on a cohesive set of genetically-defined targets in the RAS signaling pathway to create compounds that may be used alone and in combination with other targeted therapies. We evaluate in-pathway proprietary mechanism-based combination therapies and innovative dosing paradigms. Collectively, these are designed to maximize the depth and durability of clinical benefit and improve the lives of patients with cancer.</w:t>
      </w:r>
    </w:p>
    <w:p>
      <w:pPr>
        <w:spacing w:after="0" w:line="95" w:lineRule="exact"/>
        <w:rPr>
          <w:rFonts w:ascii="Arial" w:cs="Arial" w:eastAsia="Arial" w:hAnsi="Arial"/>
          <w:sz w:val="18"/>
          <w:szCs w:val="18"/>
          <w:color w:val="auto"/>
        </w:rPr>
      </w:pPr>
    </w:p>
    <w:p>
      <w:pPr>
        <w:ind w:left="420" w:right="560" w:hanging="216"/>
        <w:spacing w:after="0" w:line="262" w:lineRule="auto"/>
        <w:tabs>
          <w:tab w:leader="none" w:pos="420" w:val="left"/>
        </w:tabs>
        <w:numPr>
          <w:ilvl w:val="0"/>
          <w:numId w:val="7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our proprietary SHP2 inhibitor, RMC-4630, as the backbone of targeted therapy combinations for the treatment of RAS-dependent tumors. </w:t>
      </w:r>
      <w:r>
        <w:rPr>
          <w:rFonts w:ascii="Arial" w:cs="Arial" w:eastAsia="Arial" w:hAnsi="Arial"/>
          <w:sz w:val="18"/>
          <w:szCs w:val="18"/>
          <w:color w:val="auto"/>
        </w:rPr>
        <w:t>As SHP2 is a convergent node within the oncogenic RAS-signaling</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spacing w:after="0" w:line="271" w:lineRule="auto"/>
        <w:rPr>
          <w:sz w:val="20"/>
          <w:szCs w:val="20"/>
          <w:color w:val="auto"/>
        </w:rPr>
      </w:pPr>
      <w:r>
        <w:rPr>
          <w:rFonts w:ascii="Arial" w:cs="Arial" w:eastAsia="Arial" w:hAnsi="Arial"/>
          <w:sz w:val="16"/>
          <w:szCs w:val="16"/>
          <w:color w:val="auto"/>
        </w:rPr>
        <w:t>pathway, we plan to evaluate RMC-4630 in combination with other in-pathway agents targeting RTK (initially EGFR), and KRAS</w:t>
      </w:r>
      <w:r>
        <w:rPr>
          <w:rFonts w:ascii="Arial" w:cs="Arial" w:eastAsia="Arial" w:hAnsi="Arial"/>
          <w:sz w:val="10"/>
          <w:szCs w:val="10"/>
          <w:color w:val="auto"/>
        </w:rPr>
        <w:t>G12C</w:t>
      </w:r>
      <w:r>
        <w:rPr>
          <w:rFonts w:ascii="Arial" w:cs="Arial" w:eastAsia="Arial" w:hAnsi="Arial"/>
          <w:sz w:val="16"/>
          <w:szCs w:val="16"/>
          <w:color w:val="auto"/>
        </w:rPr>
        <w:t>. We have initiated a Phase 1b/2 trial of RMC-4630 with cobimetinib (a MEK inhibitor) and we plan to evaluate RMC-4630 in combination with osimertinib (an EGFR inhibitor). We also intend to study RMC-4630 in combination with Amgen’s AMG 510, a KRAS</w:t>
      </w:r>
      <w:r>
        <w:rPr>
          <w:rFonts w:ascii="Arial" w:cs="Arial" w:eastAsia="Arial" w:hAnsi="Arial"/>
          <w:sz w:val="10"/>
          <w:szCs w:val="10"/>
          <w:color w:val="auto"/>
        </w:rPr>
        <w:t>G12C</w:t>
      </w:r>
      <w:r>
        <w:rPr>
          <w:rFonts w:ascii="Arial" w:cs="Arial" w:eastAsia="Arial" w:hAnsi="Arial"/>
          <w:sz w:val="16"/>
          <w:szCs w:val="16"/>
          <w:color w:val="auto"/>
        </w:rPr>
        <w:t>(OFF) inhibitor, in a Phase 1b trial that will be conducted by Amgen and subsequently in combination with our proprietary KRAS</w:t>
      </w:r>
      <w:r>
        <w:rPr>
          <w:rFonts w:ascii="Arial" w:cs="Arial" w:eastAsia="Arial" w:hAnsi="Arial"/>
          <w:sz w:val="10"/>
          <w:szCs w:val="10"/>
          <w:color w:val="auto"/>
        </w:rPr>
        <w:t>G12C</w:t>
      </w:r>
      <w:r>
        <w:rPr>
          <w:rFonts w:ascii="Arial" w:cs="Arial" w:eastAsia="Arial" w:hAnsi="Arial"/>
          <w:sz w:val="16"/>
          <w:szCs w:val="16"/>
          <w:color w:val="auto"/>
        </w:rPr>
        <w:t>(ON) inhibitor once a clinical candidate has been selected for development. As many patients with tumors carrying mutations that are potentially SHP2-dependent are currently treated with immune checkpoint inhibitors, we also plan to study RMC-4630 in combination with a PD-1 inhibitor.</w:t>
      </w:r>
    </w:p>
    <w:p>
      <w:pPr>
        <w:spacing w:after="0" w:line="71" w:lineRule="exact"/>
        <w:rPr>
          <w:sz w:val="20"/>
          <w:szCs w:val="20"/>
          <w:color w:val="auto"/>
        </w:rPr>
      </w:pPr>
    </w:p>
    <w:p>
      <w:pPr>
        <w:ind w:left="420" w:right="40" w:hanging="216"/>
        <w:spacing w:after="0" w:line="239" w:lineRule="auto"/>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Pioneer mutant selective RAS(ON) inhibition across multiple genetically defined cancers. </w:t>
      </w:r>
      <w:r>
        <w:rPr>
          <w:rFonts w:ascii="Arial" w:cs="Arial" w:eastAsia="Arial" w:hAnsi="Arial"/>
          <w:sz w:val="18"/>
          <w:szCs w:val="18"/>
          <w:color w:val="auto"/>
        </w:rPr>
        <w:t>There are dozens of RAS mutants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been implicated as molecular drivers of cancer. We are developing a pipeline of small molecules targeting multiple oncogenic forms of RAS(ON) that are derived from our proprietary tri-complex technology platform. Initially, we will prioritize four mutant RAS(ON) targets— 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—and expect to nominate our first development candidate in 2020. We plan to evaluate our RAS(ON) inhibitors alone and in combination with other drugs and investigational new drugs, particularly in-pathway agents. We believe that targeted inhibition of various oncogenic RAS(ON) mutants represents a highly differentiated approach for treating the large population of patients with diverse RAS mutations, including NSCLC, colorectal, pancreatic and other cancers.</w:t>
      </w:r>
    </w:p>
    <w:p>
      <w:pPr>
        <w:spacing w:after="0" w:line="96" w:lineRule="exact"/>
        <w:rPr>
          <w:rFonts w:ascii="Arial" w:cs="Arial" w:eastAsia="Arial" w:hAnsi="Arial"/>
          <w:sz w:val="18"/>
          <w:szCs w:val="18"/>
          <w:color w:val="auto"/>
        </w:rPr>
      </w:pPr>
    </w:p>
    <w:p>
      <w:pPr>
        <w:ind w:left="420" w:right="80" w:hanging="216"/>
        <w:spacing w:after="0"/>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global value of our programs by continuing to execute synergistic and value-creating transactions. </w:t>
      </w:r>
      <w:r>
        <w:rPr>
          <w:rFonts w:ascii="Arial" w:cs="Arial" w:eastAsia="Arial" w:hAnsi="Arial"/>
          <w:sz w:val="18"/>
          <w:szCs w:val="18"/>
          <w:color w:val="auto"/>
        </w:rPr>
        <w:t>We have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organizational capabilities and resources to enable us to continue to complete value-creating transactions, such as our collaboration with Sanofi on SHP2 and our acquisition of Warp Drive. In the future, we may enter into other collaborations where we believe there is an opportunity to accelerate the development and commercialization of our product candidates while allowing us to retain meaningful rights in major markets. We may also seek to acquire or in-license product candidates or technologies opportunistically that are synergistic with our drug discovery and development efforts.</w:t>
      </w:r>
    </w:p>
    <w:p>
      <w:pPr>
        <w:spacing w:after="0" w:line="93" w:lineRule="exact"/>
        <w:rPr>
          <w:rFonts w:ascii="Arial" w:cs="Arial" w:eastAsia="Arial" w:hAnsi="Arial"/>
          <w:sz w:val="18"/>
          <w:szCs w:val="18"/>
          <w:color w:val="auto"/>
        </w:rPr>
      </w:pPr>
    </w:p>
    <w:p>
      <w:pPr>
        <w:ind w:left="420" w:right="180" w:hanging="216"/>
        <w:spacing w:after="0" w:line="244" w:lineRule="auto"/>
        <w:tabs>
          <w:tab w:leader="none" w:pos="420" w:val="left"/>
        </w:tabs>
        <w:numPr>
          <w:ilvl w:val="0"/>
          <w:numId w:val="75"/>
        </w:numPr>
        <w:rPr>
          <w:rFonts w:ascii="Arial" w:cs="Arial" w:eastAsia="Arial" w:hAnsi="Arial"/>
          <w:sz w:val="18"/>
          <w:szCs w:val="18"/>
          <w:color w:val="auto"/>
        </w:rPr>
      </w:pPr>
      <w:r>
        <w:rPr>
          <w:rFonts w:ascii="Arial" w:cs="Arial" w:eastAsia="Arial" w:hAnsi="Arial"/>
          <w:sz w:val="18"/>
          <w:szCs w:val="18"/>
          <w:b w:val="1"/>
          <w:bCs w:val="1"/>
          <w:i w:val="1"/>
          <w:iCs w:val="1"/>
          <w:color w:val="auto"/>
        </w:rPr>
        <w:t>Maintain our culture of tireless commitment to patients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 grow our business, we will continue to apply transformative science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development of novel targeted therapies for patients suffering from cancers with limited therapeutic options. To accomplish this, we intend to continue building our team of qualified individuals who share our commitment to collaboration and scientific rigor in the development of novel therapies to outsmart cancer and improve the lives of patients.</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1"/>
          <w:szCs w:val="21"/>
          <w:b w:val="1"/>
          <w:bCs w:val="1"/>
          <w:color w:val="auto"/>
        </w:rPr>
        <w:t>Our opportunity: unmet needs in cancers with driver mutations in notorious growth and survival pathways</w:t>
      </w:r>
    </w:p>
    <w:p>
      <w:pPr>
        <w:spacing w:after="0" w:line="1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Background</w:t>
      </w:r>
    </w:p>
    <w:p>
      <w:pPr>
        <w:spacing w:after="0" w:line="124"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The RAS and mTOR signaling cascades are among the most frequently exploited by human cancers. Cancer cells often carry mutations in proteins in these pathways that subvert normal cell growth and survival by causing excessive or aberrant signal transduction. These proteins can be directly or indirectly involved in signal transduction. For example, many tumors of different types exhibit excessive activation of the RAS signaling cascade as a result of mutations in RTKs, RAS, NF1 and/or RAF.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70485</wp:posOffset>
            </wp:positionV>
            <wp:extent cx="4716780" cy="39706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716780" cy="397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200" w:right="220"/>
        <w:spacing w:after="0" w:line="299" w:lineRule="auto"/>
        <w:rPr>
          <w:sz w:val="20"/>
          <w:szCs w:val="20"/>
          <w:color w:val="auto"/>
        </w:rPr>
      </w:pPr>
      <w:r>
        <w:rPr>
          <w:rFonts w:ascii="Arial" w:cs="Arial" w:eastAsia="Arial" w:hAnsi="Arial"/>
          <w:sz w:val="16"/>
          <w:szCs w:val="16"/>
          <w:color w:val="auto"/>
        </w:rPr>
        <w:t>We have built a portfolio of compounds that inhibit select signaling nodes within the RAS and mTOR pathways. To date, our discovery and development efforts have focused on SHP2, RAS, SOS1 and mTORC1 (these targets are shaded dark green or blue in the figure above).</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SHP2</w:t>
      </w:r>
    </w:p>
    <w:p>
      <w:pPr>
        <w:spacing w:after="0" w:line="122"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SHP2 is a protein tyrosine phosphatase that plays a critical role in the transduction of intracellular signals downstream of a wide variety of RTK growth factor receptors to promote cell survival and growth. SHP2 acts as a central signaling node that regulates growth signals within normal cells and, in certain circumstances, cancer cells. Some mutant forms of RAS, such as KRAS</w:t>
      </w:r>
      <w:r>
        <w:rPr>
          <w:rFonts w:ascii="Arial" w:cs="Arial" w:eastAsia="Arial" w:hAnsi="Arial"/>
          <w:sz w:val="11"/>
          <w:szCs w:val="11"/>
          <w:color w:val="auto"/>
        </w:rPr>
        <w:t>G12C</w:t>
      </w:r>
      <w:r>
        <w:rPr>
          <w:rFonts w:ascii="Arial" w:cs="Arial" w:eastAsia="Arial" w:hAnsi="Arial"/>
          <w:sz w:val="18"/>
          <w:szCs w:val="18"/>
          <w:color w:val="auto"/>
        </w:rPr>
        <w:t xml:space="preserve"> and KRAS</w:t>
      </w:r>
      <w:r>
        <w:rPr>
          <w:rFonts w:ascii="Arial" w:cs="Arial" w:eastAsia="Arial" w:hAnsi="Arial"/>
          <w:sz w:val="11"/>
          <w:szCs w:val="11"/>
          <w:color w:val="auto"/>
        </w:rPr>
        <w:t>G12A</w:t>
      </w:r>
      <w:r>
        <w:rPr>
          <w:rFonts w:ascii="Arial" w:cs="Arial" w:eastAsia="Arial" w:hAnsi="Arial"/>
          <w:sz w:val="18"/>
          <w:szCs w:val="18"/>
          <w:color w:val="auto"/>
        </w:rPr>
        <w:t>, exert their oncogenic effects by amplifying or exaggerating normal RTK-mediated growth signals transmitted via SHP2, and as a result they can be</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240" w:top="459"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color w:val="auto"/>
        </w:rPr>
        <w:t>suppressed by inhibiting SHP2. There are other cancer-causing mutations that result in, or are dependent upon, activation of wild-type RAS and are likewise dependent on SHP2, including amplification of wild-type RAS or mutations in the gene encoding the GTPase-activating protein (GAP) neurofibromin 1 (NF1) which reduce activity of NF1 (so called NF1 loss-of-function or NF1</w:t>
      </w:r>
      <w:r>
        <w:rPr>
          <w:rFonts w:ascii="Arial" w:cs="Arial" w:eastAsia="Arial" w:hAnsi="Arial"/>
          <w:sz w:val="11"/>
          <w:szCs w:val="11"/>
          <w:color w:val="auto"/>
        </w:rPr>
        <w:t>LOF</w:t>
      </w:r>
      <w:r>
        <w:rPr>
          <w:rFonts w:ascii="Arial" w:cs="Arial" w:eastAsia="Arial" w:hAnsi="Arial"/>
          <w:sz w:val="18"/>
          <w:szCs w:val="18"/>
          <w:color w:val="auto"/>
        </w:rPr>
        <w:t>), and class 3 mutations in the downstream effector BRAF (BRAF</w:t>
      </w:r>
      <w:r>
        <w:rPr>
          <w:rFonts w:ascii="Arial" w:cs="Arial" w:eastAsia="Arial" w:hAnsi="Arial"/>
          <w:sz w:val="11"/>
          <w:szCs w:val="11"/>
          <w:color w:val="auto"/>
        </w:rPr>
        <w:t>Class3</w:t>
      </w:r>
      <w:r>
        <w:rPr>
          <w:rFonts w:ascii="Arial" w:cs="Arial" w:eastAsia="Arial" w:hAnsi="Arial"/>
          <w:sz w:val="18"/>
          <w:szCs w:val="18"/>
          <w:color w:val="auto"/>
        </w:rPr>
        <w:t>).</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RAS</w:t>
      </w:r>
    </w:p>
    <w:p>
      <w:pPr>
        <w:spacing w:after="0" w:line="12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RAS proteins drive normal cell proliferation, differentiation and survival in response to growth factors acting through RTKs, and they can also be direct drivers of cancer. Normally RAS proteins cycle between an inactive form (RAS(OFF)), which is bound to GDP and unable to transmit signals, and an active conformation (RAS(ON)), which is induced upon binding GTP in response to growth factor receptor stimulation, causing it to become competent to interact physically with downstream effector proteins such as RAF. The magnitude of cell signals transmitted by the RAS activation cycle is proportional to the intracellular level of RAS(ON). In a healthy, normal cell RAS(ON) represents a small fraction of the total RAS pool within a cell. Signals arising from RTKs upstream of the RAS cycle act through SHP2 to promote the substitution of GTP for GDP in association with RAS, thereby increasing RAS(ON) levels. In cancers with abnormally elevated RTK activity, increased signaling via the RAS activation cycle is a major driver of tumor cell growth. Likewise, oncogenic mutations of RAS itself result in a significant slowing of the enzymatic conversion of RAS-bound GTP to GDP and thus drive cancer by raising RAS(ON) significantly above normal levels. In some cells harboring a KRAS</w:t>
      </w:r>
      <w:r>
        <w:rPr>
          <w:rFonts w:ascii="Arial" w:cs="Arial" w:eastAsia="Arial" w:hAnsi="Arial"/>
          <w:sz w:val="11"/>
          <w:szCs w:val="11"/>
          <w:color w:val="auto"/>
        </w:rPr>
        <w:t>G12C</w:t>
      </w:r>
      <w:r>
        <w:rPr>
          <w:rFonts w:ascii="Arial" w:cs="Arial" w:eastAsia="Arial" w:hAnsi="Arial"/>
          <w:sz w:val="18"/>
          <w:szCs w:val="18"/>
          <w:color w:val="auto"/>
        </w:rPr>
        <w:t xml:space="preserve"> mutation, 80% or more of cellular KRAS</w:t>
      </w:r>
      <w:r>
        <w:rPr>
          <w:rFonts w:ascii="Arial" w:cs="Arial" w:eastAsia="Arial" w:hAnsi="Arial"/>
          <w:sz w:val="11"/>
          <w:szCs w:val="11"/>
          <w:color w:val="auto"/>
        </w:rPr>
        <w:t>G12C</w:t>
      </w:r>
      <w:r>
        <w:rPr>
          <w:rFonts w:ascii="Arial" w:cs="Arial" w:eastAsia="Arial" w:hAnsi="Arial"/>
          <w:sz w:val="18"/>
          <w:szCs w:val="18"/>
          <w:color w:val="auto"/>
        </w:rPr>
        <w:t xml:space="preserve"> is in the GTP-bound state (RAS(ON)), representing a &gt;15-fold increase compared to wild-type KRAS. As a general principle, RAS-dependent cancer cells exploit a high level of RAS(ON) for continued survival and growth.</w:t>
      </w:r>
    </w:p>
    <w:p>
      <w:pPr>
        <w:spacing w:after="0" w:line="19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SOS1</w:t>
      </w:r>
    </w:p>
    <w:p>
      <w:pPr>
        <w:spacing w:after="0" w:line="122"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SOS1 is a member of a family of proteins that activate RAS. SOS1 directly activates RAS proteins by promoting the release of tightly bound GDP and facilitating the binding of GTP, which is present at a much higher intracellular concentrations than GDP, to generate RAS(ON). SOS1 itself is activated by RAS through the binding of RAS(ON) to an allosteric site on the SOS1 protein. As a result, there is a positive feedback loop between SOS1 and RAS that increases RAS signaling. The activation of RAS by SOS1 is ‘processive’; that is, once a single molecule of SOS1 is activated it can sequentially activate multiple RAS molecules until it eventually becomes inactive.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4EBP1/mTORC1</w:t>
      </w:r>
    </w:p>
    <w:p>
      <w:pPr>
        <w:spacing w:after="0" w:line="122"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mTORC1 and mTORC2 are large protein complexes that share mTOR kinase but contain distinct additional components and cellular functions. mTORC1 is a critical regulator of metabolism, growth and proliferation within cells, including cancer cells. Two of the main substrates of mTORC1 are eukaryotic initiation factor 4E-binding protein 1 (4EBP1) and ribosomal S6 kinase (S6K). Under resting conditions non-phosphorylated 4EBP1 functions as a suppressor of the translation of proteins that are required for cell growth, proliferation and survival. Phosphorylation of 4EBP1 by activated mTORC1 inhibits this suppressive regulatory function and thereby upregulates translation of these proteins. One of the most important proteins regulated by 4EBP1 is the oncogenic protein C-MYC, which for many years has been thought to be central to cancer cell growth and survival. The abnormal activation of mTORC1, and subsequent inactivation of the tumor suppressor 4EBP1, is a mechanism that is frequently harnessed by cancer cells to gain a growth and proliferation advantage over normal cells. A number of upstream proteins in the mTOR signaling pathway that regulate mTORC1 activity are frequently mutated, or deleted, in cancer cells, resulting in increased activation of mTORC1 and upregulation of translation; these targets of mutation include PTEN, PI3 kinase (PI3K) and hamartin (TSC1) and tuberin (TSC2).</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RAS mutant epidemiology in the United States</w:t>
      </w:r>
    </w:p>
    <w:p>
      <w:pPr>
        <w:spacing w:after="0" w:line="122"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Mutations in RAS proteins account for approximately 30% of all human cancers in the United States, many of which are fatal. Diverse oncogenic RAS mutations in three different RAS isoforms (KRAS, NRAS and HRAS) drive distinct human cancers. KRAS mutations are commonly found in NSCLC and account for approximately 85% of RAS-mutant cancers. NRAS mutations are commonly found in melanoma and account for approximately 11% of RAS-mutant cancers. HRAS mutations are commonly found in bladder cancer and account for 4% of RAS-mutant cancers. The table below summarizes the frequency of RAS cancer mutations in the United States. There continues to be a high unmet medical need for patients bearing tumors with these mutations. We believe our programs, including our SHP2, RAS and SOS1 inhibitors, may be useful in addressing this unmet medical need.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Projected number of new cases in 2019 in the United States (frequency % shown in parentheses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83820</wp:posOffset>
            </wp:positionV>
            <wp:extent cx="5196840" cy="172402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96840" cy="172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20" w:hanging="316"/>
        <w:spacing w:after="0"/>
        <w:tabs>
          <w:tab w:leader="none" w:pos="5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NSCLC = Non-small cell lung cancer; Adeno = adenocarcinoma; AML = Acute myeloid leukemia.</w:t>
      </w:r>
    </w:p>
    <w:p>
      <w:pPr>
        <w:spacing w:after="0" w:line="55" w:lineRule="exact"/>
        <w:rPr>
          <w:sz w:val="20"/>
          <w:szCs w:val="20"/>
          <w:color w:val="auto"/>
        </w:rPr>
      </w:pPr>
    </w:p>
    <w:p>
      <w:pPr>
        <w:ind w:left="520" w:right="180" w:hanging="316"/>
        <w:spacing w:after="0" w:line="231" w:lineRule="auto"/>
        <w:tabs>
          <w:tab w:leader="none" w:pos="5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Data are based on projections from the National Cancer Institute’s SEER Program for new cases of lung cancer, colorectal cancer, pancreatic cancer, AML and other cancers in 2019 and estimates from the American Cancer Society of the incidence of NSCLC and adenocarcinoma in lung cancer cases.</w:t>
      </w:r>
    </w:p>
    <w:p>
      <w:pPr>
        <w:spacing w:after="0" w:line="55" w:lineRule="exact"/>
        <w:rPr>
          <w:sz w:val="20"/>
          <w:szCs w:val="20"/>
          <w:color w:val="auto"/>
        </w:rPr>
      </w:pPr>
    </w:p>
    <w:p>
      <w:pPr>
        <w:ind w:left="520" w:hanging="316"/>
        <w:spacing w:after="0" w:line="231" w:lineRule="auto"/>
        <w:tabs>
          <w:tab w:leader="none" w:pos="520" w:val="left"/>
        </w:tabs>
        <w:numPr>
          <w:ilvl w:val="0"/>
          <w:numId w:val="78"/>
        </w:numPr>
        <w:rPr>
          <w:rFonts w:ascii="Arial" w:cs="Arial" w:eastAsia="Arial" w:hAnsi="Arial"/>
          <w:sz w:val="14"/>
          <w:szCs w:val="14"/>
          <w:color w:val="auto"/>
        </w:rPr>
      </w:pPr>
      <w:r>
        <w:rPr>
          <w:rFonts w:ascii="Arial" w:cs="Arial" w:eastAsia="Arial" w:hAnsi="Arial"/>
          <w:sz w:val="14"/>
          <w:szCs w:val="14"/>
          <w:color w:val="auto"/>
        </w:rPr>
        <w:t>Reflects our estimate of projected number of cases in 2019 by RAS protein mutation for each cancer histotype indicated. Estimated frequency percentages (shown in parentheses) of RAS protein mutation in applicable histotype are based on data obtained from Foundation Medicine, Inc., applied to data described in footnote † above.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Limitations of approved drugs treating RAS-dependent cancers and our opportunity</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 major goal in contemporary oncology treatment is to replace relatively unselective chemotherapy regimens—which in many cases remain the standard of care today but provide only partial benefit with many side effects—with more effective and better tolerated targeted therapeutic options. Targeted therapies directed against RAS-dependent cancers, which include drugs that inhibit RTKs, RAF and MEK, have been approved for use in lung cancer, melanoma and colorectal cancer. These targeted therapies have shown the capacity to drive deeper and more durable responses than conventional chemotherapy regimens while minimizing unwanted side effects and damage to normal tissues.</w:t>
      </w:r>
    </w:p>
    <w:p>
      <w:pPr>
        <w:spacing w:after="0" w:line="102"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Two treatment gaps remain in RAS-dependent cancers. First, several oncogenic proteins are not addressed by current targeted therapies. Second, cancers driven by oncogenic proteins that are addressed by current targeted therapies often progress in the face of drug therapy due to adaptive resistance mechanisms.</w:t>
      </w:r>
    </w:p>
    <w:p>
      <w:pPr>
        <w:spacing w:after="0" w:line="82" w:lineRule="exact"/>
        <w:rPr>
          <w:sz w:val="20"/>
          <w:szCs w:val="20"/>
          <w:color w:val="auto"/>
        </w:rPr>
      </w:pPr>
    </w:p>
    <w:p>
      <w:pPr>
        <w:ind w:left="200" w:right="220"/>
        <w:spacing w:after="0" w:line="243" w:lineRule="auto"/>
        <w:rPr>
          <w:sz w:val="20"/>
          <w:szCs w:val="20"/>
          <w:color w:val="auto"/>
        </w:rPr>
      </w:pPr>
      <w:r>
        <w:rPr>
          <w:rFonts w:ascii="Arial" w:cs="Arial" w:eastAsia="Arial" w:hAnsi="Arial"/>
          <w:sz w:val="18"/>
          <w:szCs w:val="18"/>
          <w:color w:val="auto"/>
        </w:rPr>
        <w:t xml:space="preserve">Specific examples of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drivers are RAS, NF1, and selected RAF mutants (BRAF</w:t>
      </w:r>
      <w:r>
        <w:rPr>
          <w:rFonts w:ascii="Arial" w:cs="Arial" w:eastAsia="Arial" w:hAnsi="Arial"/>
          <w:sz w:val="11"/>
          <w:szCs w:val="11"/>
          <w:color w:val="auto"/>
        </w:rPr>
        <w:t>Class3</w:t>
      </w:r>
      <w:r>
        <w:rPr>
          <w:rFonts w:ascii="Arial" w:cs="Arial" w:eastAsia="Arial" w:hAnsi="Arial"/>
          <w:sz w:val="18"/>
          <w:szCs w:val="18"/>
          <w:color w:val="auto"/>
        </w:rPr>
        <w:t>). Historically, direct inhibition of any RAS protein has been challenging due to a lack of tractable, or “druggable,” binding pockets. Recently reported initial clinical results from two RAS(OFF) inhibitors targeting mutant KRAS</w:t>
      </w:r>
      <w:r>
        <w:rPr>
          <w:rFonts w:ascii="Arial" w:cs="Arial" w:eastAsia="Arial" w:hAnsi="Arial"/>
          <w:sz w:val="11"/>
          <w:szCs w:val="11"/>
          <w:color w:val="auto"/>
        </w:rPr>
        <w:t>G12C</w:t>
      </w:r>
      <w:r>
        <w:rPr>
          <w:rFonts w:ascii="Arial" w:cs="Arial" w:eastAsia="Arial" w:hAnsi="Arial"/>
          <w:sz w:val="18"/>
          <w:szCs w:val="18"/>
          <w:color w:val="auto"/>
        </w:rPr>
        <w:t xml:space="preserve"> suggest significant clinical benefit and provide strong pharmacologic validation of this oncoprotein as a cancer</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driver. These results, along with other preclinical data, provide a compelling basis for our commitment to targeting oncogenic mutant forms of RAS(ON). We are using our innovation engine to develop a portfolio of mutant-selective RAS(ON) inhibitors and, initially, we will prioritize four mutant RAS(ON) targets—KRAS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xml:space="preserve"> and NRAS</w:t>
      </w:r>
      <w:r>
        <w:rPr>
          <w:rFonts w:ascii="Arial" w:cs="Arial" w:eastAsia="Arial" w:hAnsi="Arial"/>
          <w:sz w:val="11"/>
          <w:szCs w:val="11"/>
          <w:color w:val="auto"/>
        </w:rPr>
        <w:t>G12C</w:t>
      </w:r>
      <w:r>
        <w:rPr>
          <w:rFonts w:ascii="Arial" w:cs="Arial" w:eastAsia="Arial" w:hAnsi="Arial"/>
          <w:sz w:val="18"/>
          <w:szCs w:val="18"/>
          <w:color w:val="auto"/>
        </w:rPr>
        <w:t>.</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 common source of treatment failure with existing targeted therapies is that cancer cells exhibiting “oncogene addiction” exploit cell signaling circuitry to bypass the drug’s effect and sustain growth and survival. This phenomenon is particularly well recognized in RAS-dependent cancers, and may be especially active in certain tumor histotypes, making them less sensitive to a drug from the outset and/or more likely to progress over time. Certain RAS-dependent cancers have been treated with two RAS pathway targeted agents to achieve combinatorial benefit by attenuating adaptive resistance mechanisms. For example, melanomas driven by BRAF</w:t>
      </w:r>
      <w:r>
        <w:rPr>
          <w:rFonts w:ascii="Arial" w:cs="Arial" w:eastAsia="Arial" w:hAnsi="Arial"/>
          <w:sz w:val="11"/>
          <w:szCs w:val="11"/>
          <w:color w:val="auto"/>
        </w:rPr>
        <w:t>Class1</w:t>
      </w:r>
      <w:r>
        <w:rPr>
          <w:rFonts w:ascii="Arial" w:cs="Arial" w:eastAsia="Arial" w:hAnsi="Arial"/>
          <w:sz w:val="18"/>
          <w:szCs w:val="18"/>
          <w:color w:val="auto"/>
        </w:rPr>
        <w:t xml:space="preserve"> mutations can be treated with a combination of a BRAF inhibitor and a MEK inhibitor. SHP2 is believed to be a central node that can be targeted to disrupt bypass signaling pathways that may involve activation of multiple RTKs. Therefore, although we are at an early stage of clinical testing and product candidate development, we believe RMC-4630, a potent and selective inhibitor of SHP2, is well positioned to become the backbone of targeted therapy combinations for the treatment of various RAS-dependent tumors, and plan to explore this paradigm in our ongoing RMC-4630 clinical program.</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using our innovation engine to develop novel targeted therapies and combination regimens to address these treatment gaps.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innovation engine</w:t>
      </w:r>
    </w:p>
    <w:p>
      <w:pPr>
        <w:spacing w:after="0" w:line="116" w:lineRule="exact"/>
        <w:rPr>
          <w:sz w:val="20"/>
          <w:szCs w:val="20"/>
          <w:color w:val="auto"/>
        </w:rPr>
      </w:pPr>
    </w:p>
    <w:p>
      <w:pPr>
        <w:ind w:left="200" w:right="40"/>
        <w:spacing w:after="0" w:line="247" w:lineRule="auto"/>
        <w:rPr>
          <w:sz w:val="20"/>
          <w:szCs w:val="20"/>
          <w:color w:val="auto"/>
        </w:rPr>
      </w:pPr>
      <w:r>
        <w:rPr>
          <w:rFonts w:ascii="Arial" w:cs="Arial" w:eastAsia="Arial" w:hAnsi="Arial"/>
          <w:sz w:val="18"/>
          <w:szCs w:val="18"/>
          <w:color w:val="auto"/>
        </w:rPr>
        <w:t xml:space="preserve">We have built an innovation engine that enables us to discover and develop novel targeted therapies for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targets with particular focus on a cohesive set of disease targets within notorious growth and survival pathways. This engine consists of three complementary drivers:</w:t>
      </w:r>
    </w:p>
    <w:p>
      <w:pPr>
        <w:spacing w:after="0" w:line="86" w:lineRule="exact"/>
        <w:rPr>
          <w:sz w:val="20"/>
          <w:szCs w:val="20"/>
          <w:color w:val="auto"/>
        </w:rPr>
      </w:pPr>
    </w:p>
    <w:p>
      <w:pPr>
        <w:ind w:left="420" w:right="220" w:hanging="216"/>
        <w:spacing w:after="0" w:line="264"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Deep </w:t>
      </w:r>
      <w:r>
        <w:rPr>
          <w:rFonts w:ascii="Arial" w:cs="Arial" w:eastAsia="Arial" w:hAnsi="Arial"/>
          <w:sz w:val="18"/>
          <w:szCs w:val="18"/>
          <w:b w:val="1"/>
          <w:bCs w:val="1"/>
          <w:color w:val="auto"/>
        </w:rPr>
        <w:t>chemical biology and cancer pharmacology know-how</w:t>
      </w:r>
      <w:r>
        <w:rPr>
          <w:rFonts w:ascii="Arial" w:cs="Arial" w:eastAsia="Arial" w:hAnsi="Arial"/>
          <w:sz w:val="18"/>
          <w:szCs w:val="18"/>
          <w:color w:val="auto"/>
        </w:rPr>
        <w:t>, including assays and proprietary tool compounds, to define the critical vulnerabilities of “frontier” RAS and mTOR pathway targets and associated signaling circuits in cancer cells;</w:t>
      </w:r>
    </w:p>
    <w:p>
      <w:pPr>
        <w:spacing w:after="0" w:line="71" w:lineRule="exact"/>
        <w:rPr>
          <w:rFonts w:ascii="Arial" w:cs="Arial" w:eastAsia="Arial" w:hAnsi="Arial"/>
          <w:sz w:val="18"/>
          <w:szCs w:val="18"/>
          <w:color w:val="auto"/>
        </w:rPr>
      </w:pPr>
    </w:p>
    <w:p>
      <w:pPr>
        <w:ind w:left="420" w:right="500" w:hanging="216"/>
        <w:spacing w:after="0" w:line="264" w:lineRule="auto"/>
        <w:tabs>
          <w:tab w:leader="none" w:pos="4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Sophisticated </w:t>
      </w:r>
      <w:r>
        <w:rPr>
          <w:rFonts w:ascii="Arial" w:cs="Arial" w:eastAsia="Arial" w:hAnsi="Arial"/>
          <w:sz w:val="18"/>
          <w:szCs w:val="18"/>
          <w:b w:val="1"/>
          <w:bCs w:val="1"/>
          <w:color w:val="auto"/>
        </w:rPr>
        <w:t>structure-based drug discovery capabilities</w:t>
      </w:r>
      <w:r>
        <w:rPr>
          <w:rFonts w:ascii="Arial" w:cs="Arial" w:eastAsia="Arial" w:hAnsi="Arial"/>
          <w:sz w:val="18"/>
          <w:szCs w:val="18"/>
          <w:color w:val="auto"/>
        </w:rPr>
        <w:t xml:space="preserve">, including proven </w:t>
      </w:r>
      <w:r>
        <w:rPr>
          <w:rFonts w:ascii="Arial" w:cs="Arial" w:eastAsia="Arial" w:hAnsi="Arial"/>
          <w:sz w:val="18"/>
          <w:szCs w:val="18"/>
          <w:b w:val="1"/>
          <w:bCs w:val="1"/>
          <w:color w:val="auto"/>
        </w:rPr>
        <w:t>access to complex chemical space</w:t>
      </w:r>
      <w:r>
        <w:rPr>
          <w:rFonts w:ascii="Arial" w:cs="Arial" w:eastAsia="Arial" w:hAnsi="Arial"/>
          <w:sz w:val="18"/>
          <w:szCs w:val="18"/>
          <w:color w:val="auto"/>
        </w:rPr>
        <w:t>, to create drug candidates tailored to unconventional binding sites on elusive cancer targets; and</w:t>
      </w:r>
    </w:p>
    <w:p>
      <w:pPr>
        <w:spacing w:after="0" w:line="71" w:lineRule="exact"/>
        <w:rPr>
          <w:rFonts w:ascii="Arial" w:cs="Arial" w:eastAsia="Arial" w:hAnsi="Arial"/>
          <w:sz w:val="18"/>
          <w:szCs w:val="18"/>
          <w:color w:val="auto"/>
        </w:rPr>
      </w:pPr>
    </w:p>
    <w:p>
      <w:pPr>
        <w:ind w:left="420" w:right="500" w:hanging="216"/>
        <w:spacing w:after="0" w:line="328" w:lineRule="auto"/>
        <w:tabs>
          <w:tab w:leader="none" w:pos="4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 xml:space="preserve">Astute </w:t>
      </w:r>
      <w:r>
        <w:rPr>
          <w:rFonts w:ascii="Arial" w:cs="Arial" w:eastAsia="Arial" w:hAnsi="Arial"/>
          <w:sz w:val="16"/>
          <w:szCs w:val="16"/>
          <w:b w:val="1"/>
          <w:bCs w:val="1"/>
          <w:color w:val="auto"/>
        </w:rPr>
        <w:t>precision medicine approach</w:t>
      </w:r>
      <w:r>
        <w:rPr>
          <w:rFonts w:ascii="Arial" w:cs="Arial" w:eastAsia="Arial" w:hAnsi="Arial"/>
          <w:sz w:val="16"/>
          <w:szCs w:val="16"/>
          <w:color w:val="auto"/>
        </w:rPr>
        <w:t>, embracing patient selection and innovative single agent and combination drug regimens, to translate our preclinical insights into clinical benefit for patients with genetically-defined cancers that are addicted to these pathways.</w:t>
      </w:r>
    </w:p>
    <w:p>
      <w:pPr>
        <w:spacing w:after="0" w:line="12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chemical biology and cancer pharmacology know-how</w:t>
      </w:r>
    </w:p>
    <w:p>
      <w:pPr>
        <w:spacing w:after="0" w:line="106" w:lineRule="exact"/>
        <w:rPr>
          <w:sz w:val="20"/>
          <w:szCs w:val="20"/>
          <w:color w:val="auto"/>
        </w:rPr>
      </w:pPr>
    </w:p>
    <w:p>
      <w:pPr>
        <w:ind w:left="200" w:right="20"/>
        <w:spacing w:after="0" w:line="275" w:lineRule="auto"/>
        <w:rPr>
          <w:sz w:val="20"/>
          <w:szCs w:val="20"/>
          <w:color w:val="auto"/>
        </w:rPr>
      </w:pPr>
      <w:r>
        <w:rPr>
          <w:rFonts w:ascii="Arial" w:cs="Arial" w:eastAsia="Arial" w:hAnsi="Arial"/>
          <w:sz w:val="16"/>
          <w:szCs w:val="16"/>
          <w:color w:val="auto"/>
        </w:rPr>
        <w:t xml:space="preserve">We test our inhibitors across a diverse set of human cancer cell and patient-derived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of cancer. This is complemented by targeted implementation of bioinformatics and functional genomics. The biological insights we generate help us to unravel the complex molecular circuitry in human cancers. We also explore mechanisms of adaptive resistance that RAS-addicted cancer cells use to circumvent inhibition of the pathway, and develop innovative mechanism-based dosing paradigms and rational in-pathway combinations with our proprietary compounds and/or other agents. We evaluate such dosing and combination approaches in our preclinical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to define their pharmacologic opportunities and limitations, and to prioritize therapeutic strategies for translation to the clinic.</w:t>
      </w:r>
    </w:p>
    <w:p>
      <w:pPr>
        <w:spacing w:after="0" w:line="11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80"/>
          </w:cols>
          <w:pgMar w:left="240" w:top="459" w:right="4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structure-based drug discovery capabilities</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enlist various technologies and capabilities that give us chemical access to challenging sites that are generally not accessible using conventional small molecule drug discovery approaches. For each target, we consider the specific structural, physico-chemical, functional and dynamic properties of the target and deploy the approach(es) that appears most likely to yield viable development candidates. In some instances the compounds we discover and develop are small molecules (e.g., less than 500 mw) with properties that generally satisfy conventional pharmaceutical “Rule of 5” criteria, while in other cases, they are larger (e.g., 500-1000 mw) “Beyond Rule of 5” compounds. In either case, we use various structure-based design tools to discover the initial chemical matter, drive optimization using iterative medicinal chemistry, and generate structure-activity and structure-property relationships to identify development candidates. In order to prosecute effective medicinal chemistry campaigns within complex chemical space, we use our deep experience and make the necessary investments to design and develop scalable modular chemical synthesis, purification and analytical methods for selected scaffolds to routinely and efficiently analogue our “Beyond Rule of 5” chemical series.</w:t>
      </w:r>
    </w:p>
    <w:p>
      <w:pPr>
        <w:spacing w:after="0" w:line="10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 xml:space="preserve">Although we are at an early stage of clinical testing and product candidate development, we believe our differentiated chemical approaches to discovering inhibitors for challenging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cancer targets is exemplified by our current portfolio. Each of our current programs takes advantage of allosteric regulation to inhibit the target of interest by exploiting one or more of three distinct mechanisms. We use the term allosteric inhibitors to describe those that “act at a distance,” meaning that the inhibitory effect occurs at a protein site or domain distinct from the compound’s binding site.</w:t>
      </w:r>
    </w:p>
    <w:p>
      <w:pPr>
        <w:spacing w:after="0" w:line="41" w:lineRule="exact"/>
        <w:rPr>
          <w:sz w:val="20"/>
          <w:szCs w:val="20"/>
          <w:color w:val="auto"/>
        </w:rPr>
      </w:pPr>
    </w:p>
    <w:p>
      <w:pPr>
        <w:ind w:left="640" w:right="100" w:hanging="436"/>
        <w:spacing w:after="0" w:line="280"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Intra-Molecular Allosteric Inhibitors</w:t>
      </w:r>
      <w:r>
        <w:rPr>
          <w:rFonts w:ascii="Arial" w:cs="Arial" w:eastAsia="Arial" w:hAnsi="Arial"/>
          <w:sz w:val="16"/>
          <w:szCs w:val="16"/>
          <w:color w:val="auto"/>
        </w:rPr>
        <w:t>: Our SHP2 inhibitors, including RMC-4630, act by binding to a site in the protein that is distinct</w:t>
      </w:r>
      <w:r>
        <w:rPr>
          <w:rFonts w:ascii="Arial" w:cs="Arial" w:eastAsia="Arial" w:hAnsi="Arial"/>
          <w:sz w:val="16"/>
          <w:szCs w:val="16"/>
          <w:b w:val="1"/>
          <w:bCs w:val="1"/>
          <w:color w:val="auto"/>
        </w:rPr>
        <w:t xml:space="preserve"> </w:t>
      </w:r>
      <w:r>
        <w:rPr>
          <w:rFonts w:ascii="Arial" w:cs="Arial" w:eastAsia="Arial" w:hAnsi="Arial"/>
          <w:sz w:val="16"/>
          <w:szCs w:val="16"/>
          <w:color w:val="auto"/>
        </w:rPr>
        <w:t>from the catalytic “active site” but nonetheless inhibit the phosphatase activity of SHP2. The inhibitors bind to a pocket within SHP2 that is formed when the protein is folded back onto itself in its basal, “autoinhibited” state; by binding to this pocket, these compounds stabilize the inactive conformation of SHP2 and therefore inhibit its overall function. We refer to this mechanism as “intra-molecular allostery” since it involves inhibitory actions entirely within the target protein itself. RMC-4630 is a traditional “Rule of 5” compound.</w:t>
      </w:r>
    </w:p>
    <w:p>
      <w:pPr>
        <w:spacing w:after="0" w:line="7" w:lineRule="exact"/>
        <w:rPr>
          <w:rFonts w:ascii="Arial" w:cs="Arial" w:eastAsia="Arial" w:hAnsi="Arial"/>
          <w:sz w:val="16"/>
          <w:szCs w:val="16"/>
          <w:color w:val="auto"/>
        </w:rPr>
      </w:pPr>
    </w:p>
    <w:p>
      <w:pPr>
        <w:ind w:left="640" w:right="20" w:hanging="436"/>
        <w:spacing w:after="0" w:line="273"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Tri-Complex Inhibitors</w:t>
      </w:r>
      <w:r>
        <w:rPr>
          <w:rFonts w:ascii="Arial" w:cs="Arial" w:eastAsia="Arial" w:hAnsi="Arial"/>
          <w:sz w:val="16"/>
          <w:szCs w:val="16"/>
          <w:color w:val="auto"/>
        </w:rPr>
        <w:t>: Our targeted mutant RAS(ON) portfolio takes advantage of our proprietary tri-complex technology that enables</w:t>
      </w:r>
      <w:r>
        <w:rPr>
          <w:rFonts w:ascii="Arial" w:cs="Arial" w:eastAsia="Arial" w:hAnsi="Arial"/>
          <w:sz w:val="16"/>
          <w:szCs w:val="16"/>
          <w:b w:val="1"/>
          <w:bCs w:val="1"/>
          <w:color w:val="auto"/>
        </w:rPr>
        <w:t xml:space="preserve"> </w:t>
      </w:r>
      <w:r>
        <w:rPr>
          <w:rFonts w:ascii="Arial" w:cs="Arial" w:eastAsia="Arial" w:hAnsi="Arial"/>
          <w:sz w:val="16"/>
          <w:szCs w:val="16"/>
          <w:color w:val="auto"/>
        </w:rPr>
        <w:t>us to discover small molecule inhibitors of targets lacking intrinsic drug binding sites by inducing new druggable pockets. Our RAS inhibitors induce a new binding pocket on RAS(ON) by driving formation of a high affinity ternary complex (tri-complex) between the mutant RAS protein and a widely expressed cytosolic protein called a chaperone (e.g., FKPB12 or cyclophilin A). The inhibitory effect on RAS is mediated by steric occlusion of the interaction site between the mutant RAS and downstream effector molecules, such as RAF, which are required for propagating the oncogenic signal. We refer to this mechanism as “inter-molecular allostery” since it involves indirect inhibitory effects of a second protein (the chaperone) on the target in the presence of our tri-complex inhibitors. Our RAS(ON) inhibitors, which are inspired by natural products that act through this type of mechanism, are “Beyond Rule of 5” compounds.</w:t>
      </w:r>
    </w:p>
    <w:p>
      <w:pPr>
        <w:spacing w:after="0" w:line="13" w:lineRule="exact"/>
        <w:rPr>
          <w:rFonts w:ascii="Arial" w:cs="Arial" w:eastAsia="Arial" w:hAnsi="Arial"/>
          <w:sz w:val="16"/>
          <w:szCs w:val="16"/>
          <w:color w:val="auto"/>
        </w:rPr>
      </w:pPr>
    </w:p>
    <w:p>
      <w:pPr>
        <w:ind w:left="640" w:hanging="436"/>
        <w:spacing w:after="0" w:line="277" w:lineRule="auto"/>
        <w:tabs>
          <w:tab w:leader="none" w:pos="640" w:val="left"/>
        </w:tabs>
        <w:numPr>
          <w:ilvl w:val="0"/>
          <w:numId w:val="80"/>
        </w:numPr>
        <w:rPr>
          <w:rFonts w:ascii="Arial" w:cs="Arial" w:eastAsia="Arial" w:hAnsi="Arial"/>
          <w:sz w:val="16"/>
          <w:szCs w:val="16"/>
          <w:color w:val="auto"/>
        </w:rPr>
      </w:pPr>
      <w:r>
        <w:rPr>
          <w:rFonts w:ascii="Arial" w:cs="Arial" w:eastAsia="Arial" w:hAnsi="Arial"/>
          <w:sz w:val="16"/>
          <w:szCs w:val="16"/>
          <w:b w:val="1"/>
          <w:bCs w:val="1"/>
          <w:color w:val="auto"/>
        </w:rPr>
        <w:t>Bi-Steric Inhibitors</w:t>
      </w:r>
      <w:r>
        <w:rPr>
          <w:rFonts w:ascii="Arial" w:cs="Arial" w:eastAsia="Arial" w:hAnsi="Arial"/>
          <w:sz w:val="16"/>
          <w:szCs w:val="16"/>
          <w:color w:val="auto"/>
        </w:rPr>
        <w:t>: Our mTORC1 inhibitors comprise two pharmacophores in a single compound. One pharmacophore binds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well-known FRB (FKBP12-rapamycin binding) site on mTORC1 and the other binds to the mTOR kinase active site. As a result of these two binding interactions, such compounds exhibit two biologically useful features: (1) selectivity for mTORC1 over mTORC2, which is characteristic of the natural compound rapamycin, and (2) deep inhibition of mTORC1, which is characteristic of known active site inhibitors. These properties enable selective inhibition of phosphorylation of mTORC1 substrates, including 4EBP1. We refer to this type of inhibition as a “bi-steric mode.” These mTORC1 inhibitors, which are inspired by natural products, are “Beyond Rule of 5” compounds.</w:t>
      </w:r>
    </w:p>
    <w:p>
      <w:pPr>
        <w:spacing w:after="0" w:line="11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380"/>
        <w:spacing w:after="0"/>
        <w:tabs>
          <w:tab w:leader="none" w:pos="5340" w:val="left"/>
          <w:tab w:leader="none" w:pos="8120" w:val="left"/>
        </w:tabs>
        <w:rPr>
          <w:sz w:val="20"/>
          <w:szCs w:val="20"/>
          <w:color w:val="auto"/>
        </w:rPr>
      </w:pPr>
      <w:r>
        <w:rPr>
          <w:rFonts w:ascii="Arial" w:cs="Arial" w:eastAsia="Arial" w:hAnsi="Arial"/>
          <w:sz w:val="18"/>
          <w:szCs w:val="18"/>
          <w:b w:val="1"/>
          <w:bCs w:val="1"/>
          <w:color w:val="auto"/>
        </w:rPr>
        <w:t xml:space="preserve">SHP2: </w:t>
      </w:r>
      <w:r>
        <w:rPr>
          <w:rFonts w:ascii="Arial" w:cs="Arial" w:eastAsia="Arial" w:hAnsi="Arial"/>
          <w:sz w:val="18"/>
          <w:szCs w:val="18"/>
          <w:b w:val="1"/>
          <w:bCs w:val="1"/>
          <w:i w:val="1"/>
          <w:iCs w:val="1"/>
          <w:color w:val="auto"/>
        </w:rPr>
        <w:t>Intra-Molecular Allosteric</w:t>
      </w:r>
      <w:r>
        <w:rPr>
          <w:sz w:val="20"/>
          <w:szCs w:val="20"/>
          <w:color w:val="auto"/>
        </w:rPr>
        <w:tab/>
      </w:r>
      <w:r>
        <w:rPr>
          <w:rFonts w:ascii="Arial" w:cs="Arial" w:eastAsia="Arial" w:hAnsi="Arial"/>
          <w:sz w:val="18"/>
          <w:szCs w:val="18"/>
          <w:b w:val="1"/>
          <w:bCs w:val="1"/>
          <w:color w:val="auto"/>
        </w:rPr>
        <w:t xml:space="preserve">RAS: </w:t>
      </w:r>
      <w:r>
        <w:rPr>
          <w:rFonts w:ascii="Arial" w:cs="Arial" w:eastAsia="Arial" w:hAnsi="Arial"/>
          <w:sz w:val="18"/>
          <w:szCs w:val="18"/>
          <w:b w:val="1"/>
          <w:bCs w:val="1"/>
          <w:i w:val="1"/>
          <w:iCs w:val="1"/>
          <w:color w:val="auto"/>
        </w:rPr>
        <w:t>Tri-Complex</w:t>
      </w:r>
      <w:r>
        <w:rPr>
          <w:sz w:val="20"/>
          <w:szCs w:val="20"/>
          <w:color w:val="auto"/>
        </w:rPr>
        <w:tab/>
      </w:r>
      <w:r>
        <w:rPr>
          <w:rFonts w:ascii="Arial" w:cs="Arial" w:eastAsia="Arial" w:hAnsi="Arial"/>
          <w:sz w:val="16"/>
          <w:szCs w:val="16"/>
          <w:b w:val="1"/>
          <w:bCs w:val="1"/>
          <w:color w:val="auto"/>
        </w:rPr>
        <w:t xml:space="preserve">mTORC1: </w:t>
      </w:r>
      <w:r>
        <w:rPr>
          <w:rFonts w:ascii="Arial" w:cs="Arial" w:eastAsia="Arial" w:hAnsi="Arial"/>
          <w:sz w:val="16"/>
          <w:szCs w:val="16"/>
          <w:b w:val="1"/>
          <w:bCs w:val="1"/>
          <w:i w:val="1"/>
          <w:iCs w:val="1"/>
          <w:color w:val="auto"/>
        </w:rPr>
        <w:t>Bi-Steric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precision medicine approach</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interrogate the biology of different cancers and their associated mutational drivers to help inform patient selection, therapeutic treatment regimens, and appropriate outcome measures. To identify patient subsets that may benefit most from our treatment strategies, we use genomics, transcriptomics and proteomics data from human tumor samples and/or broad panels of human cancer cell lines. We also pursue development of drug combinations where combinatorial benefits are predicted and confirmed in preclinical models. Innovative, mechanism-based dosing paradigms are explored for each combination and refined using pharmacokinetic and pharmacodynamic modeling techniques and sophisticated continuous reassessment dosing methodology. We also identify and monitor pharmacodynamic biomarkers and surrogates of clinical activity to help measure target inhibition.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pipeline</w:t>
      </w:r>
    </w:p>
    <w:p>
      <w:pPr>
        <w:spacing w:after="0" w:line="116"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 xml:space="preserve">We are using our innovation engine to develop a deep pipeline of novel targeted therapies to inhibit elusive, high-value </w:t>
      </w:r>
      <w:r>
        <w:rPr>
          <w:rFonts w:ascii="Arial" w:cs="Arial" w:eastAsia="Arial" w:hAnsi="Arial"/>
          <w:sz w:val="18"/>
          <w:szCs w:val="18"/>
          <w:i w:val="1"/>
          <w:iCs w:val="1"/>
          <w:color w:val="auto"/>
        </w:rPr>
        <w:t>frontier</w:t>
      </w:r>
      <w:r>
        <w:rPr>
          <w:rFonts w:ascii="Arial" w:cs="Arial" w:eastAsia="Arial" w:hAnsi="Arial"/>
          <w:sz w:val="18"/>
          <w:szCs w:val="18"/>
          <w:color w:val="auto"/>
        </w:rPr>
        <w:t xml:space="preserve"> targets within the notorious RAS and mTOR signaling pathways. Our pipeline includes one product candidate that is in clinical development and all of our other programs are in the preclinical stage. Under our collaboration with Sanofi on our SHP2 program, we have a 50-50 profit share and a co-promote right in the United States and are eligible to receive royalties on net sales outside of the United States. Sanofi is responsible for reimbursing substantially all of our research costs and all of our development costs for the SHP2 program. For all other programs, we retain worldwide commercial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150495</wp:posOffset>
            </wp:positionV>
            <wp:extent cx="5188585" cy="22383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88585" cy="223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240" w:top="459" w:right="5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SHP2 inhibitor, RMC-4630</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Our most advanced product candidate, RMC-4630, is a potent and selective inhibitor of SHP2, based on preclinical evidence described in this prospectus. SHP2 is a protein that plays a central role in modulating cell survival and growth by transmitting signals from upstream RTKs to RAS. In collaboration with Sanofi, we are evaluating RMC-4630 in a multi-cohort Phase 1/2 clinical program, which includes our ongoing Phase 1 study of RMC-4630 as monotherapy in patients with advanced cancers, including those with tumors harboring genetically defined mutations in the RAS signaling pathway, and our ongoing Phase 1b/2 study of RMC-4630 in combination with the MEK inhibitor cobimetinib. Based on our own data, and supported by observations by others, we are evaluating intermittent dosing schedules in our clinical program to allow us to maximize dose intensity in order to achieve the greatest depth of response. We also plan to explore the potential clinical benefit of RMC-4630 in combination with other in-pathway agents targeting RTK (initially EGFR), and KRAS</w:t>
      </w:r>
      <w:r>
        <w:rPr>
          <w:rFonts w:ascii="Arial" w:cs="Arial" w:eastAsia="Arial" w:hAnsi="Arial"/>
          <w:sz w:val="10"/>
          <w:szCs w:val="10"/>
          <w:color w:val="auto"/>
        </w:rPr>
        <w:t>G12C</w:t>
      </w:r>
      <w:r>
        <w:rPr>
          <w:rFonts w:ascii="Arial" w:cs="Arial" w:eastAsia="Arial" w:hAnsi="Arial"/>
          <w:sz w:val="16"/>
          <w:szCs w:val="16"/>
          <w:color w:val="auto"/>
        </w:rPr>
        <w:t>, as well as in combination with PD-1 inhibitors. Although we are at an early stage of clinical testing and product candidate development, we believe RMC-4630 is well-positioned to become the backbone of targeted therapy combinations for the treatment of various RAS-dependent tumors.</w:t>
      </w:r>
    </w:p>
    <w:p>
      <w:pPr>
        <w:spacing w:after="0" w:line="37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profile of RMC-4630</w:t>
      </w:r>
    </w:p>
    <w:p>
      <w:pPr>
        <w:spacing w:after="0" w:line="53" w:lineRule="exact"/>
        <w:rPr>
          <w:sz w:val="20"/>
          <w:szCs w:val="20"/>
          <w:color w:val="auto"/>
        </w:rPr>
      </w:pPr>
    </w:p>
    <w:p>
      <w:pPr>
        <w:ind w:left="200" w:right="60"/>
        <w:spacing w:after="0" w:line="233" w:lineRule="auto"/>
        <w:rPr>
          <w:sz w:val="20"/>
          <w:szCs w:val="20"/>
          <w:color w:val="auto"/>
        </w:rPr>
      </w:pPr>
      <w:r>
        <w:rPr>
          <w:rFonts w:ascii="Arial" w:cs="Arial" w:eastAsia="Arial" w:hAnsi="Arial"/>
          <w:sz w:val="18"/>
          <w:szCs w:val="18"/>
          <w:color w:val="auto"/>
        </w:rPr>
        <w:t>RMC-4630 potently inhibits SHP2 phosphatase activity in a biochemical assay that monitored dephosphorylation of a probe substrate (IC</w:t>
      </w:r>
      <w:r>
        <w:rPr>
          <w:rFonts w:ascii="Arial" w:cs="Arial" w:eastAsia="Arial" w:hAnsi="Arial"/>
          <w:sz w:val="22"/>
          <w:szCs w:val="22"/>
          <w:color w:val="auto"/>
          <w:vertAlign w:val="subscript"/>
        </w:rPr>
        <w:t>50</w:t>
      </w:r>
      <w:r>
        <w:rPr>
          <w:rFonts w:ascii="Arial" w:cs="Arial" w:eastAsia="Arial" w:hAnsi="Arial"/>
          <w:sz w:val="18"/>
          <w:szCs w:val="18"/>
          <w:color w:val="auto"/>
        </w:rPr>
        <w:t xml:space="preserve"> 1.29 nM, range 0.9 nM to 2.2 nM, number of experiments = 13) and SHP2 function in cellular assays, as measured by inhibition of ERK1/2 phosphorylation at Thr202/Tyr204, a read out for RAS pathway activation (IC</w:t>
      </w:r>
      <w:r>
        <w:rPr>
          <w:rFonts w:ascii="Arial" w:cs="Arial" w:eastAsia="Arial" w:hAnsi="Arial"/>
          <w:sz w:val="22"/>
          <w:szCs w:val="22"/>
          <w:color w:val="auto"/>
          <w:vertAlign w:val="subscript"/>
        </w:rPr>
        <w:t>50</w:t>
      </w:r>
      <w:r>
        <w:rPr>
          <w:rFonts w:ascii="Arial" w:cs="Arial" w:eastAsia="Arial" w:hAnsi="Arial"/>
          <w:sz w:val="18"/>
          <w:szCs w:val="18"/>
          <w:color w:val="auto"/>
        </w:rPr>
        <w:t xml:space="preserve"> values of 14 nM in PC9</w:t>
      </w:r>
      <w:r>
        <w:rPr>
          <w:rFonts w:ascii="Arial" w:cs="Arial" w:eastAsia="Arial" w:hAnsi="Arial"/>
          <w:sz w:val="11"/>
          <w:szCs w:val="11"/>
          <w:color w:val="auto"/>
        </w:rPr>
        <w:t>EGFRex19del</w:t>
      </w:r>
      <w:r>
        <w:rPr>
          <w:rFonts w:ascii="Arial" w:cs="Arial" w:eastAsia="Arial" w:hAnsi="Arial"/>
          <w:sz w:val="18"/>
          <w:szCs w:val="18"/>
          <w:color w:val="auto"/>
        </w:rPr>
        <w:t xml:space="preserve"> cells, range 5.3 nM to 63 nM, number of experiments = 11; and 20 nM in NCI-H358 KRAS</w:t>
      </w:r>
      <w:r>
        <w:rPr>
          <w:rFonts w:ascii="Arial" w:cs="Arial" w:eastAsia="Arial" w:hAnsi="Arial"/>
          <w:sz w:val="11"/>
          <w:szCs w:val="11"/>
          <w:color w:val="auto"/>
        </w:rPr>
        <w:t>G12C</w:t>
      </w:r>
      <w:r>
        <w:rPr>
          <w:rFonts w:ascii="Arial" w:cs="Arial" w:eastAsia="Arial" w:hAnsi="Arial"/>
          <w:sz w:val="18"/>
          <w:szCs w:val="18"/>
          <w:color w:val="auto"/>
        </w:rPr>
        <w:t xml:space="preserve"> cells, range 14.5 nM to 27.5 nM, number of experiments = 4). In standard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assays of target selectivity, no significant interaction with kinases or other phosphatases was observed. RMC-4630 (up to a test</w:t>
      </w:r>
      <w:r>
        <w:rPr>
          <w:rFonts w:ascii="Arial" w:cs="Arial" w:eastAsia="Arial" w:hAnsi="Arial"/>
          <w:sz w:val="18"/>
          <w:szCs w:val="18"/>
          <w:i w:val="1"/>
          <w:iCs w:val="1"/>
          <w:color w:val="auto"/>
        </w:rPr>
        <w:t xml:space="preserve"> </w:t>
      </w:r>
      <w:r>
        <w:rPr>
          <w:rFonts w:ascii="Arial" w:cs="Arial" w:eastAsia="Arial" w:hAnsi="Arial"/>
          <w:sz w:val="18"/>
          <w:szCs w:val="18"/>
          <w:color w:val="auto"/>
        </w:rPr>
        <w:t>concentration of 10 µM) exhibited no inhibition of full length SHP1 phosphatase (number of experiments = 3), or the catalytic domains of SHP1 and thirteen other phosphatase enzymes (single experiment conducted in duplicate). RMC-4630 exhibited over 3,000-fold (range 7054 to &gt;19,000, single experiment conducted in duplicate) selectivity for SHP2 (as measured by biochemical potency) over a panel of over 450 kinases (as measured by displacement of probe binding).</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24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anti-tumor activity</w:t>
      </w:r>
    </w:p>
    <w:p>
      <w:pPr>
        <w:spacing w:after="0" w:line="122"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Consistent with the role of SHP2 as a regulator of the RAS cycle, we observed that RMC-4630 suppresses tumor growth in a dose-dependent manner in human cell-line or patient-derived preclinical xenograft models of tumors harboring KRAS</w:t>
      </w:r>
      <w:r>
        <w:rPr>
          <w:rFonts w:ascii="Arial" w:cs="Arial" w:eastAsia="Arial" w:hAnsi="Arial"/>
          <w:sz w:val="11"/>
          <w:szCs w:val="11"/>
          <w:color w:val="auto"/>
        </w:rPr>
        <w:t>G12C</w:t>
      </w:r>
      <w:r>
        <w:rPr>
          <w:rFonts w:ascii="Arial" w:cs="Arial" w:eastAsia="Arial" w:hAnsi="Arial"/>
          <w:sz w:val="18"/>
          <w:szCs w:val="18"/>
          <w:color w:val="auto"/>
        </w:rPr>
        <w:t>, NF1</w:t>
      </w:r>
      <w:r>
        <w:rPr>
          <w:rFonts w:ascii="Arial" w:cs="Arial" w:eastAsia="Arial" w:hAnsi="Arial"/>
          <w:sz w:val="11"/>
          <w:szCs w:val="11"/>
          <w:color w:val="auto"/>
        </w:rPr>
        <w:t>LOF</w:t>
      </w:r>
      <w:r>
        <w:rPr>
          <w:rFonts w:ascii="Arial" w:cs="Arial" w:eastAsia="Arial" w:hAnsi="Arial"/>
          <w:sz w:val="18"/>
          <w:szCs w:val="18"/>
          <w:color w:val="auto"/>
        </w:rPr>
        <w:t>, or BRAF</w:t>
      </w:r>
      <w:r>
        <w:rPr>
          <w:rFonts w:ascii="Arial" w:cs="Arial" w:eastAsia="Arial" w:hAnsi="Arial"/>
          <w:sz w:val="11"/>
          <w:szCs w:val="11"/>
          <w:color w:val="auto"/>
        </w:rPr>
        <w:t>Class3</w:t>
      </w:r>
      <w:r>
        <w:rPr>
          <w:rFonts w:ascii="Arial" w:cs="Arial" w:eastAsia="Arial" w:hAnsi="Arial"/>
          <w:sz w:val="18"/>
          <w:szCs w:val="18"/>
          <w:color w:val="auto"/>
        </w:rPr>
        <w:t xml:space="preserve"> mutations or wild-type KRAS amplifications (Figure 1). Moreover, RMC-4630 at 30 mg/kg daily administered orally induced regression in some tumor models.</w:t>
      </w:r>
    </w:p>
    <w:p>
      <w:pPr>
        <w:spacing w:after="0" w:line="79" w:lineRule="exact"/>
        <w:rPr>
          <w:sz w:val="20"/>
          <w:szCs w:val="20"/>
          <w:color w:val="auto"/>
        </w:rPr>
      </w:pPr>
    </w:p>
    <w:p>
      <w:pPr>
        <w:ind w:left="200" w:right="780"/>
        <w:spacing w:after="0" w:line="264" w:lineRule="auto"/>
        <w:rPr>
          <w:sz w:val="20"/>
          <w:szCs w:val="20"/>
          <w:color w:val="auto"/>
        </w:rPr>
      </w:pPr>
      <w:r>
        <w:rPr>
          <w:rFonts w:ascii="Arial" w:cs="Arial" w:eastAsia="Arial" w:hAnsi="Arial"/>
          <w:sz w:val="18"/>
          <w:szCs w:val="18"/>
          <w:b w:val="1"/>
          <w:bCs w:val="1"/>
          <w:color w:val="auto"/>
        </w:rPr>
        <w:t>Figure 1</w:t>
      </w:r>
      <w:r>
        <w:rPr>
          <w:rFonts w:ascii="Arial" w:cs="Arial" w:eastAsia="Arial" w:hAnsi="Arial"/>
          <w:sz w:val="18"/>
          <w:szCs w:val="18"/>
          <w:color w:val="auto"/>
        </w:rPr>
        <w:t>: RMC-4630 suppresses tumor growth in preclinical xenograft models of tumors harboring KRAS</w:t>
      </w:r>
      <w:r>
        <w:rPr>
          <w:rFonts w:ascii="Arial" w:cs="Arial" w:eastAsia="Arial" w:hAnsi="Arial"/>
          <w:sz w:val="11"/>
          <w:szCs w:val="11"/>
          <w:color w:val="auto"/>
        </w:rPr>
        <w:t>G12C</w:t>
      </w:r>
      <w:r>
        <w:rPr>
          <w:rFonts w:ascii="Arial" w:cs="Arial" w:eastAsia="Arial" w:hAnsi="Arial"/>
          <w:sz w:val="18"/>
          <w:szCs w:val="18"/>
          <w:color w:val="auto"/>
        </w:rPr>
        <w:t>, NF1</w:t>
      </w:r>
      <w:r>
        <w:rPr>
          <w:rFonts w:ascii="Arial" w:cs="Arial" w:eastAsia="Arial" w:hAnsi="Arial"/>
          <w:sz w:val="11"/>
          <w:szCs w:val="11"/>
          <w:color w:val="auto"/>
        </w:rPr>
        <w:t>LOF</w:t>
      </w:r>
      <w:r>
        <w:rPr>
          <w:rFonts w:ascii="Arial" w:cs="Arial" w:eastAsia="Arial" w:hAnsi="Arial"/>
          <w:sz w:val="18"/>
          <w:szCs w:val="18"/>
          <w:color w:val="auto"/>
        </w:rPr>
        <w:t>, or BRAF</w:t>
      </w:r>
      <w:r>
        <w:rPr>
          <w:rFonts w:ascii="Arial" w:cs="Arial" w:eastAsia="Arial" w:hAnsi="Arial"/>
          <w:sz w:val="11"/>
          <w:szCs w:val="11"/>
          <w:color w:val="auto"/>
        </w:rPr>
        <w:t>Class3</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 or wild-type KRAS amplifications.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57150</wp:posOffset>
            </wp:positionV>
            <wp:extent cx="4399280" cy="28130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99280"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00"/>
        <w:spacing w:after="0"/>
        <w:rPr>
          <w:sz w:val="20"/>
          <w:szCs w:val="20"/>
          <w:color w:val="auto"/>
        </w:rPr>
      </w:pPr>
      <w:r>
        <w:rPr>
          <w:rFonts w:ascii="Arial" w:cs="Arial" w:eastAsia="Arial" w:hAnsi="Arial"/>
          <w:sz w:val="12"/>
          <w:szCs w:val="12"/>
          <w:color w:val="auto"/>
        </w:rPr>
        <w:t>Daily oral administration (po qd) of RMC-4630 at 10 mg/kg (red) or 30 mg/kg (green) produces a dose-dependent inhibition of tumor growth in multiple solid human tumor cell line-</w:t>
      </w:r>
    </w:p>
    <w:p>
      <w:pPr>
        <w:spacing w:after="0" w:line="11" w:lineRule="exact"/>
        <w:rPr>
          <w:sz w:val="20"/>
          <w:szCs w:val="20"/>
          <w:color w:val="auto"/>
        </w:rPr>
      </w:pPr>
    </w:p>
    <w:p>
      <w:pPr>
        <w:ind w:left="200" w:right="240"/>
        <w:spacing w:after="0" w:line="186" w:lineRule="auto"/>
        <w:rPr>
          <w:sz w:val="20"/>
          <w:szCs w:val="20"/>
          <w:color w:val="auto"/>
        </w:rPr>
      </w:pPr>
      <w:r>
        <w:rPr>
          <w:rFonts w:ascii="Arial" w:cs="Arial" w:eastAsia="Arial" w:hAnsi="Arial"/>
          <w:sz w:val="12"/>
          <w:szCs w:val="12"/>
          <w:color w:val="auto"/>
        </w:rPr>
        <w:t xml:space="preserve">derived or patient-derived xenograft (CDX or PDX, respectively) models bearing RAS pathway activating mutations of interest. All human xenograft models implanted in immune-deficient mice: </w:t>
      </w:r>
      <w:r>
        <w:rPr>
          <w:rFonts w:ascii="Arial" w:cs="Arial" w:eastAsia="Arial" w:hAnsi="Arial"/>
          <w:sz w:val="12"/>
          <w:szCs w:val="12"/>
          <w:b w:val="1"/>
          <w:bCs w:val="1"/>
          <w:color w:val="auto"/>
        </w:rPr>
        <w:t>(a)</w:t>
      </w:r>
      <w:r>
        <w:rPr>
          <w:rFonts w:ascii="Arial" w:cs="Arial" w:eastAsia="Arial" w:hAnsi="Arial"/>
          <w:sz w:val="12"/>
          <w:szCs w:val="12"/>
          <w:color w:val="auto"/>
        </w:rPr>
        <w:t xml:space="preserve"> non-small cell lung cancer (NSCLC) PDX LUN#092 KRAS</w:t>
      </w:r>
      <w:r>
        <w:rPr>
          <w:rFonts w:ascii="Arial" w:cs="Arial" w:eastAsia="Arial" w:hAnsi="Arial"/>
          <w:sz w:val="19"/>
          <w:szCs w:val="19"/>
          <w:color w:val="auto"/>
          <w:vertAlign w:val="superscript"/>
        </w:rPr>
        <w:t>G12C</w:t>
      </w:r>
      <w:r>
        <w:rPr>
          <w:rFonts w:ascii="Arial" w:cs="Arial" w:eastAsia="Arial" w:hAnsi="Arial"/>
          <w:sz w:val="12"/>
          <w:szCs w:val="12"/>
          <w:color w:val="auto"/>
        </w:rPr>
        <w:t xml:space="preserve">, </w:t>
      </w:r>
      <w:r>
        <w:rPr>
          <w:rFonts w:ascii="Arial" w:cs="Arial" w:eastAsia="Arial" w:hAnsi="Arial"/>
          <w:sz w:val="12"/>
          <w:szCs w:val="12"/>
          <w:b w:val="1"/>
          <w:bCs w:val="1"/>
          <w:color w:val="auto"/>
        </w:rPr>
        <w:t>(b)</w:t>
      </w:r>
      <w:r>
        <w:rPr>
          <w:rFonts w:ascii="Arial" w:cs="Arial" w:eastAsia="Arial" w:hAnsi="Arial"/>
          <w:sz w:val="12"/>
          <w:szCs w:val="12"/>
          <w:color w:val="auto"/>
        </w:rPr>
        <w:t xml:space="preserve"> NSCLC BRAF</w:t>
      </w:r>
      <w:r>
        <w:rPr>
          <w:rFonts w:ascii="Arial" w:cs="Arial" w:eastAsia="Arial" w:hAnsi="Arial"/>
          <w:sz w:val="19"/>
          <w:szCs w:val="19"/>
          <w:color w:val="auto"/>
          <w:vertAlign w:val="superscript"/>
        </w:rPr>
        <w:t>Class 3</w:t>
      </w:r>
      <w:r>
        <w:rPr>
          <w:rFonts w:ascii="Arial" w:cs="Arial" w:eastAsia="Arial" w:hAnsi="Arial"/>
          <w:sz w:val="12"/>
          <w:szCs w:val="12"/>
          <w:color w:val="auto"/>
        </w:rPr>
        <w:t xml:space="preserve"> PDX LUN#023 (BRAF</w:t>
      </w:r>
      <w:r>
        <w:rPr>
          <w:rFonts w:ascii="Arial" w:cs="Arial" w:eastAsia="Arial" w:hAnsi="Arial"/>
          <w:sz w:val="19"/>
          <w:szCs w:val="19"/>
          <w:color w:val="auto"/>
          <w:vertAlign w:val="superscript"/>
        </w:rPr>
        <w:t>D594N</w:t>
      </w:r>
      <w:r>
        <w:rPr>
          <w:rFonts w:ascii="Arial" w:cs="Arial" w:eastAsia="Arial" w:hAnsi="Arial"/>
          <w:sz w:val="12"/>
          <w:szCs w:val="12"/>
          <w:color w:val="auto"/>
        </w:rPr>
        <w:t xml:space="preserve">), </w:t>
      </w:r>
      <w:r>
        <w:rPr>
          <w:rFonts w:ascii="Arial" w:cs="Arial" w:eastAsia="Arial" w:hAnsi="Arial"/>
          <w:sz w:val="12"/>
          <w:szCs w:val="12"/>
          <w:b w:val="1"/>
          <w:bCs w:val="1"/>
          <w:color w:val="auto"/>
        </w:rPr>
        <w:t>(c)</w:t>
      </w:r>
      <w:r>
        <w:rPr>
          <w:rFonts w:ascii="Arial" w:cs="Arial" w:eastAsia="Arial" w:hAnsi="Arial"/>
          <w:sz w:val="12"/>
          <w:szCs w:val="12"/>
          <w:color w:val="auto"/>
        </w:rPr>
        <w:t xml:space="preserve"> gastric cancer PDX STO#332 wild-type KRAS amplification (KRAS Amp, copy number, CN = 4) and </w:t>
      </w:r>
      <w:r>
        <w:rPr>
          <w:rFonts w:ascii="Arial" w:cs="Arial" w:eastAsia="Arial" w:hAnsi="Arial"/>
          <w:sz w:val="12"/>
          <w:szCs w:val="12"/>
          <w:b w:val="1"/>
          <w:bCs w:val="1"/>
          <w:color w:val="auto"/>
        </w:rPr>
        <w:t>(d)</w:t>
      </w:r>
      <w:r>
        <w:rPr>
          <w:rFonts w:ascii="Arial" w:cs="Arial" w:eastAsia="Arial" w:hAnsi="Arial"/>
          <w:sz w:val="12"/>
          <w:szCs w:val="12"/>
          <w:color w:val="auto"/>
        </w:rPr>
        <w:t xml:space="preserve"> NSCLC CDX NCI-H1838 NF1</w:t>
      </w:r>
      <w:r>
        <w:rPr>
          <w:rFonts w:ascii="Arial" w:cs="Arial" w:eastAsia="Arial" w:hAnsi="Arial"/>
          <w:sz w:val="19"/>
          <w:szCs w:val="19"/>
          <w:color w:val="auto"/>
          <w:vertAlign w:val="superscript"/>
        </w:rPr>
        <w:t>LOF</w:t>
      </w:r>
      <w:r>
        <w:rPr>
          <w:rFonts w:ascii="Arial" w:cs="Arial" w:eastAsia="Arial" w:hAnsi="Arial"/>
          <w:sz w:val="12"/>
          <w:szCs w:val="12"/>
          <w:color w:val="auto"/>
        </w:rPr>
        <w:t xml:space="preserve"> (NF1</w:t>
      </w:r>
      <w:r>
        <w:rPr>
          <w:rFonts w:ascii="Arial" w:cs="Arial" w:eastAsia="Arial" w:hAnsi="Arial"/>
          <w:sz w:val="19"/>
          <w:szCs w:val="19"/>
          <w:color w:val="auto"/>
          <w:vertAlign w:val="superscript"/>
        </w:rPr>
        <w:t>I184fs</w:t>
      </w:r>
      <w:r>
        <w:rPr>
          <w:rFonts w:ascii="Arial" w:cs="Arial" w:eastAsia="Arial" w:hAnsi="Arial"/>
          <w:sz w:val="12"/>
          <w:szCs w:val="12"/>
          <w:color w:val="auto"/>
        </w:rPr>
        <w:t>). Control animals are shown in black. Data represent waterfall plots of</w:t>
      </w:r>
    </w:p>
    <w:p>
      <w:pPr>
        <w:jc w:val="both"/>
        <w:ind w:left="200" w:right="20"/>
        <w:spacing w:after="0" w:line="279" w:lineRule="auto"/>
        <w:rPr>
          <w:sz w:val="20"/>
          <w:szCs w:val="20"/>
          <w:color w:val="auto"/>
        </w:rPr>
      </w:pPr>
      <w:r>
        <w:rPr>
          <w:rFonts w:ascii="Arial" w:cs="Arial" w:eastAsia="Arial" w:hAnsi="Arial"/>
          <w:sz w:val="12"/>
          <w:szCs w:val="12"/>
          <w:color w:val="auto"/>
        </w:rPr>
        <w:t>individual end of study tumor responses, with tumor volume expressed as a percentage of initial tumor volume at time of study start (truncated at 400%). Each animal is represented as a separate bar (number of mice per group = 9 to 10). Numbers indicate number of regressions (defined as &gt; 10% reduction in tumor volume from starting volume) in each group. Dotted line references 50% reduction in tumor volume. The duration of treatment with RMC-4630 or vehicle control was within a range of 30 days to 50 days across the four models.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Optimizing dosing and scheduling</w:t>
      </w:r>
    </w:p>
    <w:p>
      <w:pPr>
        <w:spacing w:after="0" w:line="122" w:lineRule="exact"/>
        <w:rPr>
          <w:sz w:val="20"/>
          <w:szCs w:val="20"/>
          <w:color w:val="auto"/>
        </w:rPr>
      </w:pPr>
    </w:p>
    <w:p>
      <w:pPr>
        <w:ind w:left="200" w:right="560"/>
        <w:spacing w:after="0" w:line="238" w:lineRule="auto"/>
        <w:rPr>
          <w:sz w:val="20"/>
          <w:szCs w:val="20"/>
          <w:color w:val="auto"/>
        </w:rPr>
      </w:pPr>
      <w:r>
        <w:rPr>
          <w:rFonts w:ascii="Arial" w:cs="Arial" w:eastAsia="Arial" w:hAnsi="Arial"/>
          <w:sz w:val="18"/>
          <w:szCs w:val="18"/>
          <w:color w:val="auto"/>
        </w:rPr>
        <w:t>Using an intermittent dosing schedule, which permits deep but discontinuous inhibition of the SHP2 target, significantly higher doses of RMC-4630 were tolerated than could be delivered with daily dosing. These higher doses of RMC-4630 led to increased tumor growth inhibition and resulted in more frequent and deeper tumor regressions (Figure 2).</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540"/>
        <w:spacing w:after="0" w:line="264" w:lineRule="auto"/>
        <w:rPr>
          <w:sz w:val="20"/>
          <w:szCs w:val="20"/>
          <w:color w:val="auto"/>
        </w:rPr>
      </w:pPr>
      <w:r>
        <w:rPr>
          <w:rFonts w:ascii="Arial" w:cs="Arial" w:eastAsia="Arial" w:hAnsi="Arial"/>
          <w:sz w:val="18"/>
          <w:szCs w:val="18"/>
          <w:b w:val="1"/>
          <w:bCs w:val="1"/>
          <w:color w:val="auto"/>
        </w:rPr>
        <w:t>Figure 2</w:t>
      </w:r>
      <w:r>
        <w:rPr>
          <w:rFonts w:ascii="Arial" w:cs="Arial" w:eastAsia="Arial" w:hAnsi="Arial"/>
          <w:sz w:val="18"/>
          <w:szCs w:val="18"/>
          <w:color w:val="auto"/>
        </w:rPr>
        <w:t>: Intermittent dose regimens of RMC-4630 produce deeper and more frequent tumor regressions than daily dosing at maximal</w:t>
      </w:r>
      <w:r>
        <w:rPr>
          <w:rFonts w:ascii="Arial" w:cs="Arial" w:eastAsia="Arial" w:hAnsi="Arial"/>
          <w:sz w:val="18"/>
          <w:szCs w:val="18"/>
          <w:b w:val="1"/>
          <w:bCs w:val="1"/>
          <w:color w:val="auto"/>
        </w:rPr>
        <w:t xml:space="preserve"> </w:t>
      </w:r>
      <w:r>
        <w:rPr>
          <w:rFonts w:ascii="Arial" w:cs="Arial" w:eastAsia="Arial" w:hAnsi="Arial"/>
          <w:sz w:val="18"/>
          <w:szCs w:val="18"/>
          <w:color w:val="auto"/>
        </w:rPr>
        <w:t>tolerated dose in a preclinical xenograft model of NSCLC tumors harboring 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spacing w:after="0" w:line="58"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86360</wp:posOffset>
            </wp:positionV>
            <wp:extent cx="3738880" cy="26498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738880"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0"/>
        <w:spacing w:after="0" w:line="204" w:lineRule="auto"/>
        <w:rPr>
          <w:sz w:val="20"/>
          <w:szCs w:val="20"/>
          <w:color w:val="auto"/>
        </w:rPr>
      </w:pPr>
      <w:r>
        <w:rPr>
          <w:rFonts w:ascii="Arial" w:cs="Arial" w:eastAsia="Arial" w:hAnsi="Arial"/>
          <w:sz w:val="14"/>
          <w:szCs w:val="14"/>
          <w:color w:val="auto"/>
        </w:rPr>
        <w:t>Anti-tumor activity of daily (qd) and intermittent, every other day, (q2d) oral (po) dose regimens for RMC-4630 in NSCLC NCI-H358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cell line-derived xenograft model in mice. Graphs show tumor volume data for individual animals, expressed as a percentage of initial tumor volume at time of study start, for </w:t>
      </w:r>
      <w:r>
        <w:rPr>
          <w:rFonts w:ascii="Arial" w:cs="Arial" w:eastAsia="Arial" w:hAnsi="Arial"/>
          <w:sz w:val="14"/>
          <w:szCs w:val="14"/>
          <w:b w:val="1"/>
          <w:bCs w:val="1"/>
          <w:color w:val="auto"/>
        </w:rPr>
        <w:t>(a)</w:t>
      </w:r>
      <w:r>
        <w:rPr>
          <w:rFonts w:ascii="Arial" w:cs="Arial" w:eastAsia="Arial" w:hAnsi="Arial"/>
          <w:sz w:val="14"/>
          <w:szCs w:val="14"/>
          <w:color w:val="auto"/>
        </w:rPr>
        <w:t xml:space="preserve"> 30 mg/kg qd, </w:t>
      </w:r>
      <w:r>
        <w:rPr>
          <w:rFonts w:ascii="Arial" w:cs="Arial" w:eastAsia="Arial" w:hAnsi="Arial"/>
          <w:sz w:val="14"/>
          <w:szCs w:val="14"/>
          <w:b w:val="1"/>
          <w:bCs w:val="1"/>
          <w:color w:val="auto"/>
        </w:rPr>
        <w:t>(b)</w:t>
      </w:r>
      <w:r>
        <w:rPr>
          <w:rFonts w:ascii="Arial" w:cs="Arial" w:eastAsia="Arial" w:hAnsi="Arial"/>
          <w:sz w:val="14"/>
          <w:szCs w:val="14"/>
          <w:color w:val="auto"/>
        </w:rPr>
        <w:t xml:space="preserve"> 60 mg/kg q2d, </w:t>
      </w:r>
      <w:r>
        <w:rPr>
          <w:rFonts w:ascii="Arial" w:cs="Arial" w:eastAsia="Arial" w:hAnsi="Arial"/>
          <w:sz w:val="14"/>
          <w:szCs w:val="14"/>
          <w:b w:val="1"/>
          <w:bCs w:val="1"/>
          <w:color w:val="auto"/>
        </w:rPr>
        <w:t>(c)</w:t>
      </w:r>
      <w:r>
        <w:rPr>
          <w:rFonts w:ascii="Arial" w:cs="Arial" w:eastAsia="Arial" w:hAnsi="Arial"/>
          <w:sz w:val="14"/>
          <w:szCs w:val="14"/>
          <w:color w:val="auto"/>
        </w:rPr>
        <w:t xml:space="preserve"> 120 mg/kg q2d and </w:t>
      </w:r>
      <w:r>
        <w:rPr>
          <w:rFonts w:ascii="Arial" w:cs="Arial" w:eastAsia="Arial" w:hAnsi="Arial"/>
          <w:sz w:val="14"/>
          <w:szCs w:val="14"/>
          <w:b w:val="1"/>
          <w:bCs w:val="1"/>
          <w:color w:val="auto"/>
        </w:rPr>
        <w:t>(d)</w:t>
      </w:r>
      <w:r>
        <w:rPr>
          <w:rFonts w:ascii="Arial" w:cs="Arial" w:eastAsia="Arial" w:hAnsi="Arial"/>
          <w:sz w:val="14"/>
          <w:szCs w:val="14"/>
          <w:color w:val="auto"/>
        </w:rPr>
        <w:t xml:space="preserve"> 200 mg/kg q2d dose regimens (number of animals per group = 9 to 10). Changes in tumor volume of greater than 10% (grey zone) are considered significant. Dotted line references 50% reduction in tumor volume. All dose regimens were well-tolerated.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Rationale for combining with other targeted agents</w:t>
      </w:r>
    </w:p>
    <w:p>
      <w:pPr>
        <w:spacing w:after="0" w:line="122"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Certain cancer treatments that inhibit components of the RAS signaling pathway are often unable to achieve the desired clinical effect as single agents due to the rapid development of adaptive resistance. These resistance mechanisms often involve hyperactivation of various RTKs that drive oncogenic signals via SHP2. Given that SHP2 is required for RAS signaling pathway activation by many RTKs, it might represent a viable target to limit potential resistance to other single-agent treatments. Inhibition of SHP2 in cell culture experiments abrogated RTK signaling and, in preclinical studies, RMC-4630 demonstrated combinatorial activity when given with other RAS signaling pathway inhibitors, such as MEK, KRAS</w:t>
      </w:r>
      <w:r>
        <w:rPr>
          <w:rFonts w:ascii="Arial" w:cs="Arial" w:eastAsia="Arial" w:hAnsi="Arial"/>
          <w:sz w:val="11"/>
          <w:szCs w:val="11"/>
          <w:color w:val="auto"/>
        </w:rPr>
        <w:t>G12C</w:t>
      </w:r>
      <w:r>
        <w:rPr>
          <w:rFonts w:ascii="Arial" w:cs="Arial" w:eastAsia="Arial" w:hAnsi="Arial"/>
          <w:sz w:val="18"/>
          <w:szCs w:val="18"/>
          <w:color w:val="auto"/>
        </w:rPr>
        <w:t xml:space="preserve"> or EGFR.</w:t>
      </w:r>
    </w:p>
    <w:p>
      <w:pPr>
        <w:spacing w:after="0" w:line="102"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MEK inhibitors, such as cobimetinib, are approved for the treatment of certain types of melanoma but only in combination therapy. As single agents they have shown limited clinical effect, particularly in lung cancers carrying RAS mutations, which is believed to be due in part to adaptive resistance mechanisms.</w:t>
      </w:r>
    </w:p>
    <w:p>
      <w:pPr>
        <w:spacing w:after="0" w:line="100" w:lineRule="exact"/>
        <w:rPr>
          <w:sz w:val="20"/>
          <w:szCs w:val="20"/>
          <w:color w:val="auto"/>
        </w:rPr>
      </w:pPr>
    </w:p>
    <w:p>
      <w:pPr>
        <w:ind w:left="200" w:right="380"/>
        <w:spacing w:after="0" w:line="281" w:lineRule="auto"/>
        <w:rPr>
          <w:sz w:val="20"/>
          <w:szCs w:val="20"/>
          <w:color w:val="auto"/>
        </w:rPr>
      </w:pPr>
      <w:r>
        <w:rPr>
          <w:rFonts w:ascii="Arial" w:cs="Arial" w:eastAsia="Arial" w:hAnsi="Arial"/>
          <w:sz w:val="16"/>
          <w:szCs w:val="16"/>
          <w:color w:val="auto"/>
        </w:rPr>
        <w:t>In several preclinical tumor xenograft models either RMC-4630 or cobimetinib, dosed as single agents at doses lower than the maximally tolerated dose for each agent, inhibited tumor growth but induced few tumor regressions. However, the number and depth of tumor regressions was markedly increased upon treatment with a combination of these low-doses of RMC-4630 and cobimetinib (Figure 3).</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24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color w:val="auto"/>
        </w:rPr>
        <w:t>Figure 3</w:t>
      </w:r>
      <w:r>
        <w:rPr>
          <w:rFonts w:ascii="Arial" w:cs="Arial" w:eastAsia="Arial" w:hAnsi="Arial"/>
          <w:sz w:val="18"/>
          <w:szCs w:val="18"/>
          <w:color w:val="auto"/>
        </w:rPr>
        <w:t>: Combination benefit for RMC-4630 and cobimetinib in preclinical xenograft models of tumors harboring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 or wild-type KRAS amplifications.</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86360</wp:posOffset>
            </wp:positionV>
            <wp:extent cx="4305300" cy="16122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05300"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Wild-Type KRAS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86360</wp:posOffset>
            </wp:positionV>
            <wp:extent cx="4322445" cy="13633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322445" cy="1363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0"/>
        <w:spacing w:after="0"/>
        <w:rPr>
          <w:sz w:val="20"/>
          <w:szCs w:val="20"/>
          <w:color w:val="auto"/>
        </w:rPr>
      </w:pPr>
      <w:r>
        <w:rPr>
          <w:rFonts w:ascii="Arial" w:cs="Arial" w:eastAsia="Arial" w:hAnsi="Arial"/>
          <w:sz w:val="12"/>
          <w:szCs w:val="12"/>
          <w:color w:val="auto"/>
        </w:rPr>
        <w:t xml:space="preserve">Anti-tumor activity of RMC-4630 (10 mg/kg, red) and cobimetinib (2.5 mg/kg, blue) dosed daily by oral administration (po, qd) as single agents or in combination (purple) in </w:t>
      </w:r>
      <w:r>
        <w:rPr>
          <w:rFonts w:ascii="Arial" w:cs="Arial" w:eastAsia="Arial" w:hAnsi="Arial"/>
          <w:sz w:val="12"/>
          <w:szCs w:val="12"/>
          <w:b w:val="1"/>
          <w:bCs w:val="1"/>
          <w:color w:val="auto"/>
        </w:rPr>
        <w:t>(a</w:t>
      </w:r>
      <w:r>
        <w:rPr>
          <w:rFonts w:ascii="Arial" w:cs="Arial" w:eastAsia="Arial" w:hAnsi="Arial"/>
          <w:sz w:val="12"/>
          <w:szCs w:val="12"/>
          <w:color w:val="auto"/>
        </w:rPr>
        <w:t xml:space="preserve"> and </w:t>
      </w:r>
      <w:r>
        <w:rPr>
          <w:rFonts w:ascii="Arial" w:cs="Arial" w:eastAsia="Arial" w:hAnsi="Arial"/>
          <w:sz w:val="12"/>
          <w:szCs w:val="12"/>
          <w:b w:val="1"/>
          <w:bCs w:val="1"/>
          <w:color w:val="auto"/>
        </w:rPr>
        <w:t>b)</w:t>
      </w:r>
    </w:p>
    <w:p>
      <w:pPr>
        <w:spacing w:after="0" w:line="6" w:lineRule="exact"/>
        <w:rPr>
          <w:sz w:val="20"/>
          <w:szCs w:val="20"/>
          <w:color w:val="auto"/>
        </w:rPr>
      </w:pPr>
    </w:p>
    <w:p>
      <w:pPr>
        <w:ind w:left="200"/>
        <w:spacing w:after="0" w:line="207" w:lineRule="auto"/>
        <w:rPr>
          <w:sz w:val="20"/>
          <w:szCs w:val="20"/>
          <w:color w:val="auto"/>
        </w:rPr>
      </w:pPr>
      <w:r>
        <w:rPr>
          <w:rFonts w:ascii="Arial" w:cs="Arial" w:eastAsia="Arial" w:hAnsi="Arial"/>
          <w:sz w:val="14"/>
          <w:szCs w:val="14"/>
          <w:color w:val="auto"/>
        </w:rPr>
        <w:t>NSCLC CDX NCI-H358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and </w:t>
      </w:r>
      <w:r>
        <w:rPr>
          <w:rFonts w:ascii="Arial" w:cs="Arial" w:eastAsia="Arial" w:hAnsi="Arial"/>
          <w:sz w:val="14"/>
          <w:szCs w:val="14"/>
          <w:b w:val="1"/>
          <w:bCs w:val="1"/>
          <w:color w:val="auto"/>
        </w:rPr>
        <w:t>(c</w:t>
      </w:r>
      <w:r>
        <w:rPr>
          <w:rFonts w:ascii="Arial" w:cs="Arial" w:eastAsia="Arial" w:hAnsi="Arial"/>
          <w:sz w:val="14"/>
          <w:szCs w:val="14"/>
          <w:color w:val="auto"/>
        </w:rPr>
        <w:t xml:space="preserve"> and </w:t>
      </w:r>
      <w:r>
        <w:rPr>
          <w:rFonts w:ascii="Arial" w:cs="Arial" w:eastAsia="Arial" w:hAnsi="Arial"/>
          <w:sz w:val="14"/>
          <w:szCs w:val="14"/>
          <w:b w:val="1"/>
          <w:bCs w:val="1"/>
          <w:color w:val="auto"/>
        </w:rPr>
        <w:t>d)</w:t>
      </w:r>
      <w:r>
        <w:rPr>
          <w:rFonts w:ascii="Arial" w:cs="Arial" w:eastAsia="Arial" w:hAnsi="Arial"/>
          <w:sz w:val="14"/>
          <w:szCs w:val="14"/>
          <w:color w:val="auto"/>
        </w:rPr>
        <w:t xml:space="preserve"> gastric cancer PDX STO#332 wild-type KRAS amplification (KRAS Amp, CN = 4) xenograft models in mice. Data represent </w:t>
      </w:r>
      <w:r>
        <w:rPr>
          <w:rFonts w:ascii="Arial" w:cs="Arial" w:eastAsia="Arial" w:hAnsi="Arial"/>
          <w:sz w:val="14"/>
          <w:szCs w:val="14"/>
          <w:b w:val="1"/>
          <w:bCs w:val="1"/>
          <w:color w:val="auto"/>
        </w:rPr>
        <w:t>(a</w:t>
      </w:r>
      <w:r>
        <w:rPr>
          <w:rFonts w:ascii="Arial" w:cs="Arial" w:eastAsia="Arial" w:hAnsi="Arial"/>
          <w:sz w:val="14"/>
          <w:szCs w:val="14"/>
          <w:color w:val="auto"/>
        </w:rPr>
        <w:t xml:space="preserve"> and </w:t>
      </w:r>
      <w:r>
        <w:rPr>
          <w:rFonts w:ascii="Arial" w:cs="Arial" w:eastAsia="Arial" w:hAnsi="Arial"/>
          <w:sz w:val="14"/>
          <w:szCs w:val="14"/>
          <w:b w:val="1"/>
          <w:bCs w:val="1"/>
          <w:color w:val="auto"/>
        </w:rPr>
        <w:t>c)</w:t>
      </w:r>
      <w:r>
        <w:rPr>
          <w:rFonts w:ascii="Arial" w:cs="Arial" w:eastAsia="Arial" w:hAnsi="Arial"/>
          <w:sz w:val="14"/>
          <w:szCs w:val="14"/>
          <w:color w:val="auto"/>
        </w:rPr>
        <w:t xml:space="preserve"> mean tumor volume over time or </w:t>
      </w:r>
      <w:r>
        <w:rPr>
          <w:rFonts w:ascii="Arial" w:cs="Arial" w:eastAsia="Arial" w:hAnsi="Arial"/>
          <w:sz w:val="14"/>
          <w:szCs w:val="14"/>
          <w:b w:val="1"/>
          <w:bCs w:val="1"/>
          <w:color w:val="auto"/>
        </w:rPr>
        <w:t>(b</w:t>
      </w:r>
      <w:r>
        <w:rPr>
          <w:rFonts w:ascii="Arial" w:cs="Arial" w:eastAsia="Arial" w:hAnsi="Arial"/>
          <w:sz w:val="14"/>
          <w:szCs w:val="14"/>
          <w:color w:val="auto"/>
        </w:rPr>
        <w:t xml:space="preserve"> and </w:t>
      </w:r>
      <w:r>
        <w:rPr>
          <w:rFonts w:ascii="Arial" w:cs="Arial" w:eastAsia="Arial" w:hAnsi="Arial"/>
          <w:sz w:val="14"/>
          <w:szCs w:val="14"/>
          <w:b w:val="1"/>
          <w:bCs w:val="1"/>
          <w:color w:val="auto"/>
        </w:rPr>
        <w:t>d)</w:t>
      </w:r>
      <w:r>
        <w:rPr>
          <w:rFonts w:ascii="Arial" w:cs="Arial" w:eastAsia="Arial" w:hAnsi="Arial"/>
          <w:sz w:val="14"/>
          <w:szCs w:val="14"/>
          <w:color w:val="auto"/>
        </w:rPr>
        <w:t xml:space="preserve"> waterfall plots of individual end of study responses with tumor volume expressed as a percentage of initial tumor volume at time of study start (truncated at 300% in </w:t>
      </w:r>
      <w:r>
        <w:rPr>
          <w:rFonts w:ascii="Arial" w:cs="Arial" w:eastAsia="Arial" w:hAnsi="Arial"/>
          <w:sz w:val="14"/>
          <w:szCs w:val="14"/>
          <w:b w:val="1"/>
          <w:bCs w:val="1"/>
          <w:color w:val="auto"/>
        </w:rPr>
        <w:t>d</w:t>
      </w:r>
      <w:r>
        <w:rPr>
          <w:rFonts w:ascii="Arial" w:cs="Arial" w:eastAsia="Arial" w:hAnsi="Arial"/>
          <w:sz w:val="14"/>
          <w:szCs w:val="14"/>
          <w:color w:val="auto"/>
        </w:rPr>
        <w:t xml:space="preserve">). In (a) and (c) data represent mean and errors bars represent standard error of the mean. Each animal represented as a separate bar in </w:t>
      </w:r>
      <w:r>
        <w:rPr>
          <w:rFonts w:ascii="Arial" w:cs="Arial" w:eastAsia="Arial" w:hAnsi="Arial"/>
          <w:sz w:val="14"/>
          <w:szCs w:val="14"/>
          <w:b w:val="1"/>
          <w:bCs w:val="1"/>
          <w:color w:val="auto"/>
        </w:rPr>
        <w:t>(b</w:t>
      </w:r>
      <w:r>
        <w:rPr>
          <w:rFonts w:ascii="Arial" w:cs="Arial" w:eastAsia="Arial" w:hAnsi="Arial"/>
          <w:sz w:val="14"/>
          <w:szCs w:val="14"/>
          <w:color w:val="auto"/>
        </w:rPr>
        <w:t xml:space="preserve"> and </w:t>
      </w:r>
      <w:r>
        <w:rPr>
          <w:rFonts w:ascii="Arial" w:cs="Arial" w:eastAsia="Arial" w:hAnsi="Arial"/>
          <w:sz w:val="14"/>
          <w:szCs w:val="14"/>
          <w:b w:val="1"/>
          <w:bCs w:val="1"/>
          <w:color w:val="auto"/>
        </w:rPr>
        <w:t>d)</w:t>
      </w:r>
      <w:r>
        <w:rPr>
          <w:rFonts w:ascii="Arial" w:cs="Arial" w:eastAsia="Arial" w:hAnsi="Arial"/>
          <w:sz w:val="14"/>
          <w:szCs w:val="14"/>
          <w:color w:val="auto"/>
        </w:rPr>
        <w:t>. Number of animals per group = 10. Respective doses (in parentheses) of RMC-4630 (10 mg/kg) and cobimetinib (2.5 mg/kg) are lower than the corresponding maximally-tolerated dose for each agent. Numbers indicate number of regressions (defined as &gt; 10% reduction in tumor volume from starting volume) in each group.</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There are three important implications of these observations: first, the anti-tumor effects of RMC-4630 may be significantly greater in human cancers that are already predicted to be sensitive to SHP2 inhibition if RMC-4630 is combined with a MEK inhibitor. Second, the effects of the combination may be observed at doses or exposures of RMC-4630 or a MEK inhibitor that are significantly below the maximum tolerated dose for each agent. Third, there may be a higher probability of invoking tumor cell death with the combination, and thus seeing tumor regressions.</w:t>
      </w:r>
    </w:p>
    <w:p>
      <w:pPr>
        <w:spacing w:after="0" w:line="103" w:lineRule="exact"/>
        <w:rPr>
          <w:sz w:val="20"/>
          <w:szCs w:val="20"/>
          <w:color w:val="auto"/>
        </w:rPr>
      </w:pPr>
    </w:p>
    <w:p>
      <w:pPr>
        <w:jc w:val="both"/>
        <w:ind w:left="200" w:right="80"/>
        <w:spacing w:after="0" w:line="238" w:lineRule="auto"/>
        <w:rPr>
          <w:sz w:val="20"/>
          <w:szCs w:val="20"/>
          <w:color w:val="auto"/>
        </w:rPr>
      </w:pPr>
      <w:r>
        <w:rPr>
          <w:rFonts w:ascii="Arial" w:cs="Arial" w:eastAsia="Arial" w:hAnsi="Arial"/>
          <w:sz w:val="18"/>
          <w:szCs w:val="18"/>
          <w:color w:val="auto"/>
        </w:rPr>
        <w:t>In addition, two of our academic collaborators have demonstrated that tumors with KRAS</w:t>
      </w:r>
      <w:r>
        <w:rPr>
          <w:rFonts w:ascii="Arial" w:cs="Arial" w:eastAsia="Arial" w:hAnsi="Arial"/>
          <w:sz w:val="11"/>
          <w:szCs w:val="11"/>
          <w:color w:val="auto"/>
        </w:rPr>
        <w:t>G12D</w:t>
      </w:r>
      <w:r>
        <w:rPr>
          <w:rFonts w:ascii="Arial" w:cs="Arial" w:eastAsia="Arial" w:hAnsi="Arial"/>
          <w:sz w:val="18"/>
          <w:szCs w:val="18"/>
          <w:color w:val="auto"/>
        </w:rPr>
        <w:t xml:space="preserve"> or KRAS</w:t>
      </w:r>
      <w:r>
        <w:rPr>
          <w:rFonts w:ascii="Arial" w:cs="Arial" w:eastAsia="Arial" w:hAnsi="Arial"/>
          <w:sz w:val="11"/>
          <w:szCs w:val="11"/>
          <w:color w:val="auto"/>
        </w:rPr>
        <w:t>G13D</w:t>
      </w:r>
      <w:r>
        <w:rPr>
          <w:rFonts w:ascii="Arial" w:cs="Arial" w:eastAsia="Arial" w:hAnsi="Arial"/>
          <w:sz w:val="18"/>
          <w:szCs w:val="18"/>
          <w:color w:val="auto"/>
        </w:rPr>
        <w:t xml:space="preserve"> mutations may be responsive to a SHP2 inhibitor combined with a MEK inhibitor. Based on their published results, the RMC-4630 and MEK inhibitor combination may be active in some tumors with mutations that may not be sensitive to SHP2 inhibition alone.</w:t>
      </w:r>
    </w:p>
    <w:p>
      <w:pPr>
        <w:spacing w:after="0" w:line="100"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The combination of RMC-4630 and cobimetinib has been relatively well tolerated in preclinical studies. We have also sought to maximize potent anti-tumor activity of RMC-4630, and reduce potential side effects, by deploying an intermittent dosing schedule.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00"/>
          </w:cols>
          <w:pgMar w:left="24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Recently reported initial clinical results from two KRAS</w:t>
      </w:r>
      <w:r>
        <w:rPr>
          <w:rFonts w:ascii="Arial" w:cs="Arial" w:eastAsia="Arial" w:hAnsi="Arial"/>
          <w:sz w:val="11"/>
          <w:szCs w:val="11"/>
          <w:color w:val="auto"/>
        </w:rPr>
        <w:t>G12C</w:t>
      </w:r>
      <w:r>
        <w:rPr>
          <w:rFonts w:ascii="Arial" w:cs="Arial" w:eastAsia="Arial" w:hAnsi="Arial"/>
          <w:sz w:val="18"/>
          <w:szCs w:val="18"/>
          <w:color w:val="auto"/>
        </w:rPr>
        <w:t>(OFF) inhibitors suggest significant clinical benefit and provide strong pharmacologic validation of this oncoprotein as a cancer driver. Preclinical studies have demonstrated that KRAS</w:t>
      </w:r>
      <w:r>
        <w:rPr>
          <w:rFonts w:ascii="Arial" w:cs="Arial" w:eastAsia="Arial" w:hAnsi="Arial"/>
          <w:sz w:val="11"/>
          <w:szCs w:val="11"/>
          <w:color w:val="auto"/>
        </w:rPr>
        <w:t>G12C</w:t>
      </w:r>
      <w:r>
        <w:rPr>
          <w:rFonts w:ascii="Arial" w:cs="Arial" w:eastAsia="Arial" w:hAnsi="Arial"/>
          <w:sz w:val="18"/>
          <w:szCs w:val="18"/>
          <w:color w:val="auto"/>
        </w:rPr>
        <w:t>(OFF) inhibitors also cause a rapid increase in signaling through RTKs that are typically SHP2-dependent. Thus, the magnitude and durability of effect of an inhibitor of KRAS</w:t>
      </w:r>
      <w:r>
        <w:rPr>
          <w:rFonts w:ascii="Arial" w:cs="Arial" w:eastAsia="Arial" w:hAnsi="Arial"/>
          <w:sz w:val="11"/>
          <w:szCs w:val="11"/>
          <w:color w:val="auto"/>
        </w:rPr>
        <w:t>G12C</w:t>
      </w:r>
      <w:r>
        <w:rPr>
          <w:rFonts w:ascii="Arial" w:cs="Arial" w:eastAsia="Arial" w:hAnsi="Arial"/>
          <w:sz w:val="18"/>
          <w:szCs w:val="18"/>
          <w:color w:val="auto"/>
        </w:rPr>
        <w:t>(OFF) may be significantly increased when combined with a SHP2 inhibitor that disrupts signaling from the activated RTKs. Recent data have demonstrated that a combination of our proprietary SHP2 inhibitor with KRAS</w:t>
      </w:r>
      <w:r>
        <w:rPr>
          <w:rFonts w:ascii="Arial" w:cs="Arial" w:eastAsia="Arial" w:hAnsi="Arial"/>
          <w:sz w:val="11"/>
          <w:szCs w:val="11"/>
          <w:color w:val="auto"/>
        </w:rPr>
        <w:t>G12C</w:t>
      </w:r>
      <w:r>
        <w:rPr>
          <w:rFonts w:ascii="Arial" w:cs="Arial" w:eastAsia="Arial" w:hAnsi="Arial"/>
          <w:sz w:val="18"/>
          <w:szCs w:val="18"/>
          <w:color w:val="auto"/>
        </w:rPr>
        <w:t>(OFF) inhibitors can drive significant tumor regression in two distinct KRAS</w:t>
      </w:r>
      <w:r>
        <w:rPr>
          <w:rFonts w:ascii="Arial" w:cs="Arial" w:eastAsia="Arial" w:hAnsi="Arial"/>
          <w:sz w:val="11"/>
          <w:szCs w:val="11"/>
          <w:color w:val="auto"/>
        </w:rPr>
        <w:t>G12C</w:t>
      </w:r>
      <w:r>
        <w:rPr>
          <w:rFonts w:ascii="Arial" w:cs="Arial" w:eastAsia="Arial" w:hAnsi="Arial"/>
          <w:sz w:val="18"/>
          <w:szCs w:val="18"/>
          <w:color w:val="auto"/>
        </w:rPr>
        <w:t xml:space="preserve"> driven tumor models that exhibit only partial anti-tumor responses to either compound alone (Figure 4).</w:t>
      </w:r>
    </w:p>
    <w:p>
      <w:pPr>
        <w:spacing w:after="0" w:line="79"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b w:val="1"/>
          <w:bCs w:val="1"/>
          <w:color w:val="auto"/>
        </w:rPr>
        <w:t>Figure 4</w:t>
      </w:r>
      <w:r>
        <w:rPr>
          <w:rFonts w:ascii="Arial" w:cs="Arial" w:eastAsia="Arial" w:hAnsi="Arial"/>
          <w:sz w:val="18"/>
          <w:szCs w:val="18"/>
          <w:color w:val="auto"/>
        </w:rPr>
        <w:t>: Combination benefit for SHP2 inhibitor and KRAS</w:t>
      </w:r>
      <w:r>
        <w:rPr>
          <w:rFonts w:ascii="Arial" w:cs="Arial" w:eastAsia="Arial" w:hAnsi="Arial"/>
          <w:sz w:val="11"/>
          <w:szCs w:val="11"/>
          <w:color w:val="auto"/>
        </w:rPr>
        <w:t>G12C</w:t>
      </w:r>
      <w:r>
        <w:rPr>
          <w:rFonts w:ascii="Arial" w:cs="Arial" w:eastAsia="Arial" w:hAnsi="Arial"/>
          <w:sz w:val="18"/>
          <w:szCs w:val="18"/>
          <w:color w:val="auto"/>
        </w:rPr>
        <w:t>(OFF) inhibitor in preclinical xenograft models of tumors harboring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1299845</wp:posOffset>
            </wp:positionH>
            <wp:positionV relativeFrom="paragraph">
              <wp:posOffset>57150</wp:posOffset>
            </wp:positionV>
            <wp:extent cx="4665345" cy="20497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665345" cy="204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0"/>
        <w:spacing w:after="0" w:line="183" w:lineRule="auto"/>
        <w:rPr>
          <w:sz w:val="20"/>
          <w:szCs w:val="20"/>
          <w:color w:val="auto"/>
        </w:rPr>
      </w:pPr>
      <w:r>
        <w:rPr>
          <w:rFonts w:ascii="Arial" w:cs="Arial" w:eastAsia="Arial" w:hAnsi="Arial"/>
          <w:sz w:val="12"/>
          <w:szCs w:val="12"/>
          <w:color w:val="auto"/>
        </w:rPr>
        <w:t>Anti-tumor activity of a representative SHP2 allosteric inhibitor (RMC-4550) and a KRAS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(OFF) inhibitor (MRTX849 or MRTX1257) dosed daily by oral administration (po, qd) as single agents or in combination in </w:t>
      </w:r>
      <w:r>
        <w:rPr>
          <w:rFonts w:ascii="Arial" w:cs="Arial" w:eastAsia="Arial" w:hAnsi="Arial"/>
          <w:sz w:val="12"/>
          <w:szCs w:val="12"/>
          <w:b w:val="1"/>
          <w:bCs w:val="1"/>
          <w:color w:val="auto"/>
        </w:rPr>
        <w:t>(a)</w:t>
      </w:r>
      <w:r>
        <w:rPr>
          <w:rFonts w:ascii="Arial" w:cs="Arial" w:eastAsia="Arial" w:hAnsi="Arial"/>
          <w:sz w:val="12"/>
          <w:szCs w:val="12"/>
          <w:color w:val="auto"/>
        </w:rPr>
        <w:t xml:space="preserve"> esophageal carcinoma KYSE-410 and </w:t>
      </w:r>
      <w:r>
        <w:rPr>
          <w:rFonts w:ascii="Arial" w:cs="Arial" w:eastAsia="Arial" w:hAnsi="Arial"/>
          <w:sz w:val="12"/>
          <w:szCs w:val="12"/>
          <w:b w:val="1"/>
          <w:bCs w:val="1"/>
          <w:color w:val="auto"/>
        </w:rPr>
        <w:t>(b)</w:t>
      </w:r>
      <w:r>
        <w:rPr>
          <w:rFonts w:ascii="Arial" w:cs="Arial" w:eastAsia="Arial" w:hAnsi="Arial"/>
          <w:sz w:val="12"/>
          <w:szCs w:val="12"/>
          <w:color w:val="auto"/>
        </w:rPr>
        <w:t xml:space="preserve"> NSCLC NCI-H358 KRAS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 cell line-derived xenograft models in mice. Data represent </w:t>
      </w:r>
      <w:r>
        <w:rPr>
          <w:rFonts w:ascii="Arial" w:cs="Arial" w:eastAsia="Arial" w:hAnsi="Arial"/>
          <w:sz w:val="12"/>
          <w:szCs w:val="12"/>
          <w:b w:val="1"/>
          <w:bCs w:val="1"/>
          <w:color w:val="auto"/>
        </w:rPr>
        <w:t>(a)</w:t>
      </w:r>
      <w:r>
        <w:rPr>
          <w:rFonts w:ascii="Arial" w:cs="Arial" w:eastAsia="Arial" w:hAnsi="Arial"/>
          <w:sz w:val="12"/>
          <w:szCs w:val="12"/>
          <w:color w:val="auto"/>
        </w:rPr>
        <w:t xml:space="preserve"> mean tumor</w:t>
      </w:r>
    </w:p>
    <w:p>
      <w:pPr>
        <w:ind w:left="200"/>
        <w:spacing w:after="0" w:line="223" w:lineRule="auto"/>
        <w:rPr>
          <w:sz w:val="20"/>
          <w:szCs w:val="20"/>
          <w:color w:val="auto"/>
        </w:rPr>
      </w:pPr>
      <w:r>
        <w:rPr>
          <w:rFonts w:ascii="Arial" w:cs="Arial" w:eastAsia="Arial" w:hAnsi="Arial"/>
          <w:sz w:val="14"/>
          <w:szCs w:val="14"/>
          <w:color w:val="auto"/>
        </w:rPr>
        <w:t xml:space="preserve">volume over time or </w:t>
      </w:r>
      <w:r>
        <w:rPr>
          <w:rFonts w:ascii="Arial" w:cs="Arial" w:eastAsia="Arial" w:hAnsi="Arial"/>
          <w:sz w:val="14"/>
          <w:szCs w:val="14"/>
          <w:b w:val="1"/>
          <w:bCs w:val="1"/>
          <w:color w:val="auto"/>
        </w:rPr>
        <w:t>(b)</w:t>
      </w:r>
      <w:r>
        <w:rPr>
          <w:rFonts w:ascii="Arial" w:cs="Arial" w:eastAsia="Arial" w:hAnsi="Arial"/>
          <w:sz w:val="14"/>
          <w:szCs w:val="14"/>
          <w:color w:val="auto"/>
        </w:rPr>
        <w:t xml:space="preserve"> waterfall plot of individual end of study responses, with tumor volume expressed as a percentage of initial tumor volume at time of study start (truncated at</w:t>
      </w:r>
    </w:p>
    <w:p>
      <w:pPr>
        <w:spacing w:after="0" w:line="1" w:lineRule="exact"/>
        <w:rPr>
          <w:sz w:val="20"/>
          <w:szCs w:val="20"/>
          <w:color w:val="auto"/>
        </w:rPr>
      </w:pPr>
    </w:p>
    <w:p>
      <w:pPr>
        <w:ind w:left="200" w:right="220"/>
        <w:spacing w:after="0" w:line="189" w:lineRule="auto"/>
        <w:rPr>
          <w:sz w:val="20"/>
          <w:szCs w:val="20"/>
          <w:color w:val="auto"/>
        </w:rPr>
      </w:pPr>
      <w:r>
        <w:rPr>
          <w:rFonts w:ascii="Arial" w:cs="Arial" w:eastAsia="Arial" w:hAnsi="Arial"/>
          <w:sz w:val="14"/>
          <w:szCs w:val="14"/>
          <w:color w:val="auto"/>
        </w:rPr>
        <w:t xml:space="preserve">300%). Data in panel </w:t>
      </w:r>
      <w:r>
        <w:rPr>
          <w:rFonts w:ascii="Arial" w:cs="Arial" w:eastAsia="Arial" w:hAnsi="Arial"/>
          <w:sz w:val="14"/>
          <w:szCs w:val="14"/>
          <w:b w:val="1"/>
          <w:bCs w:val="1"/>
          <w:color w:val="auto"/>
        </w:rPr>
        <w:t>(a)</w:t>
      </w:r>
      <w:r>
        <w:rPr>
          <w:rFonts w:ascii="Arial" w:cs="Arial" w:eastAsia="Arial" w:hAnsi="Arial"/>
          <w:sz w:val="14"/>
          <w:szCs w:val="14"/>
          <w:color w:val="auto"/>
        </w:rPr>
        <w:t xml:space="preserve"> taken from an August 2019 Mirati corporate presentation; show evidence for tumor regressions, in addition to reduced rate of tumor regrowth after ‘dosing stopped’, for the SHP2 plus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(OFF) inhibitor combination group relative to either single agent group. For our data in panel </w:t>
      </w:r>
      <w:r>
        <w:rPr>
          <w:rFonts w:ascii="Arial" w:cs="Arial" w:eastAsia="Arial" w:hAnsi="Arial"/>
          <w:sz w:val="14"/>
          <w:szCs w:val="14"/>
          <w:b w:val="1"/>
          <w:bCs w:val="1"/>
          <w:color w:val="auto"/>
        </w:rPr>
        <w:t>(b)</w:t>
      </w:r>
      <w:r>
        <w:rPr>
          <w:rFonts w:ascii="Arial" w:cs="Arial" w:eastAsia="Arial" w:hAnsi="Arial"/>
          <w:sz w:val="14"/>
          <w:szCs w:val="14"/>
          <w:color w:val="auto"/>
        </w:rPr>
        <w:t xml:space="preserve"> each animal is represented as a separate bar (number of animals per group = 10). Numbers indicate number of regressions (&gt; 10% reduction in tumor volume from starting volume) in each group. RMC-4550 is a potent and selective SHP2 allosteric inhibitor tool compound (see Nichols et al., 2018). MRTX849 is Mirati’s KRAS</w:t>
      </w:r>
      <w:r>
        <w:rPr>
          <w:rFonts w:ascii="Arial" w:cs="Arial" w:eastAsia="Arial" w:hAnsi="Arial"/>
          <w:sz w:val="22"/>
          <w:szCs w:val="22"/>
          <w:color w:val="auto"/>
          <w:vertAlign w:val="superscript"/>
        </w:rPr>
        <w:t>G12C</w:t>
      </w:r>
      <w:r>
        <w:rPr>
          <w:rFonts w:ascii="Arial" w:cs="Arial" w:eastAsia="Arial" w:hAnsi="Arial"/>
          <w:sz w:val="14"/>
          <w:szCs w:val="14"/>
          <w:color w:val="auto"/>
        </w:rPr>
        <w:t>(OFF) clinical candidate and MRTX1257 is a potent and selective KRAS</w:t>
      </w:r>
      <w:r>
        <w:rPr>
          <w:rFonts w:ascii="Arial" w:cs="Arial" w:eastAsia="Arial" w:hAnsi="Arial"/>
          <w:sz w:val="22"/>
          <w:szCs w:val="22"/>
          <w:color w:val="auto"/>
          <w:vertAlign w:val="superscript"/>
        </w:rPr>
        <w:t>G12C</w:t>
      </w:r>
      <w:r>
        <w:rPr>
          <w:rFonts w:ascii="Arial" w:cs="Arial" w:eastAsia="Arial" w:hAnsi="Arial"/>
          <w:sz w:val="14"/>
          <w:szCs w:val="14"/>
          <w:color w:val="auto"/>
        </w:rPr>
        <w:t>(OFF) inhibitor tool compound.</w:t>
      </w:r>
    </w:p>
    <w:p>
      <w:pPr>
        <w:spacing w:after="0" w:line="3" w:lineRule="exact"/>
        <w:rPr>
          <w:sz w:val="20"/>
          <w:szCs w:val="20"/>
          <w:color w:val="auto"/>
        </w:rPr>
      </w:pPr>
    </w:p>
    <w:p>
      <w:pPr>
        <w:ind w:left="200" w:right="240"/>
        <w:spacing w:after="0" w:line="236" w:lineRule="auto"/>
        <w:rPr>
          <w:sz w:val="20"/>
          <w:szCs w:val="20"/>
          <w:color w:val="auto"/>
        </w:rPr>
      </w:pPr>
      <w:r>
        <w:rPr>
          <w:rFonts w:ascii="Arial" w:cs="Arial" w:eastAsia="Arial" w:hAnsi="Arial"/>
          <w:sz w:val="18"/>
          <w:szCs w:val="18"/>
          <w:color w:val="auto"/>
        </w:rPr>
        <w:t>In approximately 25% of NSCLC in North and South America, EGFR is mutated and drives tumor growth. EGFR inhibitors are used to treat these types of lung cancer, but emergence of resistance is a clinical problem. With recently approved EGFR inhibitors such as osimertinib (marketed as Tagrisso by AstraZeneca), emergent resistance is frequently due to mutation or amplification of signaling proteins other than EGFR. Similar to the adaptive resistance pathways activated by MEK inhibitors, several of these escape drivers have been shown to signal through SHP2.</w:t>
      </w:r>
    </w:p>
    <w:p>
      <w:pPr>
        <w:spacing w:after="0" w:line="103"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RMC-4630 enhanced the anti-tumor activity of osimertinib in preclinical models of osimertinib-sensitive and osimertinib-resistant EGFR-mutant tumors (Figures 5 and 6). RMC-4630 accelerated and increased the magnitude of tumor regression in an osimertinib-sensitive tumor and delayed and/or reduced tumor regrowth upon cessation of treatment in this model. RMC-4630 also inhibited tumor growth in a patient-derived tumor xenograft that had become resistant to osimertinib via amplification of the oncogene c-MET, an RTK that has been shown to drive some forms of cancer and that signals through SHP2. This suggests that, under circumstances where escape from osimertinib occurs via a SHP2-dependent mechanism, RMC-4630 may have clinical activity.</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700"/>
        <w:spacing w:after="0" w:line="264" w:lineRule="auto"/>
        <w:rPr>
          <w:sz w:val="20"/>
          <w:szCs w:val="20"/>
          <w:color w:val="auto"/>
        </w:rPr>
      </w:pPr>
      <w:r>
        <w:rPr>
          <w:rFonts w:ascii="Arial" w:cs="Arial" w:eastAsia="Arial" w:hAnsi="Arial"/>
          <w:sz w:val="18"/>
          <w:szCs w:val="18"/>
          <w:b w:val="1"/>
          <w:bCs w:val="1"/>
          <w:color w:val="auto"/>
        </w:rPr>
        <w:t>Figure 5</w:t>
      </w:r>
      <w:r>
        <w:rPr>
          <w:rFonts w:ascii="Arial" w:cs="Arial" w:eastAsia="Arial" w:hAnsi="Arial"/>
          <w:sz w:val="18"/>
          <w:szCs w:val="18"/>
          <w:color w:val="auto"/>
        </w:rPr>
        <w:t>: Combination benefit for RMC-4630 and the EGFR inhibitor, osimertinib, in an EGFR</w:t>
      </w:r>
      <w:r>
        <w:rPr>
          <w:rFonts w:ascii="Arial" w:cs="Arial" w:eastAsia="Arial" w:hAnsi="Arial"/>
          <w:sz w:val="11"/>
          <w:szCs w:val="11"/>
          <w:color w:val="auto"/>
        </w:rPr>
        <w:t>L858R/T790M</w:t>
      </w:r>
      <w:r>
        <w:rPr>
          <w:rFonts w:ascii="Arial" w:cs="Arial" w:eastAsia="Arial" w:hAnsi="Arial"/>
          <w:sz w:val="18"/>
          <w:szCs w:val="18"/>
          <w:b w:val="1"/>
          <w:bCs w:val="1"/>
          <w:color w:val="auto"/>
        </w:rPr>
        <w:t xml:space="preserve"> </w:t>
      </w:r>
      <w:r>
        <w:rPr>
          <w:rFonts w:ascii="Arial" w:cs="Arial" w:eastAsia="Arial" w:hAnsi="Arial"/>
          <w:sz w:val="18"/>
          <w:szCs w:val="18"/>
          <w:color w:val="auto"/>
        </w:rPr>
        <w:t>osimertinib-sensitive NSCLC</w:t>
      </w:r>
      <w:r>
        <w:rPr>
          <w:rFonts w:ascii="Arial" w:cs="Arial" w:eastAsia="Arial" w:hAnsi="Arial"/>
          <w:sz w:val="18"/>
          <w:szCs w:val="18"/>
          <w:b w:val="1"/>
          <w:bCs w:val="1"/>
          <w:color w:val="auto"/>
        </w:rPr>
        <w:t xml:space="preserve"> </w:t>
      </w:r>
      <w:r>
        <w:rPr>
          <w:rFonts w:ascii="Arial" w:cs="Arial" w:eastAsia="Arial" w:hAnsi="Arial"/>
          <w:sz w:val="18"/>
          <w:szCs w:val="18"/>
          <w:color w:val="auto"/>
        </w:rPr>
        <w:t>xenograft model.</w:t>
      </w:r>
    </w:p>
    <w:p>
      <w:pPr>
        <w:spacing w:after="0" w:line="7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EGFR</w:t>
      </w:r>
      <w:r>
        <w:rPr>
          <w:rFonts w:ascii="Arial" w:cs="Arial" w:eastAsia="Arial" w:hAnsi="Arial"/>
          <w:sz w:val="11"/>
          <w:szCs w:val="11"/>
          <w:b w:val="1"/>
          <w:bCs w:val="1"/>
          <w:color w:val="auto"/>
        </w:rPr>
        <w:t>L858R/T790M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86360</wp:posOffset>
            </wp:positionV>
            <wp:extent cx="4098925" cy="22294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09892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0" w:right="240"/>
        <w:spacing w:after="0" w:line="192" w:lineRule="auto"/>
        <w:rPr>
          <w:sz w:val="20"/>
          <w:szCs w:val="20"/>
          <w:color w:val="auto"/>
        </w:rPr>
      </w:pPr>
      <w:r>
        <w:rPr>
          <w:rFonts w:ascii="Arial" w:cs="Arial" w:eastAsia="Arial" w:hAnsi="Arial"/>
          <w:sz w:val="13"/>
          <w:szCs w:val="13"/>
          <w:color w:val="auto"/>
        </w:rPr>
        <w:t xml:space="preserve">Anti-tumor activity of osimertinib (5 mg/kg) dosed daily by oral administration (po, qd) as a single agent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b)</w:t>
      </w:r>
      <w:r>
        <w:rPr>
          <w:rFonts w:ascii="Arial" w:cs="Arial" w:eastAsia="Arial" w:hAnsi="Arial"/>
          <w:sz w:val="13"/>
          <w:szCs w:val="13"/>
          <w:color w:val="auto"/>
        </w:rPr>
        <w:t xml:space="preserve"> or in combination with RMC-4630 (30 mg/kg po, qd) </w:t>
      </w:r>
      <w:r>
        <w:rPr>
          <w:rFonts w:ascii="Arial" w:cs="Arial" w:eastAsia="Arial" w:hAnsi="Arial"/>
          <w:sz w:val="13"/>
          <w:szCs w:val="13"/>
          <w:b w:val="1"/>
          <w:bCs w:val="1"/>
          <w:color w:val="auto"/>
        </w:rPr>
        <w:t>(c</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in NSCLC NCI-H1975 (EGFR</w:t>
      </w:r>
      <w:r>
        <w:rPr>
          <w:rFonts w:ascii="Arial" w:cs="Arial" w:eastAsia="Arial" w:hAnsi="Arial"/>
          <w:sz w:val="21"/>
          <w:szCs w:val="21"/>
          <w:color w:val="auto"/>
          <w:vertAlign w:val="superscript"/>
        </w:rPr>
        <w:t>L858R/T790M</w:t>
      </w:r>
      <w:r>
        <w:rPr>
          <w:rFonts w:ascii="Arial" w:cs="Arial" w:eastAsia="Arial" w:hAnsi="Arial"/>
          <w:sz w:val="13"/>
          <w:szCs w:val="13"/>
          <w:color w:val="auto"/>
        </w:rPr>
        <w:t>) cell line-derived xenograft model in mice. Graphs show tumor volume data for individual animals, expressed as a percentage of initial tumor</w:t>
      </w:r>
    </w:p>
    <w:p>
      <w:pPr>
        <w:ind w:left="200" w:right="60"/>
        <w:spacing w:after="0" w:line="300" w:lineRule="auto"/>
        <w:rPr>
          <w:sz w:val="20"/>
          <w:szCs w:val="20"/>
          <w:color w:val="auto"/>
        </w:rPr>
      </w:pPr>
      <w:r>
        <w:rPr>
          <w:rFonts w:ascii="Arial" w:cs="Arial" w:eastAsia="Arial" w:hAnsi="Arial"/>
          <w:sz w:val="12"/>
          <w:szCs w:val="12"/>
          <w:color w:val="auto"/>
        </w:rPr>
        <w:t xml:space="preserve">volume at time of study start (number of animals per group =12). Horizontal dotted lines reference the starting tumor volume (0%) and a 50% reduction in tumor volume. Vertical dotted line marks time at which dosing was stopped. Panels </w:t>
      </w:r>
      <w:r>
        <w:rPr>
          <w:rFonts w:ascii="Arial" w:cs="Arial" w:eastAsia="Arial" w:hAnsi="Arial"/>
          <w:sz w:val="12"/>
          <w:szCs w:val="12"/>
          <w:b w:val="1"/>
          <w:bCs w:val="1"/>
          <w:color w:val="auto"/>
        </w:rPr>
        <w:t>(a</w:t>
      </w:r>
      <w:r>
        <w:rPr>
          <w:rFonts w:ascii="Arial" w:cs="Arial" w:eastAsia="Arial" w:hAnsi="Arial"/>
          <w:sz w:val="12"/>
          <w:szCs w:val="12"/>
          <w:color w:val="auto"/>
        </w:rPr>
        <w:t xml:space="preserve"> and </w:t>
      </w:r>
      <w:r>
        <w:rPr>
          <w:rFonts w:ascii="Arial" w:cs="Arial" w:eastAsia="Arial" w:hAnsi="Arial"/>
          <w:sz w:val="12"/>
          <w:szCs w:val="12"/>
          <w:b w:val="1"/>
          <w:bCs w:val="1"/>
          <w:color w:val="auto"/>
        </w:rPr>
        <w:t>c)</w:t>
      </w:r>
      <w:r>
        <w:rPr>
          <w:rFonts w:ascii="Arial" w:cs="Arial" w:eastAsia="Arial" w:hAnsi="Arial"/>
          <w:sz w:val="12"/>
          <w:szCs w:val="12"/>
          <w:color w:val="auto"/>
        </w:rPr>
        <w:t xml:space="preserve"> show the same data as in </w:t>
      </w:r>
      <w:r>
        <w:rPr>
          <w:rFonts w:ascii="Arial" w:cs="Arial" w:eastAsia="Arial" w:hAnsi="Arial"/>
          <w:sz w:val="12"/>
          <w:szCs w:val="12"/>
          <w:b w:val="1"/>
          <w:bCs w:val="1"/>
          <w:color w:val="auto"/>
        </w:rPr>
        <w:t>(b</w:t>
      </w:r>
      <w:r>
        <w:rPr>
          <w:rFonts w:ascii="Arial" w:cs="Arial" w:eastAsia="Arial" w:hAnsi="Arial"/>
          <w:sz w:val="12"/>
          <w:szCs w:val="12"/>
          <w:color w:val="auto"/>
        </w:rPr>
        <w:t xml:space="preserve"> and </w:t>
      </w:r>
      <w:r>
        <w:rPr>
          <w:rFonts w:ascii="Arial" w:cs="Arial" w:eastAsia="Arial" w:hAnsi="Arial"/>
          <w:sz w:val="12"/>
          <w:szCs w:val="12"/>
          <w:b w:val="1"/>
          <w:bCs w:val="1"/>
          <w:color w:val="auto"/>
        </w:rPr>
        <w:t>d)</w:t>
      </w:r>
      <w:r>
        <w:rPr>
          <w:rFonts w:ascii="Arial" w:cs="Arial" w:eastAsia="Arial" w:hAnsi="Arial"/>
          <w:sz w:val="12"/>
          <w:szCs w:val="12"/>
          <w:color w:val="auto"/>
        </w:rPr>
        <w:t xml:space="preserve"> up to the time point of dosing cessation but on an expanded time scale.</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6</w:t>
      </w:r>
      <w:r>
        <w:rPr>
          <w:rFonts w:ascii="Arial" w:cs="Arial" w:eastAsia="Arial" w:hAnsi="Arial"/>
          <w:sz w:val="18"/>
          <w:szCs w:val="18"/>
          <w:color w:val="auto"/>
        </w:rPr>
        <w:t>: RMC-4630 suppresses tumor growth in an osimertinib-resistant NSCLC patient-derived xenograft model</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(EGFR</w:t>
      </w:r>
      <w:r>
        <w:rPr>
          <w:rFonts w:ascii="Arial" w:cs="Arial" w:eastAsia="Arial" w:hAnsi="Arial"/>
          <w:sz w:val="11"/>
          <w:szCs w:val="11"/>
          <w:color w:val="auto"/>
        </w:rPr>
        <w:t>L858R/T790</w:t>
      </w:r>
      <w:r>
        <w:rPr>
          <w:rFonts w:ascii="Arial" w:cs="Arial" w:eastAsia="Arial" w:hAnsi="Arial"/>
          <w:sz w:val="18"/>
          <w:szCs w:val="18"/>
          <w:color w:val="auto"/>
        </w:rPr>
        <w:t>/MET</w:t>
      </w:r>
      <w:r>
        <w:rPr>
          <w:rFonts w:ascii="Arial" w:cs="Arial" w:eastAsia="Arial" w:hAnsi="Arial"/>
          <w:sz w:val="11"/>
          <w:szCs w:val="11"/>
          <w:color w:val="auto"/>
        </w:rPr>
        <w:t>amplified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-4445</wp:posOffset>
            </wp:positionV>
            <wp:extent cx="2684145" cy="216979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68414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right="100"/>
        <w:spacing w:after="0" w:line="204" w:lineRule="auto"/>
        <w:rPr>
          <w:sz w:val="20"/>
          <w:szCs w:val="20"/>
          <w:color w:val="auto"/>
        </w:rPr>
      </w:pPr>
      <w:r>
        <w:rPr>
          <w:rFonts w:ascii="Arial" w:cs="Arial" w:eastAsia="Arial" w:hAnsi="Arial"/>
          <w:sz w:val="14"/>
          <w:szCs w:val="14"/>
          <w:color w:val="auto"/>
        </w:rPr>
        <w:t>Daily oral administration of RMC-4630 (30 mg/kg po, qd) inhibits tumor growth in an osimertinib-resistant NSCLC patient-derived xenograft model (EGFR</w:t>
      </w:r>
      <w:r>
        <w:rPr>
          <w:rFonts w:ascii="Arial" w:cs="Arial" w:eastAsia="Arial" w:hAnsi="Arial"/>
          <w:sz w:val="22"/>
          <w:szCs w:val="22"/>
          <w:color w:val="auto"/>
          <w:vertAlign w:val="superscript"/>
        </w:rPr>
        <w:t>L858R/T790</w:t>
      </w:r>
      <w:r>
        <w:rPr>
          <w:rFonts w:ascii="Arial" w:cs="Arial" w:eastAsia="Arial" w:hAnsi="Arial"/>
          <w:sz w:val="14"/>
          <w:szCs w:val="14"/>
          <w:color w:val="auto"/>
        </w:rPr>
        <w:t>/MET</w:t>
      </w:r>
      <w:r>
        <w:rPr>
          <w:rFonts w:ascii="Arial" w:cs="Arial" w:eastAsia="Arial" w:hAnsi="Arial"/>
          <w:sz w:val="22"/>
          <w:szCs w:val="22"/>
          <w:color w:val="auto"/>
          <w:vertAlign w:val="superscript"/>
        </w:rPr>
        <w:t>amplified</w:t>
      </w:r>
      <w:r>
        <w:rPr>
          <w:rFonts w:ascii="Arial" w:cs="Arial" w:eastAsia="Arial" w:hAnsi="Arial"/>
          <w:sz w:val="14"/>
          <w:szCs w:val="14"/>
          <w:color w:val="auto"/>
        </w:rPr>
        <w:t>) wherein the EGFR</w:t>
      </w:r>
      <w:r>
        <w:rPr>
          <w:rFonts w:ascii="Arial" w:cs="Arial" w:eastAsia="Arial" w:hAnsi="Arial"/>
          <w:sz w:val="22"/>
          <w:szCs w:val="22"/>
          <w:color w:val="auto"/>
          <w:vertAlign w:val="superscript"/>
        </w:rPr>
        <w:t>T790M</w:t>
      </w:r>
      <w:r>
        <w:rPr>
          <w:rFonts w:ascii="Arial" w:cs="Arial" w:eastAsia="Arial" w:hAnsi="Arial"/>
          <w:sz w:val="14"/>
          <w:szCs w:val="14"/>
          <w:color w:val="auto"/>
        </w:rPr>
        <w:t xml:space="preserve"> allele was no longer detected and the patient tumor exhibited genomic amplification of the MET receptor tyrosine kinase. The human tumor xenograft model was implanted in immune deficient mice. Data represent mean and errors bars represent standard error of the mean. Number of animals per group = 10. Osimertinib 25 mg/kg, 5 days on/2 days off had no significant impact on tumor growth as anticipated.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Rationale for combining with immune checkpoint inhibitors</w:t>
      </w:r>
    </w:p>
    <w:p>
      <w:pPr>
        <w:spacing w:after="0" w:line="12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Immune checkpoint inhibitors, such as inhibitors of PD-1, have been useful against a variety of tumor types, including melanomas, breast and lung cancers, certain types of colon cancer and bladder cancers. It has been</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24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proposed in the scientific literature that SHP2 interacts with the PD-1 receptor and mediates at least part of its immune suppressive signals.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We have observed that SHP2 inhibition phenocopies some of the effects of PD-1 blockade in certain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w:t>
      </w:r>
    </w:p>
    <w:p>
      <w:pPr>
        <w:spacing w:after="0" w:line="86"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 xml:space="preserve">We have also seen that SHP2 inhibition inhibits the viability of pro-tumorigenic (M2) macrophages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In the tumor microenvironment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SHP2 inhibition reduced the number of M2 macrophages while also promoting increases in the anti-tumor M1 macrophages population.</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RMC-4630 may increase the ability of the innate and adaptive arms of the immune system to control or even eradicate cancer cells. In models of cancer in immunocompetent mice, SHP2 inhibition activated the murine immune system to slow tumor growth, even in tumors that are not intrinsically sensitive to direct cellular effects of SHP2 inhibition. In preclinical models, the combination of a SHP2 inhibitor with an immune checkpoint inhibitor, such as a PD-1 inhibitor, occasionally induced an immune response that is sufficient for mice to ‘reject’ their tumors completely and elicit immunological memory.</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Significant anti-tumor effects of SHP2 inhibition, both alone and in combination with PD-1 inhibition, were also observed in tumors intrinsically sensitive to SHP2 inhibition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(Figure 7). A SHP2 inhibitor such as RMC-4630 may, therefore, elicit anti-tumor effects via two separate biologic mechanisms: targeted inhibition of RAS-dependent tumor growth, and liberation of anti-tumor immune responses by transformation of the tumor microenvironment.</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7</w:t>
      </w:r>
      <w:r>
        <w:rPr>
          <w:rFonts w:ascii="Arial" w:cs="Arial" w:eastAsia="Arial" w:hAnsi="Arial"/>
          <w:sz w:val="18"/>
          <w:szCs w:val="18"/>
          <w:color w:val="auto"/>
        </w:rPr>
        <w:t>: Anti-tumor effects of SHP2 inhibition alone and in combination with PD–1 checkpoint blockade in the EMT6 syngeneic model.</w:t>
      </w:r>
    </w:p>
    <w:p>
      <w:pPr>
        <w:spacing w:after="0" w:line="11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EMT6 Mouse Tumor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8890</wp:posOffset>
            </wp:positionV>
            <wp:extent cx="4391025" cy="22294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91025" cy="2229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0" w:right="20"/>
        <w:spacing w:after="0" w:line="202" w:lineRule="auto"/>
        <w:rPr>
          <w:sz w:val="20"/>
          <w:szCs w:val="20"/>
          <w:color w:val="auto"/>
        </w:rPr>
      </w:pPr>
      <w:r>
        <w:rPr>
          <w:rFonts w:ascii="Arial" w:cs="Arial" w:eastAsia="Arial" w:hAnsi="Arial"/>
          <w:sz w:val="14"/>
          <w:szCs w:val="14"/>
          <w:color w:val="auto"/>
        </w:rPr>
        <w:t xml:space="preserve">RMC-4550 (30 mg/kg) was administered daily by oral administration for the duration of the study starting at day 6 post-implant; anti-PD-1 (10 mg/kg) was administered every three days by intra-peritoneal administration, for a total of 7 doses starting at day 6 post-implant, or a combination of both was administered to EMT6 tumor bearing immunocompetent mice. Control animals received the isotype control for the anti-PD-1 antibody. Data represent </w:t>
      </w:r>
      <w:r>
        <w:rPr>
          <w:rFonts w:ascii="Arial" w:cs="Arial" w:eastAsia="Arial" w:hAnsi="Arial"/>
          <w:sz w:val="14"/>
          <w:szCs w:val="14"/>
          <w:b w:val="1"/>
          <w:bCs w:val="1"/>
          <w:color w:val="auto"/>
        </w:rPr>
        <w:t>(a)</w:t>
      </w:r>
      <w:r>
        <w:rPr>
          <w:rFonts w:ascii="Arial" w:cs="Arial" w:eastAsia="Arial" w:hAnsi="Arial"/>
          <w:sz w:val="14"/>
          <w:szCs w:val="14"/>
          <w:color w:val="auto"/>
        </w:rPr>
        <w:t xml:space="preserve"> tumor growth of individual mice for each experimental group and </w:t>
      </w:r>
      <w:r>
        <w:rPr>
          <w:rFonts w:ascii="Arial" w:cs="Arial" w:eastAsia="Arial" w:hAnsi="Arial"/>
          <w:sz w:val="14"/>
          <w:szCs w:val="14"/>
          <w:b w:val="1"/>
          <w:bCs w:val="1"/>
          <w:color w:val="auto"/>
        </w:rPr>
        <w:t>(b)</w:t>
      </w:r>
      <w:r>
        <w:rPr>
          <w:rFonts w:ascii="Arial" w:cs="Arial" w:eastAsia="Arial" w:hAnsi="Arial"/>
          <w:sz w:val="14"/>
          <w:szCs w:val="14"/>
          <w:color w:val="auto"/>
        </w:rPr>
        <w:t xml:space="preserve"> Kaplan–Meier curves showing percentage of animals with tumor burden &lt; 2000 mm</w:t>
      </w:r>
      <w:r>
        <w:rPr>
          <w:rFonts w:ascii="Arial" w:cs="Arial" w:eastAsia="Arial" w:hAnsi="Arial"/>
          <w:sz w:val="22"/>
          <w:szCs w:val="22"/>
          <w:color w:val="auto"/>
          <w:vertAlign w:val="superscript"/>
        </w:rPr>
        <w:t>3</w:t>
      </w:r>
      <w:r>
        <w:rPr>
          <w:rFonts w:ascii="Arial" w:cs="Arial" w:eastAsia="Arial" w:hAnsi="Arial"/>
          <w:sz w:val="14"/>
          <w:szCs w:val="14"/>
          <w:color w:val="auto"/>
        </w:rPr>
        <w:t xml:space="preserve"> in each treatment group for the duration of the study. RMC-4550 is a potent and selective SHP2 allosteric inhibitor tool compound. Number of animals per group = 10.</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Development strategy</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summary, preclinical research suggests that RMC-4630 has the potential to cause significant anti-tumor effects:</w:t>
      </w:r>
    </w:p>
    <w:p>
      <w:pPr>
        <w:spacing w:after="0" w:line="117" w:lineRule="exact"/>
        <w:rPr>
          <w:sz w:val="20"/>
          <w:szCs w:val="20"/>
          <w:color w:val="auto"/>
        </w:rPr>
      </w:pPr>
    </w:p>
    <w:p>
      <w:pPr>
        <w:ind w:left="5560" w:right="5340" w:hanging="5356"/>
        <w:spacing w:after="0" w:line="366" w:lineRule="auto"/>
        <w:tabs>
          <w:tab w:leader="none" w:pos="412"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tumors harboring certain mutations of the RAS signaling pathway; 124</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When administered at high doses on an intermittent basis;</w:t>
      </w:r>
    </w:p>
    <w:p>
      <w:pPr>
        <w:spacing w:after="0" w:line="117" w:lineRule="exact"/>
        <w:rPr>
          <w:rFonts w:ascii="Arial" w:cs="Arial" w:eastAsia="Arial" w:hAnsi="Arial"/>
          <w:sz w:val="18"/>
          <w:szCs w:val="18"/>
          <w:color w:val="auto"/>
        </w:rPr>
      </w:pPr>
    </w:p>
    <w:p>
      <w:pPr>
        <w:ind w:left="420" w:right="40" w:hanging="216"/>
        <w:spacing w:after="0" w:line="239" w:lineRule="auto"/>
        <w:tabs>
          <w:tab w:leader="none" w:pos="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When given in combination with other targeted anti-cancer agents such as inhibitors of MEK, EGFR or mutated KRAS, such as KRAS</w:t>
      </w:r>
      <w:r>
        <w:rPr>
          <w:rFonts w:ascii="Arial" w:cs="Arial" w:eastAsia="Arial" w:hAnsi="Arial"/>
          <w:sz w:val="11"/>
          <w:szCs w:val="11"/>
          <w:color w:val="auto"/>
        </w:rPr>
        <w:t>G12C</w:t>
      </w:r>
      <w:r>
        <w:rPr>
          <w:rFonts w:ascii="Arial" w:cs="Arial" w:eastAsia="Arial" w:hAnsi="Arial"/>
          <w:sz w:val="18"/>
          <w:szCs w:val="18"/>
          <w:color w:val="auto"/>
        </w:rPr>
        <w:t>; and</w:t>
      </w:r>
    </w:p>
    <w:p>
      <w:pPr>
        <w:spacing w:after="0" w:line="114" w:lineRule="exact"/>
        <w:rPr>
          <w:rFonts w:ascii="Arial" w:cs="Arial" w:eastAsia="Arial" w:hAnsi="Arial"/>
          <w:sz w:val="18"/>
          <w:szCs w:val="18"/>
          <w:color w:val="auto"/>
        </w:rPr>
      </w:pPr>
    </w:p>
    <w:p>
      <w:pPr>
        <w:ind w:left="420" w:right="600" w:hanging="216"/>
        <w:spacing w:after="0" w:line="239" w:lineRule="auto"/>
        <w:tabs>
          <w:tab w:leader="none" w:pos="4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both the direct effects of SHP2 inhibition on cancer cells with RAS pathway mutations and activation of the immune system occur concurrently, which may be heightened through combination with a PD–1 inhibitor.</w:t>
      </w:r>
    </w:p>
    <w:p>
      <w:pPr>
        <w:spacing w:after="0" w:line="101"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Although we are at an early stage of clinical testing and product candidate development, we believe RMC-4630 is well-positioned to become the backbone of targeted therapy combinations for the treatment of various RAS-dependent tumors (Figure 8).</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163195</wp:posOffset>
            </wp:positionV>
            <wp:extent cx="5188585" cy="21780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88585"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Phase 1/2 clinical program</w:t>
      </w:r>
    </w:p>
    <w:p>
      <w:pPr>
        <w:spacing w:after="0" w:line="122" w:lineRule="exact"/>
        <w:rPr>
          <w:sz w:val="20"/>
          <w:szCs w:val="20"/>
          <w:color w:val="auto"/>
        </w:rPr>
      </w:pPr>
    </w:p>
    <w:p>
      <w:pPr>
        <w:jc w:val="both"/>
        <w:ind w:left="200" w:right="200"/>
        <w:spacing w:after="0" w:line="238" w:lineRule="auto"/>
        <w:rPr>
          <w:sz w:val="20"/>
          <w:szCs w:val="20"/>
          <w:color w:val="auto"/>
        </w:rPr>
      </w:pPr>
      <w:r>
        <w:rPr>
          <w:rFonts w:ascii="Arial" w:cs="Arial" w:eastAsia="Arial" w:hAnsi="Arial"/>
          <w:sz w:val="18"/>
          <w:szCs w:val="18"/>
          <w:color w:val="auto"/>
        </w:rPr>
        <w:t>In collaboration with Sanofi, we are evaluating RMC-4630 in a multi-cohort Phase 1/2 clinical program. This RMC-4630 Phase 1/2 program currently consists of two active clinical trials: RMC-4630-01, a Phase 1 study of RMC-4630 as a single agent, and RMC-4630-02, a Phase 1b/2 study of RMC-4630 in combination with the MEK inhibitor cobimetinib.</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RMC-4630-01 study of single agent RMC-4630 in patients with advanced solid tumors</w:t>
      </w:r>
    </w:p>
    <w:p>
      <w:pPr>
        <w:spacing w:after="0" w:line="122"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RMC-4630-01 is a Phase 1 study in patients with advanced cancers, including those with tumors harboring genetically defined mutations in the RAS signaling pathway, that is evaluating the safety, pharmacokinetics and pharmacodynamic effects of RMC-4630 as a single agent under two different dose administration schedules: daily and twice weekly dosing. A preliminary evaluation of anti-tumor activity is also being made in patients who have tumors harboring mutations in the RAS pathway that are predicted to be sensitive to SHP2 inhibition, including 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G12A</w:t>
      </w:r>
      <w:r>
        <w:rPr>
          <w:rFonts w:ascii="Arial" w:cs="Arial" w:eastAsia="Arial" w:hAnsi="Arial"/>
          <w:sz w:val="18"/>
          <w:szCs w:val="18"/>
          <w:color w:val="auto"/>
        </w:rPr>
        <w:t>, NF1</w:t>
      </w:r>
      <w:r>
        <w:rPr>
          <w:rFonts w:ascii="Arial" w:cs="Arial" w:eastAsia="Arial" w:hAnsi="Arial"/>
          <w:sz w:val="11"/>
          <w:szCs w:val="11"/>
          <w:color w:val="auto"/>
        </w:rPr>
        <w:t>LOF</w:t>
      </w:r>
      <w:r>
        <w:rPr>
          <w:rFonts w:ascii="Arial" w:cs="Arial" w:eastAsia="Arial" w:hAnsi="Arial"/>
          <w:sz w:val="18"/>
          <w:szCs w:val="18"/>
          <w:color w:val="auto"/>
        </w:rPr>
        <w:t>, and BRAF</w:t>
      </w:r>
      <w:r>
        <w:rPr>
          <w:rFonts w:ascii="Arial" w:cs="Arial" w:eastAsia="Arial" w:hAnsi="Arial"/>
          <w:sz w:val="11"/>
          <w:szCs w:val="11"/>
          <w:color w:val="auto"/>
        </w:rPr>
        <w:t>Class3</w:t>
      </w:r>
      <w:r>
        <w:rPr>
          <w:rFonts w:ascii="Arial" w:cs="Arial" w:eastAsia="Arial" w:hAnsi="Arial"/>
          <w:sz w:val="18"/>
          <w:szCs w:val="18"/>
          <w:color w:val="auto"/>
        </w:rPr>
        <w:t xml:space="preserve"> and others (e.g., KRAS</w:t>
      </w:r>
      <w:r>
        <w:rPr>
          <w:rFonts w:ascii="Arial" w:cs="Arial" w:eastAsia="Arial" w:hAnsi="Arial"/>
          <w:sz w:val="11"/>
          <w:szCs w:val="11"/>
          <w:color w:val="auto"/>
        </w:rPr>
        <w:t>amp</w:t>
      </w:r>
      <w:r>
        <w:rPr>
          <w:rFonts w:ascii="Arial" w:cs="Arial" w:eastAsia="Arial" w:hAnsi="Arial"/>
          <w:sz w:val="18"/>
          <w:szCs w:val="18"/>
          <w:color w:val="auto"/>
        </w:rPr>
        <w:t>).</w:t>
      </w:r>
    </w:p>
    <w:p>
      <w:pPr>
        <w:spacing w:after="0" w:line="103"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RMC-4630-01 study was designed to evaluate two different schedules: a daily dosing schedule and an intermittent dosing schedule (Day 1 and Day 4 of every week). The intermittent schedule was intended to achieve intermittent target coverage which, in preclinical models, was associated with similar or superior activity and better tolerability. The RMC-4630-01 trial is currently being conducted at 12 clinical study sites in the United States.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60"/>
          </w:cols>
          <w:pgMar w:left="24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the data cut-off on November 6, 2019, we reported the following preliminary data from RMC-4630-01:</w:t>
      </w:r>
    </w:p>
    <w:p>
      <w:pPr>
        <w:spacing w:after="0" w:line="10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In RMC-4630-01, 66 patients had been enrolled and 63 had received study drug and were evaluable for safety: 14 with the intermittent schedule and 49 with the daily schedule (Tables 1, 5 and 8). Dose escalation has been completed for the daily dosing schedule. Dose escalation continues using the intermittent schedule. Preliminary data suggest that the intermittent schedule will be the preferred schedule for the further development of RMC-4630. Therefore, safety, tolerability and pharmacokinetic data for patients treated with the intermittent schedule are reported separately from patients treated with the daily schedule.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Interim safety and tolerability – intermittent dosing schedule</w:t>
      </w:r>
    </w:p>
    <w:p>
      <w:pPr>
        <w:spacing w:after="0" w:line="122"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Fourteen patients dosed with the intermittent schedule have been evaluated for safety after a median RMC-4630 exposure of 1.6 months (range 0.3-5.0 months). Demographic and baseline characteristics information is shown in Table 1.</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1</w:t>
      </w:r>
      <w:r>
        <w:rPr>
          <w:rFonts w:ascii="Arial" w:cs="Arial" w:eastAsia="Arial" w:hAnsi="Arial"/>
          <w:sz w:val="18"/>
          <w:szCs w:val="18"/>
          <w:color w:val="auto"/>
        </w:rPr>
        <w:t>: Demographics and baseline characteristics—intermittent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5"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40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140 mg D1,D4 (n=8)</w:t>
            </w:r>
          </w:p>
        </w:tc>
        <w:tc>
          <w:tcPr>
            <w:tcW w:w="2060" w:type="dxa"/>
            <w:vAlign w:val="bottom"/>
            <w:tcBorders>
              <w:bottom w:val="single" w:sz="8" w:color="auto"/>
            </w:tcBorders>
            <w:gridSpan w:val="2"/>
          </w:tcPr>
          <w:p>
            <w:pPr>
              <w:ind w:left="360"/>
              <w:spacing w:after="0"/>
              <w:rPr>
                <w:sz w:val="20"/>
                <w:szCs w:val="20"/>
                <w:color w:val="auto"/>
              </w:rPr>
            </w:pPr>
            <w:r>
              <w:rPr>
                <w:rFonts w:ascii="Arial" w:cs="Arial" w:eastAsia="Arial" w:hAnsi="Arial"/>
                <w:sz w:val="18"/>
                <w:szCs w:val="18"/>
                <w:b w:val="1"/>
                <w:bCs w:val="1"/>
                <w:color w:val="auto"/>
              </w:rPr>
              <w:t>200 mg D1,D4 (n=6)</w:t>
            </w:r>
          </w:p>
        </w:tc>
      </w:tr>
      <w:tr>
        <w:trPr>
          <w:trHeight w:val="196"/>
        </w:trPr>
        <w:tc>
          <w:tcPr>
            <w:tcW w:w="20" w:type="dxa"/>
            <w:vAlign w:val="bottom"/>
          </w:tcPr>
          <w:p>
            <w:pPr>
              <w:spacing w:after="0"/>
              <w:rPr>
                <w:sz w:val="17"/>
                <w:szCs w:val="17"/>
                <w:color w:val="auto"/>
              </w:rPr>
            </w:pPr>
          </w:p>
        </w:tc>
        <w:tc>
          <w:tcPr>
            <w:tcW w:w="5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Age, median (range)</w:t>
            </w:r>
          </w:p>
        </w:tc>
        <w:tc>
          <w:tcPr>
            <w:tcW w:w="3560" w:type="dxa"/>
            <w:vAlign w:val="bottom"/>
            <w:shd w:val="clear" w:color="auto" w:fill="CCEEFF"/>
          </w:tcPr>
          <w:p>
            <w:pPr>
              <w:jc w:val="right"/>
              <w:ind w:right="272"/>
              <w:spacing w:after="0" w:line="196" w:lineRule="exact"/>
              <w:rPr>
                <w:sz w:val="20"/>
                <w:szCs w:val="20"/>
                <w:color w:val="auto"/>
              </w:rPr>
            </w:pPr>
            <w:r>
              <w:rPr>
                <w:rFonts w:ascii="Arial" w:cs="Arial" w:eastAsia="Arial" w:hAnsi="Arial"/>
                <w:sz w:val="18"/>
                <w:szCs w:val="18"/>
                <w:color w:val="auto"/>
              </w:rPr>
              <w:t>63 (47-82)</w:t>
            </w:r>
          </w:p>
        </w:tc>
        <w:tc>
          <w:tcPr>
            <w:tcW w:w="2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 (42-77)</w:t>
            </w:r>
          </w:p>
        </w:tc>
        <w:tc>
          <w:tcPr>
            <w:tcW w:w="60" w:type="dxa"/>
            <w:vAlign w:val="bottom"/>
            <w:shd w:val="clear" w:color="auto" w:fill="CCEEFF"/>
          </w:tcPr>
          <w:p>
            <w:pPr>
              <w:spacing w:after="0"/>
              <w:rPr>
                <w:sz w:val="17"/>
                <w:szCs w:val="17"/>
                <w:color w:val="auto"/>
              </w:rPr>
            </w:pPr>
          </w:p>
        </w:tc>
      </w:tr>
      <w:tr>
        <w:trPr>
          <w:trHeight w:val="214"/>
        </w:trPr>
        <w:tc>
          <w:tcPr>
            <w:tcW w:w="5420" w:type="dxa"/>
            <w:vAlign w:val="bottom"/>
            <w:gridSpan w:val="2"/>
          </w:tcPr>
          <w:p>
            <w:pPr>
              <w:spacing w:after="0"/>
              <w:rPr>
                <w:sz w:val="20"/>
                <w:szCs w:val="20"/>
                <w:color w:val="auto"/>
              </w:rPr>
            </w:pPr>
            <w:r>
              <w:rPr>
                <w:rFonts w:ascii="Arial" w:cs="Arial" w:eastAsia="Arial" w:hAnsi="Arial"/>
                <w:sz w:val="18"/>
                <w:szCs w:val="18"/>
                <w:color w:val="auto"/>
              </w:rPr>
              <w:t>Male (%)</w:t>
            </w:r>
          </w:p>
        </w:tc>
        <w:tc>
          <w:tcPr>
            <w:tcW w:w="3560" w:type="dxa"/>
            <w:vAlign w:val="bottom"/>
          </w:tcPr>
          <w:p>
            <w:pPr>
              <w:jc w:val="right"/>
              <w:ind w:right="272"/>
              <w:spacing w:after="0"/>
              <w:rPr>
                <w:sz w:val="20"/>
                <w:szCs w:val="20"/>
                <w:color w:val="auto"/>
              </w:rPr>
            </w:pPr>
            <w:r>
              <w:rPr>
                <w:rFonts w:ascii="Arial" w:cs="Arial" w:eastAsia="Arial" w:hAnsi="Arial"/>
                <w:sz w:val="18"/>
                <w:szCs w:val="18"/>
                <w:color w:val="auto"/>
              </w:rPr>
              <w:t>4 (50.0%)</w:t>
            </w:r>
          </w:p>
        </w:tc>
        <w:tc>
          <w:tcPr>
            <w:tcW w:w="2000" w:type="dxa"/>
            <w:vAlign w:val="bottom"/>
          </w:tcPr>
          <w:p>
            <w:pPr>
              <w:jc w:val="right"/>
              <w:spacing w:after="0"/>
              <w:rPr>
                <w:sz w:val="20"/>
                <w:szCs w:val="20"/>
                <w:color w:val="auto"/>
              </w:rPr>
            </w:pPr>
            <w:r>
              <w:rPr>
                <w:rFonts w:ascii="Arial" w:cs="Arial" w:eastAsia="Arial" w:hAnsi="Arial"/>
                <w:sz w:val="18"/>
                <w:szCs w:val="18"/>
                <w:color w:val="auto"/>
              </w:rPr>
              <w:t>4 (66.7%)</w:t>
            </w:r>
          </w:p>
        </w:tc>
        <w:tc>
          <w:tcPr>
            <w:tcW w:w="60" w:type="dxa"/>
            <w:vAlign w:val="bottom"/>
          </w:tcPr>
          <w:p>
            <w:pPr>
              <w:spacing w:after="0"/>
              <w:rPr>
                <w:sz w:val="18"/>
                <w:szCs w:val="18"/>
                <w:color w:val="auto"/>
              </w:rPr>
            </w:pPr>
          </w:p>
        </w:tc>
      </w:tr>
      <w:tr>
        <w:trPr>
          <w:trHeight w:val="56"/>
        </w:trPr>
        <w:tc>
          <w:tcPr>
            <w:tcW w:w="5420" w:type="dxa"/>
            <w:vAlign w:val="bottom"/>
            <w:gridSpan w:val="2"/>
          </w:tcPr>
          <w:p>
            <w:pPr>
              <w:spacing w:after="0"/>
              <w:rPr>
                <w:sz w:val="4"/>
                <w:szCs w:val="4"/>
                <w:color w:val="auto"/>
              </w:rPr>
            </w:pPr>
          </w:p>
        </w:tc>
        <w:tc>
          <w:tcPr>
            <w:tcW w:w="35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Cancer Type</w:t>
            </w:r>
          </w:p>
        </w:tc>
        <w:tc>
          <w:tcPr>
            <w:tcW w:w="35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tcPr>
          <w:p>
            <w:pPr>
              <w:ind w:left="200"/>
              <w:spacing w:after="0" w:line="202" w:lineRule="exact"/>
              <w:rPr>
                <w:sz w:val="20"/>
                <w:szCs w:val="20"/>
                <w:color w:val="auto"/>
              </w:rPr>
            </w:pPr>
            <w:r>
              <w:rPr>
                <w:rFonts w:ascii="Arial" w:cs="Arial" w:eastAsia="Arial" w:hAnsi="Arial"/>
                <w:sz w:val="18"/>
                <w:szCs w:val="18"/>
                <w:color w:val="auto"/>
              </w:rPr>
              <w:t>Lung (%)</w:t>
            </w:r>
          </w:p>
        </w:tc>
        <w:tc>
          <w:tcPr>
            <w:tcW w:w="35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5 (62.5%)</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3 (50.0%)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Colon and/or Rectal (%)</w:t>
            </w:r>
          </w:p>
        </w:tc>
        <w:tc>
          <w:tcPr>
            <w:tcW w:w="3560" w:type="dxa"/>
            <w:vAlign w:val="bottom"/>
            <w:shd w:val="clear" w:color="auto" w:fill="CCEEFF"/>
          </w:tcPr>
          <w:p>
            <w:pPr>
              <w:jc w:val="right"/>
              <w:ind w:right="952"/>
              <w:spacing w:after="0" w:line="202" w:lineRule="exact"/>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 (16.7%)</w:t>
            </w:r>
          </w:p>
        </w:tc>
        <w:tc>
          <w:tcPr>
            <w:tcW w:w="6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Other (%)</w:t>
            </w:r>
          </w:p>
        </w:tc>
        <w:tc>
          <w:tcPr>
            <w:tcW w:w="3560" w:type="dxa"/>
            <w:vAlign w:val="bottom"/>
          </w:tcPr>
          <w:p>
            <w:pPr>
              <w:jc w:val="right"/>
              <w:ind w:right="272"/>
              <w:spacing w:after="0"/>
              <w:rPr>
                <w:sz w:val="20"/>
                <w:szCs w:val="20"/>
                <w:color w:val="auto"/>
              </w:rPr>
            </w:pPr>
            <w:r>
              <w:rPr>
                <w:rFonts w:ascii="Arial" w:cs="Arial" w:eastAsia="Arial" w:hAnsi="Arial"/>
                <w:sz w:val="18"/>
                <w:szCs w:val="18"/>
                <w:color w:val="auto"/>
              </w:rPr>
              <w:t>3 (37.5%)</w:t>
            </w:r>
          </w:p>
        </w:tc>
        <w:tc>
          <w:tcPr>
            <w:tcW w:w="2000" w:type="dxa"/>
            <w:vAlign w:val="bottom"/>
          </w:tcPr>
          <w:p>
            <w:pPr>
              <w:jc w:val="right"/>
              <w:spacing w:after="0"/>
              <w:rPr>
                <w:sz w:val="20"/>
                <w:szCs w:val="20"/>
                <w:color w:val="auto"/>
              </w:rPr>
            </w:pPr>
            <w:r>
              <w:rPr>
                <w:rFonts w:ascii="Arial" w:cs="Arial" w:eastAsia="Arial" w:hAnsi="Arial"/>
                <w:sz w:val="18"/>
                <w:szCs w:val="18"/>
                <w:color w:val="auto"/>
              </w:rPr>
              <w:t>2 (33.3%)</w:t>
            </w:r>
          </w:p>
        </w:tc>
        <w:tc>
          <w:tcPr>
            <w:tcW w:w="60" w:type="dxa"/>
            <w:vAlign w:val="bottom"/>
          </w:tcPr>
          <w:p>
            <w:pPr>
              <w:spacing w:after="0"/>
              <w:rPr>
                <w:sz w:val="18"/>
                <w:szCs w:val="18"/>
                <w:color w:val="auto"/>
              </w:rPr>
            </w:pPr>
          </w:p>
        </w:tc>
      </w:tr>
      <w:tr>
        <w:trPr>
          <w:trHeight w:val="56"/>
        </w:trPr>
        <w:tc>
          <w:tcPr>
            <w:tcW w:w="5420" w:type="dxa"/>
            <w:vAlign w:val="bottom"/>
            <w:gridSpan w:val="2"/>
          </w:tcPr>
          <w:p>
            <w:pPr>
              <w:spacing w:after="0"/>
              <w:rPr>
                <w:sz w:val="4"/>
                <w:szCs w:val="4"/>
                <w:color w:val="auto"/>
              </w:rPr>
            </w:pPr>
          </w:p>
        </w:tc>
        <w:tc>
          <w:tcPr>
            <w:tcW w:w="35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ECOG performance status</w:t>
            </w:r>
          </w:p>
        </w:tc>
        <w:tc>
          <w:tcPr>
            <w:tcW w:w="35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4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0</w:t>
            </w:r>
          </w:p>
        </w:tc>
        <w:tc>
          <w:tcPr>
            <w:tcW w:w="35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1 (12.5%)</w:t>
            </w: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 (16.7%)</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1</w:t>
            </w:r>
          </w:p>
        </w:tc>
        <w:tc>
          <w:tcPr>
            <w:tcW w:w="35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7 (87.5%)</w:t>
            </w:r>
          </w:p>
        </w:tc>
        <w:tc>
          <w:tcPr>
            <w:tcW w:w="2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(83.3%)</w:t>
            </w:r>
          </w:p>
        </w:tc>
        <w:tc>
          <w:tcPr>
            <w:tcW w:w="60" w:type="dxa"/>
            <w:vAlign w:val="bottom"/>
            <w:shd w:val="clear" w:color="auto" w:fill="CCEEFF"/>
          </w:tcPr>
          <w:p>
            <w:pPr>
              <w:spacing w:after="0"/>
              <w:rPr>
                <w:sz w:val="17"/>
                <w:szCs w:val="17"/>
                <w:color w:val="auto"/>
              </w:rPr>
            </w:pPr>
          </w:p>
        </w:tc>
      </w:tr>
      <w:tr>
        <w:trPr>
          <w:trHeight w:val="215"/>
        </w:trPr>
        <w:tc>
          <w:tcPr>
            <w:tcW w:w="5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 of prior cancer therapies, median (range)</w:t>
            </w:r>
          </w:p>
        </w:tc>
        <w:tc>
          <w:tcPr>
            <w:tcW w:w="35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6.5 (5-8)</w:t>
            </w:r>
          </w:p>
        </w:tc>
        <w:tc>
          <w:tcPr>
            <w:tcW w:w="200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spacing w:after="0" w:line="11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emerging safety profile is consistent with the mechanistic effects of the product candidate on SHP2 and hence the RAS signaling cascade, including edema, reduced red cell production (low hemoglobin concentration and worsening of pre-existing anemia), reduced platelet production (thrombocytopenia), hypertension and fatigue. This safety profile was largely predictable from preclinical studies and clinical studies of other well-known inhibitors of this pathway. Treatment-related and emergent adverse events, or AEs, occurring in greater than or equal to 10% of patients are listed in Table 2. No related grade 4 or grade 5 AEs have been reported for this schedule. One treatment-related serious adverse event, or SAE, has been reported in a patient with pancreatic cancer receiving 200 mg twice weekly who was hospitalized with grade 3 abdominal distension (see Table 3); the SAE was unresolved at the time the patient withdrew from the study to transfer to hospice care.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40"/>
          </w:cols>
          <w:pgMar w:left="240" w:top="459" w:right="41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Table 2: </w:t>
      </w:r>
      <w:r>
        <w:rPr>
          <w:rFonts w:ascii="Arial" w:cs="Arial" w:eastAsia="Arial" w:hAnsi="Arial"/>
          <w:sz w:val="18"/>
          <w:szCs w:val="18"/>
          <w:color w:val="auto"/>
        </w:rPr>
        <w:t>Related AEs occurring in</w:t>
      </w:r>
      <w:r>
        <w:rPr>
          <w:rFonts w:ascii="Arial" w:cs="Arial" w:eastAsia="Arial" w:hAnsi="Arial"/>
          <w:sz w:val="18"/>
          <w:szCs w:val="18"/>
          <w:b w:val="1"/>
          <w:bCs w:val="1"/>
          <w:color w:val="auto"/>
        </w:rPr>
        <w:t xml:space="preserve"> </w:t>
      </w:r>
      <w:r>
        <w:rPr>
          <w:rFonts w:ascii="Arial" w:cs="Arial" w:eastAsia="Arial" w:hAnsi="Arial"/>
          <w:sz w:val="18"/>
          <w:szCs w:val="18"/>
          <w:color w:val="auto"/>
        </w:rPr>
        <w:t>³</w:t>
      </w:r>
      <w:r>
        <w:rPr>
          <w:rFonts w:ascii="Arial" w:cs="Arial" w:eastAsia="Arial" w:hAnsi="Arial"/>
          <w:sz w:val="18"/>
          <w:szCs w:val="18"/>
          <w:b w:val="1"/>
          <w:bCs w:val="1"/>
          <w:color w:val="auto"/>
        </w:rPr>
        <w:t xml:space="preserve"> </w:t>
      </w:r>
      <w:r>
        <w:rPr>
          <w:rFonts w:ascii="Arial" w:cs="Arial" w:eastAsia="Arial" w:hAnsi="Arial"/>
          <w:sz w:val="18"/>
          <w:szCs w:val="18"/>
          <w:color w:val="auto"/>
        </w:rPr>
        <w:t>10% of dosed patients by grade—intermittent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860" w:type="dxa"/>
            <w:vAlign w:val="bottom"/>
          </w:tcPr>
          <w:p>
            <w:pPr>
              <w:jc w:val="right"/>
              <w:ind w:right="72"/>
              <w:spacing w:after="0"/>
              <w:rPr>
                <w:sz w:val="20"/>
                <w:szCs w:val="20"/>
                <w:color w:val="auto"/>
              </w:rPr>
            </w:pPr>
            <w:r>
              <w:rPr>
                <w:rFonts w:ascii="Arial" w:cs="Arial" w:eastAsia="Arial" w:hAnsi="Arial"/>
                <w:sz w:val="18"/>
                <w:szCs w:val="18"/>
                <w:b w:val="1"/>
                <w:bCs w:val="1"/>
                <w:color w:val="auto"/>
              </w:rPr>
              <w:t>Any</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Grade</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Grade</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Grade</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Grade</w:t>
            </w:r>
          </w:p>
        </w:tc>
        <w:tc>
          <w:tcPr>
            <w:tcW w:w="720" w:type="dxa"/>
            <w:vAlign w:val="bottom"/>
            <w:gridSpan w:val="2"/>
          </w:tcPr>
          <w:p>
            <w:pPr>
              <w:ind w:left="120"/>
              <w:spacing w:after="0"/>
              <w:rPr>
                <w:sz w:val="20"/>
                <w:szCs w:val="20"/>
                <w:color w:val="auto"/>
              </w:rPr>
            </w:pPr>
            <w:r>
              <w:rPr>
                <w:rFonts w:ascii="Arial" w:cs="Arial" w:eastAsia="Arial" w:hAnsi="Arial"/>
                <w:sz w:val="18"/>
                <w:szCs w:val="18"/>
                <w:b w:val="1"/>
                <w:bCs w:val="1"/>
                <w:color w:val="auto"/>
              </w:rPr>
              <w:t>Grade</w:t>
            </w:r>
          </w:p>
        </w:tc>
      </w:tr>
      <w:tr>
        <w:trPr>
          <w:trHeight w:val="235"/>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Preferred term</w:t>
            </w:r>
          </w:p>
        </w:tc>
        <w:tc>
          <w:tcPr>
            <w:tcW w:w="1860" w:type="dxa"/>
            <w:vAlign w:val="bottom"/>
          </w:tcPr>
          <w:p>
            <w:pPr>
              <w:jc w:val="right"/>
              <w:ind w:right="72"/>
              <w:spacing w:after="0"/>
              <w:rPr>
                <w:sz w:val="20"/>
                <w:szCs w:val="20"/>
                <w:color w:val="auto"/>
              </w:rPr>
            </w:pPr>
            <w:r>
              <w:rPr>
                <w:rFonts w:ascii="Arial" w:cs="Arial" w:eastAsia="Arial" w:hAnsi="Arial"/>
                <w:sz w:val="18"/>
                <w:szCs w:val="18"/>
                <w:b w:val="1"/>
                <w:bCs w:val="1"/>
                <w:color w:val="auto"/>
              </w:rPr>
              <w:t>grade</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³3</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1</w:t>
            </w:r>
          </w:p>
        </w:tc>
        <w:tc>
          <w:tcPr>
            <w:tcW w:w="1100" w:type="dxa"/>
            <w:vAlign w:val="bottom"/>
          </w:tcPr>
          <w:p>
            <w:pPr>
              <w:jc w:val="right"/>
              <w:ind w:right="92"/>
              <w:spacing w:after="0"/>
              <w:rPr>
                <w:sz w:val="20"/>
                <w:szCs w:val="20"/>
                <w:color w:val="auto"/>
              </w:rPr>
            </w:pPr>
            <w:r>
              <w:rPr>
                <w:rFonts w:ascii="Arial" w:cs="Arial" w:eastAsia="Arial" w:hAnsi="Arial"/>
                <w:sz w:val="18"/>
                <w:szCs w:val="18"/>
                <w:b w:val="1"/>
                <w:bCs w:val="1"/>
                <w:color w:val="auto"/>
              </w:rPr>
              <w:t>2</w:t>
            </w:r>
          </w:p>
        </w:tc>
        <w:tc>
          <w:tcPr>
            <w:tcW w:w="1080" w:type="dxa"/>
            <w:vAlign w:val="bottom"/>
          </w:tcPr>
          <w:p>
            <w:pPr>
              <w:jc w:val="right"/>
              <w:ind w:right="52"/>
              <w:spacing w:after="0"/>
              <w:rPr>
                <w:sz w:val="20"/>
                <w:szCs w:val="20"/>
                <w:color w:val="auto"/>
              </w:rPr>
            </w:pPr>
            <w:r>
              <w:rPr>
                <w:rFonts w:ascii="Arial" w:cs="Arial" w:eastAsia="Arial" w:hAnsi="Arial"/>
                <w:sz w:val="18"/>
                <w:szCs w:val="18"/>
                <w:b w:val="1"/>
                <w:bCs w:val="1"/>
                <w:color w:val="auto"/>
              </w:rPr>
              <w:t>3</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8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40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Anemia*</w:t>
            </w:r>
          </w:p>
        </w:tc>
        <w:tc>
          <w:tcPr>
            <w:tcW w:w="1860" w:type="dxa"/>
            <w:vAlign w:val="bottom"/>
            <w:tcBorders>
              <w:top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5 (35.7%)</w:t>
            </w:r>
          </w:p>
        </w:tc>
        <w:tc>
          <w:tcPr>
            <w:tcW w:w="110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 (14.3%)</w:t>
            </w:r>
          </w:p>
        </w:tc>
        <w:tc>
          <w:tcPr>
            <w:tcW w:w="110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1 (7.1%)</w:t>
            </w:r>
          </w:p>
        </w:tc>
        <w:tc>
          <w:tcPr>
            <w:tcW w:w="110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 (14.3%)</w:t>
            </w:r>
          </w:p>
        </w:tc>
        <w:tc>
          <w:tcPr>
            <w:tcW w:w="1080" w:type="dxa"/>
            <w:vAlign w:val="bottom"/>
            <w:tcBorders>
              <w:top w:val="single" w:sz="8" w:color="auto"/>
            </w:tcBorders>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 (14.3%)</w:t>
            </w:r>
          </w:p>
        </w:tc>
        <w:tc>
          <w:tcPr>
            <w:tcW w:w="720" w:type="dxa"/>
            <w:vAlign w:val="bottom"/>
            <w:tcBorders>
              <w:top w:val="single" w:sz="8" w:color="auto"/>
            </w:tcBorders>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Fatigue</w:t>
            </w:r>
          </w:p>
        </w:tc>
        <w:tc>
          <w:tcPr>
            <w:tcW w:w="1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 (35.7%)</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 (7.1%)</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 (28.6%)</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 (7.1%)</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Thrombocytopenia**</w:t>
            </w:r>
          </w:p>
        </w:tc>
        <w:tc>
          <w:tcPr>
            <w:tcW w:w="1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5 (35.7%)</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 (14.3%)</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 (21.4%)</w:t>
            </w:r>
          </w:p>
        </w:tc>
        <w:tc>
          <w:tcPr>
            <w:tcW w:w="1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Edema***</w:t>
            </w:r>
          </w:p>
        </w:tc>
        <w:tc>
          <w:tcPr>
            <w:tcW w:w="1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 (28.6%)</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4 (28.6%)</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Diarrhea</w:t>
            </w:r>
          </w:p>
        </w:tc>
        <w:tc>
          <w:tcPr>
            <w:tcW w:w="1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 (21.4%)</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 (21.4%)</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Abdominal distension</w:t>
            </w:r>
          </w:p>
        </w:tc>
        <w:tc>
          <w:tcPr>
            <w:tcW w:w="1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 (14.3%)</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 (7.1%)</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 (7.1%)</w:t>
            </w:r>
          </w:p>
        </w:tc>
        <w:tc>
          <w:tcPr>
            <w:tcW w:w="1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 (7.1%)</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Blood creatine phosphokinase increased</w:t>
            </w:r>
          </w:p>
        </w:tc>
        <w:tc>
          <w:tcPr>
            <w:tcW w:w="1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 (14.3%)</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 (14.3%)</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4080" w:type="dxa"/>
            <w:vAlign w:val="bottom"/>
            <w:gridSpan w:val="2"/>
          </w:tcPr>
          <w:p>
            <w:pPr>
              <w:spacing w:after="0" w:line="202" w:lineRule="exact"/>
              <w:rPr>
                <w:sz w:val="20"/>
                <w:szCs w:val="20"/>
                <w:color w:val="auto"/>
              </w:rPr>
            </w:pPr>
            <w:r>
              <w:rPr>
                <w:rFonts w:ascii="Arial" w:cs="Arial" w:eastAsia="Arial" w:hAnsi="Arial"/>
                <w:sz w:val="18"/>
                <w:szCs w:val="18"/>
                <w:color w:val="auto"/>
              </w:rPr>
              <w:t>Dry mouth</w:t>
            </w:r>
          </w:p>
        </w:tc>
        <w:tc>
          <w:tcPr>
            <w:tcW w:w="186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 (14.3%)</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 (14.3%)</w:t>
            </w:r>
          </w:p>
        </w:tc>
        <w:tc>
          <w:tcPr>
            <w:tcW w:w="11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Neutropenia</w:t>
            </w:r>
          </w:p>
        </w:tc>
        <w:tc>
          <w:tcPr>
            <w:tcW w:w="18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 (14.3%)</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 (7.1%)</w:t>
            </w:r>
          </w:p>
        </w:tc>
        <w:tc>
          <w:tcPr>
            <w:tcW w:w="11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 (7.1%)</w:t>
            </w:r>
          </w:p>
        </w:tc>
        <w:tc>
          <w:tcPr>
            <w:tcW w:w="10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0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spacing w:after="0" w:line="69" w:lineRule="exact"/>
        <w:rPr>
          <w:sz w:val="20"/>
          <w:szCs w:val="20"/>
          <w:color w:val="auto"/>
        </w:rPr>
      </w:pPr>
    </w:p>
    <w:p>
      <w:pPr>
        <w:ind w:left="200" w:right="8480" w:firstLine="4"/>
        <w:spacing w:after="0" w:line="322" w:lineRule="auto"/>
        <w:tabs>
          <w:tab w:leader="none" w:pos="524"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hemoglobin count decrease. ** Includes platelet decrease.</w:t>
      </w:r>
    </w:p>
    <w:p>
      <w:pPr>
        <w:ind w:left="200"/>
        <w:spacing w:after="0"/>
        <w:rPr>
          <w:rFonts w:ascii="Arial" w:cs="Arial" w:eastAsia="Arial" w:hAnsi="Arial"/>
          <w:sz w:val="14"/>
          <w:szCs w:val="14"/>
          <w:color w:val="auto"/>
        </w:rPr>
      </w:pPr>
      <w:r>
        <w:rPr>
          <w:rFonts w:ascii="Arial" w:cs="Arial" w:eastAsia="Arial" w:hAnsi="Arial"/>
          <w:sz w:val="14"/>
          <w:szCs w:val="14"/>
          <w:color w:val="auto"/>
        </w:rPr>
        <w:t>***  Consists of eyelid edema, face edema, generalized edema, lip edema, edema, edema peripheral, periorbital al edema and peripheral swelling.</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3</w:t>
      </w:r>
      <w:r>
        <w:rPr>
          <w:rFonts w:ascii="Arial" w:cs="Arial" w:eastAsia="Arial" w:hAnsi="Arial"/>
          <w:sz w:val="18"/>
          <w:szCs w:val="18"/>
          <w:color w:val="auto"/>
        </w:rPr>
        <w:t>: Related SAEs—intermittent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Preferred term</w:t>
            </w:r>
          </w:p>
        </w:tc>
        <w:tc>
          <w:tcPr>
            <w:tcW w:w="3780" w:type="dxa"/>
            <w:vAlign w:val="bottom"/>
          </w:tcPr>
          <w:p>
            <w:pPr>
              <w:jc w:val="right"/>
              <w:ind w:right="132"/>
              <w:spacing w:after="0"/>
              <w:rPr>
                <w:sz w:val="20"/>
                <w:szCs w:val="20"/>
                <w:color w:val="auto"/>
              </w:rPr>
            </w:pPr>
            <w:r>
              <w:rPr>
                <w:rFonts w:ascii="Arial" w:cs="Arial" w:eastAsia="Arial" w:hAnsi="Arial"/>
                <w:sz w:val="18"/>
                <w:szCs w:val="18"/>
                <w:b w:val="1"/>
                <w:bCs w:val="1"/>
                <w:color w:val="auto"/>
              </w:rPr>
              <w:t>Number (%)</w:t>
            </w:r>
          </w:p>
        </w:tc>
        <w:tc>
          <w:tcPr>
            <w:tcW w:w="980" w:type="dxa"/>
            <w:vAlign w:val="bottom"/>
          </w:tcPr>
          <w:p>
            <w:pPr>
              <w:jc w:val="right"/>
              <w:ind w:right="92"/>
              <w:spacing w:after="0"/>
              <w:rPr>
                <w:sz w:val="20"/>
                <w:szCs w:val="20"/>
                <w:color w:val="auto"/>
              </w:rPr>
            </w:pPr>
            <w:r>
              <w:rPr>
                <w:rFonts w:ascii="Arial" w:cs="Arial" w:eastAsia="Arial" w:hAnsi="Arial"/>
                <w:sz w:val="18"/>
                <w:szCs w:val="18"/>
                <w:b w:val="1"/>
                <w:bCs w:val="1"/>
                <w:color w:val="auto"/>
              </w:rPr>
              <w:t>Dose</w:t>
            </w:r>
          </w:p>
        </w:tc>
        <w:tc>
          <w:tcPr>
            <w:tcW w:w="880" w:type="dxa"/>
            <w:vAlign w:val="bottom"/>
          </w:tcPr>
          <w:p>
            <w:pPr>
              <w:jc w:val="right"/>
              <w:ind w:right="92"/>
              <w:spacing w:after="0"/>
              <w:rPr>
                <w:sz w:val="20"/>
                <w:szCs w:val="20"/>
                <w:color w:val="auto"/>
              </w:rPr>
            </w:pPr>
            <w:r>
              <w:rPr>
                <w:rFonts w:ascii="Arial" w:cs="Arial" w:eastAsia="Arial" w:hAnsi="Arial"/>
                <w:sz w:val="18"/>
                <w:szCs w:val="18"/>
                <w:b w:val="1"/>
                <w:bCs w:val="1"/>
                <w:color w:val="auto"/>
              </w:rPr>
              <w:t>Grade</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Outcome</w:t>
            </w:r>
          </w:p>
        </w:tc>
      </w:tr>
      <w:tr>
        <w:trPr>
          <w:trHeight w:val="196"/>
        </w:trPr>
        <w:tc>
          <w:tcPr>
            <w:tcW w:w="20" w:type="dxa"/>
            <w:vAlign w:val="bottom"/>
          </w:tcPr>
          <w:p>
            <w:pPr>
              <w:spacing w:after="0"/>
              <w:rPr>
                <w:sz w:val="17"/>
                <w:szCs w:val="17"/>
                <w:color w:val="auto"/>
              </w:rPr>
            </w:pPr>
          </w:p>
        </w:tc>
        <w:tc>
          <w:tcPr>
            <w:tcW w:w="43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Abdominal distension</w:t>
            </w:r>
          </w:p>
        </w:tc>
        <w:tc>
          <w:tcPr>
            <w:tcW w:w="3780" w:type="dxa"/>
            <w:vAlign w:val="bottom"/>
            <w:tcBorders>
              <w:top w:val="single" w:sz="8" w:color="auto"/>
            </w:tcBorders>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 (7%)</w:t>
            </w:r>
          </w:p>
        </w:tc>
        <w:tc>
          <w:tcPr>
            <w:tcW w:w="98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200 mg</w:t>
            </w:r>
          </w:p>
        </w:tc>
        <w:tc>
          <w:tcPr>
            <w:tcW w:w="88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3</w:t>
            </w:r>
          </w:p>
        </w:tc>
        <w:tc>
          <w:tcPr>
            <w:tcW w:w="102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ongoing</w:t>
            </w:r>
          </w:p>
        </w:tc>
      </w:tr>
      <w:tr>
        <w:trPr>
          <w:trHeight w:val="20"/>
        </w:trPr>
        <w:tc>
          <w:tcPr>
            <w:tcW w:w="2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3"/>
        </w:trPr>
        <w:tc>
          <w:tcPr>
            <w:tcW w:w="4380" w:type="dxa"/>
            <w:vAlign w:val="bottom"/>
            <w:gridSpan w:val="2"/>
          </w:tcPr>
          <w:p>
            <w:pPr>
              <w:spacing w:after="0"/>
              <w:rPr>
                <w:sz w:val="20"/>
                <w:szCs w:val="20"/>
                <w:color w:val="auto"/>
              </w:rPr>
            </w:pPr>
            <w:r>
              <w:rPr>
                <w:rFonts w:ascii="Arial" w:cs="Arial" w:eastAsia="Arial" w:hAnsi="Arial"/>
                <w:sz w:val="14"/>
                <w:szCs w:val="14"/>
                <w:i w:val="1"/>
                <w:iCs w:val="1"/>
                <w:color w:val="auto"/>
              </w:rPr>
              <w:t>Data as of November 6, 2019.</w:t>
            </w:r>
          </w:p>
        </w:tc>
        <w:tc>
          <w:tcPr>
            <w:tcW w:w="3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bl>
    <w:p>
      <w:pPr>
        <w:spacing w:after="0" w:line="25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Pharmacokinetics—intermittent dosing schedule</w:t>
      </w:r>
    </w:p>
    <w:p>
      <w:pPr>
        <w:spacing w:after="0" w:line="122" w:lineRule="exact"/>
        <w:rPr>
          <w:sz w:val="20"/>
          <w:szCs w:val="20"/>
          <w:color w:val="auto"/>
        </w:rPr>
      </w:pPr>
    </w:p>
    <w:p>
      <w:pPr>
        <w:ind w:left="200" w:right="100"/>
        <w:spacing w:after="0" w:line="224" w:lineRule="auto"/>
        <w:rPr>
          <w:sz w:val="20"/>
          <w:szCs w:val="20"/>
          <w:color w:val="auto"/>
        </w:rPr>
      </w:pPr>
      <w:r>
        <w:rPr>
          <w:rFonts w:ascii="Arial" w:cs="Arial" w:eastAsia="Arial" w:hAnsi="Arial"/>
          <w:sz w:val="18"/>
          <w:szCs w:val="18"/>
          <w:color w:val="auto"/>
        </w:rPr>
        <w:t xml:space="preserve">The pharmacokinetic profile of RMC-4630 after dosing on the intermittent schedule is shown in Table 4 and Figure 9. No accumulation from day 1 to day 15 was observed. Plasma exposure at both dose levels was within the range anticipated to be biologically active from preclinical models. After a single dose of 140 mg, the plasma concentration of RMC-4630 remained above the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EC</w:t>
      </w:r>
      <w:r>
        <w:rPr>
          <w:rFonts w:ascii="Arial" w:cs="Arial" w:eastAsia="Arial" w:hAnsi="Arial"/>
          <w:sz w:val="22"/>
          <w:szCs w:val="22"/>
          <w:color w:val="auto"/>
          <w:vertAlign w:val="subscript"/>
        </w:rPr>
        <w:t>50</w:t>
      </w:r>
      <w:r>
        <w:rPr>
          <w:rFonts w:ascii="Arial" w:cs="Arial" w:eastAsia="Arial" w:hAnsi="Arial"/>
          <w:sz w:val="18"/>
          <w:szCs w:val="18"/>
          <w:color w:val="auto"/>
        </w:rPr>
        <w:t xml:space="preserve"> for pERK for 72 hours. We estimate the half-life of RMC-4630 to be approximately 25 hours.</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4</w:t>
      </w:r>
      <w:r>
        <w:rPr>
          <w:rFonts w:ascii="Arial" w:cs="Arial" w:eastAsia="Arial" w:hAnsi="Arial"/>
          <w:sz w:val="18"/>
          <w:szCs w:val="18"/>
          <w:color w:val="auto"/>
        </w:rPr>
        <w:t>: Pharmacokinetics – intermittent schedule in RMC-4630-01 study.</w:t>
      </w:r>
    </w:p>
    <w:p>
      <w:pPr>
        <w:spacing w:after="0" w:line="116" w:lineRule="exact"/>
        <w:rPr>
          <w:sz w:val="20"/>
          <w:szCs w:val="20"/>
          <w:color w:val="auto"/>
        </w:rPr>
      </w:pPr>
    </w:p>
    <w:tbl>
      <w:tblPr>
        <w:tblLayout w:type="fixed"/>
        <w:tblInd w:w="230" w:type="dxa"/>
        <w:tblCellMar>
          <w:top w:w="0" w:type="dxa"/>
          <w:left w:w="0" w:type="dxa"/>
          <w:bottom w:w="0" w:type="dxa"/>
          <w:right w:w="0" w:type="dxa"/>
        </w:tblCellMar>
      </w:tblPr>
      <w:tr>
        <w:trPr>
          <w:trHeight w:val="176"/>
        </w:trPr>
        <w:tc>
          <w:tcPr>
            <w:tcW w:w="3420" w:type="dxa"/>
            <w:vAlign w:val="bottom"/>
            <w:tcBorders>
              <w:top w:val="single" w:sz="8" w:color="auto"/>
              <w:left w:val="single" w:sz="8" w:color="auto"/>
              <w:right w:val="single" w:sz="8" w:color="auto"/>
            </w:tcBorders>
          </w:tcPr>
          <w:p>
            <w:pPr>
              <w:spacing w:after="0"/>
              <w:rPr>
                <w:sz w:val="15"/>
                <w:szCs w:val="15"/>
                <w:color w:val="auto"/>
              </w:rPr>
            </w:pPr>
          </w:p>
        </w:tc>
        <w:tc>
          <w:tcPr>
            <w:tcW w:w="680" w:type="dxa"/>
            <w:vAlign w:val="bottom"/>
            <w:tcBorders>
              <w:top w:val="single" w:sz="8" w:color="auto"/>
              <w:right w:val="single" w:sz="8" w:color="auto"/>
            </w:tcBorders>
          </w:tcPr>
          <w:p>
            <w:pPr>
              <w:spacing w:after="0"/>
              <w:rPr>
                <w:sz w:val="15"/>
                <w:szCs w:val="15"/>
                <w:color w:val="auto"/>
              </w:rPr>
            </w:pPr>
          </w:p>
        </w:tc>
        <w:tc>
          <w:tcPr>
            <w:tcW w:w="660" w:type="dxa"/>
            <w:vAlign w:val="bottom"/>
            <w:tcBorders>
              <w:top w:val="single" w:sz="8" w:color="auto"/>
              <w:right w:val="single" w:sz="8" w:color="auto"/>
            </w:tcBorders>
          </w:tcPr>
          <w:p>
            <w:pPr>
              <w:spacing w:after="0"/>
              <w:rPr>
                <w:sz w:val="15"/>
                <w:szCs w:val="15"/>
                <w:color w:val="auto"/>
              </w:rPr>
            </w:pPr>
          </w:p>
        </w:tc>
        <w:tc>
          <w:tcPr>
            <w:tcW w:w="420" w:type="dxa"/>
            <w:vAlign w:val="bottom"/>
            <w:tcBorders>
              <w:top w:val="single" w:sz="8" w:color="auto"/>
              <w:right w:val="single" w:sz="8" w:color="auto"/>
            </w:tcBorders>
          </w:tcPr>
          <w:p>
            <w:pPr>
              <w:spacing w:after="0"/>
              <w:rPr>
                <w:sz w:val="15"/>
                <w:szCs w:val="15"/>
                <w:color w:val="auto"/>
              </w:rPr>
            </w:pPr>
          </w:p>
        </w:tc>
        <w:tc>
          <w:tcPr>
            <w:tcW w:w="320" w:type="dxa"/>
            <w:vAlign w:val="bottom"/>
            <w:tcBorders>
              <w:top w:val="single" w:sz="8" w:color="auto"/>
              <w:right w:val="single" w:sz="8" w:color="auto"/>
            </w:tcBorders>
          </w:tcPr>
          <w:p>
            <w:pPr>
              <w:spacing w:after="0"/>
              <w:rPr>
                <w:sz w:val="15"/>
                <w:szCs w:val="15"/>
                <w:color w:val="auto"/>
              </w:rPr>
            </w:pPr>
          </w:p>
        </w:tc>
        <w:tc>
          <w:tcPr>
            <w:tcW w:w="1000" w:type="dxa"/>
            <w:vAlign w:val="bottom"/>
            <w:tcBorders>
              <w:top w:val="single" w:sz="8" w:color="auto"/>
              <w:right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PK parameters [Mean(CV%)]</w:t>
            </w:r>
          </w:p>
        </w:tc>
        <w:tc>
          <w:tcPr>
            <w:tcW w:w="960" w:type="dxa"/>
            <w:vAlign w:val="bottom"/>
            <w:tcBorders>
              <w:top w:val="single" w:sz="8" w:color="auto"/>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3420" w:type="dxa"/>
            <w:vAlign w:val="bottom"/>
            <w:tcBorders>
              <w:left w:val="single" w:sz="8" w:color="auto"/>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42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58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5"/>
              </w:rPr>
              <w:t>Median</w:t>
            </w:r>
          </w:p>
        </w:tc>
        <w:tc>
          <w:tcPr>
            <w:tcW w:w="64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Mean</w:t>
            </w:r>
          </w:p>
        </w:tc>
        <w:tc>
          <w:tcPr>
            <w:tcW w:w="660" w:type="dxa"/>
            <w:vAlign w:val="bottom"/>
            <w:tcBorders>
              <w:right w:val="single" w:sz="8" w:color="auto"/>
            </w:tcBorders>
          </w:tcPr>
          <w:p>
            <w:pPr>
              <w:spacing w:after="0"/>
              <w:rPr>
                <w:sz w:val="10"/>
                <w:szCs w:val="10"/>
                <w:color w:val="auto"/>
              </w:rPr>
            </w:pPr>
          </w:p>
        </w:tc>
        <w:tc>
          <w:tcPr>
            <w:tcW w:w="960" w:type="dxa"/>
            <w:vAlign w:val="bottom"/>
            <w:tcBorders>
              <w:right w:val="single" w:sz="8" w:color="auto"/>
            </w:tcBorders>
            <w:vMerge w:val="restart"/>
          </w:tcPr>
          <w:p>
            <w:pPr>
              <w:ind w:left="60"/>
              <w:spacing w:after="0" w:line="197" w:lineRule="exact"/>
              <w:rPr>
                <w:sz w:val="20"/>
                <w:szCs w:val="20"/>
                <w:color w:val="auto"/>
              </w:rPr>
            </w:pPr>
            <w:r>
              <w:rPr>
                <w:rFonts w:ascii="Arial" w:cs="Arial" w:eastAsia="Arial" w:hAnsi="Arial"/>
                <w:sz w:val="14"/>
                <w:szCs w:val="14"/>
                <w:b w:val="1"/>
                <w:bCs w:val="1"/>
                <w:color w:val="auto"/>
              </w:rPr>
              <w:t>Median t</w:t>
            </w:r>
            <w:r>
              <w:rPr>
                <w:rFonts w:ascii="Arial" w:cs="Arial" w:eastAsia="Arial" w:hAnsi="Arial"/>
                <w:sz w:val="22"/>
                <w:szCs w:val="22"/>
                <w:b w:val="1"/>
                <w:bCs w:val="1"/>
                <w:color w:val="auto"/>
                <w:vertAlign w:val="subscript"/>
              </w:rPr>
              <w:t>1/2</w:t>
            </w:r>
          </w:p>
        </w:tc>
        <w:tc>
          <w:tcPr>
            <w:tcW w:w="0" w:type="dxa"/>
            <w:vAlign w:val="bottom"/>
          </w:tcPr>
          <w:p>
            <w:pPr>
              <w:spacing w:after="0"/>
              <w:rPr>
                <w:sz w:val="1"/>
                <w:szCs w:val="1"/>
                <w:color w:val="auto"/>
              </w:rPr>
            </w:pPr>
          </w:p>
        </w:tc>
      </w:tr>
      <w:tr>
        <w:trPr>
          <w:trHeight w:val="71"/>
        </w:trPr>
        <w:tc>
          <w:tcPr>
            <w:tcW w:w="342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4"/>
                <w:szCs w:val="14"/>
                <w:b w:val="1"/>
                <w:bCs w:val="1"/>
                <w:color w:val="auto"/>
                <w:w w:val="97"/>
              </w:rPr>
              <w:t>Study</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Schedule</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Dose</w:t>
            </w:r>
          </w:p>
        </w:tc>
        <w:tc>
          <w:tcPr>
            <w:tcW w:w="4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Cycle</w:t>
            </w:r>
          </w:p>
        </w:tc>
        <w:tc>
          <w:tcPr>
            <w:tcW w:w="320" w:type="dxa"/>
            <w:vAlign w:val="bottom"/>
            <w:tcBorders>
              <w:right w:val="single" w:sz="8" w:color="auto"/>
            </w:tcBorders>
            <w:vMerge w:val="restart"/>
          </w:tcPr>
          <w:p>
            <w:pPr>
              <w:ind w:left="40"/>
              <w:spacing w:after="0"/>
              <w:rPr>
                <w:sz w:val="20"/>
                <w:szCs w:val="20"/>
                <w:color w:val="auto"/>
              </w:rPr>
            </w:pPr>
            <w:r>
              <w:rPr>
                <w:rFonts w:ascii="Arial" w:cs="Arial" w:eastAsia="Arial" w:hAnsi="Arial"/>
                <w:sz w:val="14"/>
                <w:szCs w:val="14"/>
                <w:b w:val="1"/>
                <w:bCs w:val="1"/>
                <w:color w:val="auto"/>
                <w:w w:val="93"/>
              </w:rPr>
              <w:t>Day</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N(Cmax/AUC)</w:t>
            </w:r>
          </w:p>
        </w:tc>
        <w:tc>
          <w:tcPr>
            <w:tcW w:w="700" w:type="dxa"/>
            <w:vAlign w:val="bottom"/>
            <w:tcBorders>
              <w:right w:val="single" w:sz="8" w:color="auto"/>
            </w:tcBorders>
            <w:vMerge w:val="restart"/>
          </w:tcPr>
          <w:p>
            <w:pPr>
              <w:jc w:val="center"/>
              <w:spacing w:after="0" w:line="220" w:lineRule="exact"/>
              <w:rPr>
                <w:sz w:val="20"/>
                <w:szCs w:val="20"/>
                <w:color w:val="auto"/>
              </w:rPr>
            </w:pPr>
            <w:r>
              <w:rPr>
                <w:rFonts w:ascii="Arial" w:cs="Arial" w:eastAsia="Arial" w:hAnsi="Arial"/>
                <w:sz w:val="25"/>
                <w:szCs w:val="25"/>
                <w:b w:val="1"/>
                <w:bCs w:val="1"/>
                <w:color w:val="auto"/>
                <w:w w:val="93"/>
                <w:vertAlign w:val="superscript"/>
              </w:rPr>
              <w:t>C</w:t>
            </w:r>
            <w:r>
              <w:rPr>
                <w:rFonts w:ascii="Arial" w:cs="Arial" w:eastAsia="Arial" w:hAnsi="Arial"/>
                <w:sz w:val="11"/>
                <w:szCs w:val="11"/>
                <w:b w:val="1"/>
                <w:bCs w:val="1"/>
                <w:color w:val="auto"/>
                <w:w w:val="93"/>
              </w:rPr>
              <w:t>max</w:t>
            </w:r>
          </w:p>
        </w:tc>
        <w:tc>
          <w:tcPr>
            <w:tcW w:w="580" w:type="dxa"/>
            <w:vAlign w:val="bottom"/>
            <w:tcBorders>
              <w:right w:val="single" w:sz="8" w:color="auto"/>
            </w:tcBorders>
            <w:vMerge w:val="restart"/>
          </w:tcPr>
          <w:p>
            <w:pPr>
              <w:jc w:val="center"/>
              <w:spacing w:after="0" w:line="220" w:lineRule="exact"/>
              <w:rPr>
                <w:sz w:val="20"/>
                <w:szCs w:val="20"/>
                <w:color w:val="auto"/>
              </w:rPr>
            </w:pPr>
            <w:r>
              <w:rPr>
                <w:rFonts w:ascii="Arial" w:cs="Arial" w:eastAsia="Arial" w:hAnsi="Arial"/>
                <w:sz w:val="25"/>
                <w:szCs w:val="25"/>
                <w:b w:val="1"/>
                <w:bCs w:val="1"/>
                <w:color w:val="auto"/>
                <w:w w:val="93"/>
                <w:vertAlign w:val="superscript"/>
              </w:rPr>
              <w:t>T</w:t>
            </w:r>
            <w:r>
              <w:rPr>
                <w:rFonts w:ascii="Arial" w:cs="Arial" w:eastAsia="Arial" w:hAnsi="Arial"/>
                <w:sz w:val="11"/>
                <w:szCs w:val="11"/>
                <w:b w:val="1"/>
                <w:bCs w:val="1"/>
                <w:color w:val="auto"/>
                <w:w w:val="93"/>
              </w:rPr>
              <w:t>max</w:t>
            </w:r>
          </w:p>
        </w:tc>
        <w:tc>
          <w:tcPr>
            <w:tcW w:w="640" w:type="dxa"/>
            <w:vAlign w:val="bottom"/>
            <w:tcBorders>
              <w:right w:val="single" w:sz="8" w:color="auto"/>
            </w:tcBorders>
            <w:vMerge w:val="restart"/>
          </w:tcPr>
          <w:p>
            <w:pPr>
              <w:jc w:val="center"/>
              <w:spacing w:after="0" w:line="220" w:lineRule="exact"/>
              <w:rPr>
                <w:sz w:val="20"/>
                <w:szCs w:val="20"/>
                <w:color w:val="auto"/>
              </w:rPr>
            </w:pPr>
            <w:r>
              <w:rPr>
                <w:rFonts w:ascii="Arial" w:cs="Arial" w:eastAsia="Arial" w:hAnsi="Arial"/>
                <w:sz w:val="25"/>
                <w:szCs w:val="25"/>
                <w:b w:val="1"/>
                <w:bCs w:val="1"/>
                <w:color w:val="auto"/>
                <w:w w:val="89"/>
                <w:vertAlign w:val="superscript"/>
              </w:rPr>
              <w:t>AUC</w:t>
            </w:r>
            <w:r>
              <w:rPr>
                <w:rFonts w:ascii="Arial" w:cs="Arial" w:eastAsia="Arial" w:hAnsi="Arial"/>
                <w:sz w:val="11"/>
                <w:szCs w:val="11"/>
                <w:b w:val="1"/>
                <w:bCs w:val="1"/>
                <w:color w:val="auto"/>
                <w:w w:val="89"/>
              </w:rPr>
              <w:t>0-24</w:t>
            </w:r>
          </w:p>
        </w:tc>
        <w:tc>
          <w:tcPr>
            <w:tcW w:w="100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line="220" w:lineRule="exact"/>
              <w:rPr>
                <w:sz w:val="20"/>
                <w:szCs w:val="20"/>
                <w:color w:val="auto"/>
              </w:rPr>
            </w:pPr>
            <w:r>
              <w:rPr>
                <w:rFonts w:ascii="Arial" w:cs="Arial" w:eastAsia="Arial" w:hAnsi="Arial"/>
                <w:sz w:val="25"/>
                <w:szCs w:val="25"/>
                <w:b w:val="1"/>
                <w:bCs w:val="1"/>
                <w:color w:val="auto"/>
                <w:w w:val="89"/>
                <w:vertAlign w:val="superscript"/>
              </w:rPr>
              <w:t>AUC</w:t>
            </w:r>
            <w:r>
              <w:rPr>
                <w:rFonts w:ascii="Arial" w:cs="Arial" w:eastAsia="Arial" w:hAnsi="Arial"/>
                <w:sz w:val="11"/>
                <w:szCs w:val="11"/>
                <w:b w:val="1"/>
                <w:bCs w:val="1"/>
                <w:color w:val="auto"/>
                <w:w w:val="89"/>
              </w:rPr>
              <w:t>0-72</w:t>
            </w:r>
          </w:p>
        </w:tc>
        <w:tc>
          <w:tcPr>
            <w:tcW w:w="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3420" w:type="dxa"/>
            <w:vAlign w:val="bottom"/>
            <w:tcBorders>
              <w:left w:val="single" w:sz="8" w:color="auto"/>
              <w:right w:val="single" w:sz="8" w:color="auto"/>
            </w:tcBorders>
            <w:vMerge w:val="continue"/>
          </w:tcPr>
          <w:p>
            <w:pPr>
              <w:spacing w:after="0"/>
              <w:rPr>
                <w:sz w:val="12"/>
                <w:szCs w:val="12"/>
                <w:color w:val="auto"/>
              </w:rPr>
            </w:pPr>
          </w:p>
        </w:tc>
        <w:tc>
          <w:tcPr>
            <w:tcW w:w="68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420" w:type="dxa"/>
            <w:vAlign w:val="bottom"/>
            <w:tcBorders>
              <w:right w:val="single" w:sz="8" w:color="auto"/>
            </w:tcBorders>
            <w:vMerge w:val="continue"/>
          </w:tcPr>
          <w:p>
            <w:pPr>
              <w:spacing w:after="0"/>
              <w:rPr>
                <w:sz w:val="12"/>
                <w:szCs w:val="12"/>
                <w:color w:val="auto"/>
              </w:rPr>
            </w:pPr>
          </w:p>
        </w:tc>
        <w:tc>
          <w:tcPr>
            <w:tcW w:w="32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7"/>
              </w:rPr>
              <w:t>accumulation</w:t>
            </w:r>
          </w:p>
        </w:tc>
        <w:tc>
          <w:tcPr>
            <w:tcW w:w="660" w:type="dxa"/>
            <w:vAlign w:val="bottom"/>
            <w:tcBorders>
              <w:right w:val="single" w:sz="8" w:color="auto"/>
            </w:tcBorders>
            <w:vMerge w:val="continue"/>
          </w:tcPr>
          <w:p>
            <w:pPr>
              <w:spacing w:after="0"/>
              <w:rPr>
                <w:sz w:val="12"/>
                <w:szCs w:val="12"/>
                <w:color w:val="auto"/>
              </w:rPr>
            </w:pPr>
          </w:p>
        </w:tc>
        <w:tc>
          <w:tcPr>
            <w:tcW w:w="960" w:type="dxa"/>
            <w:vAlign w:val="bottom"/>
            <w:tcBorders>
              <w:right w:val="single" w:sz="8" w:color="auto"/>
            </w:tcBorders>
          </w:tcPr>
          <w:p>
            <w:pPr>
              <w:ind w:left="180"/>
              <w:spacing w:after="0" w:line="149" w:lineRule="exact"/>
              <w:rPr>
                <w:sz w:val="20"/>
                <w:szCs w:val="20"/>
                <w:color w:val="auto"/>
              </w:rPr>
            </w:pPr>
            <w:r>
              <w:rPr>
                <w:rFonts w:ascii="Arial" w:cs="Arial" w:eastAsia="Arial" w:hAnsi="Arial"/>
                <w:sz w:val="14"/>
                <w:szCs w:val="14"/>
                <w:b w:val="1"/>
                <w:bCs w:val="1"/>
                <w:color w:val="auto"/>
              </w:rPr>
              <w:t>(range)</w:t>
            </w:r>
          </w:p>
        </w:tc>
        <w:tc>
          <w:tcPr>
            <w:tcW w:w="0" w:type="dxa"/>
            <w:vAlign w:val="bottom"/>
          </w:tcPr>
          <w:p>
            <w:pPr>
              <w:spacing w:after="0"/>
              <w:rPr>
                <w:sz w:val="1"/>
                <w:szCs w:val="1"/>
                <w:color w:val="auto"/>
              </w:rPr>
            </w:pPr>
          </w:p>
        </w:tc>
      </w:tr>
      <w:tr>
        <w:trPr>
          <w:trHeight w:val="95"/>
        </w:trPr>
        <w:tc>
          <w:tcPr>
            <w:tcW w:w="3420" w:type="dxa"/>
            <w:vAlign w:val="bottom"/>
            <w:tcBorders>
              <w:left w:val="single" w:sz="8" w:color="auto"/>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60" w:type="dxa"/>
            <w:vAlign w:val="bottom"/>
            <w:tcBorders>
              <w:right w:val="single" w:sz="8" w:color="auto"/>
            </w:tcBorders>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c>
          <w:tcPr>
            <w:tcW w:w="700" w:type="dxa"/>
            <w:vAlign w:val="bottom"/>
            <w:tcBorders>
              <w:bottom w:val="single" w:sz="8" w:color="auto"/>
              <w:right w:val="single" w:sz="8" w:color="auto"/>
            </w:tcBorders>
          </w:tcPr>
          <w:p>
            <w:pPr>
              <w:spacing w:after="0"/>
              <w:rPr>
                <w:sz w:val="8"/>
                <w:szCs w:val="8"/>
                <w:color w:val="auto"/>
              </w:rPr>
            </w:pPr>
          </w:p>
        </w:tc>
        <w:tc>
          <w:tcPr>
            <w:tcW w:w="580" w:type="dxa"/>
            <w:vAlign w:val="bottom"/>
            <w:tcBorders>
              <w:bottom w:val="single" w:sz="8" w:color="auto"/>
              <w:right w:val="single" w:sz="8" w:color="auto"/>
            </w:tcBorders>
          </w:tcPr>
          <w:p>
            <w:pPr>
              <w:jc w:val="center"/>
              <w:spacing w:after="0" w:line="95" w:lineRule="exact"/>
              <w:rPr>
                <w:sz w:val="20"/>
                <w:szCs w:val="20"/>
                <w:color w:val="auto"/>
              </w:rPr>
            </w:pPr>
            <w:r>
              <w:rPr>
                <w:rFonts w:ascii="Arial" w:cs="Arial" w:eastAsia="Arial" w:hAnsi="Arial"/>
                <w:sz w:val="10"/>
                <w:szCs w:val="10"/>
                <w:b w:val="1"/>
                <w:bCs w:val="1"/>
                <w:color w:val="auto"/>
              </w:rPr>
              <w:t>(range)</w:t>
            </w:r>
          </w:p>
        </w:tc>
        <w:tc>
          <w:tcPr>
            <w:tcW w:w="640" w:type="dxa"/>
            <w:vAlign w:val="bottom"/>
            <w:tcBorders>
              <w:bottom w:val="single" w:sz="8" w:color="auto"/>
              <w:right w:val="single" w:sz="8" w:color="auto"/>
            </w:tcBorders>
          </w:tcPr>
          <w:p>
            <w:pPr>
              <w:spacing w:after="0"/>
              <w:rPr>
                <w:sz w:val="8"/>
                <w:szCs w:val="8"/>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(AUC Ratio)</w:t>
            </w:r>
          </w:p>
        </w:tc>
        <w:tc>
          <w:tcPr>
            <w:tcW w:w="660" w:type="dxa"/>
            <w:vAlign w:val="bottom"/>
            <w:tcBorders>
              <w:bottom w:val="single" w:sz="8" w:color="auto"/>
              <w:right w:val="single" w:sz="8" w:color="auto"/>
            </w:tcBorders>
          </w:tcPr>
          <w:p>
            <w:pPr>
              <w:spacing w:after="0"/>
              <w:rPr>
                <w:sz w:val="8"/>
                <w:szCs w:val="8"/>
                <w:color w:val="auto"/>
              </w:rPr>
            </w:pPr>
          </w:p>
        </w:tc>
        <w:tc>
          <w:tcPr>
            <w:tcW w:w="9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420" w:type="dxa"/>
            <w:vAlign w:val="bottom"/>
            <w:tcBorders>
              <w:right w:val="single" w:sz="8" w:color="auto"/>
            </w:tcBorders>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rPr>
              <w:t>µM</w:t>
            </w:r>
          </w:p>
        </w:tc>
        <w:tc>
          <w:tcPr>
            <w:tcW w:w="5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w w:val="92"/>
              </w:rPr>
              <w:t>h</w:t>
            </w:r>
          </w:p>
        </w:tc>
        <w:tc>
          <w:tcPr>
            <w:tcW w:w="6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rPr>
              <w:t>µM*h</w:t>
            </w:r>
          </w:p>
        </w:tc>
        <w:tc>
          <w:tcPr>
            <w:tcW w:w="100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rPr>
              <w:t>µM*h</w:t>
            </w:r>
          </w:p>
        </w:tc>
        <w:tc>
          <w:tcPr>
            <w:tcW w:w="960" w:type="dxa"/>
            <w:vAlign w:val="bottom"/>
            <w:tcBorders>
              <w:right w:val="single" w:sz="8" w:color="auto"/>
            </w:tcBorders>
            <w:vMerge w:val="restart"/>
          </w:tcPr>
          <w:p>
            <w:pPr>
              <w:ind w:left="380"/>
              <w:spacing w:after="0" w:line="142" w:lineRule="exact"/>
              <w:rPr>
                <w:sz w:val="20"/>
                <w:szCs w:val="20"/>
                <w:color w:val="auto"/>
              </w:rPr>
            </w:pPr>
            <w:r>
              <w:rPr>
                <w:rFonts w:ascii="Arial" w:cs="Arial" w:eastAsia="Arial" w:hAnsi="Arial"/>
                <w:sz w:val="14"/>
                <w:szCs w:val="14"/>
                <w:b w:val="1"/>
                <w:bCs w:val="1"/>
                <w:color w:val="auto"/>
              </w:rPr>
              <w:t>h</w:t>
            </w:r>
          </w:p>
        </w:tc>
        <w:tc>
          <w:tcPr>
            <w:tcW w:w="0" w:type="dxa"/>
            <w:vAlign w:val="bottom"/>
          </w:tcPr>
          <w:p>
            <w:pPr>
              <w:spacing w:after="0"/>
              <w:rPr>
                <w:sz w:val="1"/>
                <w:szCs w:val="1"/>
                <w:color w:val="auto"/>
              </w:rPr>
            </w:pPr>
          </w:p>
        </w:tc>
      </w:tr>
      <w:tr>
        <w:trPr>
          <w:trHeight w:val="68"/>
        </w:trPr>
        <w:tc>
          <w:tcPr>
            <w:tcW w:w="342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vMerge w:val="continue"/>
          </w:tcPr>
          <w:p>
            <w:pPr>
              <w:spacing w:after="0"/>
              <w:rPr>
                <w:sz w:val="5"/>
                <w:szCs w:val="5"/>
                <w:color w:val="auto"/>
              </w:rPr>
            </w:pPr>
          </w:p>
        </w:tc>
        <w:tc>
          <w:tcPr>
            <w:tcW w:w="580" w:type="dxa"/>
            <w:vAlign w:val="bottom"/>
            <w:tcBorders>
              <w:bottom w:val="single" w:sz="8" w:color="auto"/>
              <w:right w:val="single" w:sz="8" w:color="auto"/>
            </w:tcBorders>
            <w:vMerge w:val="continue"/>
          </w:tcPr>
          <w:p>
            <w:pPr>
              <w:spacing w:after="0"/>
              <w:rPr>
                <w:sz w:val="5"/>
                <w:szCs w:val="5"/>
                <w:color w:val="auto"/>
              </w:rPr>
            </w:pPr>
          </w:p>
        </w:tc>
        <w:tc>
          <w:tcPr>
            <w:tcW w:w="64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9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42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4"/>
                <w:szCs w:val="14"/>
                <w:color w:val="auto"/>
                <w:w w:val="96"/>
              </w:rPr>
              <w:t>Mouse efficacy</w:t>
            </w:r>
          </w:p>
        </w:tc>
        <w:tc>
          <w:tcPr>
            <w:tcW w:w="68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10 mg/kg</w:t>
            </w:r>
          </w:p>
        </w:tc>
        <w:tc>
          <w:tcPr>
            <w:tcW w:w="420" w:type="dxa"/>
            <w:vAlign w:val="bottom"/>
            <w:tcBorders>
              <w:bottom w:val="single" w:sz="8" w:color="auto"/>
              <w:right w:val="single" w:sz="8" w:color="auto"/>
            </w:tcBorders>
          </w:tcPr>
          <w:p>
            <w:pPr>
              <w:spacing w:after="0"/>
              <w:rPr>
                <w:sz w:val="13"/>
                <w:szCs w:val="13"/>
                <w:color w:val="auto"/>
              </w:rPr>
            </w:pPr>
          </w:p>
        </w:tc>
        <w:tc>
          <w:tcPr>
            <w:tcW w:w="32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5"/>
              </w:rPr>
              <w:t>0.98</w:t>
            </w:r>
          </w:p>
        </w:tc>
        <w:tc>
          <w:tcPr>
            <w:tcW w:w="580" w:type="dxa"/>
            <w:vAlign w:val="bottom"/>
            <w:tcBorders>
              <w:bottom w:val="single" w:sz="8" w:color="auto"/>
              <w:right w:val="single" w:sz="8" w:color="auto"/>
            </w:tcBorders>
          </w:tcPr>
          <w:p>
            <w:pPr>
              <w:spacing w:after="0"/>
              <w:rPr>
                <w:sz w:val="13"/>
                <w:szCs w:val="13"/>
                <w:color w:val="auto"/>
              </w:rPr>
            </w:pPr>
          </w:p>
        </w:tc>
        <w:tc>
          <w:tcPr>
            <w:tcW w:w="6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5"/>
              </w:rPr>
              <w:t>6.44</w:t>
            </w:r>
          </w:p>
        </w:tc>
        <w:tc>
          <w:tcPr>
            <w:tcW w:w="1000" w:type="dxa"/>
            <w:vAlign w:val="bottom"/>
            <w:tcBorders>
              <w:bottom w:val="single" w:sz="8" w:color="auto"/>
              <w:right w:val="single" w:sz="8" w:color="auto"/>
            </w:tcBorders>
          </w:tcPr>
          <w:p>
            <w:pPr>
              <w:spacing w:after="0"/>
              <w:rPr>
                <w:sz w:val="13"/>
                <w:szCs w:val="13"/>
                <w:color w:val="auto"/>
              </w:rPr>
            </w:pP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NA</w:t>
            </w:r>
          </w:p>
        </w:tc>
        <w:tc>
          <w:tcPr>
            <w:tcW w:w="960" w:type="dxa"/>
            <w:vAlign w:val="bottom"/>
            <w:tcBorders>
              <w:right w:val="single" w:sz="8" w:color="auto"/>
            </w:tcBorders>
            <w:vMerge w:val="restart"/>
          </w:tcPr>
          <w:p>
            <w:pPr>
              <w:ind w:left="38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vMerge w:val="continue"/>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20 mg/kg</w:t>
            </w:r>
          </w:p>
        </w:tc>
        <w:tc>
          <w:tcPr>
            <w:tcW w:w="420" w:type="dxa"/>
            <w:vAlign w:val="bottom"/>
            <w:tcBorders>
              <w:right w:val="single" w:sz="8" w:color="auto"/>
            </w:tcBorders>
          </w:tcPr>
          <w:p>
            <w:pPr>
              <w:spacing w:after="0"/>
              <w:rPr>
                <w:sz w:val="6"/>
                <w:szCs w:val="6"/>
                <w:color w:val="auto"/>
              </w:rPr>
            </w:pPr>
          </w:p>
        </w:tc>
        <w:tc>
          <w:tcPr>
            <w:tcW w:w="320" w:type="dxa"/>
            <w:vAlign w:val="bottom"/>
            <w:tcBorders>
              <w:right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3.4</w:t>
            </w:r>
          </w:p>
        </w:tc>
        <w:tc>
          <w:tcPr>
            <w:tcW w:w="580" w:type="dxa"/>
            <w:vAlign w:val="bottom"/>
            <w:tcBorders>
              <w:right w:val="single" w:sz="8" w:color="auto"/>
            </w:tcBorders>
          </w:tcPr>
          <w:p>
            <w:pPr>
              <w:spacing w:after="0"/>
              <w:rPr>
                <w:sz w:val="6"/>
                <w:szCs w:val="6"/>
                <w:color w:val="auto"/>
              </w:rPr>
            </w:pPr>
          </w:p>
        </w:tc>
        <w:tc>
          <w:tcPr>
            <w:tcW w:w="6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5"/>
              </w:rPr>
              <w:t>11.7</w:t>
            </w:r>
          </w:p>
        </w:tc>
        <w:tc>
          <w:tcPr>
            <w:tcW w:w="100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96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420" w:type="dxa"/>
            <w:vAlign w:val="bottom"/>
            <w:tcBorders>
              <w:bottom w:val="single" w:sz="8" w:color="auto"/>
              <w:right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vMerge w:val="continue"/>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64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9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420" w:type="dxa"/>
            <w:vAlign w:val="bottom"/>
            <w:tcBorders>
              <w:left w:val="single" w:sz="8" w:color="auto"/>
              <w:right w:val="single" w:sz="8" w:color="auto"/>
            </w:tcBorders>
          </w:tcPr>
          <w:p>
            <w:pPr>
              <w:spacing w:after="0"/>
              <w:rPr>
                <w:sz w:val="13"/>
                <w:szCs w:val="13"/>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Twice</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140 mg</w:t>
            </w:r>
          </w:p>
        </w:tc>
        <w:tc>
          <w:tcPr>
            <w:tcW w:w="4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w:t>
            </w:r>
          </w:p>
        </w:tc>
        <w:tc>
          <w:tcPr>
            <w:tcW w:w="32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1</w:t>
            </w:r>
          </w:p>
        </w:tc>
        <w:tc>
          <w:tcPr>
            <w:tcW w:w="100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rPr>
              <w:t>4/4</w:t>
            </w:r>
          </w:p>
        </w:tc>
        <w:tc>
          <w:tcPr>
            <w:tcW w:w="70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6"/>
              </w:rPr>
              <w:t>1.08 (48)</w:t>
            </w:r>
          </w:p>
        </w:tc>
        <w:tc>
          <w:tcPr>
            <w:tcW w:w="58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4"/>
              </w:rPr>
              <w:t>1.5 (1-2)</w:t>
            </w:r>
          </w:p>
        </w:tc>
        <w:tc>
          <w:tcPr>
            <w:tcW w:w="6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6"/>
              </w:rPr>
              <w:t>10.6 (37)</w:t>
            </w:r>
          </w:p>
        </w:tc>
        <w:tc>
          <w:tcPr>
            <w:tcW w:w="100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6"/>
              </w:rPr>
              <w:t>18.0 (28)</w:t>
            </w:r>
          </w:p>
        </w:tc>
        <w:tc>
          <w:tcPr>
            <w:tcW w:w="960" w:type="dxa"/>
            <w:vAlign w:val="bottom"/>
            <w:tcBorders>
              <w:bottom w:val="single" w:sz="8" w:color="auto"/>
              <w:right w:val="single" w:sz="8" w:color="auto"/>
            </w:tcBorders>
          </w:tcPr>
          <w:p>
            <w:pPr>
              <w:jc w:val="right"/>
              <w:ind w:right="112"/>
              <w:spacing w:after="0" w:line="155" w:lineRule="exact"/>
              <w:rPr>
                <w:sz w:val="20"/>
                <w:szCs w:val="20"/>
                <w:color w:val="auto"/>
              </w:rPr>
            </w:pPr>
            <w:r>
              <w:rPr>
                <w:rFonts w:ascii="Arial" w:cs="Arial" w:eastAsia="Arial" w:hAnsi="Arial"/>
                <w:sz w:val="14"/>
                <w:szCs w:val="14"/>
                <w:color w:val="auto"/>
              </w:rPr>
              <w:t>25 (23-33)</w:t>
            </w: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89"/>
              </w:rPr>
              <w:t>15</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4/4</w:t>
            </w:r>
          </w:p>
        </w:tc>
        <w:tc>
          <w:tcPr>
            <w:tcW w:w="7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0.829 (36)</w:t>
            </w:r>
          </w:p>
        </w:tc>
        <w:tc>
          <w:tcPr>
            <w:tcW w:w="5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3(2-4)</w:t>
            </w:r>
          </w:p>
        </w:tc>
        <w:tc>
          <w:tcPr>
            <w:tcW w:w="6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11.3 (18)</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1.1</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NA</w:t>
            </w:r>
          </w:p>
        </w:tc>
        <w:tc>
          <w:tcPr>
            <w:tcW w:w="960" w:type="dxa"/>
            <w:vAlign w:val="bottom"/>
            <w:tcBorders>
              <w:right w:val="single" w:sz="8" w:color="auto"/>
            </w:tcBorders>
            <w:vMerge w:val="restart"/>
          </w:tcPr>
          <w:p>
            <w:pPr>
              <w:ind w:left="380"/>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vMerge w:val="restart"/>
          </w:tcPr>
          <w:p>
            <w:pPr>
              <w:jc w:val="center"/>
              <w:ind w:left="12"/>
              <w:spacing w:after="0" w:line="149" w:lineRule="exact"/>
              <w:rPr>
                <w:sz w:val="20"/>
                <w:szCs w:val="20"/>
                <w:color w:val="auto"/>
              </w:rPr>
            </w:pPr>
            <w:r>
              <w:rPr>
                <w:rFonts w:ascii="Arial" w:cs="Arial" w:eastAsia="Arial" w:hAnsi="Arial"/>
                <w:sz w:val="14"/>
                <w:szCs w:val="14"/>
                <w:color w:val="auto"/>
                <w:w w:val="97"/>
              </w:rPr>
              <w:t>RMC-4630-01</w:t>
            </w:r>
          </w:p>
        </w:tc>
        <w:tc>
          <w:tcPr>
            <w:tcW w:w="680" w:type="dxa"/>
            <w:vAlign w:val="bottom"/>
            <w:tcBorders>
              <w:right w:val="single" w:sz="8" w:color="auto"/>
            </w:tcBorders>
            <w:vMerge w:val="restart"/>
          </w:tcPr>
          <w:p>
            <w:pPr>
              <w:jc w:val="center"/>
              <w:spacing w:after="0" w:line="149" w:lineRule="exact"/>
              <w:rPr>
                <w:sz w:val="20"/>
                <w:szCs w:val="20"/>
                <w:color w:val="auto"/>
              </w:rPr>
            </w:pPr>
            <w:r>
              <w:rPr>
                <w:rFonts w:ascii="Arial" w:cs="Arial" w:eastAsia="Arial" w:hAnsi="Arial"/>
                <w:sz w:val="14"/>
                <w:szCs w:val="14"/>
                <w:color w:val="auto"/>
                <w:w w:val="93"/>
              </w:rPr>
              <w:t>weekly</w:t>
            </w:r>
          </w:p>
        </w:tc>
        <w:tc>
          <w:tcPr>
            <w:tcW w:w="6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right w:val="single" w:sz="8" w:color="auto"/>
            </w:tcBorders>
            <w:vMerge w:val="continue"/>
          </w:tcPr>
          <w:p>
            <w:pPr>
              <w:spacing w:after="0"/>
              <w:rPr>
                <w:sz w:val="5"/>
                <w:szCs w:val="5"/>
                <w:color w:val="auto"/>
              </w:rPr>
            </w:pPr>
          </w:p>
        </w:tc>
        <w:tc>
          <w:tcPr>
            <w:tcW w:w="32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700" w:type="dxa"/>
            <w:vAlign w:val="bottom"/>
            <w:tcBorders>
              <w:bottom w:val="single" w:sz="8" w:color="auto"/>
              <w:right w:val="single" w:sz="8" w:color="auto"/>
            </w:tcBorders>
            <w:vMerge w:val="continue"/>
          </w:tcPr>
          <w:p>
            <w:pPr>
              <w:spacing w:after="0"/>
              <w:rPr>
                <w:sz w:val="5"/>
                <w:szCs w:val="5"/>
                <w:color w:val="auto"/>
              </w:rPr>
            </w:pPr>
          </w:p>
        </w:tc>
        <w:tc>
          <w:tcPr>
            <w:tcW w:w="580" w:type="dxa"/>
            <w:vAlign w:val="bottom"/>
            <w:tcBorders>
              <w:bottom w:val="single" w:sz="8" w:color="auto"/>
              <w:right w:val="single" w:sz="8" w:color="auto"/>
            </w:tcBorders>
            <w:vMerge w:val="continue"/>
          </w:tcPr>
          <w:p>
            <w:pPr>
              <w:spacing w:after="0"/>
              <w:rPr>
                <w:sz w:val="5"/>
                <w:szCs w:val="5"/>
                <w:color w:val="auto"/>
              </w:rPr>
            </w:pPr>
          </w:p>
        </w:tc>
        <w:tc>
          <w:tcPr>
            <w:tcW w:w="64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9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3420" w:type="dxa"/>
            <w:vAlign w:val="bottom"/>
            <w:tcBorders>
              <w:left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660" w:type="dxa"/>
            <w:vAlign w:val="bottom"/>
            <w:tcBorders>
              <w:right w:val="single" w:sz="8" w:color="auto"/>
            </w:tcBorders>
          </w:tcPr>
          <w:p>
            <w:pPr>
              <w:spacing w:after="0"/>
              <w:rPr>
                <w:sz w:val="5"/>
                <w:szCs w:val="5"/>
                <w:color w:val="auto"/>
              </w:rPr>
            </w:pPr>
          </w:p>
        </w:tc>
        <w:tc>
          <w:tcPr>
            <w:tcW w:w="4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4/4</w:t>
            </w:r>
          </w:p>
        </w:tc>
        <w:tc>
          <w:tcPr>
            <w:tcW w:w="7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1.50 (59)</w:t>
            </w:r>
          </w:p>
        </w:tc>
        <w:tc>
          <w:tcPr>
            <w:tcW w:w="5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2 (1-8)</w:t>
            </w:r>
          </w:p>
        </w:tc>
        <w:tc>
          <w:tcPr>
            <w:tcW w:w="6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19.7 (47)</w:t>
            </w:r>
          </w:p>
        </w:tc>
        <w:tc>
          <w:tcPr>
            <w:tcW w:w="1000" w:type="dxa"/>
            <w:vAlign w:val="bottom"/>
            <w:tcBorders>
              <w:right w:val="single" w:sz="8" w:color="auto"/>
            </w:tcBorders>
          </w:tcPr>
          <w:p>
            <w:pPr>
              <w:spacing w:after="0"/>
              <w:rPr>
                <w:sz w:val="5"/>
                <w:szCs w:val="5"/>
                <w:color w:val="auto"/>
              </w:rPr>
            </w:pP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36.0 (39)</w:t>
            </w:r>
          </w:p>
        </w:tc>
        <w:tc>
          <w:tcPr>
            <w:tcW w:w="960" w:type="dxa"/>
            <w:vAlign w:val="bottom"/>
            <w:tcBorders>
              <w:right w:val="single" w:sz="8" w:color="auto"/>
            </w:tcBorders>
            <w:vMerge w:val="restart"/>
          </w:tcPr>
          <w:p>
            <w:pPr>
              <w:jc w:val="right"/>
              <w:ind w:right="92"/>
              <w:spacing w:after="0" w:line="142" w:lineRule="exact"/>
              <w:rPr>
                <w:sz w:val="20"/>
                <w:szCs w:val="20"/>
                <w:color w:val="auto"/>
              </w:rPr>
            </w:pPr>
            <w:r>
              <w:rPr>
                <w:rFonts w:ascii="Arial" w:cs="Arial" w:eastAsia="Arial" w:hAnsi="Arial"/>
                <w:sz w:val="14"/>
                <w:szCs w:val="14"/>
                <w:color w:val="auto"/>
              </w:rPr>
              <w:t>28 (22-37)</w:t>
            </w:r>
          </w:p>
        </w:tc>
        <w:tc>
          <w:tcPr>
            <w:tcW w:w="0" w:type="dxa"/>
            <w:vAlign w:val="bottom"/>
          </w:tcPr>
          <w:p>
            <w:pPr>
              <w:spacing w:after="0"/>
              <w:rPr>
                <w:sz w:val="1"/>
                <w:szCs w:val="1"/>
                <w:color w:val="auto"/>
              </w:rPr>
            </w:pPr>
          </w:p>
        </w:tc>
      </w:tr>
      <w:tr>
        <w:trPr>
          <w:trHeight w:val="82"/>
        </w:trPr>
        <w:tc>
          <w:tcPr>
            <w:tcW w:w="3420" w:type="dxa"/>
            <w:vAlign w:val="bottom"/>
            <w:tcBorders>
              <w:left w:val="single" w:sz="8" w:color="auto"/>
              <w:right w:val="single" w:sz="8" w:color="auto"/>
            </w:tcBorders>
          </w:tcPr>
          <w:p>
            <w:pPr>
              <w:spacing w:after="0"/>
              <w:rPr>
                <w:sz w:val="7"/>
                <w:szCs w:val="7"/>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(D1,D4)</w:t>
            </w:r>
          </w:p>
        </w:tc>
        <w:tc>
          <w:tcPr>
            <w:tcW w:w="6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8"/>
              </w:rPr>
              <w:t>200 mg</w:t>
            </w:r>
          </w:p>
        </w:tc>
        <w:tc>
          <w:tcPr>
            <w:tcW w:w="420" w:type="dxa"/>
            <w:vAlign w:val="bottom"/>
            <w:tcBorders>
              <w:bottom w:val="single" w:sz="8" w:color="auto"/>
              <w:right w:val="single" w:sz="8" w:color="auto"/>
            </w:tcBorders>
            <w:vMerge w:val="continue"/>
          </w:tcPr>
          <w:p>
            <w:pPr>
              <w:spacing w:after="0"/>
              <w:rPr>
                <w:sz w:val="7"/>
                <w:szCs w:val="7"/>
                <w:color w:val="auto"/>
              </w:rPr>
            </w:pPr>
          </w:p>
        </w:tc>
        <w:tc>
          <w:tcPr>
            <w:tcW w:w="320" w:type="dxa"/>
            <w:vAlign w:val="bottom"/>
            <w:tcBorders>
              <w:bottom w:val="single" w:sz="8" w:color="auto"/>
              <w:right w:val="single" w:sz="8" w:color="auto"/>
            </w:tcBorders>
            <w:vMerge w:val="continue"/>
          </w:tcPr>
          <w:p>
            <w:pPr>
              <w:spacing w:after="0"/>
              <w:rPr>
                <w:sz w:val="7"/>
                <w:szCs w:val="7"/>
                <w:color w:val="auto"/>
              </w:rPr>
            </w:pPr>
          </w:p>
        </w:tc>
        <w:tc>
          <w:tcPr>
            <w:tcW w:w="1000" w:type="dxa"/>
            <w:vAlign w:val="bottom"/>
            <w:tcBorders>
              <w:bottom w:val="single" w:sz="8" w:color="auto"/>
              <w:right w:val="single" w:sz="8" w:color="auto"/>
            </w:tcBorders>
            <w:vMerge w:val="continue"/>
          </w:tcPr>
          <w:p>
            <w:pPr>
              <w:spacing w:after="0"/>
              <w:rPr>
                <w:sz w:val="7"/>
                <w:szCs w:val="7"/>
                <w:color w:val="auto"/>
              </w:rPr>
            </w:pPr>
          </w:p>
        </w:tc>
        <w:tc>
          <w:tcPr>
            <w:tcW w:w="700" w:type="dxa"/>
            <w:vAlign w:val="bottom"/>
            <w:tcBorders>
              <w:bottom w:val="single" w:sz="8" w:color="auto"/>
              <w:right w:val="single" w:sz="8" w:color="auto"/>
            </w:tcBorders>
            <w:vMerge w:val="continue"/>
          </w:tcPr>
          <w:p>
            <w:pPr>
              <w:spacing w:after="0"/>
              <w:rPr>
                <w:sz w:val="7"/>
                <w:szCs w:val="7"/>
                <w:color w:val="auto"/>
              </w:rPr>
            </w:pPr>
          </w:p>
        </w:tc>
        <w:tc>
          <w:tcPr>
            <w:tcW w:w="580" w:type="dxa"/>
            <w:vAlign w:val="bottom"/>
            <w:tcBorders>
              <w:bottom w:val="single" w:sz="8" w:color="auto"/>
              <w:right w:val="single" w:sz="8" w:color="auto"/>
            </w:tcBorders>
            <w:vMerge w:val="continue"/>
          </w:tcPr>
          <w:p>
            <w:pPr>
              <w:spacing w:after="0"/>
              <w:rPr>
                <w:sz w:val="7"/>
                <w:szCs w:val="7"/>
                <w:color w:val="auto"/>
              </w:rPr>
            </w:pPr>
          </w:p>
        </w:tc>
        <w:tc>
          <w:tcPr>
            <w:tcW w:w="640" w:type="dxa"/>
            <w:vAlign w:val="bottom"/>
            <w:tcBorders>
              <w:bottom w:val="single" w:sz="8" w:color="auto"/>
              <w:right w:val="single" w:sz="8" w:color="auto"/>
            </w:tcBorders>
            <w:vMerge w:val="continue"/>
          </w:tcPr>
          <w:p>
            <w:pPr>
              <w:spacing w:after="0"/>
              <w:rPr>
                <w:sz w:val="7"/>
                <w:szCs w:val="7"/>
                <w:color w:val="auto"/>
              </w:rPr>
            </w:pPr>
          </w:p>
        </w:tc>
        <w:tc>
          <w:tcPr>
            <w:tcW w:w="1000" w:type="dxa"/>
            <w:vAlign w:val="bottom"/>
            <w:tcBorders>
              <w:bottom w:val="single" w:sz="8" w:color="auto"/>
              <w:right w:val="single" w:sz="8" w:color="auto"/>
            </w:tcBorders>
          </w:tcPr>
          <w:p>
            <w:pPr>
              <w:spacing w:after="0"/>
              <w:rPr>
                <w:sz w:val="7"/>
                <w:szCs w:val="7"/>
                <w:color w:val="auto"/>
              </w:rPr>
            </w:pPr>
          </w:p>
        </w:tc>
        <w:tc>
          <w:tcPr>
            <w:tcW w:w="660" w:type="dxa"/>
            <w:vAlign w:val="bottom"/>
            <w:tcBorders>
              <w:bottom w:val="single" w:sz="8" w:color="auto"/>
              <w:right w:val="single" w:sz="8" w:color="auto"/>
            </w:tcBorders>
            <w:vMerge w:val="continue"/>
          </w:tcPr>
          <w:p>
            <w:pPr>
              <w:spacing w:after="0"/>
              <w:rPr>
                <w:sz w:val="7"/>
                <w:szCs w:val="7"/>
                <w:color w:val="auto"/>
              </w:rPr>
            </w:pPr>
          </w:p>
        </w:tc>
        <w:tc>
          <w:tcPr>
            <w:tcW w:w="9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660" w:type="dxa"/>
            <w:vAlign w:val="bottom"/>
            <w:tcBorders>
              <w:right w:val="single" w:sz="8" w:color="auto"/>
            </w:tcBorders>
            <w:vMerge w:val="continue"/>
          </w:tcPr>
          <w:p>
            <w:pPr>
              <w:spacing w:after="0"/>
              <w:rPr>
                <w:sz w:val="6"/>
                <w:szCs w:val="6"/>
                <w:color w:val="auto"/>
              </w:rPr>
            </w:pPr>
          </w:p>
        </w:tc>
        <w:tc>
          <w:tcPr>
            <w:tcW w:w="4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89"/>
              </w:rPr>
              <w:t>15</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3/3</w:t>
            </w:r>
          </w:p>
        </w:tc>
        <w:tc>
          <w:tcPr>
            <w:tcW w:w="7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1.24 (20)</w:t>
            </w:r>
          </w:p>
        </w:tc>
        <w:tc>
          <w:tcPr>
            <w:tcW w:w="5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4 (1-8)</w:t>
            </w:r>
          </w:p>
        </w:tc>
        <w:tc>
          <w:tcPr>
            <w:tcW w:w="6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21.8 (35)</w:t>
            </w:r>
          </w:p>
        </w:tc>
        <w:tc>
          <w:tcPr>
            <w:tcW w:w="10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1.1</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NA</w:t>
            </w:r>
          </w:p>
        </w:tc>
        <w:tc>
          <w:tcPr>
            <w:tcW w:w="960" w:type="dxa"/>
            <w:vAlign w:val="bottom"/>
            <w:tcBorders>
              <w:right w:val="single" w:sz="8" w:color="auto"/>
            </w:tcBorders>
            <w:vMerge w:val="restart"/>
          </w:tcPr>
          <w:p>
            <w:pPr>
              <w:ind w:left="380"/>
              <w:spacing w:after="0" w:line="142"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68"/>
        </w:trPr>
        <w:tc>
          <w:tcPr>
            <w:tcW w:w="3420" w:type="dxa"/>
            <w:vAlign w:val="bottom"/>
            <w:tcBorders>
              <w:left w:val="single" w:sz="8" w:color="auto"/>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tcPr>
          <w:p>
            <w:pPr>
              <w:spacing w:after="0"/>
              <w:rPr>
                <w:sz w:val="5"/>
                <w:szCs w:val="5"/>
                <w:color w:val="auto"/>
              </w:rPr>
            </w:pPr>
          </w:p>
        </w:tc>
        <w:tc>
          <w:tcPr>
            <w:tcW w:w="420" w:type="dxa"/>
            <w:vAlign w:val="bottom"/>
            <w:tcBorders>
              <w:bottom w:val="single" w:sz="8" w:color="auto"/>
              <w:right w:val="single" w:sz="8" w:color="auto"/>
            </w:tcBorders>
            <w:vMerge w:val="continue"/>
          </w:tcPr>
          <w:p>
            <w:pPr>
              <w:spacing w:after="0"/>
              <w:rPr>
                <w:sz w:val="5"/>
                <w:szCs w:val="5"/>
                <w:color w:val="auto"/>
              </w:rPr>
            </w:pPr>
          </w:p>
        </w:tc>
        <w:tc>
          <w:tcPr>
            <w:tcW w:w="32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700" w:type="dxa"/>
            <w:vAlign w:val="bottom"/>
            <w:tcBorders>
              <w:bottom w:val="single" w:sz="8" w:color="auto"/>
              <w:right w:val="single" w:sz="8" w:color="auto"/>
            </w:tcBorders>
            <w:vMerge w:val="continue"/>
          </w:tcPr>
          <w:p>
            <w:pPr>
              <w:spacing w:after="0"/>
              <w:rPr>
                <w:sz w:val="5"/>
                <w:szCs w:val="5"/>
                <w:color w:val="auto"/>
              </w:rPr>
            </w:pPr>
          </w:p>
        </w:tc>
        <w:tc>
          <w:tcPr>
            <w:tcW w:w="580" w:type="dxa"/>
            <w:vAlign w:val="bottom"/>
            <w:tcBorders>
              <w:bottom w:val="single" w:sz="8" w:color="auto"/>
              <w:right w:val="single" w:sz="8" w:color="auto"/>
            </w:tcBorders>
            <w:vMerge w:val="continue"/>
          </w:tcPr>
          <w:p>
            <w:pPr>
              <w:spacing w:after="0"/>
              <w:rPr>
                <w:sz w:val="5"/>
                <w:szCs w:val="5"/>
                <w:color w:val="auto"/>
              </w:rPr>
            </w:pPr>
          </w:p>
        </w:tc>
        <w:tc>
          <w:tcPr>
            <w:tcW w:w="640" w:type="dxa"/>
            <w:vAlign w:val="bottom"/>
            <w:tcBorders>
              <w:bottom w:val="single" w:sz="8" w:color="auto"/>
              <w:right w:val="single" w:sz="8" w:color="auto"/>
            </w:tcBorders>
            <w:vMerge w:val="continue"/>
          </w:tcPr>
          <w:p>
            <w:pPr>
              <w:spacing w:after="0"/>
              <w:rPr>
                <w:sz w:val="5"/>
                <w:szCs w:val="5"/>
                <w:color w:val="auto"/>
              </w:rPr>
            </w:pPr>
          </w:p>
        </w:tc>
        <w:tc>
          <w:tcPr>
            <w:tcW w:w="100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960" w:type="dxa"/>
            <w:vAlign w:val="bottom"/>
            <w:tcBorders>
              <w:bottom w:val="single" w:sz="8" w:color="auto"/>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October 8, 2019.</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240" w:top="459" w:right="41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9</w:t>
      </w:r>
      <w:r>
        <w:rPr>
          <w:rFonts w:ascii="Arial" w:cs="Arial" w:eastAsia="Arial" w:hAnsi="Arial"/>
          <w:sz w:val="18"/>
          <w:szCs w:val="18"/>
          <w:color w:val="auto"/>
        </w:rPr>
        <w:t>: RMC-4630 pharmacokinetics—intermittent schedule in RMC-4630-01 study.</w:t>
      </w:r>
    </w:p>
    <w:p>
      <w:pPr>
        <w:spacing w:after="0" w:line="221" w:lineRule="exact"/>
        <w:rPr>
          <w:sz w:val="20"/>
          <w:szCs w:val="20"/>
          <w:color w:val="auto"/>
        </w:rPr>
      </w:pPr>
    </w:p>
    <w:p>
      <w:pPr>
        <w:ind w:left="2340"/>
        <w:spacing w:after="0"/>
        <w:tabs>
          <w:tab w:leader="none" w:pos="7400" w:val="left"/>
        </w:tabs>
        <w:rPr>
          <w:sz w:val="20"/>
          <w:szCs w:val="20"/>
          <w:color w:val="auto"/>
        </w:rPr>
      </w:pPr>
      <w:r>
        <w:rPr>
          <w:rFonts w:ascii="Arial" w:cs="Arial" w:eastAsia="Arial" w:hAnsi="Arial"/>
          <w:sz w:val="32"/>
          <w:szCs w:val="32"/>
          <w:b w:val="1"/>
          <w:bCs w:val="1"/>
          <w:color w:val="auto"/>
        </w:rPr>
        <w:t>PK C1D1</w:t>
      </w:r>
      <w:r>
        <w:rPr>
          <w:sz w:val="20"/>
          <w:szCs w:val="20"/>
          <w:color w:val="auto"/>
        </w:rPr>
        <w:tab/>
      </w:r>
      <w:r>
        <w:rPr>
          <w:rFonts w:ascii="Arial" w:cs="Arial" w:eastAsia="Arial" w:hAnsi="Arial"/>
          <w:sz w:val="32"/>
          <w:szCs w:val="32"/>
          <w:b w:val="1"/>
          <w:bCs w:val="1"/>
          <w:color w:val="auto"/>
        </w:rPr>
        <w:t>Steady state 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97790</wp:posOffset>
            </wp:positionV>
            <wp:extent cx="5883275" cy="19812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83275"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0" w:right="20"/>
        <w:spacing w:after="0" w:line="213" w:lineRule="auto"/>
        <w:rPr>
          <w:sz w:val="20"/>
          <w:szCs w:val="20"/>
          <w:color w:val="auto"/>
        </w:rPr>
      </w:pPr>
      <w:r>
        <w:rPr>
          <w:rFonts w:ascii="Arial" w:cs="Arial" w:eastAsia="Arial" w:hAnsi="Arial"/>
          <w:sz w:val="13"/>
          <w:szCs w:val="13"/>
          <w:color w:val="auto"/>
        </w:rPr>
        <w:t>Pharmacokinetic profile of RMC-4630 dosed at either 140 mg or 200 mg on D1 and D4 of each week. Steady state is considered to be day 15 of cycle 1. EC</w:t>
      </w:r>
      <w:r>
        <w:rPr>
          <w:rFonts w:ascii="Arial" w:cs="Arial" w:eastAsia="Arial" w:hAnsi="Arial"/>
          <w:sz w:val="21"/>
          <w:szCs w:val="21"/>
          <w:color w:val="auto"/>
          <w:vertAlign w:val="subscript"/>
        </w:rPr>
        <w:t>50</w:t>
      </w:r>
      <w:r>
        <w:rPr>
          <w:rFonts w:ascii="Arial" w:cs="Arial" w:eastAsia="Arial" w:hAnsi="Arial"/>
          <w:sz w:val="13"/>
          <w:szCs w:val="13"/>
          <w:color w:val="auto"/>
        </w:rPr>
        <w:t>/fu and EC</w:t>
      </w:r>
      <w:r>
        <w:rPr>
          <w:rFonts w:ascii="Arial" w:cs="Arial" w:eastAsia="Arial" w:hAnsi="Arial"/>
          <w:sz w:val="21"/>
          <w:szCs w:val="21"/>
          <w:color w:val="auto"/>
          <w:vertAlign w:val="subscript"/>
        </w:rPr>
        <w:t>75</w:t>
      </w:r>
      <w:r>
        <w:rPr>
          <w:rFonts w:ascii="Arial" w:cs="Arial" w:eastAsia="Arial" w:hAnsi="Arial"/>
          <w:sz w:val="13"/>
          <w:szCs w:val="13"/>
          <w:color w:val="auto"/>
        </w:rPr>
        <w:t>/fu are the total estimated plasma concentrations in humans that correspond to 50% and 75% inhibition of pERK in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tumor models. Steady state in this instance is defined as at least five half lives after starting dosing at which time the pharmacokinetic profile of RMC-4630 on any given day would be considered to be representative of subsequent dosing days.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Interim safety and tolerability—daily dosing schedule</w:t>
      </w:r>
    </w:p>
    <w:p>
      <w:pPr>
        <w:spacing w:after="0" w:line="122"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Forty-nine patients have been treated in RMC-4630-01 with the daily schedule. Median RMC-4630 exposure is 1.8 months (range 0.0-13.0 months). Demographic and baseline characteristics information is shown in Table 5.</w:t>
      </w:r>
    </w:p>
    <w:p>
      <w:pPr>
        <w:spacing w:after="0" w:line="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Table 5: </w:t>
      </w:r>
      <w:r>
        <w:rPr>
          <w:rFonts w:ascii="Arial" w:cs="Arial" w:eastAsia="Arial" w:hAnsi="Arial"/>
          <w:sz w:val="18"/>
          <w:szCs w:val="18"/>
          <w:color w:val="auto"/>
        </w:rPr>
        <w:t>Demographics and baseline characteristics—daily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100" w:type="dxa"/>
            <w:vAlign w:val="bottom"/>
          </w:tcPr>
          <w:p>
            <w:pPr>
              <w:jc w:val="right"/>
              <w:ind w:right="92"/>
              <w:spacing w:after="0"/>
              <w:rPr>
                <w:sz w:val="20"/>
                <w:szCs w:val="20"/>
                <w:color w:val="auto"/>
              </w:rPr>
            </w:pPr>
            <w:r>
              <w:rPr>
                <w:rFonts w:ascii="Arial" w:cs="Arial" w:eastAsia="Arial" w:hAnsi="Arial"/>
                <w:sz w:val="18"/>
                <w:szCs w:val="18"/>
                <w:b w:val="1"/>
                <w:bCs w:val="1"/>
                <w:color w:val="auto"/>
              </w:rPr>
              <w:t>20 mg</w:t>
            </w:r>
          </w:p>
        </w:tc>
        <w:tc>
          <w:tcPr>
            <w:tcW w:w="1460" w:type="dxa"/>
            <w:vAlign w:val="bottom"/>
          </w:tcPr>
          <w:p>
            <w:pPr>
              <w:jc w:val="right"/>
              <w:ind w:right="72"/>
              <w:spacing w:after="0"/>
              <w:rPr>
                <w:sz w:val="20"/>
                <w:szCs w:val="20"/>
                <w:color w:val="auto"/>
              </w:rPr>
            </w:pPr>
            <w:r>
              <w:rPr>
                <w:rFonts w:ascii="Arial" w:cs="Arial" w:eastAsia="Arial" w:hAnsi="Arial"/>
                <w:sz w:val="18"/>
                <w:szCs w:val="18"/>
                <w:b w:val="1"/>
                <w:bCs w:val="1"/>
                <w:color w:val="auto"/>
              </w:rPr>
              <w:t>40 mg</w:t>
            </w:r>
          </w:p>
        </w:tc>
        <w:tc>
          <w:tcPr>
            <w:tcW w:w="1420" w:type="dxa"/>
            <w:vAlign w:val="bottom"/>
          </w:tcPr>
          <w:p>
            <w:pPr>
              <w:jc w:val="right"/>
              <w:ind w:right="92"/>
              <w:spacing w:after="0"/>
              <w:rPr>
                <w:sz w:val="20"/>
                <w:szCs w:val="20"/>
                <w:color w:val="auto"/>
              </w:rPr>
            </w:pPr>
            <w:r>
              <w:rPr>
                <w:rFonts w:ascii="Arial" w:cs="Arial" w:eastAsia="Arial" w:hAnsi="Arial"/>
                <w:sz w:val="18"/>
                <w:szCs w:val="18"/>
                <w:b w:val="1"/>
                <w:bCs w:val="1"/>
                <w:color w:val="auto"/>
              </w:rPr>
              <w:t>60 mg</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80 mg</w:t>
            </w:r>
          </w:p>
        </w:tc>
      </w:tr>
      <w:tr>
        <w:trPr>
          <w:trHeight w:val="234"/>
        </w:trPr>
        <w:tc>
          <w:tcPr>
            <w:tcW w:w="2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(n=12)</w:t>
            </w:r>
          </w:p>
        </w:tc>
        <w:tc>
          <w:tcPr>
            <w:tcW w:w="14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(n=13)</w:t>
            </w:r>
          </w:p>
        </w:tc>
        <w:tc>
          <w:tcPr>
            <w:tcW w:w="14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(n=18)</w:t>
            </w:r>
          </w:p>
        </w:tc>
        <w:tc>
          <w:tcPr>
            <w:tcW w:w="13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(n=6)</w:t>
            </w:r>
          </w:p>
        </w:tc>
      </w:tr>
      <w:tr>
        <w:trPr>
          <w:trHeight w:val="197"/>
        </w:trPr>
        <w:tc>
          <w:tcPr>
            <w:tcW w:w="20" w:type="dxa"/>
            <w:vAlign w:val="bottom"/>
          </w:tcPr>
          <w:p>
            <w:pPr>
              <w:spacing w:after="0"/>
              <w:rPr>
                <w:sz w:val="17"/>
                <w:szCs w:val="17"/>
                <w:color w:val="auto"/>
              </w:rPr>
            </w:pPr>
          </w:p>
        </w:tc>
        <w:tc>
          <w:tcPr>
            <w:tcW w:w="468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Age, median (range)</w:t>
            </w:r>
          </w:p>
        </w:tc>
        <w:tc>
          <w:tcPr>
            <w:tcW w:w="2100" w:type="dxa"/>
            <w:vAlign w:val="bottom"/>
            <w:shd w:val="clear" w:color="auto" w:fill="CCEEFF"/>
          </w:tcPr>
          <w:p>
            <w:pPr>
              <w:jc w:val="center"/>
              <w:ind w:left="492"/>
              <w:spacing w:after="0" w:line="197" w:lineRule="exact"/>
              <w:rPr>
                <w:sz w:val="20"/>
                <w:szCs w:val="20"/>
                <w:color w:val="auto"/>
              </w:rPr>
            </w:pPr>
            <w:r>
              <w:rPr>
                <w:rFonts w:ascii="Arial" w:cs="Arial" w:eastAsia="Arial" w:hAnsi="Arial"/>
                <w:sz w:val="18"/>
                <w:szCs w:val="18"/>
                <w:color w:val="auto"/>
                <w:w w:val="97"/>
              </w:rPr>
              <w:t>62.5 (34-76)</w:t>
            </w:r>
          </w:p>
        </w:tc>
        <w:tc>
          <w:tcPr>
            <w:tcW w:w="1460" w:type="dxa"/>
            <w:vAlign w:val="bottom"/>
            <w:shd w:val="clear" w:color="auto" w:fill="CCEEFF"/>
          </w:tcPr>
          <w:p>
            <w:pPr>
              <w:jc w:val="center"/>
              <w:ind w:right="52"/>
              <w:spacing w:after="0" w:line="197" w:lineRule="exact"/>
              <w:rPr>
                <w:sz w:val="20"/>
                <w:szCs w:val="20"/>
                <w:color w:val="auto"/>
              </w:rPr>
            </w:pPr>
            <w:r>
              <w:rPr>
                <w:rFonts w:ascii="Arial" w:cs="Arial" w:eastAsia="Arial" w:hAnsi="Arial"/>
                <w:sz w:val="18"/>
                <w:szCs w:val="18"/>
                <w:color w:val="auto"/>
                <w:w w:val="96"/>
              </w:rPr>
              <w:t>65.0 (45- 84)</w:t>
            </w:r>
          </w:p>
        </w:tc>
        <w:tc>
          <w:tcPr>
            <w:tcW w:w="1420" w:type="dxa"/>
            <w:vAlign w:val="bottom"/>
            <w:shd w:val="clear" w:color="auto" w:fill="CCEEFF"/>
          </w:tcPr>
          <w:p>
            <w:pPr>
              <w:jc w:val="center"/>
              <w:ind w:right="52"/>
              <w:spacing w:after="0" w:line="197" w:lineRule="exact"/>
              <w:rPr>
                <w:sz w:val="20"/>
                <w:szCs w:val="20"/>
                <w:color w:val="auto"/>
              </w:rPr>
            </w:pPr>
            <w:r>
              <w:rPr>
                <w:rFonts w:ascii="Arial" w:cs="Arial" w:eastAsia="Arial" w:hAnsi="Arial"/>
                <w:sz w:val="18"/>
                <w:szCs w:val="18"/>
                <w:color w:val="auto"/>
                <w:w w:val="97"/>
              </w:rPr>
              <w:t>60.5 (47-82)</w:t>
            </w:r>
          </w:p>
        </w:tc>
        <w:tc>
          <w:tcPr>
            <w:tcW w:w="1260" w:type="dxa"/>
            <w:vAlign w:val="bottom"/>
            <w:shd w:val="clear" w:color="auto" w:fill="CCEEFF"/>
          </w:tcPr>
          <w:p>
            <w:pPr>
              <w:jc w:val="center"/>
              <w:spacing w:after="0" w:line="197" w:lineRule="exact"/>
              <w:rPr>
                <w:sz w:val="20"/>
                <w:szCs w:val="20"/>
                <w:color w:val="auto"/>
              </w:rPr>
            </w:pPr>
            <w:r>
              <w:rPr>
                <w:rFonts w:ascii="Arial" w:cs="Arial" w:eastAsia="Arial" w:hAnsi="Arial"/>
                <w:sz w:val="18"/>
                <w:szCs w:val="18"/>
                <w:color w:val="auto"/>
                <w:w w:val="97"/>
              </w:rPr>
              <w:t>62.0 (40-75)</w:t>
            </w:r>
          </w:p>
        </w:tc>
        <w:tc>
          <w:tcPr>
            <w:tcW w:w="100" w:type="dxa"/>
            <w:vAlign w:val="bottom"/>
            <w:shd w:val="clear" w:color="auto" w:fill="CCEEFF"/>
          </w:tcPr>
          <w:p>
            <w:pPr>
              <w:spacing w:after="0"/>
              <w:rPr>
                <w:sz w:val="17"/>
                <w:szCs w:val="17"/>
                <w:color w:val="auto"/>
              </w:rPr>
            </w:pPr>
          </w:p>
        </w:tc>
      </w:tr>
      <w:tr>
        <w:trPr>
          <w:trHeight w:val="214"/>
        </w:trPr>
        <w:tc>
          <w:tcPr>
            <w:tcW w:w="4700" w:type="dxa"/>
            <w:vAlign w:val="bottom"/>
            <w:gridSpan w:val="2"/>
          </w:tcPr>
          <w:p>
            <w:pPr>
              <w:spacing w:after="0"/>
              <w:rPr>
                <w:sz w:val="20"/>
                <w:szCs w:val="20"/>
                <w:color w:val="auto"/>
              </w:rPr>
            </w:pPr>
            <w:r>
              <w:rPr>
                <w:rFonts w:ascii="Arial" w:cs="Arial" w:eastAsia="Arial" w:hAnsi="Arial"/>
                <w:sz w:val="18"/>
                <w:szCs w:val="18"/>
                <w:color w:val="auto"/>
              </w:rPr>
              <w:t>Male</w:t>
            </w:r>
          </w:p>
        </w:tc>
        <w:tc>
          <w:tcPr>
            <w:tcW w:w="2100" w:type="dxa"/>
            <w:vAlign w:val="bottom"/>
          </w:tcPr>
          <w:p>
            <w:pPr>
              <w:jc w:val="center"/>
              <w:ind w:left="492"/>
              <w:spacing w:after="0"/>
              <w:rPr>
                <w:sz w:val="20"/>
                <w:szCs w:val="20"/>
                <w:color w:val="auto"/>
              </w:rPr>
            </w:pPr>
            <w:r>
              <w:rPr>
                <w:rFonts w:ascii="Arial" w:cs="Arial" w:eastAsia="Arial" w:hAnsi="Arial"/>
                <w:sz w:val="18"/>
                <w:szCs w:val="18"/>
                <w:color w:val="auto"/>
                <w:w w:val="97"/>
              </w:rPr>
              <w:t>9 (75.0%)</w:t>
            </w:r>
          </w:p>
        </w:tc>
        <w:tc>
          <w:tcPr>
            <w:tcW w:w="1460" w:type="dxa"/>
            <w:vAlign w:val="bottom"/>
          </w:tcPr>
          <w:p>
            <w:pPr>
              <w:jc w:val="center"/>
              <w:ind w:right="52"/>
              <w:spacing w:after="0"/>
              <w:rPr>
                <w:sz w:val="20"/>
                <w:szCs w:val="20"/>
                <w:color w:val="auto"/>
              </w:rPr>
            </w:pPr>
            <w:r>
              <w:rPr>
                <w:rFonts w:ascii="Arial" w:cs="Arial" w:eastAsia="Arial" w:hAnsi="Arial"/>
                <w:sz w:val="18"/>
                <w:szCs w:val="18"/>
                <w:color w:val="auto"/>
                <w:w w:val="97"/>
              </w:rPr>
              <w:t>8 (61.5%)</w:t>
            </w:r>
          </w:p>
        </w:tc>
        <w:tc>
          <w:tcPr>
            <w:tcW w:w="1420" w:type="dxa"/>
            <w:vAlign w:val="bottom"/>
          </w:tcPr>
          <w:p>
            <w:pPr>
              <w:jc w:val="center"/>
              <w:ind w:right="52"/>
              <w:spacing w:after="0"/>
              <w:rPr>
                <w:sz w:val="20"/>
                <w:szCs w:val="20"/>
                <w:color w:val="auto"/>
              </w:rPr>
            </w:pPr>
            <w:r>
              <w:rPr>
                <w:rFonts w:ascii="Arial" w:cs="Arial" w:eastAsia="Arial" w:hAnsi="Arial"/>
                <w:sz w:val="18"/>
                <w:szCs w:val="18"/>
                <w:color w:val="auto"/>
                <w:w w:val="97"/>
              </w:rPr>
              <w:t>9 (50.0%)</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1 (16.7%)</w:t>
            </w:r>
          </w:p>
        </w:tc>
        <w:tc>
          <w:tcPr>
            <w:tcW w:w="100" w:type="dxa"/>
            <w:vAlign w:val="bottom"/>
          </w:tcPr>
          <w:p>
            <w:pPr>
              <w:spacing w:after="0"/>
              <w:rPr>
                <w:sz w:val="18"/>
                <w:szCs w:val="18"/>
                <w:color w:val="auto"/>
              </w:rPr>
            </w:pPr>
          </w:p>
        </w:tc>
      </w:tr>
      <w:tr>
        <w:trPr>
          <w:trHeight w:val="56"/>
        </w:trPr>
        <w:tc>
          <w:tcPr>
            <w:tcW w:w="4700" w:type="dxa"/>
            <w:vAlign w:val="bottom"/>
            <w:gridSpan w:val="2"/>
          </w:tcPr>
          <w:p>
            <w:pPr>
              <w:spacing w:after="0"/>
              <w:rPr>
                <w:sz w:val="4"/>
                <w:szCs w:val="4"/>
                <w:color w:val="auto"/>
              </w:rPr>
            </w:pPr>
          </w:p>
        </w:tc>
        <w:tc>
          <w:tcPr>
            <w:tcW w:w="2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Cancer Type</w:t>
            </w:r>
          </w:p>
        </w:tc>
        <w:tc>
          <w:tcPr>
            <w:tcW w:w="2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tcPr>
          <w:p>
            <w:pPr>
              <w:ind w:left="200"/>
              <w:spacing w:after="0" w:line="202" w:lineRule="exact"/>
              <w:rPr>
                <w:sz w:val="20"/>
                <w:szCs w:val="20"/>
                <w:color w:val="auto"/>
              </w:rPr>
            </w:pPr>
            <w:r>
              <w:rPr>
                <w:rFonts w:ascii="Arial" w:cs="Arial" w:eastAsia="Arial" w:hAnsi="Arial"/>
                <w:sz w:val="18"/>
                <w:szCs w:val="18"/>
                <w:color w:val="auto"/>
              </w:rPr>
              <w:t>Lung</w:t>
            </w:r>
          </w:p>
        </w:tc>
        <w:tc>
          <w:tcPr>
            <w:tcW w:w="2100" w:type="dxa"/>
            <w:vAlign w:val="bottom"/>
          </w:tcPr>
          <w:p>
            <w:pPr>
              <w:jc w:val="center"/>
              <w:ind w:left="492"/>
              <w:spacing w:after="0" w:line="202" w:lineRule="exact"/>
              <w:rPr>
                <w:sz w:val="20"/>
                <w:szCs w:val="20"/>
                <w:color w:val="auto"/>
              </w:rPr>
            </w:pPr>
            <w:r>
              <w:rPr>
                <w:rFonts w:ascii="Arial" w:cs="Arial" w:eastAsia="Arial" w:hAnsi="Arial"/>
                <w:sz w:val="18"/>
                <w:szCs w:val="18"/>
                <w:color w:val="auto"/>
                <w:w w:val="97"/>
              </w:rPr>
              <w:t>6 (50.0%)</w:t>
            </w:r>
          </w:p>
        </w:tc>
        <w:tc>
          <w:tcPr>
            <w:tcW w:w="146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4 (30.8%)</w:t>
            </w:r>
          </w:p>
        </w:tc>
        <w:tc>
          <w:tcPr>
            <w:tcW w:w="142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7"/>
              </w:rPr>
              <w:t>10 (55.6%)</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7"/>
              </w:rPr>
              <w:t>1 (16.7%)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Colon and/or Rectal</w:t>
            </w:r>
          </w:p>
        </w:tc>
        <w:tc>
          <w:tcPr>
            <w:tcW w:w="2100" w:type="dxa"/>
            <w:vAlign w:val="bottom"/>
            <w:shd w:val="clear" w:color="auto" w:fill="CCEEFF"/>
          </w:tcPr>
          <w:p>
            <w:pPr>
              <w:jc w:val="center"/>
              <w:ind w:left="492"/>
              <w:spacing w:after="0" w:line="202" w:lineRule="exact"/>
              <w:rPr>
                <w:sz w:val="20"/>
                <w:szCs w:val="20"/>
                <w:color w:val="auto"/>
              </w:rPr>
            </w:pPr>
            <w:r>
              <w:rPr>
                <w:rFonts w:ascii="Arial" w:cs="Arial" w:eastAsia="Arial" w:hAnsi="Arial"/>
                <w:sz w:val="18"/>
                <w:szCs w:val="18"/>
                <w:color w:val="auto"/>
                <w:w w:val="97"/>
              </w:rPr>
              <w:t>3 (25.0%)</w:t>
            </w:r>
          </w:p>
        </w:tc>
        <w:tc>
          <w:tcPr>
            <w:tcW w:w="146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5 (38.5%)</w:t>
            </w:r>
          </w:p>
        </w:tc>
        <w:tc>
          <w:tcPr>
            <w:tcW w:w="142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5 (27.8%)</w:t>
            </w:r>
          </w:p>
        </w:tc>
        <w:tc>
          <w:tcPr>
            <w:tcW w:w="1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3 (50.0%)</w:t>
            </w:r>
          </w:p>
        </w:tc>
        <w:tc>
          <w:tcPr>
            <w:tcW w:w="10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Other</w:t>
            </w:r>
          </w:p>
        </w:tc>
        <w:tc>
          <w:tcPr>
            <w:tcW w:w="2100" w:type="dxa"/>
            <w:vAlign w:val="bottom"/>
          </w:tcPr>
          <w:p>
            <w:pPr>
              <w:jc w:val="center"/>
              <w:ind w:left="492"/>
              <w:spacing w:after="0"/>
              <w:rPr>
                <w:sz w:val="20"/>
                <w:szCs w:val="20"/>
                <w:color w:val="auto"/>
              </w:rPr>
            </w:pPr>
            <w:r>
              <w:rPr>
                <w:rFonts w:ascii="Arial" w:cs="Arial" w:eastAsia="Arial" w:hAnsi="Arial"/>
                <w:sz w:val="18"/>
                <w:szCs w:val="18"/>
                <w:color w:val="auto"/>
                <w:w w:val="97"/>
              </w:rPr>
              <w:t>3 (25.0%)</w:t>
            </w:r>
          </w:p>
        </w:tc>
        <w:tc>
          <w:tcPr>
            <w:tcW w:w="1460" w:type="dxa"/>
            <w:vAlign w:val="bottom"/>
          </w:tcPr>
          <w:p>
            <w:pPr>
              <w:jc w:val="center"/>
              <w:ind w:right="52"/>
              <w:spacing w:after="0"/>
              <w:rPr>
                <w:sz w:val="20"/>
                <w:szCs w:val="20"/>
                <w:color w:val="auto"/>
              </w:rPr>
            </w:pPr>
            <w:r>
              <w:rPr>
                <w:rFonts w:ascii="Arial" w:cs="Arial" w:eastAsia="Arial" w:hAnsi="Arial"/>
                <w:sz w:val="18"/>
                <w:szCs w:val="18"/>
                <w:color w:val="auto"/>
                <w:w w:val="97"/>
              </w:rPr>
              <w:t>4 (30.8%)</w:t>
            </w:r>
          </w:p>
        </w:tc>
        <w:tc>
          <w:tcPr>
            <w:tcW w:w="1420" w:type="dxa"/>
            <w:vAlign w:val="bottom"/>
          </w:tcPr>
          <w:p>
            <w:pPr>
              <w:jc w:val="center"/>
              <w:ind w:right="52"/>
              <w:spacing w:after="0"/>
              <w:rPr>
                <w:sz w:val="20"/>
                <w:szCs w:val="20"/>
                <w:color w:val="auto"/>
              </w:rPr>
            </w:pPr>
            <w:r>
              <w:rPr>
                <w:rFonts w:ascii="Arial" w:cs="Arial" w:eastAsia="Arial" w:hAnsi="Arial"/>
                <w:sz w:val="18"/>
                <w:szCs w:val="18"/>
                <w:color w:val="auto"/>
                <w:w w:val="97"/>
              </w:rPr>
              <w:t>3 (16.7%)</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2 (33.3%)</w:t>
            </w:r>
          </w:p>
        </w:tc>
        <w:tc>
          <w:tcPr>
            <w:tcW w:w="100" w:type="dxa"/>
            <w:vAlign w:val="bottom"/>
          </w:tcPr>
          <w:p>
            <w:pPr>
              <w:spacing w:after="0"/>
              <w:rPr>
                <w:sz w:val="18"/>
                <w:szCs w:val="18"/>
                <w:color w:val="auto"/>
              </w:rPr>
            </w:pPr>
          </w:p>
        </w:tc>
      </w:tr>
      <w:tr>
        <w:trPr>
          <w:trHeight w:val="56"/>
        </w:trPr>
        <w:tc>
          <w:tcPr>
            <w:tcW w:w="4700" w:type="dxa"/>
            <w:vAlign w:val="bottom"/>
            <w:gridSpan w:val="2"/>
          </w:tcPr>
          <w:p>
            <w:pPr>
              <w:spacing w:after="0"/>
              <w:rPr>
                <w:sz w:val="4"/>
                <w:szCs w:val="4"/>
                <w:color w:val="auto"/>
              </w:rPr>
            </w:pPr>
          </w:p>
        </w:tc>
        <w:tc>
          <w:tcPr>
            <w:tcW w:w="21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ECOG performance status</w:t>
            </w:r>
          </w:p>
        </w:tc>
        <w:tc>
          <w:tcPr>
            <w:tcW w:w="2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470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0</w:t>
            </w:r>
          </w:p>
        </w:tc>
        <w:tc>
          <w:tcPr>
            <w:tcW w:w="2100" w:type="dxa"/>
            <w:vAlign w:val="bottom"/>
          </w:tcPr>
          <w:p>
            <w:pPr>
              <w:jc w:val="center"/>
              <w:ind w:left="492"/>
              <w:spacing w:after="0" w:line="202" w:lineRule="exact"/>
              <w:rPr>
                <w:sz w:val="20"/>
                <w:szCs w:val="20"/>
                <w:color w:val="auto"/>
              </w:rPr>
            </w:pPr>
            <w:r>
              <w:rPr>
                <w:rFonts w:ascii="Arial" w:cs="Arial" w:eastAsia="Arial" w:hAnsi="Arial"/>
                <w:sz w:val="18"/>
                <w:szCs w:val="18"/>
                <w:color w:val="auto"/>
                <w:w w:val="97"/>
              </w:rPr>
              <w:t>6 (50.0%)</w:t>
            </w:r>
          </w:p>
        </w:tc>
        <w:tc>
          <w:tcPr>
            <w:tcW w:w="146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3 (23.1%)</w:t>
            </w:r>
          </w:p>
        </w:tc>
        <w:tc>
          <w:tcPr>
            <w:tcW w:w="142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6 (33.3%)</w:t>
            </w: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7"/>
              </w:rPr>
              <w:t>3 (50.0%)</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1</w:t>
            </w:r>
          </w:p>
        </w:tc>
        <w:tc>
          <w:tcPr>
            <w:tcW w:w="2100" w:type="dxa"/>
            <w:vAlign w:val="bottom"/>
            <w:shd w:val="clear" w:color="auto" w:fill="CCEEFF"/>
          </w:tcPr>
          <w:p>
            <w:pPr>
              <w:jc w:val="center"/>
              <w:ind w:left="492"/>
              <w:spacing w:after="0" w:line="202" w:lineRule="exact"/>
              <w:rPr>
                <w:sz w:val="20"/>
                <w:szCs w:val="20"/>
                <w:color w:val="auto"/>
              </w:rPr>
            </w:pPr>
            <w:r>
              <w:rPr>
                <w:rFonts w:ascii="Arial" w:cs="Arial" w:eastAsia="Arial" w:hAnsi="Arial"/>
                <w:sz w:val="18"/>
                <w:szCs w:val="18"/>
                <w:color w:val="auto"/>
                <w:w w:val="97"/>
              </w:rPr>
              <w:t>6 (50.0%)</w:t>
            </w:r>
          </w:p>
        </w:tc>
        <w:tc>
          <w:tcPr>
            <w:tcW w:w="146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7"/>
              </w:rPr>
              <w:t>10 (76.9%)</w:t>
            </w:r>
          </w:p>
        </w:tc>
        <w:tc>
          <w:tcPr>
            <w:tcW w:w="142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7"/>
              </w:rPr>
              <w:t>12 (66.7%)</w:t>
            </w:r>
          </w:p>
        </w:tc>
        <w:tc>
          <w:tcPr>
            <w:tcW w:w="12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3 (50.0%)</w:t>
            </w:r>
          </w:p>
        </w:tc>
        <w:tc>
          <w:tcPr>
            <w:tcW w:w="100" w:type="dxa"/>
            <w:vAlign w:val="bottom"/>
            <w:shd w:val="clear" w:color="auto" w:fill="CCEEFF"/>
          </w:tcPr>
          <w:p>
            <w:pPr>
              <w:spacing w:after="0"/>
              <w:rPr>
                <w:sz w:val="17"/>
                <w:szCs w:val="17"/>
                <w:color w:val="auto"/>
              </w:rPr>
            </w:pPr>
          </w:p>
        </w:tc>
      </w:tr>
      <w:tr>
        <w:trPr>
          <w:trHeight w:val="215"/>
        </w:trPr>
        <w:tc>
          <w:tcPr>
            <w:tcW w:w="4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Number of prior cancer therapies, median (range)</w:t>
            </w:r>
          </w:p>
        </w:tc>
        <w:tc>
          <w:tcPr>
            <w:tcW w:w="2100" w:type="dxa"/>
            <w:vAlign w:val="bottom"/>
            <w:tcBorders>
              <w:bottom w:val="single" w:sz="8" w:color="auto"/>
            </w:tcBorders>
          </w:tcPr>
          <w:p>
            <w:pPr>
              <w:jc w:val="center"/>
              <w:ind w:left="492"/>
              <w:spacing w:after="0"/>
              <w:rPr>
                <w:sz w:val="20"/>
                <w:szCs w:val="20"/>
                <w:color w:val="auto"/>
              </w:rPr>
            </w:pPr>
            <w:r>
              <w:rPr>
                <w:rFonts w:ascii="Arial" w:cs="Arial" w:eastAsia="Arial" w:hAnsi="Arial"/>
                <w:sz w:val="18"/>
                <w:szCs w:val="18"/>
                <w:color w:val="auto"/>
                <w:w w:val="97"/>
              </w:rPr>
              <w:t>3.0 (1-11)</w:t>
            </w:r>
          </w:p>
        </w:tc>
        <w:tc>
          <w:tcPr>
            <w:tcW w:w="146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7"/>
              </w:rPr>
              <w:t>4.0 (2-10)</w:t>
            </w:r>
          </w:p>
        </w:tc>
        <w:tc>
          <w:tcPr>
            <w:tcW w:w="14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6"/>
              </w:rPr>
              <w:t>5.0 (1-8)</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4.5 (1-8)</w:t>
            </w:r>
          </w:p>
        </w:tc>
        <w:tc>
          <w:tcPr>
            <w:tcW w:w="100" w:type="dxa"/>
            <w:vAlign w:val="bottom"/>
          </w:tcPr>
          <w:p>
            <w:pPr>
              <w:spacing w:after="0"/>
              <w:rPr>
                <w:sz w:val="18"/>
                <w:szCs w:val="18"/>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spacing w:after="0" w:line="5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The ECOG (Eastern Cooperative Oncology Group) performance status is a scale often used to assess how a patient’s disease is progressing.</w:t>
      </w:r>
    </w:p>
    <w:p>
      <w:pPr>
        <w:spacing w:after="0" w:line="99"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Although both dosing regimens have been reasonably well tolerated, daily dosing has been associated with more frequent and severe AEs than the intermittent schedule. As with the intermittent schedule, the safety profile from the daily dosing schedule has been consistent with the mechanistic effects of the product candidate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240" w:top="459" w:right="41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on SHP2 and the RAS signaling pathways. We have not determined a maximum tolerated dose for daily dosing, although dose escalation will not continue beyond the 80 mg daily level already evaluated. If further development with this schedule was pursued, we expect the recommended Phase 2 dose for the daily schedule would be 60 mg daily.</w:t>
      </w:r>
    </w:p>
    <w:p>
      <w:pPr>
        <w:spacing w:after="0" w:line="100"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Treatment-related AEs occurring in greater than or equal to 10% of patients who received the daily schedule are shown in Table 6. No toxicities consistent with ‘off-target’ effects have been reported. Increases in liver enzymes such as alanine transaminase and aspartate transaminase have been observed at all grades. These have been attributed, wholly or in part, to RMC-4630 in 10% or 16% of patients treated with the daily schedule, respectively. In two patients, the increase in alanine transaminase or aspartate transaminase was either grade 3 or grade 4.</w:t>
      </w: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6</w:t>
      </w:r>
      <w:r>
        <w:rPr>
          <w:rFonts w:ascii="Arial" w:cs="Arial" w:eastAsia="Arial" w:hAnsi="Arial"/>
          <w:sz w:val="18"/>
          <w:szCs w:val="18"/>
          <w:color w:val="auto"/>
        </w:rPr>
        <w:t>: Related AEs occurring in</w:t>
      </w:r>
      <w:r>
        <w:rPr>
          <w:rFonts w:ascii="Arial" w:cs="Arial" w:eastAsia="Arial" w:hAnsi="Arial"/>
          <w:sz w:val="18"/>
          <w:szCs w:val="18"/>
          <w:b w:val="1"/>
          <w:bCs w:val="1"/>
          <w:color w:val="auto"/>
        </w:rPr>
        <w:t xml:space="preserve"> </w:t>
      </w:r>
      <w:r>
        <w:rPr>
          <w:rFonts w:ascii="Arial" w:cs="Arial" w:eastAsia="Arial" w:hAnsi="Arial"/>
          <w:sz w:val="18"/>
          <w:szCs w:val="18"/>
          <w:color w:val="auto"/>
        </w:rPr>
        <w:t>³</w:t>
      </w:r>
      <w:r>
        <w:rPr>
          <w:rFonts w:ascii="Arial" w:cs="Arial" w:eastAsia="Arial" w:hAnsi="Arial"/>
          <w:sz w:val="18"/>
          <w:szCs w:val="18"/>
          <w:b w:val="1"/>
          <w:bCs w:val="1"/>
          <w:color w:val="auto"/>
        </w:rPr>
        <w:t xml:space="preserve"> </w:t>
      </w:r>
      <w:r>
        <w:rPr>
          <w:rFonts w:ascii="Arial" w:cs="Arial" w:eastAsia="Arial" w:hAnsi="Arial"/>
          <w:sz w:val="18"/>
          <w:szCs w:val="18"/>
          <w:color w:val="auto"/>
        </w:rPr>
        <w:t>10% of dosed patients by grade—daily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9770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7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660" w:type="dxa"/>
            <w:vAlign w:val="bottom"/>
          </w:tcPr>
          <w:p>
            <w:pPr>
              <w:jc w:val="right"/>
              <w:ind w:right="32"/>
              <w:spacing w:after="0"/>
              <w:rPr>
                <w:sz w:val="20"/>
                <w:szCs w:val="20"/>
                <w:color w:val="auto"/>
              </w:rPr>
            </w:pPr>
            <w:r>
              <w:rPr>
                <w:rFonts w:ascii="Arial" w:cs="Arial" w:eastAsia="Arial" w:hAnsi="Arial"/>
                <w:sz w:val="18"/>
                <w:szCs w:val="18"/>
                <w:b w:val="1"/>
                <w:bCs w:val="1"/>
                <w:color w:val="auto"/>
              </w:rPr>
              <w:t>Any</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Grade</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Grade</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Grade</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Grade</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Grade</w:t>
            </w:r>
          </w:p>
        </w:tc>
      </w:tr>
      <w:tr>
        <w:trPr>
          <w:trHeight w:val="235"/>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Preferred term</w:t>
            </w:r>
          </w:p>
        </w:tc>
        <w:tc>
          <w:tcPr>
            <w:tcW w:w="2660" w:type="dxa"/>
            <w:vAlign w:val="bottom"/>
          </w:tcPr>
          <w:p>
            <w:pPr>
              <w:jc w:val="right"/>
              <w:ind w:right="32"/>
              <w:spacing w:after="0"/>
              <w:rPr>
                <w:sz w:val="20"/>
                <w:szCs w:val="20"/>
                <w:color w:val="auto"/>
              </w:rPr>
            </w:pPr>
            <w:r>
              <w:rPr>
                <w:rFonts w:ascii="Arial" w:cs="Arial" w:eastAsia="Arial" w:hAnsi="Arial"/>
                <w:sz w:val="18"/>
                <w:szCs w:val="18"/>
                <w:b w:val="1"/>
                <w:bCs w:val="1"/>
                <w:color w:val="auto"/>
              </w:rPr>
              <w:t>grade</w:t>
            </w:r>
          </w:p>
        </w:tc>
        <w:tc>
          <w:tcPr>
            <w:tcW w:w="1080" w:type="dxa"/>
            <w:vAlign w:val="bottom"/>
          </w:tcPr>
          <w:p>
            <w:pPr>
              <w:jc w:val="right"/>
              <w:ind w:right="12"/>
              <w:spacing w:after="0"/>
              <w:rPr>
                <w:sz w:val="20"/>
                <w:szCs w:val="20"/>
                <w:color w:val="auto"/>
              </w:rPr>
            </w:pPr>
            <w:r>
              <w:rPr>
                <w:rFonts w:ascii="Arial" w:cs="Arial" w:eastAsia="Arial" w:hAnsi="Arial"/>
                <w:sz w:val="18"/>
                <w:szCs w:val="18"/>
                <w:b w:val="1"/>
                <w:bCs w:val="1"/>
                <w:color w:val="auto"/>
              </w:rPr>
              <w:t>³3</w:t>
            </w:r>
          </w:p>
        </w:tc>
        <w:tc>
          <w:tcPr>
            <w:tcW w:w="112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2</w:t>
            </w: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196"/>
        </w:trPr>
        <w:tc>
          <w:tcPr>
            <w:tcW w:w="20" w:type="dxa"/>
            <w:vAlign w:val="bottom"/>
          </w:tcPr>
          <w:p>
            <w:pPr>
              <w:spacing w:after="0"/>
              <w:rPr>
                <w:sz w:val="17"/>
                <w:szCs w:val="17"/>
                <w:color w:val="auto"/>
              </w:rPr>
            </w:pPr>
          </w:p>
        </w:tc>
        <w:tc>
          <w:tcPr>
            <w:tcW w:w="30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Thrombocytopenia*</w:t>
            </w:r>
          </w:p>
        </w:tc>
        <w:tc>
          <w:tcPr>
            <w:tcW w:w="2660" w:type="dxa"/>
            <w:vAlign w:val="bottom"/>
            <w:tcBorders>
              <w:top w:val="single" w:sz="8" w:color="auto"/>
            </w:tcBorders>
            <w:shd w:val="clear" w:color="auto" w:fill="CCEEFF"/>
          </w:tcPr>
          <w:p>
            <w:pPr>
              <w:jc w:val="center"/>
              <w:ind w:left="1232"/>
              <w:spacing w:after="0" w:line="196" w:lineRule="exact"/>
              <w:rPr>
                <w:sz w:val="20"/>
                <w:szCs w:val="20"/>
                <w:color w:val="auto"/>
              </w:rPr>
            </w:pPr>
            <w:r>
              <w:rPr>
                <w:rFonts w:ascii="Arial" w:cs="Arial" w:eastAsia="Arial" w:hAnsi="Arial"/>
                <w:sz w:val="18"/>
                <w:szCs w:val="18"/>
                <w:color w:val="auto"/>
                <w:w w:val="97"/>
              </w:rPr>
              <w:t>14 (28.6%)</w:t>
            </w:r>
          </w:p>
        </w:tc>
        <w:tc>
          <w:tcPr>
            <w:tcW w:w="1080" w:type="dxa"/>
            <w:vAlign w:val="bottom"/>
            <w:tcBorders>
              <w:top w:val="single" w:sz="8" w:color="auto"/>
            </w:tcBorders>
            <w:shd w:val="clear" w:color="auto" w:fill="CCEEFF"/>
          </w:tcPr>
          <w:p>
            <w:pPr>
              <w:jc w:val="center"/>
              <w:ind w:right="32"/>
              <w:spacing w:after="0" w:line="196" w:lineRule="exact"/>
              <w:rPr>
                <w:sz w:val="20"/>
                <w:szCs w:val="20"/>
                <w:color w:val="auto"/>
              </w:rPr>
            </w:pPr>
            <w:r>
              <w:rPr>
                <w:rFonts w:ascii="Arial" w:cs="Arial" w:eastAsia="Arial" w:hAnsi="Arial"/>
                <w:sz w:val="18"/>
                <w:szCs w:val="18"/>
                <w:color w:val="auto"/>
                <w:w w:val="97"/>
              </w:rPr>
              <w:t>7 (14.3%)</w:t>
            </w:r>
          </w:p>
        </w:tc>
        <w:tc>
          <w:tcPr>
            <w:tcW w:w="1120" w:type="dxa"/>
            <w:vAlign w:val="bottom"/>
            <w:tcBorders>
              <w:top w:val="single" w:sz="8" w:color="auto"/>
            </w:tcBorders>
            <w:shd w:val="clear" w:color="auto" w:fill="CCEEFF"/>
          </w:tcPr>
          <w:p>
            <w:pPr>
              <w:jc w:val="center"/>
              <w:ind w:right="12"/>
              <w:spacing w:after="0" w:line="196" w:lineRule="exact"/>
              <w:rPr>
                <w:sz w:val="20"/>
                <w:szCs w:val="20"/>
                <w:color w:val="auto"/>
              </w:rPr>
            </w:pPr>
            <w:r>
              <w:rPr>
                <w:rFonts w:ascii="Arial" w:cs="Arial" w:eastAsia="Arial" w:hAnsi="Arial"/>
                <w:sz w:val="18"/>
                <w:szCs w:val="18"/>
                <w:color w:val="auto"/>
                <w:w w:val="96"/>
              </w:rPr>
              <w:t>4 (8.2%)</w:t>
            </w:r>
          </w:p>
        </w:tc>
        <w:tc>
          <w:tcPr>
            <w:tcW w:w="1100" w:type="dxa"/>
            <w:vAlign w:val="bottom"/>
            <w:tcBorders>
              <w:top w:val="single" w:sz="8" w:color="auto"/>
            </w:tcBorders>
            <w:shd w:val="clear" w:color="auto" w:fill="CCEEFF"/>
          </w:tcPr>
          <w:p>
            <w:pPr>
              <w:jc w:val="center"/>
              <w:ind w:right="32"/>
              <w:spacing w:after="0" w:line="196" w:lineRule="exact"/>
              <w:rPr>
                <w:sz w:val="20"/>
                <w:szCs w:val="20"/>
                <w:color w:val="auto"/>
              </w:rPr>
            </w:pPr>
            <w:r>
              <w:rPr>
                <w:rFonts w:ascii="Arial" w:cs="Arial" w:eastAsia="Arial" w:hAnsi="Arial"/>
                <w:sz w:val="18"/>
                <w:szCs w:val="18"/>
                <w:color w:val="auto"/>
                <w:w w:val="96"/>
              </w:rPr>
              <w:t>3 (6.1%)</w:t>
            </w:r>
          </w:p>
        </w:tc>
        <w:tc>
          <w:tcPr>
            <w:tcW w:w="1100" w:type="dxa"/>
            <w:vAlign w:val="bottom"/>
            <w:tcBorders>
              <w:top w:val="single" w:sz="8" w:color="auto"/>
            </w:tcBorders>
            <w:shd w:val="clear" w:color="auto" w:fill="CCEEFF"/>
          </w:tcPr>
          <w:p>
            <w:pPr>
              <w:jc w:val="center"/>
              <w:ind w:right="12"/>
              <w:spacing w:after="0" w:line="196" w:lineRule="exact"/>
              <w:rPr>
                <w:sz w:val="20"/>
                <w:szCs w:val="20"/>
                <w:color w:val="auto"/>
              </w:rPr>
            </w:pPr>
            <w:r>
              <w:rPr>
                <w:rFonts w:ascii="Arial" w:cs="Arial" w:eastAsia="Arial" w:hAnsi="Arial"/>
                <w:sz w:val="18"/>
                <w:szCs w:val="18"/>
                <w:color w:val="auto"/>
                <w:w w:val="97"/>
              </w:rPr>
              <w:t>6 (12.2%)</w:t>
            </w:r>
          </w:p>
        </w:tc>
        <w:tc>
          <w:tcPr>
            <w:tcW w:w="9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6"/>
              </w:rPr>
              <w:t>1 (2.0%)</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Diarrhea</w:t>
            </w:r>
          </w:p>
        </w:tc>
        <w:tc>
          <w:tcPr>
            <w:tcW w:w="2660" w:type="dxa"/>
            <w:vAlign w:val="bottom"/>
          </w:tcPr>
          <w:p>
            <w:pPr>
              <w:jc w:val="center"/>
              <w:ind w:left="1232"/>
              <w:spacing w:after="0" w:line="202" w:lineRule="exact"/>
              <w:rPr>
                <w:sz w:val="20"/>
                <w:szCs w:val="20"/>
                <w:color w:val="auto"/>
              </w:rPr>
            </w:pPr>
            <w:r>
              <w:rPr>
                <w:rFonts w:ascii="Arial" w:cs="Arial" w:eastAsia="Arial" w:hAnsi="Arial"/>
                <w:sz w:val="18"/>
                <w:szCs w:val="18"/>
                <w:color w:val="auto"/>
                <w:w w:val="97"/>
              </w:rPr>
              <w:t>12 (24.5%)</w:t>
            </w:r>
          </w:p>
        </w:tc>
        <w:tc>
          <w:tcPr>
            <w:tcW w:w="10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6"/>
              </w:rPr>
              <w:t>1 (2.0%)</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7"/>
              </w:rPr>
              <w:t>7 (14.3%)</w:t>
            </w:r>
          </w:p>
        </w:tc>
        <w:tc>
          <w:tcPr>
            <w:tcW w:w="110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6"/>
              </w:rPr>
              <w:t>4 (8.2%)</w:t>
            </w:r>
          </w:p>
        </w:tc>
        <w:tc>
          <w:tcPr>
            <w:tcW w:w="11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9"/>
              </w:rPr>
              <w:t>1 (2.0%)</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Anemia**</w:t>
            </w:r>
          </w:p>
        </w:tc>
        <w:tc>
          <w:tcPr>
            <w:tcW w:w="2660" w:type="dxa"/>
            <w:vAlign w:val="bottom"/>
            <w:shd w:val="clear" w:color="auto" w:fill="CCEEFF"/>
          </w:tcPr>
          <w:p>
            <w:pPr>
              <w:jc w:val="center"/>
              <w:ind w:left="1232"/>
              <w:spacing w:after="0" w:line="202" w:lineRule="exact"/>
              <w:rPr>
                <w:sz w:val="20"/>
                <w:szCs w:val="20"/>
                <w:color w:val="auto"/>
              </w:rPr>
            </w:pPr>
            <w:r>
              <w:rPr>
                <w:rFonts w:ascii="Arial" w:cs="Arial" w:eastAsia="Arial" w:hAnsi="Arial"/>
                <w:sz w:val="18"/>
                <w:szCs w:val="18"/>
                <w:color w:val="auto"/>
                <w:w w:val="97"/>
              </w:rPr>
              <w:t>11 (22.4%)</w:t>
            </w:r>
          </w:p>
        </w:tc>
        <w:tc>
          <w:tcPr>
            <w:tcW w:w="108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7"/>
              </w:rPr>
              <w:t>6 (12.2%)</w:t>
            </w:r>
          </w:p>
        </w:tc>
        <w:tc>
          <w:tcPr>
            <w:tcW w:w="11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1 (2.0%)</w:t>
            </w:r>
          </w:p>
        </w:tc>
        <w:tc>
          <w:tcPr>
            <w:tcW w:w="110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6"/>
              </w:rPr>
              <w:t>4 (8.2%)</w:t>
            </w:r>
          </w:p>
        </w:tc>
        <w:tc>
          <w:tcPr>
            <w:tcW w:w="11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7"/>
              </w:rPr>
              <w:t>6 (12.2%)</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Edema***</w:t>
            </w:r>
          </w:p>
        </w:tc>
        <w:tc>
          <w:tcPr>
            <w:tcW w:w="2660" w:type="dxa"/>
            <w:vAlign w:val="bottom"/>
          </w:tcPr>
          <w:p>
            <w:pPr>
              <w:jc w:val="center"/>
              <w:ind w:left="1212"/>
              <w:spacing w:after="0" w:line="202" w:lineRule="exact"/>
              <w:rPr>
                <w:sz w:val="20"/>
                <w:szCs w:val="20"/>
                <w:color w:val="auto"/>
              </w:rPr>
            </w:pPr>
            <w:r>
              <w:rPr>
                <w:rFonts w:ascii="Arial" w:cs="Arial" w:eastAsia="Arial" w:hAnsi="Arial"/>
                <w:sz w:val="18"/>
                <w:szCs w:val="18"/>
                <w:color w:val="auto"/>
                <w:w w:val="97"/>
              </w:rPr>
              <w:t>9 (18.4%)</w:t>
            </w:r>
          </w:p>
        </w:tc>
        <w:tc>
          <w:tcPr>
            <w:tcW w:w="10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6"/>
              </w:rPr>
              <w:t>1 (2.0%)</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7"/>
              </w:rPr>
              <w:t>7 (14.3%)</w:t>
            </w:r>
          </w:p>
        </w:tc>
        <w:tc>
          <w:tcPr>
            <w:tcW w:w="110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6"/>
              </w:rPr>
              <w:t>1 (2.0%)</w:t>
            </w:r>
          </w:p>
        </w:tc>
        <w:tc>
          <w:tcPr>
            <w:tcW w:w="11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9"/>
              </w:rPr>
              <w:t>1 (2.0%)</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AST increased</w:t>
            </w:r>
          </w:p>
        </w:tc>
        <w:tc>
          <w:tcPr>
            <w:tcW w:w="2660" w:type="dxa"/>
            <w:vAlign w:val="bottom"/>
            <w:shd w:val="clear" w:color="auto" w:fill="CCEEFF"/>
          </w:tcPr>
          <w:p>
            <w:pPr>
              <w:jc w:val="center"/>
              <w:ind w:left="1212"/>
              <w:spacing w:after="0" w:line="202" w:lineRule="exact"/>
              <w:rPr>
                <w:sz w:val="20"/>
                <w:szCs w:val="20"/>
                <w:color w:val="auto"/>
              </w:rPr>
            </w:pPr>
            <w:r>
              <w:rPr>
                <w:rFonts w:ascii="Arial" w:cs="Arial" w:eastAsia="Arial" w:hAnsi="Arial"/>
                <w:sz w:val="18"/>
                <w:szCs w:val="18"/>
                <w:color w:val="auto"/>
                <w:w w:val="97"/>
              </w:rPr>
              <w:t>8 (16.3%)</w:t>
            </w:r>
          </w:p>
        </w:tc>
        <w:tc>
          <w:tcPr>
            <w:tcW w:w="108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2 (4.1%)</w:t>
            </w:r>
          </w:p>
        </w:tc>
        <w:tc>
          <w:tcPr>
            <w:tcW w:w="11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4 (8.2%)</w:t>
            </w:r>
          </w:p>
        </w:tc>
        <w:tc>
          <w:tcPr>
            <w:tcW w:w="110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6"/>
              </w:rPr>
              <w:t>2 (4.1%)</w:t>
            </w:r>
          </w:p>
        </w:tc>
        <w:tc>
          <w:tcPr>
            <w:tcW w:w="11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9"/>
              </w:rPr>
              <w:t>1 (2.0%)</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1 (2.0%)</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Fatigue</w:t>
            </w:r>
          </w:p>
        </w:tc>
        <w:tc>
          <w:tcPr>
            <w:tcW w:w="2660" w:type="dxa"/>
            <w:vAlign w:val="bottom"/>
          </w:tcPr>
          <w:p>
            <w:pPr>
              <w:jc w:val="center"/>
              <w:ind w:left="1212"/>
              <w:spacing w:after="0" w:line="202" w:lineRule="exact"/>
              <w:rPr>
                <w:sz w:val="20"/>
                <w:szCs w:val="20"/>
                <w:color w:val="auto"/>
              </w:rPr>
            </w:pPr>
            <w:r>
              <w:rPr>
                <w:rFonts w:ascii="Arial" w:cs="Arial" w:eastAsia="Arial" w:hAnsi="Arial"/>
                <w:sz w:val="18"/>
                <w:szCs w:val="18"/>
                <w:color w:val="auto"/>
                <w:w w:val="97"/>
              </w:rPr>
              <w:t>8 (16.3%)</w:t>
            </w:r>
          </w:p>
        </w:tc>
        <w:tc>
          <w:tcPr>
            <w:tcW w:w="10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6"/>
              </w:rPr>
              <w:t>3 (6.1%)</w:t>
            </w:r>
          </w:p>
        </w:tc>
        <w:tc>
          <w:tcPr>
            <w:tcW w:w="11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7"/>
              </w:rPr>
              <w:t>5 (10.2%)</w:t>
            </w:r>
          </w:p>
        </w:tc>
        <w:tc>
          <w:tcPr>
            <w:tcW w:w="11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88"/>
              </w:rPr>
              <w:t>—</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Hypertension</w:t>
            </w:r>
          </w:p>
        </w:tc>
        <w:tc>
          <w:tcPr>
            <w:tcW w:w="2660" w:type="dxa"/>
            <w:vAlign w:val="bottom"/>
            <w:shd w:val="clear" w:color="auto" w:fill="CCEEFF"/>
          </w:tcPr>
          <w:p>
            <w:pPr>
              <w:jc w:val="center"/>
              <w:ind w:left="1212"/>
              <w:spacing w:after="0" w:line="202" w:lineRule="exact"/>
              <w:rPr>
                <w:sz w:val="20"/>
                <w:szCs w:val="20"/>
                <w:color w:val="auto"/>
              </w:rPr>
            </w:pPr>
            <w:r>
              <w:rPr>
                <w:rFonts w:ascii="Arial" w:cs="Arial" w:eastAsia="Arial" w:hAnsi="Arial"/>
                <w:sz w:val="18"/>
                <w:szCs w:val="18"/>
                <w:color w:val="auto"/>
                <w:w w:val="97"/>
              </w:rPr>
              <w:t>7 (14.3%)</w:t>
            </w:r>
          </w:p>
        </w:tc>
        <w:tc>
          <w:tcPr>
            <w:tcW w:w="108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4 (8.2%)</w:t>
            </w:r>
          </w:p>
        </w:tc>
        <w:tc>
          <w:tcPr>
            <w:tcW w:w="11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6"/>
              </w:rPr>
              <w:t>3 (6.1%)</w:t>
            </w:r>
          </w:p>
        </w:tc>
        <w:tc>
          <w:tcPr>
            <w:tcW w:w="11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9"/>
              </w:rPr>
              <w:t>4 (8.2%)</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3080" w:type="dxa"/>
            <w:vAlign w:val="bottom"/>
            <w:gridSpan w:val="2"/>
          </w:tcPr>
          <w:p>
            <w:pPr>
              <w:spacing w:after="0" w:line="202" w:lineRule="exact"/>
              <w:rPr>
                <w:sz w:val="20"/>
                <w:szCs w:val="20"/>
                <w:color w:val="auto"/>
              </w:rPr>
            </w:pPr>
            <w:r>
              <w:rPr>
                <w:rFonts w:ascii="Arial" w:cs="Arial" w:eastAsia="Arial" w:hAnsi="Arial"/>
                <w:sz w:val="18"/>
                <w:szCs w:val="18"/>
                <w:color w:val="auto"/>
              </w:rPr>
              <w:t>Nausea</w:t>
            </w:r>
          </w:p>
        </w:tc>
        <w:tc>
          <w:tcPr>
            <w:tcW w:w="2660" w:type="dxa"/>
            <w:vAlign w:val="bottom"/>
          </w:tcPr>
          <w:p>
            <w:pPr>
              <w:jc w:val="center"/>
              <w:ind w:left="1212"/>
              <w:spacing w:after="0" w:line="202" w:lineRule="exact"/>
              <w:rPr>
                <w:sz w:val="20"/>
                <w:szCs w:val="20"/>
                <w:color w:val="auto"/>
              </w:rPr>
            </w:pPr>
            <w:r>
              <w:rPr>
                <w:rFonts w:ascii="Arial" w:cs="Arial" w:eastAsia="Arial" w:hAnsi="Arial"/>
                <w:sz w:val="18"/>
                <w:szCs w:val="18"/>
                <w:color w:val="auto"/>
                <w:w w:val="97"/>
              </w:rPr>
              <w:t>6 (12.2%)</w:t>
            </w:r>
          </w:p>
        </w:tc>
        <w:tc>
          <w:tcPr>
            <w:tcW w:w="108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7"/>
              </w:rPr>
              <w:t>6 (12.2%)</w:t>
            </w:r>
          </w:p>
        </w:tc>
        <w:tc>
          <w:tcPr>
            <w:tcW w:w="1100" w:type="dxa"/>
            <w:vAlign w:val="bottom"/>
          </w:tcPr>
          <w:p>
            <w:pPr>
              <w:jc w:val="center"/>
              <w:ind w:right="32"/>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88"/>
              </w:rPr>
              <w:t>—</w:t>
            </w: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3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ALT increased</w:t>
            </w:r>
          </w:p>
        </w:tc>
        <w:tc>
          <w:tcPr>
            <w:tcW w:w="2660" w:type="dxa"/>
            <w:vAlign w:val="bottom"/>
            <w:shd w:val="clear" w:color="auto" w:fill="CCEEFF"/>
          </w:tcPr>
          <w:p>
            <w:pPr>
              <w:jc w:val="center"/>
              <w:ind w:left="1212"/>
              <w:spacing w:after="0" w:line="202" w:lineRule="exact"/>
              <w:rPr>
                <w:sz w:val="20"/>
                <w:szCs w:val="20"/>
                <w:color w:val="auto"/>
              </w:rPr>
            </w:pPr>
            <w:r>
              <w:rPr>
                <w:rFonts w:ascii="Arial" w:cs="Arial" w:eastAsia="Arial" w:hAnsi="Arial"/>
                <w:sz w:val="18"/>
                <w:szCs w:val="18"/>
                <w:color w:val="auto"/>
                <w:w w:val="97"/>
              </w:rPr>
              <w:t>5 (10.2%)</w:t>
            </w:r>
          </w:p>
        </w:tc>
        <w:tc>
          <w:tcPr>
            <w:tcW w:w="108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2 (4.1%)</w:t>
            </w:r>
          </w:p>
        </w:tc>
        <w:tc>
          <w:tcPr>
            <w:tcW w:w="11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3 (6.1%)</w:t>
            </w:r>
          </w:p>
        </w:tc>
        <w:tc>
          <w:tcPr>
            <w:tcW w:w="1100" w:type="dxa"/>
            <w:vAlign w:val="bottom"/>
            <w:shd w:val="clear" w:color="auto" w:fill="CCEEFF"/>
          </w:tcPr>
          <w:p>
            <w:pPr>
              <w:jc w:val="center"/>
              <w:ind w:right="32"/>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9"/>
              </w:rPr>
              <w:t>2 (4.1%)</w:t>
            </w:r>
          </w:p>
        </w:tc>
        <w:tc>
          <w:tcPr>
            <w:tcW w:w="9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15"/>
        </w:trPr>
        <w:tc>
          <w:tcPr>
            <w:tcW w:w="3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Dry mouth</w:t>
            </w:r>
          </w:p>
        </w:tc>
        <w:tc>
          <w:tcPr>
            <w:tcW w:w="2660" w:type="dxa"/>
            <w:vAlign w:val="bottom"/>
            <w:tcBorders>
              <w:bottom w:val="single" w:sz="8" w:color="auto"/>
            </w:tcBorders>
          </w:tcPr>
          <w:p>
            <w:pPr>
              <w:jc w:val="center"/>
              <w:ind w:left="1212"/>
              <w:spacing w:after="0"/>
              <w:rPr>
                <w:sz w:val="20"/>
                <w:szCs w:val="20"/>
                <w:color w:val="auto"/>
              </w:rPr>
            </w:pPr>
            <w:r>
              <w:rPr>
                <w:rFonts w:ascii="Arial" w:cs="Arial" w:eastAsia="Arial" w:hAnsi="Arial"/>
                <w:sz w:val="18"/>
                <w:szCs w:val="18"/>
                <w:color w:val="auto"/>
                <w:w w:val="97"/>
              </w:rPr>
              <w:t>5 (10.2%)</w:t>
            </w:r>
          </w:p>
        </w:tc>
        <w:tc>
          <w:tcPr>
            <w:tcW w:w="10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7"/>
              </w:rPr>
              <w:t>5 (10.2%)</w:t>
            </w:r>
          </w:p>
        </w:tc>
        <w:tc>
          <w:tcPr>
            <w:tcW w:w="11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8"/>
              </w:rPr>
              <w: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spacing w:after="0" w:line="69" w:lineRule="exact"/>
        <w:rPr>
          <w:sz w:val="20"/>
          <w:szCs w:val="20"/>
          <w:color w:val="auto"/>
        </w:rPr>
      </w:pPr>
    </w:p>
    <w:p>
      <w:pPr>
        <w:ind w:left="200" w:right="8740" w:firstLine="4"/>
        <w:spacing w:after="0" w:line="375" w:lineRule="auto"/>
        <w:tabs>
          <w:tab w:leader="none" w:pos="524" w:val="left"/>
        </w:tabs>
        <w:numPr>
          <w:ilvl w:val="0"/>
          <w:numId w:val="84"/>
        </w:numPr>
        <w:rPr>
          <w:rFonts w:ascii="Arial" w:cs="Arial" w:eastAsia="Arial" w:hAnsi="Arial"/>
          <w:sz w:val="12"/>
          <w:szCs w:val="12"/>
          <w:color w:val="auto"/>
        </w:rPr>
      </w:pPr>
      <w:r>
        <w:rPr>
          <w:rFonts w:ascii="Arial" w:cs="Arial" w:eastAsia="Arial" w:hAnsi="Arial"/>
          <w:sz w:val="12"/>
          <w:szCs w:val="12"/>
          <w:color w:val="auto"/>
        </w:rPr>
        <w:t>Includes platelet count decrease. ** Includes hemoglobin decrease.</w:t>
      </w:r>
    </w:p>
    <w:p>
      <w:pPr>
        <w:ind w:left="200"/>
        <w:spacing w:after="0"/>
        <w:rPr>
          <w:rFonts w:ascii="Arial" w:cs="Arial" w:eastAsia="Arial" w:hAnsi="Arial"/>
          <w:sz w:val="12"/>
          <w:szCs w:val="12"/>
          <w:color w:val="auto"/>
        </w:rPr>
      </w:pPr>
      <w:r>
        <w:rPr>
          <w:rFonts w:ascii="Arial" w:cs="Arial" w:eastAsia="Arial" w:hAnsi="Arial"/>
          <w:sz w:val="14"/>
          <w:szCs w:val="14"/>
          <w:color w:val="auto"/>
        </w:rPr>
        <w:t>***  Consists of eyelid edema, face edema, generalized edema, lip edema, edema, edema peripheral, periorbital al edema and peripheral swelling.</w:t>
      </w:r>
    </w:p>
    <w:p>
      <w:pPr>
        <w:spacing w:after="0" w:line="99" w:lineRule="exact"/>
        <w:rPr>
          <w:sz w:val="20"/>
          <w:szCs w:val="20"/>
          <w:color w:val="auto"/>
        </w:rPr>
      </w:pPr>
    </w:p>
    <w:p>
      <w:pPr>
        <w:ind w:left="200" w:right="140"/>
        <w:spacing w:after="0" w:line="273" w:lineRule="auto"/>
        <w:rPr>
          <w:sz w:val="20"/>
          <w:szCs w:val="20"/>
          <w:color w:val="auto"/>
        </w:rPr>
      </w:pPr>
      <w:r>
        <w:rPr>
          <w:rFonts w:ascii="Arial" w:cs="Arial" w:eastAsia="Arial" w:hAnsi="Arial"/>
          <w:sz w:val="16"/>
          <w:szCs w:val="16"/>
          <w:color w:val="auto"/>
        </w:rPr>
        <w:t>Eight patients treated with the daily schedule have experienced toxicities involving the lungs or respiratory system that were attributed in part to RMC-4630 by the treating investigator. These were generally moderate or mild. Two additional cases of grade 4 respiratory failure are discussed in more detail below in the description of SAEs. No data has been reported suggesting that systemic activation of the immune system is associated with toxicity in subjects treated with RMC-4630. There have been no reports of pneumonitis. Related adverse events involving other important organs such as the heart, brain and kidneys have been uncommon and generally mild to moderate in severity.</w:t>
      </w:r>
    </w:p>
    <w:p>
      <w:pPr>
        <w:spacing w:after="0" w:line="75" w:lineRule="exact"/>
        <w:rPr>
          <w:sz w:val="20"/>
          <w:szCs w:val="20"/>
          <w:color w:val="auto"/>
        </w:rPr>
      </w:pPr>
    </w:p>
    <w:p>
      <w:pPr>
        <w:ind w:left="200" w:right="120"/>
        <w:spacing w:after="0" w:line="235" w:lineRule="auto"/>
        <w:rPr>
          <w:sz w:val="20"/>
          <w:szCs w:val="20"/>
          <w:color w:val="auto"/>
        </w:rPr>
      </w:pPr>
      <w:r>
        <w:rPr>
          <w:rFonts w:ascii="Arial" w:cs="Arial" w:eastAsia="Arial" w:hAnsi="Arial"/>
          <w:sz w:val="18"/>
          <w:szCs w:val="18"/>
          <w:color w:val="auto"/>
        </w:rPr>
        <w:t>There have been three SAEs thought to be possibly or probably related to the study drug as assessed by the trial sponsor (Table 7). Three additional SAEs were reported in which the investigator was unable to rule out an association with the study drug, but where the evidence for causality by RMC-4630 was absent or considered unlikely by the study sponsor. One patient with extensive metastases of tumor in the lungs developed grade 4 respiratory failure and was hospitalized and treated with oxygen. The SAE was ongoing when the patient was withdrawn from the study. A second patient with fever and radiologic evidence of infectious pneumonia developed grade 4 respiratory failure and was treated with oxygen, systemic antibiotics and corticosteroids. The SAE was ongoing when the patient died due to progression of underlying cancer. A third patient developed a single reading of grade 3 prolongation of QTc. This patient had been receiving 60 mg daily of RMC-4630 but had not received any dose for three days at the time of the reading. The patient had a previous history of prolonged QTc, underlying systemic lupus, and was taking ondansetron. QTc was prolonged (grade 1) at baseline. Five hours after the prolonged QTc reading, the patient had two follow-up ECGs that showed normal QTc interval.</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240" w:top="459" w:right="41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7</w:t>
      </w:r>
      <w:r>
        <w:rPr>
          <w:rFonts w:ascii="Arial" w:cs="Arial" w:eastAsia="Arial" w:hAnsi="Arial"/>
          <w:sz w:val="18"/>
          <w:szCs w:val="18"/>
          <w:color w:val="auto"/>
        </w:rPr>
        <w:t>: Related SAEs—daily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3280" w:type="dxa"/>
            <w:vAlign w:val="bottom"/>
          </w:tcPr>
          <w:p>
            <w:pPr>
              <w:jc w:val="center"/>
              <w:ind w:left="2292"/>
              <w:spacing w:after="0"/>
              <w:rPr>
                <w:sz w:val="20"/>
                <w:szCs w:val="20"/>
                <w:color w:val="auto"/>
              </w:rPr>
            </w:pPr>
            <w:r>
              <w:rPr>
                <w:rFonts w:ascii="Arial" w:cs="Arial" w:eastAsia="Arial" w:hAnsi="Arial"/>
                <w:sz w:val="18"/>
                <w:szCs w:val="18"/>
                <w:b w:val="1"/>
                <w:bCs w:val="1"/>
                <w:color w:val="auto"/>
                <w:w w:val="96"/>
              </w:rPr>
              <w:t>Number</w:t>
            </w:r>
          </w:p>
        </w:tc>
        <w:tc>
          <w:tcPr>
            <w:tcW w:w="1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1"/>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Preferred term</w:t>
            </w:r>
          </w:p>
        </w:tc>
        <w:tc>
          <w:tcPr>
            <w:tcW w:w="328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620"/>
              <w:spacing w:after="0"/>
              <w:rPr>
                <w:sz w:val="20"/>
                <w:szCs w:val="20"/>
                <w:color w:val="auto"/>
              </w:rPr>
            </w:pPr>
            <w:r>
              <w:rPr>
                <w:rFonts w:ascii="Arial" w:cs="Arial" w:eastAsia="Arial" w:hAnsi="Arial"/>
                <w:sz w:val="18"/>
                <w:szCs w:val="18"/>
                <w:b w:val="1"/>
                <w:bCs w:val="1"/>
                <w:color w:val="auto"/>
              </w:rPr>
              <w:t>Dose</w:t>
            </w:r>
          </w:p>
        </w:tc>
        <w:tc>
          <w:tcPr>
            <w:tcW w:w="760" w:type="dxa"/>
            <w:vAlign w:val="bottom"/>
          </w:tcPr>
          <w:p>
            <w:pPr>
              <w:jc w:val="center"/>
              <w:spacing w:after="0"/>
              <w:rPr>
                <w:sz w:val="20"/>
                <w:szCs w:val="20"/>
                <w:color w:val="auto"/>
              </w:rPr>
            </w:pPr>
            <w:r>
              <w:rPr>
                <w:rFonts w:ascii="Arial" w:cs="Arial" w:eastAsia="Arial" w:hAnsi="Arial"/>
                <w:sz w:val="18"/>
                <w:szCs w:val="18"/>
                <w:b w:val="1"/>
                <w:bCs w:val="1"/>
                <w:color w:val="auto"/>
                <w:w w:val="96"/>
              </w:rPr>
              <w:t>Grade</w:t>
            </w:r>
          </w:p>
        </w:tc>
        <w:tc>
          <w:tcPr>
            <w:tcW w:w="920" w:type="dxa"/>
            <w:vAlign w:val="bottom"/>
          </w:tcPr>
          <w:p>
            <w:pPr>
              <w:ind w:left="140"/>
              <w:spacing w:after="0"/>
              <w:rPr>
                <w:sz w:val="20"/>
                <w:szCs w:val="20"/>
                <w:color w:val="auto"/>
              </w:rPr>
            </w:pPr>
            <w:r>
              <w:rPr>
                <w:rFonts w:ascii="Arial" w:cs="Arial" w:eastAsia="Arial" w:hAnsi="Arial"/>
                <w:sz w:val="18"/>
                <w:szCs w:val="18"/>
                <w:b w:val="1"/>
                <w:bCs w:val="1"/>
                <w:color w:val="auto"/>
                <w:w w:val="97"/>
              </w:rPr>
              <w:t>Outcome</w:t>
            </w:r>
          </w:p>
        </w:tc>
      </w:tr>
      <w:tr>
        <w:trPr>
          <w:trHeight w:val="196"/>
        </w:trPr>
        <w:tc>
          <w:tcPr>
            <w:tcW w:w="20" w:type="dxa"/>
            <w:vAlign w:val="bottom"/>
          </w:tcPr>
          <w:p>
            <w:pPr>
              <w:spacing w:after="0"/>
              <w:rPr>
                <w:sz w:val="17"/>
                <w:szCs w:val="17"/>
                <w:color w:val="auto"/>
              </w:rPr>
            </w:pPr>
          </w:p>
        </w:tc>
        <w:tc>
          <w:tcPr>
            <w:tcW w:w="4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Dehydration</w:t>
            </w:r>
          </w:p>
        </w:tc>
        <w:tc>
          <w:tcPr>
            <w:tcW w:w="3280" w:type="dxa"/>
            <w:vAlign w:val="bottom"/>
            <w:tcBorders>
              <w:top w:val="single" w:sz="8" w:color="auto"/>
            </w:tcBorders>
            <w:shd w:val="clear" w:color="auto" w:fill="CCEEFF"/>
          </w:tcPr>
          <w:p>
            <w:pPr>
              <w:jc w:val="center"/>
              <w:ind w:left="2252"/>
              <w:spacing w:after="0" w:line="196" w:lineRule="exact"/>
              <w:rPr>
                <w:sz w:val="20"/>
                <w:szCs w:val="20"/>
                <w:color w:val="auto"/>
              </w:rPr>
            </w:pPr>
            <w:r>
              <w:rPr>
                <w:rFonts w:ascii="Arial" w:cs="Arial" w:eastAsia="Arial" w:hAnsi="Arial"/>
                <w:sz w:val="18"/>
                <w:szCs w:val="18"/>
                <w:color w:val="auto"/>
                <w:w w:val="94"/>
              </w:rPr>
              <w:t>1 (2%)</w:t>
            </w:r>
          </w:p>
        </w:tc>
        <w:tc>
          <w:tcPr>
            <w:tcW w:w="1160" w:type="dxa"/>
            <w:vAlign w:val="bottom"/>
            <w:tcBorders>
              <w:top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60 mg daily</w:t>
            </w:r>
          </w:p>
        </w:tc>
        <w:tc>
          <w:tcPr>
            <w:tcW w:w="76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2</w:t>
            </w:r>
          </w:p>
        </w:tc>
        <w:tc>
          <w:tcPr>
            <w:tcW w:w="920" w:type="dxa"/>
            <w:vAlign w:val="bottom"/>
            <w:tcBorders>
              <w:top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Resolved</w:t>
            </w:r>
          </w:p>
        </w:tc>
      </w:tr>
      <w:tr>
        <w:trPr>
          <w:trHeight w:val="203"/>
        </w:trPr>
        <w:tc>
          <w:tcPr>
            <w:tcW w:w="4920" w:type="dxa"/>
            <w:vAlign w:val="bottom"/>
            <w:gridSpan w:val="2"/>
          </w:tcPr>
          <w:p>
            <w:pPr>
              <w:spacing w:after="0" w:line="202" w:lineRule="exact"/>
              <w:rPr>
                <w:sz w:val="20"/>
                <w:szCs w:val="20"/>
                <w:color w:val="auto"/>
              </w:rPr>
            </w:pPr>
            <w:r>
              <w:rPr>
                <w:rFonts w:ascii="Arial" w:cs="Arial" w:eastAsia="Arial" w:hAnsi="Arial"/>
                <w:sz w:val="18"/>
                <w:szCs w:val="18"/>
                <w:color w:val="auto"/>
              </w:rPr>
              <w:t>Anasarca (generalized edema)</w:t>
            </w:r>
          </w:p>
        </w:tc>
        <w:tc>
          <w:tcPr>
            <w:tcW w:w="3280" w:type="dxa"/>
            <w:vAlign w:val="bottom"/>
          </w:tcPr>
          <w:p>
            <w:pPr>
              <w:jc w:val="center"/>
              <w:ind w:left="2252"/>
              <w:spacing w:after="0" w:line="202" w:lineRule="exact"/>
              <w:rPr>
                <w:sz w:val="20"/>
                <w:szCs w:val="20"/>
                <w:color w:val="auto"/>
              </w:rPr>
            </w:pPr>
            <w:r>
              <w:rPr>
                <w:rFonts w:ascii="Arial" w:cs="Arial" w:eastAsia="Arial" w:hAnsi="Arial"/>
                <w:sz w:val="18"/>
                <w:szCs w:val="18"/>
                <w:color w:val="auto"/>
                <w:w w:val="94"/>
              </w:rPr>
              <w:t>1 (2%)</w:t>
            </w:r>
          </w:p>
        </w:tc>
        <w:tc>
          <w:tcPr>
            <w:tcW w:w="1160" w:type="dxa"/>
            <w:vAlign w:val="bottom"/>
          </w:tcPr>
          <w:p>
            <w:pPr>
              <w:ind w:left="120"/>
              <w:spacing w:after="0" w:line="202" w:lineRule="exact"/>
              <w:rPr>
                <w:sz w:val="20"/>
                <w:szCs w:val="20"/>
                <w:color w:val="auto"/>
              </w:rPr>
            </w:pPr>
            <w:r>
              <w:rPr>
                <w:rFonts w:ascii="Arial" w:cs="Arial" w:eastAsia="Arial" w:hAnsi="Arial"/>
                <w:sz w:val="18"/>
                <w:szCs w:val="18"/>
                <w:color w:val="auto"/>
              </w:rPr>
              <w:t>80 mg daily</w:t>
            </w:r>
          </w:p>
        </w:tc>
        <w:tc>
          <w:tcPr>
            <w:tcW w:w="760" w:type="dxa"/>
            <w:vAlign w:val="bottom"/>
          </w:tcPr>
          <w:p>
            <w:pPr>
              <w:jc w:val="center"/>
              <w:spacing w:after="0" w:line="202" w:lineRule="exact"/>
              <w:rPr>
                <w:sz w:val="20"/>
                <w:szCs w:val="20"/>
                <w:color w:val="auto"/>
              </w:rPr>
            </w:pPr>
            <w:r>
              <w:rPr>
                <w:rFonts w:ascii="Arial" w:cs="Arial" w:eastAsia="Arial" w:hAnsi="Arial"/>
                <w:sz w:val="18"/>
                <w:szCs w:val="18"/>
                <w:color w:val="auto"/>
                <w:w w:val="99"/>
              </w:rPr>
              <w:t>3</w:t>
            </w:r>
          </w:p>
        </w:tc>
        <w:tc>
          <w:tcPr>
            <w:tcW w:w="920" w:type="dxa"/>
            <w:vAlign w:val="bottom"/>
          </w:tcPr>
          <w:p>
            <w:pPr>
              <w:ind w:left="140"/>
              <w:spacing w:after="0" w:line="202" w:lineRule="exact"/>
              <w:rPr>
                <w:sz w:val="20"/>
                <w:szCs w:val="20"/>
                <w:color w:val="auto"/>
              </w:rPr>
            </w:pPr>
            <w:r>
              <w:rPr>
                <w:rFonts w:ascii="Arial" w:cs="Arial" w:eastAsia="Arial" w:hAnsi="Arial"/>
                <w:sz w:val="18"/>
                <w:szCs w:val="18"/>
                <w:color w:val="auto"/>
              </w:rPr>
              <w:t>Resolved</w:t>
            </w:r>
          </w:p>
        </w:tc>
      </w:tr>
      <w:tr>
        <w:trPr>
          <w:trHeight w:val="203"/>
        </w:trPr>
        <w:tc>
          <w:tcPr>
            <w:tcW w:w="20" w:type="dxa"/>
            <w:vAlign w:val="bottom"/>
          </w:tcPr>
          <w:p>
            <w:pPr>
              <w:spacing w:after="0"/>
              <w:rPr>
                <w:sz w:val="17"/>
                <w:szCs w:val="17"/>
                <w:color w:val="auto"/>
              </w:rPr>
            </w:pPr>
          </w:p>
        </w:tc>
        <w:tc>
          <w:tcPr>
            <w:tcW w:w="4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Thrombocytopenia</w:t>
            </w:r>
          </w:p>
        </w:tc>
        <w:tc>
          <w:tcPr>
            <w:tcW w:w="3280" w:type="dxa"/>
            <w:vAlign w:val="bottom"/>
            <w:shd w:val="clear" w:color="auto" w:fill="CCEEFF"/>
          </w:tcPr>
          <w:p>
            <w:pPr>
              <w:jc w:val="center"/>
              <w:ind w:left="2252"/>
              <w:spacing w:after="0" w:line="202" w:lineRule="exact"/>
              <w:rPr>
                <w:sz w:val="20"/>
                <w:szCs w:val="20"/>
                <w:color w:val="auto"/>
              </w:rPr>
            </w:pPr>
            <w:r>
              <w:rPr>
                <w:rFonts w:ascii="Arial" w:cs="Arial" w:eastAsia="Arial" w:hAnsi="Arial"/>
                <w:sz w:val="18"/>
                <w:szCs w:val="18"/>
                <w:color w:val="auto"/>
                <w:w w:val="94"/>
              </w:rPr>
              <w:t>1 (2%)</w:t>
            </w:r>
          </w:p>
        </w:tc>
        <w:tc>
          <w:tcPr>
            <w:tcW w:w="11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80 mg daily</w:t>
            </w:r>
          </w:p>
        </w:tc>
        <w:tc>
          <w:tcPr>
            <w:tcW w:w="7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4</w:t>
            </w:r>
          </w:p>
        </w:tc>
        <w:tc>
          <w:tcPr>
            <w:tcW w:w="92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Unknown</w:t>
            </w:r>
          </w:p>
        </w:tc>
      </w:tr>
      <w:tr>
        <w:trPr>
          <w:trHeight w:val="20"/>
        </w:trPr>
        <w:tc>
          <w:tcPr>
            <w:tcW w:w="20" w:type="dxa"/>
            <w:vAlign w:val="bottom"/>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spacing w:after="0" w:line="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8</w:t>
      </w:r>
      <w:r>
        <w:rPr>
          <w:rFonts w:ascii="Arial" w:cs="Arial" w:eastAsia="Arial" w:hAnsi="Arial"/>
          <w:sz w:val="18"/>
          <w:szCs w:val="18"/>
          <w:color w:val="auto"/>
        </w:rPr>
        <w:t>: Early data suggest intermittent schedule may be better tolerated than daily schedule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Related AEs</w:t>
            </w:r>
          </w:p>
        </w:tc>
        <w:tc>
          <w:tcPr>
            <w:tcW w:w="1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Related AEs</w:t>
            </w:r>
          </w:p>
        </w:tc>
      </w:tr>
      <w:tr>
        <w:trPr>
          <w:trHeight w:val="221"/>
        </w:trPr>
        <w:tc>
          <w:tcPr>
            <w:tcW w:w="2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daily (N=49)</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intermittent (N=14)</w:t>
            </w:r>
          </w:p>
        </w:tc>
      </w:tr>
      <w:tr>
        <w:trPr>
          <w:trHeight w:val="177"/>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13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Any</w:t>
            </w:r>
          </w:p>
        </w:tc>
        <w:tc>
          <w:tcPr>
            <w:tcW w:w="112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Grade</w:t>
            </w:r>
          </w:p>
        </w:tc>
        <w:tc>
          <w:tcPr>
            <w:tcW w:w="100" w:type="dxa"/>
            <w:vAlign w:val="bottom"/>
          </w:tcPr>
          <w:p>
            <w:pPr>
              <w:spacing w:after="0"/>
              <w:rPr>
                <w:sz w:val="15"/>
                <w:szCs w:val="15"/>
                <w:color w:val="auto"/>
              </w:rPr>
            </w:pPr>
          </w:p>
        </w:tc>
        <w:tc>
          <w:tcPr>
            <w:tcW w:w="1200" w:type="dxa"/>
            <w:vAlign w:val="bottom"/>
            <w:tcBorders>
              <w:top w:val="single" w:sz="8" w:color="auto"/>
            </w:tcBorders>
          </w:tcPr>
          <w:p>
            <w:pPr>
              <w:jc w:val="right"/>
              <w:ind w:right="12"/>
              <w:spacing w:after="0" w:line="177" w:lineRule="exact"/>
              <w:rPr>
                <w:sz w:val="20"/>
                <w:szCs w:val="20"/>
                <w:color w:val="auto"/>
              </w:rPr>
            </w:pPr>
            <w:r>
              <w:rPr>
                <w:rFonts w:ascii="Arial" w:cs="Arial" w:eastAsia="Arial" w:hAnsi="Arial"/>
                <w:sz w:val="18"/>
                <w:szCs w:val="18"/>
                <w:b w:val="1"/>
                <w:bCs w:val="1"/>
                <w:color w:val="auto"/>
              </w:rPr>
              <w:t>Any</w:t>
            </w:r>
          </w:p>
        </w:tc>
        <w:tc>
          <w:tcPr>
            <w:tcW w:w="114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Grade</w:t>
            </w:r>
          </w:p>
        </w:tc>
      </w:tr>
      <w:tr>
        <w:trPr>
          <w:trHeight w:val="235"/>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Related adverse events occurring in ³10% of patients</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grade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³3</w:t>
            </w:r>
          </w:p>
        </w:tc>
        <w:tc>
          <w:tcPr>
            <w:tcW w:w="1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b w:val="1"/>
                <w:bCs w:val="1"/>
                <w:color w:val="auto"/>
              </w:rPr>
              <w:t>grade</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³ 3</w:t>
            </w:r>
          </w:p>
        </w:tc>
      </w:tr>
      <w:tr>
        <w:trPr>
          <w:trHeight w:val="196"/>
        </w:trPr>
        <w:tc>
          <w:tcPr>
            <w:tcW w:w="20" w:type="dxa"/>
            <w:vAlign w:val="bottom"/>
          </w:tcPr>
          <w:p>
            <w:pPr>
              <w:spacing w:after="0"/>
              <w:rPr>
                <w:sz w:val="17"/>
                <w:szCs w:val="17"/>
                <w:color w:val="auto"/>
              </w:rPr>
            </w:pPr>
          </w:p>
        </w:tc>
        <w:tc>
          <w:tcPr>
            <w:tcW w:w="6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Thrombocytopenia*</w:t>
            </w:r>
          </w:p>
        </w:tc>
        <w:tc>
          <w:tcPr>
            <w:tcW w:w="1320" w:type="dxa"/>
            <w:vAlign w:val="bottom"/>
            <w:tcBorders>
              <w:top w:val="single" w:sz="8" w:color="auto"/>
            </w:tcBorders>
            <w:shd w:val="clear" w:color="auto" w:fill="CCEEFF"/>
          </w:tcPr>
          <w:p>
            <w:pPr>
              <w:jc w:val="center"/>
              <w:ind w:right="12"/>
              <w:spacing w:after="0" w:line="196" w:lineRule="exact"/>
              <w:rPr>
                <w:sz w:val="20"/>
                <w:szCs w:val="20"/>
                <w:color w:val="auto"/>
              </w:rPr>
            </w:pPr>
            <w:r>
              <w:rPr>
                <w:rFonts w:ascii="Arial" w:cs="Arial" w:eastAsia="Arial" w:hAnsi="Arial"/>
                <w:sz w:val="18"/>
                <w:szCs w:val="18"/>
                <w:color w:val="auto"/>
                <w:w w:val="97"/>
              </w:rPr>
              <w:t>14 (28.6%)</w:t>
            </w:r>
          </w:p>
        </w:tc>
        <w:tc>
          <w:tcPr>
            <w:tcW w:w="11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7 (14.3%)</w:t>
            </w: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5 (35.7%)</w:t>
            </w:r>
          </w:p>
        </w:tc>
        <w:tc>
          <w:tcPr>
            <w:tcW w:w="114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Diarrhea</w:t>
            </w:r>
          </w:p>
        </w:tc>
        <w:tc>
          <w:tcPr>
            <w:tcW w:w="13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7"/>
              </w:rPr>
              <w:t>12 (24.5%)</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6"/>
              </w:rPr>
              <w:t>1 (2.0%)</w:t>
            </w:r>
          </w:p>
        </w:tc>
        <w:tc>
          <w:tcPr>
            <w:tcW w:w="1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3 (21.4%)</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Anemia**</w:t>
            </w:r>
          </w:p>
        </w:tc>
        <w:tc>
          <w:tcPr>
            <w:tcW w:w="13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7"/>
              </w:rPr>
              <w:t>11 (22.4%)</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6 (12.2%)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5 (35.7%)</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2 (14.3%)</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Edema***</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7"/>
              </w:rPr>
              <w:t>9 (18.4%)</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6"/>
              </w:rPr>
              <w:t>1 (2.0%)</w:t>
            </w:r>
          </w:p>
        </w:tc>
        <w:tc>
          <w:tcPr>
            <w:tcW w:w="1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4 (28.6%)</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Aspartate aminotransferase increased</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8 (16.3%)</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2 (4.1%)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1 (7.1%)</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Fatigue</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7"/>
              </w:rPr>
              <w:t>8 (16.3%)</w:t>
            </w:r>
          </w:p>
        </w:tc>
        <w:tc>
          <w:tcPr>
            <w:tcW w:w="122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5 (35.7%)</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6"/>
              </w:rPr>
              <w:t>1 (7.1%)</w:t>
            </w: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Hypertension</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7 (14.3%)</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4 (8.2%)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1 (7.1%)</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Nausea</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7"/>
              </w:rPr>
              <w:t>6 (12.2%)</w:t>
            </w:r>
          </w:p>
        </w:tc>
        <w:tc>
          <w:tcPr>
            <w:tcW w:w="122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6"/>
              </w:rPr>
              <w:t>1 (7.1%)</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ALT increased</w:t>
            </w:r>
          </w:p>
        </w:tc>
        <w:tc>
          <w:tcPr>
            <w:tcW w:w="13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5 (10.2%)</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2 (4.1%)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1 (7.1%)</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Dry mouth</w:t>
            </w:r>
          </w:p>
        </w:tc>
        <w:tc>
          <w:tcPr>
            <w:tcW w:w="1320" w:type="dxa"/>
            <w:vAlign w:val="bottom"/>
          </w:tcPr>
          <w:p>
            <w:pPr>
              <w:jc w:val="center"/>
              <w:spacing w:after="0" w:line="202" w:lineRule="exact"/>
              <w:rPr>
                <w:sz w:val="20"/>
                <w:szCs w:val="20"/>
                <w:color w:val="auto"/>
              </w:rPr>
            </w:pPr>
            <w:r>
              <w:rPr>
                <w:rFonts w:ascii="Arial" w:cs="Arial" w:eastAsia="Arial" w:hAnsi="Arial"/>
                <w:sz w:val="18"/>
                <w:szCs w:val="18"/>
                <w:color w:val="auto"/>
                <w:w w:val="97"/>
              </w:rPr>
              <w:t>5 (10.2%)</w:t>
            </w:r>
          </w:p>
        </w:tc>
        <w:tc>
          <w:tcPr>
            <w:tcW w:w="122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2 (14.3%)</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Abdominal distention</w:t>
            </w:r>
          </w:p>
        </w:tc>
        <w:tc>
          <w:tcPr>
            <w:tcW w:w="13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1 (2.0%)</w:t>
            </w:r>
          </w:p>
        </w:tc>
        <w:tc>
          <w:tcPr>
            <w:tcW w:w="1220" w:type="dxa"/>
            <w:vAlign w:val="bottom"/>
            <w:gridSpan w:val="2"/>
            <w:shd w:val="clear" w:color="auto" w:fill="CCEEFF"/>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 (14.3%)</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1 (7.1%)</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Blood creatine phosphokinase increased</w:t>
            </w:r>
          </w:p>
        </w:tc>
        <w:tc>
          <w:tcPr>
            <w:tcW w:w="1320" w:type="dxa"/>
            <w:vAlign w:val="bottom"/>
          </w:tcPr>
          <w:p>
            <w:pPr>
              <w:jc w:val="center"/>
              <w:ind w:right="12"/>
              <w:spacing w:after="0" w:line="202" w:lineRule="exact"/>
              <w:rPr>
                <w:sz w:val="20"/>
                <w:szCs w:val="20"/>
                <w:color w:val="auto"/>
              </w:rPr>
            </w:pPr>
            <w:r>
              <w:rPr>
                <w:rFonts w:ascii="Arial" w:cs="Arial" w:eastAsia="Arial" w:hAnsi="Arial"/>
                <w:sz w:val="18"/>
                <w:szCs w:val="18"/>
                <w:color w:val="auto"/>
                <w:w w:val="96"/>
              </w:rPr>
              <w:t>1 (2.0%)</w:t>
            </w:r>
          </w:p>
        </w:tc>
        <w:tc>
          <w:tcPr>
            <w:tcW w:w="1120" w:type="dxa"/>
            <w:vAlign w:val="bottom"/>
          </w:tcPr>
          <w:p>
            <w:pPr>
              <w:jc w:val="center"/>
              <w:spacing w:after="0" w:line="202" w:lineRule="exact"/>
              <w:rPr>
                <w:sz w:val="20"/>
                <w:szCs w:val="20"/>
                <w:color w:val="auto"/>
              </w:rPr>
            </w:pPr>
            <w:r>
              <w:rPr>
                <w:rFonts w:ascii="Arial" w:cs="Arial" w:eastAsia="Arial" w:hAnsi="Arial"/>
                <w:sz w:val="18"/>
                <w:szCs w:val="18"/>
                <w:color w:val="auto"/>
                <w:w w:val="96"/>
              </w:rPr>
              <w:t>1 (2.0%)</w:t>
            </w:r>
          </w:p>
        </w:tc>
        <w:tc>
          <w:tcPr>
            <w:tcW w:w="100" w:type="dxa"/>
            <w:vAlign w:val="bottom"/>
          </w:tcPr>
          <w:p>
            <w:pPr>
              <w:spacing w:after="0"/>
              <w:rPr>
                <w:sz w:val="17"/>
                <w:szCs w:val="17"/>
                <w:color w:val="auto"/>
              </w:rPr>
            </w:pPr>
          </w:p>
        </w:tc>
        <w:tc>
          <w:tcPr>
            <w:tcW w:w="1200" w:type="dxa"/>
            <w:vAlign w:val="bottom"/>
          </w:tcPr>
          <w:p>
            <w:pPr>
              <w:jc w:val="center"/>
              <w:spacing w:after="0" w:line="202" w:lineRule="exact"/>
              <w:rPr>
                <w:sz w:val="20"/>
                <w:szCs w:val="20"/>
                <w:color w:val="auto"/>
              </w:rPr>
            </w:pPr>
            <w:r>
              <w:rPr>
                <w:rFonts w:ascii="Arial" w:cs="Arial" w:eastAsia="Arial" w:hAnsi="Arial"/>
                <w:sz w:val="18"/>
                <w:szCs w:val="18"/>
                <w:color w:val="auto"/>
                <w:w w:val="97"/>
              </w:rPr>
              <w:t>2 (14.3%)</w:t>
            </w:r>
          </w:p>
        </w:tc>
        <w:tc>
          <w:tcPr>
            <w:tcW w:w="114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6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Neutropenia</w:t>
            </w:r>
          </w:p>
        </w:tc>
        <w:tc>
          <w:tcPr>
            <w:tcW w:w="1320" w:type="dxa"/>
            <w:vAlign w:val="bottom"/>
            <w:shd w:val="clear" w:color="auto" w:fill="CCEEFF"/>
          </w:tcPr>
          <w:p>
            <w:pPr>
              <w:jc w:val="center"/>
              <w:ind w:right="12"/>
              <w:spacing w:after="0" w:line="202" w:lineRule="exact"/>
              <w:rPr>
                <w:sz w:val="20"/>
                <w:szCs w:val="20"/>
                <w:color w:val="auto"/>
              </w:rPr>
            </w:pPr>
            <w:r>
              <w:rPr>
                <w:rFonts w:ascii="Arial" w:cs="Arial" w:eastAsia="Arial" w:hAnsi="Arial"/>
                <w:sz w:val="18"/>
                <w:szCs w:val="18"/>
                <w:color w:val="auto"/>
                <w:w w:val="96"/>
              </w:rPr>
              <w:t>1 (2.0%)</w:t>
            </w:r>
          </w:p>
        </w:tc>
        <w:tc>
          <w:tcPr>
            <w:tcW w:w="11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6"/>
              </w:rPr>
              <w:t>1 (2.0%)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 (14.3%)</w:t>
            </w:r>
          </w:p>
        </w:tc>
        <w:tc>
          <w:tcPr>
            <w:tcW w:w="114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
        </w:trPr>
        <w:tc>
          <w:tcPr>
            <w:tcW w:w="20" w:type="dxa"/>
            <w:vAlign w:val="bottom"/>
          </w:tcPr>
          <w:p>
            <w:pPr>
              <w:spacing w:after="0" w:line="20" w:lineRule="exact"/>
              <w:rPr>
                <w:sz w:val="1"/>
                <w:szCs w:val="1"/>
                <w:color w:val="auto"/>
              </w:rPr>
            </w:pPr>
          </w:p>
        </w:tc>
        <w:tc>
          <w:tcPr>
            <w:tcW w:w="6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spacing w:after="0" w:line="69" w:lineRule="exact"/>
        <w:rPr>
          <w:sz w:val="20"/>
          <w:szCs w:val="20"/>
          <w:color w:val="auto"/>
        </w:rPr>
      </w:pPr>
    </w:p>
    <w:p>
      <w:pPr>
        <w:ind w:left="200" w:right="8740" w:firstLine="4"/>
        <w:spacing w:after="0" w:line="375" w:lineRule="auto"/>
        <w:tabs>
          <w:tab w:leader="none" w:pos="524" w:val="left"/>
        </w:tabs>
        <w:numPr>
          <w:ilvl w:val="0"/>
          <w:numId w:val="85"/>
        </w:numPr>
        <w:rPr>
          <w:rFonts w:ascii="Arial" w:cs="Arial" w:eastAsia="Arial" w:hAnsi="Arial"/>
          <w:sz w:val="12"/>
          <w:szCs w:val="12"/>
          <w:color w:val="auto"/>
        </w:rPr>
      </w:pPr>
      <w:r>
        <w:rPr>
          <w:rFonts w:ascii="Arial" w:cs="Arial" w:eastAsia="Arial" w:hAnsi="Arial"/>
          <w:sz w:val="12"/>
          <w:szCs w:val="12"/>
          <w:color w:val="auto"/>
        </w:rPr>
        <w:t>Includes platelet count decrease. ** Includes hemoglobin decrease.</w:t>
      </w:r>
    </w:p>
    <w:p>
      <w:pPr>
        <w:ind w:left="200"/>
        <w:spacing w:after="0"/>
        <w:rPr>
          <w:rFonts w:ascii="Arial" w:cs="Arial" w:eastAsia="Arial" w:hAnsi="Arial"/>
          <w:sz w:val="12"/>
          <w:szCs w:val="12"/>
          <w:color w:val="auto"/>
        </w:rPr>
      </w:pPr>
      <w:r>
        <w:rPr>
          <w:rFonts w:ascii="Arial" w:cs="Arial" w:eastAsia="Arial" w:hAnsi="Arial"/>
          <w:sz w:val="14"/>
          <w:szCs w:val="14"/>
          <w:color w:val="auto"/>
        </w:rPr>
        <w:t>***  Consists of eyelid edema, face edema, generalized edema, lip edema, edema, edema peripheral periorbital edema, and peripheral swelling.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Pharmacokinetics—daily dosing schedule</w:t>
      </w:r>
    </w:p>
    <w:p>
      <w:pPr>
        <w:spacing w:after="0" w:line="122" w:lineRule="exact"/>
        <w:rPr>
          <w:sz w:val="20"/>
          <w:szCs w:val="20"/>
          <w:color w:val="auto"/>
        </w:rPr>
      </w:pPr>
    </w:p>
    <w:p>
      <w:pPr>
        <w:ind w:left="200" w:right="20"/>
        <w:spacing w:after="0" w:line="237" w:lineRule="auto"/>
        <w:rPr>
          <w:sz w:val="20"/>
          <w:szCs w:val="20"/>
          <w:color w:val="auto"/>
        </w:rPr>
      </w:pPr>
      <w:r>
        <w:rPr>
          <w:rFonts w:ascii="Arial" w:cs="Arial" w:eastAsia="Arial" w:hAnsi="Arial"/>
          <w:sz w:val="17"/>
          <w:szCs w:val="17"/>
          <w:color w:val="auto"/>
        </w:rPr>
        <w:t xml:space="preserve">With daily dosing, plasma concentrations of RMC-4630 reached a steady state by day 22 (Table 9 and Figure 10). Plasma concentrations of RMC-4630 in the blood at all daily dose levels were consistently higher than the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EC</w:t>
      </w:r>
      <w:r>
        <w:rPr>
          <w:rFonts w:ascii="Arial" w:cs="Arial" w:eastAsia="Arial" w:hAnsi="Arial"/>
          <w:sz w:val="21"/>
          <w:szCs w:val="21"/>
          <w:color w:val="auto"/>
          <w:vertAlign w:val="subscript"/>
        </w:rPr>
        <w:t>50</w:t>
      </w:r>
      <w:r>
        <w:rPr>
          <w:rFonts w:ascii="Arial" w:cs="Arial" w:eastAsia="Arial" w:hAnsi="Arial"/>
          <w:sz w:val="17"/>
          <w:szCs w:val="17"/>
          <w:color w:val="auto"/>
        </w:rPr>
        <w:t xml:space="preserve"> for pERK in tumor models. Exposure increased approximately proportionally with increasing dose. The total exposure to RMC-4630 over a 24-hour period at 60 mg daily was 14.6 uM.hr. This is more than twice the exposure that has been required to see anti-tumor effects, particularly tumor stasis, in animal models (6.44 uM.hr).</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240" w:top="459" w:right="4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Table 9: </w:t>
      </w:r>
      <w:r>
        <w:rPr>
          <w:rFonts w:ascii="Arial" w:cs="Arial" w:eastAsia="Arial" w:hAnsi="Arial"/>
          <w:sz w:val="18"/>
          <w:szCs w:val="18"/>
          <w:color w:val="auto"/>
        </w:rPr>
        <w:t>Pharmacokinetics—daily schedule in RMC-4630-01 study.</w:t>
      </w:r>
    </w:p>
    <w:p>
      <w:pPr>
        <w:spacing w:after="0" w:line="116" w:lineRule="exact"/>
        <w:rPr>
          <w:sz w:val="20"/>
          <w:szCs w:val="20"/>
          <w:color w:val="auto"/>
        </w:rPr>
      </w:pPr>
    </w:p>
    <w:tbl>
      <w:tblPr>
        <w:tblLayout w:type="fixed"/>
        <w:tblInd w:w="230" w:type="dxa"/>
        <w:tblCellMar>
          <w:top w:w="0" w:type="dxa"/>
          <w:left w:w="0" w:type="dxa"/>
          <w:bottom w:w="0" w:type="dxa"/>
          <w:right w:w="0" w:type="dxa"/>
        </w:tblCellMar>
      </w:tblPr>
      <w:tr>
        <w:trPr>
          <w:trHeight w:val="203"/>
        </w:trPr>
        <w:tc>
          <w:tcPr>
            <w:tcW w:w="3420" w:type="dxa"/>
            <w:vAlign w:val="bottom"/>
            <w:tcBorders>
              <w:top w:val="single" w:sz="8" w:color="auto"/>
              <w:left w:val="single" w:sz="8" w:color="auto"/>
              <w:right w:val="single" w:sz="8" w:color="auto"/>
            </w:tcBorders>
          </w:tcPr>
          <w:p>
            <w:pPr>
              <w:spacing w:after="0"/>
              <w:rPr>
                <w:sz w:val="17"/>
                <w:szCs w:val="17"/>
                <w:color w:val="auto"/>
              </w:rPr>
            </w:pPr>
          </w:p>
        </w:tc>
        <w:tc>
          <w:tcPr>
            <w:tcW w:w="720" w:type="dxa"/>
            <w:vAlign w:val="bottom"/>
            <w:tcBorders>
              <w:top w:val="single" w:sz="8" w:color="auto"/>
              <w:right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480" w:type="dxa"/>
            <w:vAlign w:val="bottom"/>
            <w:tcBorders>
              <w:top w:val="single" w:sz="8" w:color="auto"/>
              <w:right w:val="single" w:sz="8" w:color="auto"/>
            </w:tcBorders>
          </w:tcPr>
          <w:p>
            <w:pPr>
              <w:spacing w:after="0"/>
              <w:rPr>
                <w:sz w:val="17"/>
                <w:szCs w:val="17"/>
                <w:color w:val="auto"/>
              </w:rPr>
            </w:pPr>
          </w:p>
        </w:tc>
        <w:tc>
          <w:tcPr>
            <w:tcW w:w="360" w:type="dxa"/>
            <w:vAlign w:val="bottom"/>
            <w:tcBorders>
              <w:top w:val="single" w:sz="8" w:color="auto"/>
              <w:right w:val="single" w:sz="8" w:color="auto"/>
            </w:tcBorders>
          </w:tcPr>
          <w:p>
            <w:pPr>
              <w:spacing w:after="0"/>
              <w:rPr>
                <w:sz w:val="17"/>
                <w:szCs w:val="17"/>
                <w:color w:val="auto"/>
              </w:rPr>
            </w:pPr>
          </w:p>
        </w:tc>
        <w:tc>
          <w:tcPr>
            <w:tcW w:w="680" w:type="dxa"/>
            <w:vAlign w:val="bottom"/>
            <w:tcBorders>
              <w:top w:val="single" w:sz="8" w:color="auto"/>
              <w:right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spacing w:after="0"/>
              <w:rPr>
                <w:sz w:val="17"/>
                <w:szCs w:val="17"/>
                <w:color w:val="auto"/>
              </w:rPr>
            </w:pPr>
          </w:p>
        </w:tc>
        <w:tc>
          <w:tcPr>
            <w:tcW w:w="2420" w:type="dxa"/>
            <w:vAlign w:val="bottom"/>
            <w:tcBorders>
              <w:top w:val="single" w:sz="8" w:color="auto"/>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96"/>
              </w:rPr>
              <w:t>PK parameters [Mean(CV%)]</w:t>
            </w:r>
          </w:p>
        </w:tc>
        <w:tc>
          <w:tcPr>
            <w:tcW w:w="6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3420" w:type="dxa"/>
            <w:vAlign w:val="bottom"/>
            <w:tcBorders>
              <w:left w:val="single" w:sz="8" w:color="auto"/>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5"/>
              </w:rPr>
              <w:t>N(Cmax/</w:t>
            </w:r>
          </w:p>
        </w:tc>
        <w:tc>
          <w:tcPr>
            <w:tcW w:w="84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9"/>
              </w:rPr>
              <w:t>Median</w:t>
            </w:r>
          </w:p>
        </w:tc>
        <w:tc>
          <w:tcPr>
            <w:tcW w:w="66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Mean</w:t>
            </w:r>
          </w:p>
        </w:tc>
        <w:tc>
          <w:tcPr>
            <w:tcW w:w="6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4"/>
                <w:szCs w:val="14"/>
                <w:b w:val="1"/>
                <w:bCs w:val="1"/>
                <w:color w:val="auto"/>
                <w:w w:val="99"/>
              </w:rPr>
              <w:t>Median</w:t>
            </w: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4"/>
                <w:szCs w:val="14"/>
                <w:b w:val="1"/>
                <w:bCs w:val="1"/>
                <w:color w:val="auto"/>
                <w:w w:val="97"/>
              </w:rPr>
              <w:t>Study</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Schedule</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Dose</w:t>
            </w:r>
          </w:p>
        </w:tc>
        <w:tc>
          <w:tcPr>
            <w:tcW w:w="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6"/>
              </w:rPr>
              <w:t>Cycle</w:t>
            </w:r>
          </w:p>
        </w:tc>
        <w:tc>
          <w:tcPr>
            <w:tcW w:w="360" w:type="dxa"/>
            <w:vAlign w:val="bottom"/>
            <w:tcBorders>
              <w:right w:val="single" w:sz="8" w:color="auto"/>
            </w:tcBorders>
            <w:vMerge w:val="restart"/>
          </w:tcPr>
          <w:p>
            <w:pPr>
              <w:ind w:left="80"/>
              <w:spacing w:after="0"/>
              <w:rPr>
                <w:sz w:val="20"/>
                <w:szCs w:val="20"/>
                <w:color w:val="auto"/>
              </w:rPr>
            </w:pPr>
            <w:r>
              <w:rPr>
                <w:rFonts w:ascii="Arial" w:cs="Arial" w:eastAsia="Arial" w:hAnsi="Arial"/>
                <w:sz w:val="14"/>
                <w:szCs w:val="14"/>
                <w:b w:val="1"/>
                <w:bCs w:val="1"/>
                <w:color w:val="auto"/>
                <w:w w:val="93"/>
              </w:rPr>
              <w:t>Day</w:t>
            </w:r>
          </w:p>
        </w:tc>
        <w:tc>
          <w:tcPr>
            <w:tcW w:w="68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23"/>
                <w:szCs w:val="23"/>
                <w:b w:val="1"/>
                <w:bCs w:val="1"/>
                <w:color w:val="auto"/>
                <w:vertAlign w:val="superscript"/>
              </w:rPr>
              <w:t>C</w:t>
            </w:r>
            <w:r>
              <w:rPr>
                <w:rFonts w:ascii="Arial" w:cs="Arial" w:eastAsia="Arial" w:hAnsi="Arial"/>
                <w:sz w:val="10"/>
                <w:szCs w:val="10"/>
                <w:b w:val="1"/>
                <w:bCs w:val="1"/>
                <w:color w:val="auto"/>
              </w:rPr>
              <w:t>max</w:t>
            </w:r>
          </w:p>
        </w:tc>
        <w:tc>
          <w:tcPr>
            <w:tcW w:w="72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23"/>
                <w:szCs w:val="23"/>
                <w:b w:val="1"/>
                <w:bCs w:val="1"/>
                <w:color w:val="auto"/>
                <w:vertAlign w:val="superscript"/>
              </w:rPr>
              <w:t>T</w:t>
            </w:r>
            <w:r>
              <w:rPr>
                <w:rFonts w:ascii="Arial" w:cs="Arial" w:eastAsia="Arial" w:hAnsi="Arial"/>
                <w:sz w:val="10"/>
                <w:szCs w:val="10"/>
                <w:b w:val="1"/>
                <w:bCs w:val="1"/>
                <w:color w:val="auto"/>
              </w:rPr>
              <w:t>max</w:t>
            </w:r>
          </w:p>
        </w:tc>
        <w:tc>
          <w:tcPr>
            <w:tcW w:w="66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23"/>
                <w:szCs w:val="23"/>
                <w:b w:val="1"/>
                <w:bCs w:val="1"/>
                <w:color w:val="auto"/>
                <w:w w:val="99"/>
                <w:vertAlign w:val="superscript"/>
              </w:rPr>
              <w:t>AUC</w:t>
            </w:r>
            <w:r>
              <w:rPr>
                <w:rFonts w:ascii="Arial" w:cs="Arial" w:eastAsia="Arial" w:hAnsi="Arial"/>
                <w:sz w:val="10"/>
                <w:szCs w:val="10"/>
                <w:b w:val="1"/>
                <w:bCs w:val="1"/>
                <w:color w:val="auto"/>
                <w:w w:val="99"/>
              </w:rPr>
              <w:t xml:space="preserve"> 0-24</w:t>
            </w:r>
          </w:p>
        </w:tc>
        <w:tc>
          <w:tcPr>
            <w:tcW w:w="104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23"/>
                <w:szCs w:val="23"/>
                <w:b w:val="1"/>
                <w:bCs w:val="1"/>
                <w:color w:val="auto"/>
                <w:w w:val="96"/>
                <w:vertAlign w:val="superscript"/>
              </w:rPr>
              <w:t>AUC</w:t>
            </w:r>
            <w:r>
              <w:rPr>
                <w:rFonts w:ascii="Arial" w:cs="Arial" w:eastAsia="Arial" w:hAnsi="Arial"/>
                <w:sz w:val="10"/>
                <w:szCs w:val="10"/>
                <w:b w:val="1"/>
                <w:bCs w:val="1"/>
                <w:color w:val="auto"/>
                <w:w w:val="96"/>
              </w:rPr>
              <w:t xml:space="preserve"> 0-72</w:t>
            </w:r>
          </w:p>
        </w:tc>
        <w:tc>
          <w:tcPr>
            <w:tcW w:w="740" w:type="dxa"/>
            <w:vAlign w:val="bottom"/>
            <w:tcBorders>
              <w:right w:val="single" w:sz="8" w:color="auto"/>
            </w:tcBorders>
            <w:vMerge w:val="restart"/>
          </w:tcPr>
          <w:p>
            <w:pPr>
              <w:jc w:val="center"/>
              <w:spacing w:after="0" w:line="205" w:lineRule="exact"/>
              <w:rPr>
                <w:sz w:val="20"/>
                <w:szCs w:val="20"/>
                <w:color w:val="auto"/>
              </w:rPr>
            </w:pPr>
            <w:r>
              <w:rPr>
                <w:rFonts w:ascii="Arial" w:cs="Arial" w:eastAsia="Arial" w:hAnsi="Arial"/>
                <w:sz w:val="23"/>
                <w:szCs w:val="23"/>
                <w:b w:val="1"/>
                <w:bCs w:val="1"/>
                <w:color w:val="auto"/>
                <w:vertAlign w:val="superscript"/>
              </w:rPr>
              <w:t>t</w:t>
            </w:r>
            <w:r>
              <w:rPr>
                <w:rFonts w:ascii="Arial" w:cs="Arial" w:eastAsia="Arial" w:hAnsi="Arial"/>
                <w:sz w:val="10"/>
                <w:szCs w:val="10"/>
                <w:b w:val="1"/>
                <w:bCs w:val="1"/>
                <w:color w:val="auto"/>
              </w:rPr>
              <w:t>1/2</w:t>
            </w:r>
          </w:p>
        </w:tc>
        <w:tc>
          <w:tcPr>
            <w:tcW w:w="0" w:type="dxa"/>
            <w:vAlign w:val="bottom"/>
          </w:tcPr>
          <w:p>
            <w:pPr>
              <w:spacing w:after="0"/>
              <w:rPr>
                <w:sz w:val="1"/>
                <w:szCs w:val="1"/>
                <w:color w:val="auto"/>
              </w:rPr>
            </w:pPr>
          </w:p>
        </w:tc>
      </w:tr>
      <w:tr>
        <w:trPr>
          <w:trHeight w:val="138"/>
        </w:trPr>
        <w:tc>
          <w:tcPr>
            <w:tcW w:w="3420" w:type="dxa"/>
            <w:vAlign w:val="bottom"/>
            <w:tcBorders>
              <w:left w:val="single" w:sz="8" w:color="auto"/>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700" w:type="dxa"/>
            <w:vAlign w:val="bottom"/>
            <w:tcBorders>
              <w:right w:val="single" w:sz="8" w:color="auto"/>
            </w:tcBorders>
            <w:vMerge w:val="continue"/>
          </w:tcPr>
          <w:p>
            <w:pPr>
              <w:spacing w:after="0"/>
              <w:rPr>
                <w:sz w:val="12"/>
                <w:szCs w:val="12"/>
                <w:color w:val="auto"/>
              </w:rPr>
            </w:pPr>
          </w:p>
        </w:tc>
        <w:tc>
          <w:tcPr>
            <w:tcW w:w="480" w:type="dxa"/>
            <w:vAlign w:val="bottom"/>
            <w:tcBorders>
              <w:right w:val="single" w:sz="8" w:color="auto"/>
            </w:tcBorders>
            <w:vMerge w:val="continue"/>
          </w:tcPr>
          <w:p>
            <w:pPr>
              <w:spacing w:after="0"/>
              <w:rPr>
                <w:sz w:val="12"/>
                <w:szCs w:val="12"/>
                <w:color w:val="auto"/>
              </w:rPr>
            </w:pPr>
          </w:p>
        </w:tc>
        <w:tc>
          <w:tcPr>
            <w:tcW w:w="36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7"/>
              </w:rPr>
              <w:t>AUC)</w:t>
            </w:r>
          </w:p>
        </w:tc>
        <w:tc>
          <w:tcPr>
            <w:tcW w:w="840" w:type="dxa"/>
            <w:vAlign w:val="bottom"/>
            <w:tcBorders>
              <w:right w:val="single" w:sz="8" w:color="auto"/>
            </w:tcBorders>
            <w:vMerge w:val="continue"/>
          </w:tcPr>
          <w:p>
            <w:pPr>
              <w:spacing w:after="0"/>
              <w:rPr>
                <w:sz w:val="12"/>
                <w:szCs w:val="12"/>
                <w:color w:val="auto"/>
              </w:rPr>
            </w:pPr>
          </w:p>
        </w:tc>
        <w:tc>
          <w:tcPr>
            <w:tcW w:w="720" w:type="dxa"/>
            <w:vAlign w:val="bottom"/>
            <w:tcBorders>
              <w:right w:val="single" w:sz="8" w:color="auto"/>
            </w:tcBorders>
            <w:vMerge w:val="continue"/>
          </w:tcPr>
          <w:p>
            <w:pPr>
              <w:spacing w:after="0"/>
              <w:rPr>
                <w:sz w:val="12"/>
                <w:szCs w:val="12"/>
                <w:color w:val="auto"/>
              </w:rPr>
            </w:pPr>
          </w:p>
        </w:tc>
        <w:tc>
          <w:tcPr>
            <w:tcW w:w="66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b w:val="1"/>
                <w:bCs w:val="1"/>
                <w:color w:val="auto"/>
                <w:w w:val="95"/>
              </w:rPr>
              <w:t>accumulation</w:t>
            </w:r>
          </w:p>
        </w:tc>
        <w:tc>
          <w:tcPr>
            <w:tcW w:w="6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3420" w:type="dxa"/>
            <w:vAlign w:val="bottom"/>
            <w:tcBorders>
              <w:left w:val="single" w:sz="8" w:color="auto"/>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84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rPr>
              <w:t>(range)</w:t>
            </w:r>
          </w:p>
        </w:tc>
        <w:tc>
          <w:tcPr>
            <w:tcW w:w="660" w:type="dxa"/>
            <w:vAlign w:val="bottom"/>
            <w:tcBorders>
              <w:bottom w:val="single" w:sz="8" w:color="auto"/>
              <w:right w:val="single" w:sz="8" w:color="auto"/>
            </w:tcBorders>
          </w:tcPr>
          <w:p>
            <w:pPr>
              <w:spacing w:after="0"/>
              <w:rPr>
                <w:sz w:val="9"/>
                <w:szCs w:val="9"/>
                <w:color w:val="auto"/>
              </w:rPr>
            </w:pP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(AUC ratio)</w:t>
            </w:r>
          </w:p>
        </w:tc>
        <w:tc>
          <w:tcPr>
            <w:tcW w:w="680" w:type="dxa"/>
            <w:vAlign w:val="bottom"/>
            <w:tcBorders>
              <w:bottom w:val="single" w:sz="8" w:color="auto"/>
              <w:right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jc w:val="center"/>
              <w:spacing w:after="0" w:line="108" w:lineRule="exact"/>
              <w:rPr>
                <w:sz w:val="20"/>
                <w:szCs w:val="20"/>
                <w:color w:val="auto"/>
              </w:rPr>
            </w:pPr>
            <w:r>
              <w:rPr>
                <w:rFonts w:ascii="Arial" w:cs="Arial" w:eastAsia="Arial" w:hAnsi="Arial"/>
                <w:sz w:val="12"/>
                <w:szCs w:val="12"/>
                <w:b w:val="1"/>
                <w:bCs w:val="1"/>
                <w:color w:val="auto"/>
              </w:rPr>
              <w:t>(range)</w:t>
            </w:r>
          </w:p>
        </w:tc>
        <w:tc>
          <w:tcPr>
            <w:tcW w:w="0" w:type="dxa"/>
            <w:vAlign w:val="bottom"/>
          </w:tcPr>
          <w:p>
            <w:pPr>
              <w:spacing w:after="0"/>
              <w:rPr>
                <w:sz w:val="1"/>
                <w:szCs w:val="1"/>
                <w:color w:val="auto"/>
              </w:rPr>
            </w:pPr>
          </w:p>
        </w:tc>
      </w:tr>
      <w:tr>
        <w:trPr>
          <w:trHeight w:val="61"/>
        </w:trPr>
        <w:tc>
          <w:tcPr>
            <w:tcW w:w="342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tcPr>
          <w:p>
            <w:pPr>
              <w:spacing w:after="0"/>
              <w:rPr>
                <w:sz w:val="5"/>
                <w:szCs w:val="5"/>
                <w:color w:val="auto"/>
              </w:rPr>
            </w:pPr>
          </w:p>
        </w:tc>
        <w:tc>
          <w:tcPr>
            <w:tcW w:w="480" w:type="dxa"/>
            <w:vAlign w:val="bottom"/>
            <w:tcBorders>
              <w:right w:val="single" w:sz="8" w:color="auto"/>
            </w:tcBorders>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rPr>
              <w:t>µM</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w w:val="92"/>
              </w:rPr>
              <w:t>h</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w w:val="94"/>
              </w:rPr>
              <w:t>µM*h</w:t>
            </w:r>
          </w:p>
        </w:tc>
        <w:tc>
          <w:tcPr>
            <w:tcW w:w="104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w w:val="94"/>
              </w:rPr>
              <w:t>µM*h</w:t>
            </w:r>
          </w:p>
        </w:tc>
        <w:tc>
          <w:tcPr>
            <w:tcW w:w="7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b w:val="1"/>
                <w:bCs w:val="1"/>
                <w:color w:val="auto"/>
                <w:w w:val="92"/>
              </w:rPr>
              <w:t>h</w:t>
            </w:r>
          </w:p>
        </w:tc>
        <w:tc>
          <w:tcPr>
            <w:tcW w:w="0" w:type="dxa"/>
            <w:vAlign w:val="bottom"/>
          </w:tcPr>
          <w:p>
            <w:pPr>
              <w:spacing w:after="0"/>
              <w:rPr>
                <w:sz w:val="1"/>
                <w:szCs w:val="1"/>
                <w:color w:val="auto"/>
              </w:rPr>
            </w:pPr>
          </w:p>
        </w:tc>
      </w:tr>
      <w:tr>
        <w:trPr>
          <w:trHeight w:val="82"/>
        </w:trPr>
        <w:tc>
          <w:tcPr>
            <w:tcW w:w="3420" w:type="dxa"/>
            <w:vAlign w:val="bottom"/>
            <w:tcBorders>
              <w:left w:val="single" w:sz="8" w:color="auto"/>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480" w:type="dxa"/>
            <w:vAlign w:val="bottom"/>
            <w:tcBorders>
              <w:bottom w:val="single" w:sz="8" w:color="auto"/>
              <w:right w:val="single" w:sz="8" w:color="auto"/>
            </w:tcBorders>
          </w:tcPr>
          <w:p>
            <w:pPr>
              <w:spacing w:after="0"/>
              <w:rPr>
                <w:sz w:val="7"/>
                <w:szCs w:val="7"/>
                <w:color w:val="auto"/>
              </w:rPr>
            </w:pPr>
          </w:p>
        </w:tc>
        <w:tc>
          <w:tcPr>
            <w:tcW w:w="36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tcPr>
          <w:p>
            <w:pPr>
              <w:spacing w:after="0"/>
              <w:rPr>
                <w:sz w:val="7"/>
                <w:szCs w:val="7"/>
                <w:color w:val="auto"/>
              </w:rPr>
            </w:pPr>
          </w:p>
        </w:tc>
        <w:tc>
          <w:tcPr>
            <w:tcW w:w="840" w:type="dxa"/>
            <w:vAlign w:val="bottom"/>
            <w:tcBorders>
              <w:bottom w:val="single" w:sz="8" w:color="auto"/>
              <w:right w:val="single" w:sz="8" w:color="auto"/>
            </w:tcBorders>
            <w:vMerge w:val="continue"/>
          </w:tcPr>
          <w:p>
            <w:pPr>
              <w:spacing w:after="0"/>
              <w:rPr>
                <w:sz w:val="7"/>
                <w:szCs w:val="7"/>
                <w:color w:val="auto"/>
              </w:rPr>
            </w:pPr>
          </w:p>
        </w:tc>
        <w:tc>
          <w:tcPr>
            <w:tcW w:w="720" w:type="dxa"/>
            <w:vAlign w:val="bottom"/>
            <w:tcBorders>
              <w:bottom w:val="single" w:sz="8" w:color="auto"/>
              <w:right w:val="single" w:sz="8" w:color="auto"/>
            </w:tcBorders>
            <w:vMerge w:val="continue"/>
          </w:tcPr>
          <w:p>
            <w:pPr>
              <w:spacing w:after="0"/>
              <w:rPr>
                <w:sz w:val="7"/>
                <w:szCs w:val="7"/>
                <w:color w:val="auto"/>
              </w:rPr>
            </w:pPr>
          </w:p>
        </w:tc>
        <w:tc>
          <w:tcPr>
            <w:tcW w:w="660" w:type="dxa"/>
            <w:vAlign w:val="bottom"/>
            <w:tcBorders>
              <w:bottom w:val="single" w:sz="8" w:color="auto"/>
              <w:right w:val="single" w:sz="8" w:color="auto"/>
            </w:tcBorders>
            <w:vMerge w:val="continue"/>
          </w:tcPr>
          <w:p>
            <w:pPr>
              <w:spacing w:after="0"/>
              <w:rPr>
                <w:sz w:val="7"/>
                <w:szCs w:val="7"/>
                <w:color w:val="auto"/>
              </w:rPr>
            </w:pPr>
          </w:p>
        </w:tc>
        <w:tc>
          <w:tcPr>
            <w:tcW w:w="1040" w:type="dxa"/>
            <w:vAlign w:val="bottom"/>
            <w:tcBorders>
              <w:bottom w:val="single" w:sz="8" w:color="auto"/>
              <w:right w:val="single" w:sz="8" w:color="auto"/>
            </w:tcBorders>
          </w:tcPr>
          <w:p>
            <w:pPr>
              <w:spacing w:after="0"/>
              <w:rPr>
                <w:sz w:val="7"/>
                <w:szCs w:val="7"/>
                <w:color w:val="auto"/>
              </w:rPr>
            </w:pPr>
          </w:p>
        </w:tc>
        <w:tc>
          <w:tcPr>
            <w:tcW w:w="680" w:type="dxa"/>
            <w:vAlign w:val="bottom"/>
            <w:tcBorders>
              <w:bottom w:val="single" w:sz="8" w:color="auto"/>
              <w:right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342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4"/>
                <w:szCs w:val="14"/>
                <w:color w:val="auto"/>
                <w:w w:val="96"/>
              </w:rPr>
              <w:t>Mouse efficacy</w:t>
            </w:r>
          </w:p>
        </w:tc>
        <w:tc>
          <w:tcPr>
            <w:tcW w:w="720" w:type="dxa"/>
            <w:vAlign w:val="bottom"/>
            <w:tcBorders>
              <w:bottom w:val="single" w:sz="8" w:color="auto"/>
              <w:right w:val="single" w:sz="8" w:color="auto"/>
            </w:tcBorders>
          </w:tcPr>
          <w:p>
            <w:pPr>
              <w:spacing w:after="0"/>
              <w:rPr>
                <w:sz w:val="13"/>
                <w:szCs w:val="13"/>
                <w:color w:val="auto"/>
              </w:rPr>
            </w:pPr>
          </w:p>
        </w:tc>
        <w:tc>
          <w:tcPr>
            <w:tcW w:w="70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7"/>
              </w:rPr>
              <w:t>10 mg/kg</w:t>
            </w:r>
          </w:p>
        </w:tc>
        <w:tc>
          <w:tcPr>
            <w:tcW w:w="480" w:type="dxa"/>
            <w:vAlign w:val="bottom"/>
            <w:tcBorders>
              <w:bottom w:val="single" w:sz="8" w:color="auto"/>
              <w:right w:val="single" w:sz="8" w:color="auto"/>
            </w:tcBorders>
          </w:tcPr>
          <w:p>
            <w:pPr>
              <w:spacing w:after="0"/>
              <w:rPr>
                <w:sz w:val="13"/>
                <w:szCs w:val="13"/>
                <w:color w:val="auto"/>
              </w:rPr>
            </w:pPr>
          </w:p>
        </w:tc>
        <w:tc>
          <w:tcPr>
            <w:tcW w:w="360" w:type="dxa"/>
            <w:vAlign w:val="bottom"/>
            <w:tcBorders>
              <w:bottom w:val="single" w:sz="8" w:color="auto"/>
              <w:right w:val="single" w:sz="8" w:color="auto"/>
            </w:tcBorders>
          </w:tcPr>
          <w:p>
            <w:pPr>
              <w:spacing w:after="0"/>
              <w:rPr>
                <w:sz w:val="13"/>
                <w:szCs w:val="13"/>
                <w:color w:val="auto"/>
              </w:rPr>
            </w:pPr>
          </w:p>
        </w:tc>
        <w:tc>
          <w:tcPr>
            <w:tcW w:w="680" w:type="dxa"/>
            <w:vAlign w:val="bottom"/>
            <w:tcBorders>
              <w:bottom w:val="single" w:sz="8" w:color="auto"/>
              <w:right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5"/>
              </w:rPr>
              <w:t>0.98</w:t>
            </w:r>
          </w:p>
        </w:tc>
        <w:tc>
          <w:tcPr>
            <w:tcW w:w="720" w:type="dxa"/>
            <w:vAlign w:val="bottom"/>
            <w:tcBorders>
              <w:bottom w:val="single" w:sz="8" w:color="auto"/>
              <w:right w:val="single" w:sz="8" w:color="auto"/>
            </w:tcBorders>
          </w:tcPr>
          <w:p>
            <w:pPr>
              <w:spacing w:after="0"/>
              <w:rPr>
                <w:sz w:val="13"/>
                <w:szCs w:val="13"/>
                <w:color w:val="auto"/>
              </w:rPr>
            </w:pPr>
          </w:p>
        </w:tc>
        <w:tc>
          <w:tcPr>
            <w:tcW w:w="660" w:type="dxa"/>
            <w:vAlign w:val="bottom"/>
            <w:tcBorders>
              <w:bottom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color w:val="auto"/>
                <w:w w:val="95"/>
              </w:rPr>
              <w:t>6.44</w:t>
            </w:r>
          </w:p>
        </w:tc>
        <w:tc>
          <w:tcPr>
            <w:tcW w:w="1040" w:type="dxa"/>
            <w:vAlign w:val="bottom"/>
            <w:tcBorders>
              <w:bottom w:val="single" w:sz="8" w:color="auto"/>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vMerge w:val="continue"/>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30 mg/kg</w:t>
            </w:r>
          </w:p>
        </w:tc>
        <w:tc>
          <w:tcPr>
            <w:tcW w:w="480" w:type="dxa"/>
            <w:vAlign w:val="bottom"/>
            <w:tcBorders>
              <w:right w:val="single" w:sz="8" w:color="auto"/>
            </w:tcBorders>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5"/>
              </w:rPr>
              <w:t>4.81</w:t>
            </w:r>
          </w:p>
        </w:tc>
        <w:tc>
          <w:tcPr>
            <w:tcW w:w="720" w:type="dxa"/>
            <w:vAlign w:val="bottom"/>
            <w:tcBorders>
              <w:right w:val="single" w:sz="8" w:color="auto"/>
            </w:tcBorders>
          </w:tcPr>
          <w:p>
            <w:pPr>
              <w:spacing w:after="0"/>
              <w:rPr>
                <w:sz w:val="6"/>
                <w:szCs w:val="6"/>
                <w:color w:val="auto"/>
              </w:rPr>
            </w:pP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5"/>
              </w:rPr>
              <w:t>22.8</w:t>
            </w:r>
          </w:p>
        </w:tc>
        <w:tc>
          <w:tcPr>
            <w:tcW w:w="104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vMerge w:val="continue"/>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36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2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20 mg</w:t>
            </w:r>
          </w:p>
        </w:tc>
        <w:tc>
          <w:tcPr>
            <w:tcW w:w="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1</w:t>
            </w:r>
          </w:p>
        </w:tc>
        <w:tc>
          <w:tcPr>
            <w:tcW w:w="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12/11</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4"/>
              </w:rPr>
              <w:t>0.0852 (54)</w:t>
            </w:r>
          </w:p>
        </w:tc>
        <w:tc>
          <w:tcPr>
            <w:tcW w:w="7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2 (1-4.6)</w:t>
            </w:r>
          </w:p>
        </w:tc>
        <w:tc>
          <w:tcPr>
            <w:tcW w:w="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1.06 (40)</w:t>
            </w:r>
          </w:p>
        </w:tc>
        <w:tc>
          <w:tcPr>
            <w:tcW w:w="1040" w:type="dxa"/>
            <w:vAlign w:val="bottom"/>
            <w:tcBorders>
              <w:bottom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89"/>
              </w:rPr>
              <w:t>22</w:t>
            </w: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5"/>
              </w:rPr>
              <w:t>11/9</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0.191 (36)</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2 (1-4)</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3.19 (37)</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3.0</w:t>
            </w: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2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40 mg</w:t>
            </w:r>
          </w:p>
        </w:tc>
        <w:tc>
          <w:tcPr>
            <w:tcW w:w="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1</w:t>
            </w:r>
          </w:p>
        </w:tc>
        <w:tc>
          <w:tcPr>
            <w:tcW w:w="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13/13</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0.267(58)</w:t>
            </w:r>
          </w:p>
        </w:tc>
        <w:tc>
          <w:tcPr>
            <w:tcW w:w="7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8"/>
              </w:rPr>
              <w:t>2 (0.5-24)</w:t>
            </w:r>
          </w:p>
        </w:tc>
        <w:tc>
          <w:tcPr>
            <w:tcW w:w="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5"/>
              </w:rPr>
              <w:t>3.14(48)</w:t>
            </w:r>
          </w:p>
        </w:tc>
        <w:tc>
          <w:tcPr>
            <w:tcW w:w="1040" w:type="dxa"/>
            <w:vAlign w:val="bottom"/>
            <w:tcBorders>
              <w:bottom w:val="single" w:sz="8" w:color="auto"/>
              <w:right w:val="single" w:sz="8" w:color="auto"/>
            </w:tcBorders>
          </w:tcPr>
          <w:p>
            <w:pPr>
              <w:spacing w:after="0"/>
              <w:rPr>
                <w:sz w:val="12"/>
                <w:szCs w:val="12"/>
                <w:color w:val="auto"/>
              </w:rPr>
            </w:pP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NA</w:t>
            </w:r>
          </w:p>
        </w:tc>
        <w:tc>
          <w:tcPr>
            <w:tcW w:w="740" w:type="dxa"/>
            <w:vAlign w:val="bottom"/>
            <w:tcBorders>
              <w:right w:val="single" w:sz="8" w:color="auto"/>
            </w:tcBorders>
            <w:vMerge w:val="restart"/>
          </w:tcPr>
          <w:p>
            <w:pPr>
              <w:ind w:left="30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vMerge w:val="restart"/>
          </w:tcPr>
          <w:p>
            <w:pPr>
              <w:jc w:val="center"/>
              <w:ind w:left="12"/>
              <w:spacing w:after="0"/>
              <w:rPr>
                <w:sz w:val="20"/>
                <w:szCs w:val="20"/>
                <w:color w:val="auto"/>
              </w:rPr>
            </w:pPr>
            <w:r>
              <w:rPr>
                <w:rFonts w:ascii="Arial" w:cs="Arial" w:eastAsia="Arial" w:hAnsi="Arial"/>
                <w:sz w:val="14"/>
                <w:szCs w:val="14"/>
                <w:color w:val="auto"/>
                <w:w w:val="97"/>
              </w:rPr>
              <w:t>RMC-4630-01</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5"/>
              </w:rPr>
              <w:t>QD</w:t>
            </w:r>
          </w:p>
        </w:tc>
        <w:tc>
          <w:tcPr>
            <w:tcW w:w="700" w:type="dxa"/>
            <w:vAlign w:val="bottom"/>
            <w:tcBorders>
              <w:right w:val="single" w:sz="8" w:color="auto"/>
            </w:tcBorders>
            <w:vMerge w:val="continue"/>
          </w:tcPr>
          <w:p>
            <w:pPr>
              <w:spacing w:after="0"/>
              <w:rPr>
                <w:sz w:val="6"/>
                <w:szCs w:val="6"/>
                <w:color w:val="auto"/>
              </w:rPr>
            </w:pPr>
          </w:p>
        </w:tc>
        <w:tc>
          <w:tcPr>
            <w:tcW w:w="4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89"/>
              </w:rPr>
              <w:t>22</w:t>
            </w: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9/9</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0.556 (54)</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4 (1-8)</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10.3 (53)</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3.3</w:t>
            </w:r>
          </w:p>
        </w:tc>
        <w:tc>
          <w:tcPr>
            <w:tcW w:w="680" w:type="dxa"/>
            <w:vAlign w:val="bottom"/>
            <w:tcBorders>
              <w:right w:val="single" w:sz="8" w:color="auto"/>
            </w:tcBorders>
            <w:vMerge w:val="continue"/>
          </w:tcPr>
          <w:p>
            <w:pPr>
              <w:spacing w:after="0"/>
              <w:rPr>
                <w:sz w:val="6"/>
                <w:szCs w:val="6"/>
                <w:color w:val="auto"/>
              </w:rPr>
            </w:pPr>
          </w:p>
        </w:tc>
        <w:tc>
          <w:tcPr>
            <w:tcW w:w="740" w:type="dxa"/>
            <w:vAlign w:val="bottom"/>
            <w:tcBorders>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vMerge w:val="continue"/>
          </w:tcPr>
          <w:p>
            <w:pPr>
              <w:spacing w:after="0"/>
              <w:rPr>
                <w:sz w:val="5"/>
                <w:szCs w:val="5"/>
                <w:color w:val="auto"/>
              </w:rPr>
            </w:pPr>
          </w:p>
        </w:tc>
        <w:tc>
          <w:tcPr>
            <w:tcW w:w="720" w:type="dxa"/>
            <w:vAlign w:val="bottom"/>
            <w:tcBorders>
              <w:right w:val="single" w:sz="8" w:color="auto"/>
            </w:tcBorders>
            <w:vMerge w:val="continue"/>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vMerge w:val="continue"/>
          </w:tcPr>
          <w:p>
            <w:pPr>
              <w:spacing w:after="0"/>
              <w:rPr>
                <w:sz w:val="6"/>
                <w:szCs w:val="6"/>
                <w:color w:val="auto"/>
              </w:rPr>
            </w:pPr>
          </w:p>
        </w:tc>
        <w:tc>
          <w:tcPr>
            <w:tcW w:w="72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60 mg</w:t>
            </w:r>
          </w:p>
        </w:tc>
        <w:tc>
          <w:tcPr>
            <w:tcW w:w="4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76"/>
              </w:rPr>
              <w:t>1</w:t>
            </w: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16/16</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0.318 (29)</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8"/>
              </w:rPr>
              <w:t>2 (0.5-8)</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3.97 (24)</w:t>
            </w:r>
          </w:p>
        </w:tc>
        <w:tc>
          <w:tcPr>
            <w:tcW w:w="104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89"/>
              </w:rPr>
              <w:t>22</w:t>
            </w: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9/9</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7"/>
              </w:rPr>
              <w:t>0.857 (45)</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2 (1-8)</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14.6 (44)</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3.7</w:t>
            </w: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right w:val="single" w:sz="8" w:color="auto"/>
            </w:tcBorders>
          </w:tcPr>
          <w:p>
            <w:pPr>
              <w:spacing w:after="0"/>
              <w:rPr>
                <w:sz w:val="5"/>
                <w:szCs w:val="5"/>
                <w:color w:val="auto"/>
              </w:rPr>
            </w:pPr>
          </w:p>
        </w:tc>
        <w:tc>
          <w:tcPr>
            <w:tcW w:w="720" w:type="dxa"/>
            <w:vAlign w:val="bottom"/>
            <w:tcBorders>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7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3420" w:type="dxa"/>
            <w:vAlign w:val="bottom"/>
            <w:tcBorders>
              <w:left w:val="single" w:sz="8" w:color="auto"/>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80 mg</w:t>
            </w:r>
          </w:p>
        </w:tc>
        <w:tc>
          <w:tcPr>
            <w:tcW w:w="4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1</w:t>
            </w:r>
          </w:p>
        </w:tc>
        <w:tc>
          <w:tcPr>
            <w:tcW w:w="6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2"/>
              </w:rPr>
              <w:t>6/6</w:t>
            </w:r>
          </w:p>
        </w:tc>
        <w:tc>
          <w:tcPr>
            <w:tcW w:w="8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7"/>
              </w:rPr>
              <w:t>0.472 (84)</w:t>
            </w:r>
          </w:p>
        </w:tc>
        <w:tc>
          <w:tcPr>
            <w:tcW w:w="72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3 (1-4)</w:t>
            </w:r>
          </w:p>
        </w:tc>
        <w:tc>
          <w:tcPr>
            <w:tcW w:w="6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6"/>
              </w:rPr>
              <w:t>6.03 (56)</w:t>
            </w:r>
          </w:p>
        </w:tc>
        <w:tc>
          <w:tcPr>
            <w:tcW w:w="1040" w:type="dxa"/>
            <w:vAlign w:val="bottom"/>
            <w:tcBorders>
              <w:bottom w:val="single" w:sz="8" w:color="auto"/>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4"/>
        </w:trPr>
        <w:tc>
          <w:tcPr>
            <w:tcW w:w="3420" w:type="dxa"/>
            <w:vAlign w:val="bottom"/>
            <w:tcBorders>
              <w:left w:val="single" w:sz="8" w:color="auto"/>
              <w:right w:val="single" w:sz="8" w:color="auto"/>
            </w:tcBorders>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700" w:type="dxa"/>
            <w:vAlign w:val="bottom"/>
            <w:tcBorders>
              <w:right w:val="single" w:sz="8" w:color="auto"/>
            </w:tcBorders>
            <w:vMerge w:val="continue"/>
          </w:tcPr>
          <w:p>
            <w:pPr>
              <w:spacing w:after="0"/>
              <w:rPr>
                <w:sz w:val="6"/>
                <w:szCs w:val="6"/>
                <w:color w:val="auto"/>
              </w:rPr>
            </w:pPr>
          </w:p>
        </w:tc>
        <w:tc>
          <w:tcPr>
            <w:tcW w:w="4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rPr>
              <w:t>1</w:t>
            </w:r>
          </w:p>
        </w:tc>
        <w:tc>
          <w:tcPr>
            <w:tcW w:w="3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89"/>
              </w:rPr>
              <w:t>22</w:t>
            </w:r>
          </w:p>
        </w:tc>
        <w:tc>
          <w:tcPr>
            <w:tcW w:w="68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2/2</w:t>
            </w:r>
          </w:p>
        </w:tc>
        <w:tc>
          <w:tcPr>
            <w:tcW w:w="8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0.844</w:t>
            </w:r>
          </w:p>
        </w:tc>
        <w:tc>
          <w:tcPr>
            <w:tcW w:w="72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6"/>
              </w:rPr>
              <w:t>3 (2-4)</w:t>
            </w:r>
          </w:p>
        </w:tc>
        <w:tc>
          <w:tcPr>
            <w:tcW w:w="66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5"/>
              </w:rPr>
              <w:t>13.9</w:t>
            </w:r>
          </w:p>
        </w:tc>
        <w:tc>
          <w:tcPr>
            <w:tcW w:w="1040" w:type="dxa"/>
            <w:vAlign w:val="bottom"/>
            <w:tcBorders>
              <w:right w:val="single" w:sz="8" w:color="auto"/>
            </w:tcBorders>
            <w:vMerge w:val="restart"/>
          </w:tcPr>
          <w:p>
            <w:pPr>
              <w:jc w:val="center"/>
              <w:spacing w:after="0" w:line="142" w:lineRule="exact"/>
              <w:rPr>
                <w:sz w:val="20"/>
                <w:szCs w:val="20"/>
                <w:color w:val="auto"/>
              </w:rPr>
            </w:pPr>
            <w:r>
              <w:rPr>
                <w:rFonts w:ascii="Arial" w:cs="Arial" w:eastAsia="Arial" w:hAnsi="Arial"/>
                <w:sz w:val="14"/>
                <w:szCs w:val="14"/>
                <w:color w:val="auto"/>
                <w:w w:val="92"/>
              </w:rPr>
              <w:t>2.3</w:t>
            </w:r>
          </w:p>
        </w:tc>
        <w:tc>
          <w:tcPr>
            <w:tcW w:w="680" w:type="dxa"/>
            <w:vAlign w:val="bottom"/>
            <w:tcBorders>
              <w:right w:val="single" w:sz="8" w:color="auto"/>
            </w:tcBorders>
          </w:tcPr>
          <w:p>
            <w:pPr>
              <w:spacing w:after="0"/>
              <w:rPr>
                <w:sz w:val="6"/>
                <w:szCs w:val="6"/>
                <w:color w:val="auto"/>
              </w:rPr>
            </w:pPr>
          </w:p>
        </w:tc>
        <w:tc>
          <w:tcPr>
            <w:tcW w:w="7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3420" w:type="dxa"/>
            <w:vAlign w:val="bottom"/>
            <w:tcBorders>
              <w:left w:val="single" w:sz="8" w:color="auto"/>
              <w:bottom w:val="single" w:sz="8" w:color="auto"/>
              <w:right w:val="single" w:sz="8" w:color="auto"/>
            </w:tcBorders>
          </w:tcPr>
          <w:p>
            <w:pPr>
              <w:spacing w:after="0"/>
              <w:rPr>
                <w:sz w:val="5"/>
                <w:szCs w:val="5"/>
                <w:color w:val="auto"/>
              </w:rPr>
            </w:pPr>
          </w:p>
        </w:tc>
        <w:tc>
          <w:tcPr>
            <w:tcW w:w="72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right w:val="single" w:sz="8" w:color="auto"/>
            </w:tcBorders>
          </w:tcPr>
          <w:p>
            <w:pPr>
              <w:spacing w:after="0"/>
              <w:rPr>
                <w:sz w:val="5"/>
                <w:szCs w:val="5"/>
                <w:color w:val="auto"/>
              </w:rPr>
            </w:pPr>
          </w:p>
        </w:tc>
        <w:tc>
          <w:tcPr>
            <w:tcW w:w="480" w:type="dxa"/>
            <w:vAlign w:val="bottom"/>
            <w:tcBorders>
              <w:bottom w:val="single" w:sz="8" w:color="auto"/>
              <w:right w:val="single" w:sz="8" w:color="auto"/>
            </w:tcBorders>
            <w:vMerge w:val="continue"/>
          </w:tcPr>
          <w:p>
            <w:pPr>
              <w:spacing w:after="0"/>
              <w:rPr>
                <w:sz w:val="5"/>
                <w:szCs w:val="5"/>
                <w:color w:val="auto"/>
              </w:rPr>
            </w:pPr>
          </w:p>
        </w:tc>
        <w:tc>
          <w:tcPr>
            <w:tcW w:w="36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vMerge w:val="continue"/>
          </w:tcPr>
          <w:p>
            <w:pPr>
              <w:spacing w:after="0"/>
              <w:rPr>
                <w:sz w:val="5"/>
                <w:szCs w:val="5"/>
                <w:color w:val="auto"/>
              </w:rPr>
            </w:pPr>
          </w:p>
        </w:tc>
        <w:tc>
          <w:tcPr>
            <w:tcW w:w="840" w:type="dxa"/>
            <w:vAlign w:val="bottom"/>
            <w:tcBorders>
              <w:bottom w:val="single" w:sz="8" w:color="auto"/>
              <w:right w:val="single" w:sz="8" w:color="auto"/>
            </w:tcBorders>
            <w:vMerge w:val="continue"/>
          </w:tcPr>
          <w:p>
            <w:pPr>
              <w:spacing w:after="0"/>
              <w:rPr>
                <w:sz w:val="5"/>
                <w:szCs w:val="5"/>
                <w:color w:val="auto"/>
              </w:rPr>
            </w:pPr>
          </w:p>
        </w:tc>
        <w:tc>
          <w:tcPr>
            <w:tcW w:w="720" w:type="dxa"/>
            <w:vAlign w:val="bottom"/>
            <w:tcBorders>
              <w:bottom w:val="single" w:sz="8" w:color="auto"/>
              <w:right w:val="single" w:sz="8" w:color="auto"/>
            </w:tcBorders>
            <w:vMerge w:val="continue"/>
          </w:tcPr>
          <w:p>
            <w:pPr>
              <w:spacing w:after="0"/>
              <w:rPr>
                <w:sz w:val="5"/>
                <w:szCs w:val="5"/>
                <w:color w:val="auto"/>
              </w:rPr>
            </w:pPr>
          </w:p>
        </w:tc>
        <w:tc>
          <w:tcPr>
            <w:tcW w:w="660" w:type="dxa"/>
            <w:vAlign w:val="bottom"/>
            <w:tcBorders>
              <w:bottom w:val="single" w:sz="8" w:color="auto"/>
              <w:right w:val="single" w:sz="8" w:color="auto"/>
            </w:tcBorders>
            <w:vMerge w:val="continue"/>
          </w:tcPr>
          <w:p>
            <w:pPr>
              <w:spacing w:after="0"/>
              <w:rPr>
                <w:sz w:val="5"/>
                <w:szCs w:val="5"/>
                <w:color w:val="auto"/>
              </w:rPr>
            </w:pPr>
          </w:p>
        </w:tc>
        <w:tc>
          <w:tcPr>
            <w:tcW w:w="1040" w:type="dxa"/>
            <w:vAlign w:val="bottom"/>
            <w:tcBorders>
              <w:bottom w:val="single" w:sz="8" w:color="auto"/>
              <w:right w:val="single" w:sz="8" w:color="auto"/>
            </w:tcBorders>
            <w:vMerge w:val="continue"/>
          </w:tcPr>
          <w:p>
            <w:pPr>
              <w:spacing w:after="0"/>
              <w:rPr>
                <w:sz w:val="5"/>
                <w:szCs w:val="5"/>
                <w:color w:val="auto"/>
              </w:rPr>
            </w:pPr>
          </w:p>
        </w:tc>
        <w:tc>
          <w:tcPr>
            <w:tcW w:w="680" w:type="dxa"/>
            <w:vAlign w:val="bottom"/>
            <w:tcBorders>
              <w:bottom w:val="single" w:sz="8" w:color="auto"/>
              <w:right w:val="single" w:sz="8" w:color="auto"/>
            </w:tcBorders>
          </w:tcPr>
          <w:p>
            <w:pPr>
              <w:spacing w:after="0"/>
              <w:rPr>
                <w:sz w:val="5"/>
                <w:szCs w:val="5"/>
                <w:color w:val="auto"/>
              </w:rPr>
            </w:pPr>
          </w:p>
        </w:tc>
        <w:tc>
          <w:tcPr>
            <w:tcW w:w="7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Data as of October 8, 2019. Number of patients evaluated for parameters Cmax and AUC are shown in N(Cmax/AUC) column.</w:t>
      </w:r>
    </w:p>
    <w:p>
      <w:pPr>
        <w:spacing w:after="0" w:line="91"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6300" w:type="dxa"/>
            <w:vAlign w:val="bottom"/>
          </w:tcPr>
          <w:p>
            <w:pPr>
              <w:spacing w:after="0"/>
              <w:rPr>
                <w:sz w:val="20"/>
                <w:szCs w:val="20"/>
                <w:color w:val="auto"/>
              </w:rPr>
            </w:pPr>
            <w:r>
              <w:rPr>
                <w:rFonts w:ascii="Arial" w:cs="Arial" w:eastAsia="Arial" w:hAnsi="Arial"/>
                <w:sz w:val="18"/>
                <w:szCs w:val="18"/>
                <w:b w:val="1"/>
                <w:bCs w:val="1"/>
                <w:color w:val="auto"/>
              </w:rPr>
              <w:t>Figure 10</w:t>
            </w:r>
            <w:r>
              <w:rPr>
                <w:rFonts w:ascii="Arial" w:cs="Arial" w:eastAsia="Arial" w:hAnsi="Arial"/>
                <w:sz w:val="18"/>
                <w:szCs w:val="18"/>
                <w:color w:val="auto"/>
              </w:rPr>
              <w:t>: Pharmacokinetics—daily schedule in RMC-4630-01 study.</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3"/>
        </w:trPr>
        <w:tc>
          <w:tcPr>
            <w:tcW w:w="6300" w:type="dxa"/>
            <w:vAlign w:val="bottom"/>
          </w:tcPr>
          <w:p>
            <w:pPr>
              <w:ind w:left="2140"/>
              <w:spacing w:after="0"/>
              <w:rPr>
                <w:sz w:val="20"/>
                <w:szCs w:val="20"/>
                <w:color w:val="auto"/>
              </w:rPr>
            </w:pPr>
            <w:r>
              <w:rPr>
                <w:rFonts w:ascii="Arial" w:cs="Arial" w:eastAsia="Arial" w:hAnsi="Arial"/>
                <w:sz w:val="32"/>
                <w:szCs w:val="32"/>
                <w:b w:val="1"/>
                <w:bCs w:val="1"/>
                <w:color w:val="auto"/>
              </w:rPr>
              <w:t>PK C1D1</w:t>
            </w:r>
          </w:p>
        </w:tc>
        <w:tc>
          <w:tcPr>
            <w:tcW w:w="3360" w:type="dxa"/>
            <w:vAlign w:val="bottom"/>
            <w:vMerge w:val="restart"/>
          </w:tcPr>
          <w:p>
            <w:pPr>
              <w:ind w:left="920"/>
              <w:spacing w:after="0"/>
              <w:rPr>
                <w:sz w:val="20"/>
                <w:szCs w:val="20"/>
                <w:color w:val="auto"/>
              </w:rPr>
            </w:pPr>
            <w:r>
              <w:rPr>
                <w:rFonts w:ascii="Arial" w:cs="Arial" w:eastAsia="Arial" w:hAnsi="Arial"/>
                <w:sz w:val="32"/>
                <w:szCs w:val="32"/>
                <w:b w:val="1"/>
                <w:bCs w:val="1"/>
                <w:color w:val="auto"/>
              </w:rPr>
              <w:t>Steady state PK</w:t>
            </w:r>
          </w:p>
        </w:tc>
        <w:tc>
          <w:tcPr>
            <w:tcW w:w="0" w:type="dxa"/>
            <w:vAlign w:val="bottom"/>
          </w:tcPr>
          <w:p>
            <w:pPr>
              <w:spacing w:after="0"/>
              <w:rPr>
                <w:sz w:val="1"/>
                <w:szCs w:val="1"/>
                <w:color w:val="auto"/>
              </w:rPr>
            </w:pPr>
          </w:p>
        </w:tc>
      </w:tr>
      <w:tr>
        <w:trPr>
          <w:trHeight w:val="122"/>
        </w:trPr>
        <w:tc>
          <w:tcPr>
            <w:tcW w:w="6300" w:type="dxa"/>
            <w:vAlign w:val="bottom"/>
          </w:tcPr>
          <w:p>
            <w:pPr>
              <w:spacing w:after="0"/>
              <w:rPr>
                <w:sz w:val="10"/>
                <w:szCs w:val="10"/>
                <w:color w:val="auto"/>
              </w:rPr>
            </w:pPr>
          </w:p>
        </w:tc>
        <w:tc>
          <w:tcPr>
            <w:tcW w:w="3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93345</wp:posOffset>
            </wp:positionV>
            <wp:extent cx="5917565" cy="189547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17565" cy="189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Data as of October 8, 2019.</w:t>
      </w:r>
    </w:p>
    <w:p>
      <w:pPr>
        <w:spacing w:after="0" w:line="15" w:lineRule="exact"/>
        <w:rPr>
          <w:sz w:val="20"/>
          <w:szCs w:val="20"/>
          <w:color w:val="auto"/>
        </w:rPr>
      </w:pPr>
    </w:p>
    <w:p>
      <w:pPr>
        <w:ind w:left="200" w:right="580"/>
        <w:spacing w:after="0" w:line="238" w:lineRule="auto"/>
        <w:rPr>
          <w:sz w:val="20"/>
          <w:szCs w:val="20"/>
          <w:color w:val="auto"/>
        </w:rPr>
      </w:pPr>
      <w:r>
        <w:rPr>
          <w:rFonts w:ascii="Arial" w:cs="Arial" w:eastAsia="Arial" w:hAnsi="Arial"/>
          <w:sz w:val="14"/>
          <w:szCs w:val="14"/>
          <w:color w:val="auto"/>
        </w:rPr>
        <w:t>Pharmacokinetic profile of RMC-4630 dosed at either 20 mg, 40 mg, 60 mg or 80 mg daily. Steady state is considered to be day 22 of cycle 1. EC</w:t>
      </w:r>
      <w:r>
        <w:rPr>
          <w:rFonts w:ascii="Arial" w:cs="Arial" w:eastAsia="Arial" w:hAnsi="Arial"/>
          <w:sz w:val="22"/>
          <w:szCs w:val="22"/>
          <w:color w:val="auto"/>
          <w:vertAlign w:val="subscript"/>
        </w:rPr>
        <w:t>50</w:t>
      </w:r>
      <w:r>
        <w:rPr>
          <w:rFonts w:ascii="Arial" w:cs="Arial" w:eastAsia="Arial" w:hAnsi="Arial"/>
          <w:sz w:val="14"/>
          <w:szCs w:val="14"/>
          <w:color w:val="auto"/>
        </w:rPr>
        <w:t>/fu and EC</w:t>
      </w:r>
      <w:r>
        <w:rPr>
          <w:rFonts w:ascii="Arial" w:cs="Arial" w:eastAsia="Arial" w:hAnsi="Arial"/>
          <w:sz w:val="22"/>
          <w:szCs w:val="22"/>
          <w:color w:val="auto"/>
          <w:vertAlign w:val="subscript"/>
        </w:rPr>
        <w:t>75</w:t>
      </w:r>
      <w:r>
        <w:rPr>
          <w:rFonts w:ascii="Arial" w:cs="Arial" w:eastAsia="Arial" w:hAnsi="Arial"/>
          <w:sz w:val="14"/>
          <w:szCs w:val="14"/>
          <w:color w:val="auto"/>
        </w:rPr>
        <w:t>/fu are the total estimated plasma concentrations in humans that correspond to 50% and 75% inhibition of pERK in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tumor models.</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Pharmacodynamic effects of RMC-4630—daily and intermittent dosing schedules</w:t>
      </w:r>
    </w:p>
    <w:p>
      <w:pPr>
        <w:spacing w:after="0" w:line="104" w:lineRule="exact"/>
        <w:rPr>
          <w:sz w:val="20"/>
          <w:szCs w:val="20"/>
          <w:color w:val="auto"/>
        </w:rPr>
      </w:pPr>
    </w:p>
    <w:p>
      <w:pPr>
        <w:ind w:left="200" w:right="40"/>
        <w:spacing w:after="0" w:line="273" w:lineRule="auto"/>
        <w:rPr>
          <w:sz w:val="20"/>
          <w:szCs w:val="20"/>
          <w:color w:val="auto"/>
        </w:rPr>
      </w:pPr>
      <w:r>
        <w:rPr>
          <w:rFonts w:ascii="Arial" w:cs="Arial" w:eastAsia="Arial" w:hAnsi="Arial"/>
          <w:sz w:val="16"/>
          <w:szCs w:val="16"/>
          <w:color w:val="auto"/>
        </w:rPr>
        <w:t>Activation of the protein ERK, which is an important protein in the RAS signaling pathway and a substrate for MEK, is a good surrogate for the inhibition of pathway activity by a SHP2 inhibitor. The pharmacodynamic effects of RMC-4630 on activation of ERK were studied in the blood cells of patients being treated with RMC-4630. Despite considerable assay variability and inter-patient variability, which is common for these types of dynamic assays in patients, there was a trend in favor of inhibition of activated ERK in peripheral blood cells at all dose levels tested. These effects are consistent with engagement and inhibition of the SHP2 target and downstream RAS signaling by RMC-4630.</w:t>
      </w:r>
    </w:p>
    <w:p>
      <w:pPr>
        <w:spacing w:after="0" w:line="75"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Phosphorylation of ERK has been assessed in tumors before and during RMC-4630 administration (Figure 11). In three cases, there was a reduction in phosphorylation of cytoplasmic and nuclear ERK in the tumor while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240" w:top="459" w:right="41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99" w:lineRule="auto"/>
        <w:rPr>
          <w:sz w:val="20"/>
          <w:szCs w:val="20"/>
          <w:color w:val="auto"/>
        </w:rPr>
      </w:pPr>
      <w:r>
        <w:rPr>
          <w:rFonts w:ascii="Arial" w:cs="Arial" w:eastAsia="Arial" w:hAnsi="Arial"/>
          <w:sz w:val="16"/>
          <w:szCs w:val="16"/>
          <w:color w:val="auto"/>
        </w:rPr>
        <w:t>RMC-4630 was at steady state. One patient’s tumor showed no reduction in tumor pERK, but this tumor showed very little phosphorylation in the pre-treatment sample and the patient had not received any RMC-4630 for eight days prior to the second tumor biopsy.</w:t>
      </w:r>
    </w:p>
    <w:p>
      <w:pPr>
        <w:spacing w:after="0" w:line="3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11</w:t>
      </w:r>
      <w:r>
        <w:rPr>
          <w:rFonts w:ascii="Arial" w:cs="Arial" w:eastAsia="Arial" w:hAnsi="Arial"/>
          <w:sz w:val="18"/>
          <w:szCs w:val="18"/>
          <w:color w:val="auto"/>
        </w:rPr>
        <w:t>: pERK inhibition in tumors on RMC-4630 in RMC-4630-01 study.</w:t>
      </w:r>
    </w:p>
    <w:p>
      <w:pPr>
        <w:spacing w:after="0" w:line="117"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Tumor pERK Staining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8890</wp:posOffset>
            </wp:positionV>
            <wp:extent cx="5171440" cy="29584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7144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line="226" w:lineRule="auto"/>
        <w:rPr>
          <w:sz w:val="20"/>
          <w:szCs w:val="20"/>
          <w:color w:val="auto"/>
        </w:rPr>
      </w:pPr>
      <w:r>
        <w:rPr>
          <w:rFonts w:ascii="Arial" w:cs="Arial" w:eastAsia="Arial" w:hAnsi="Arial"/>
          <w:sz w:val="14"/>
          <w:szCs w:val="14"/>
          <w:color w:val="auto"/>
        </w:rPr>
        <w:t>Quantitation of phospho-ERK (pERK) in tumor tissue taken from patients treated with daily RMC-4630 at either 20 mg, 40 mg or 60 mg daily. Panel A represents the H score for pERK before and after dosing in four patients. H score is the product of percentage of tumor cells staining positive for pERK and the intensity of staining per cell. Both nuclear and cytoplasmic pERK are shown. Panel B shows the immunohistochemistry sections from which the H score is estimated. pERK stains brown. Panel C provides information for each patient on whom paired biopsies were obtained.</w:t>
      </w:r>
    </w:p>
    <w:p>
      <w:pPr>
        <w:spacing w:after="0" w:line="100"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Allelic burden of circulating KRAS</w:t>
      </w:r>
      <w:r>
        <w:rPr>
          <w:rFonts w:ascii="Arial" w:cs="Arial" w:eastAsia="Arial" w:hAnsi="Arial"/>
          <w:sz w:val="11"/>
          <w:szCs w:val="11"/>
          <w:color w:val="auto"/>
        </w:rPr>
        <w:t>G12C</w:t>
      </w:r>
      <w:r>
        <w:rPr>
          <w:rFonts w:ascii="Arial" w:cs="Arial" w:eastAsia="Arial" w:hAnsi="Arial"/>
          <w:sz w:val="18"/>
          <w:szCs w:val="18"/>
          <w:color w:val="auto"/>
        </w:rPr>
        <w:t xml:space="preserve"> tumor DNA, or ctDNA, has been assessed prior to the study and at least once during the study in seven patients with tumors harboring 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G12C</w:t>
      </w:r>
      <w:r>
        <w:rPr>
          <w:rFonts w:ascii="Arial" w:cs="Arial" w:eastAsia="Arial" w:hAnsi="Arial"/>
          <w:sz w:val="18"/>
          <w:szCs w:val="18"/>
          <w:color w:val="auto"/>
        </w:rPr>
        <w:t xml:space="preserve"> ctDNA was detected in four of seven patients prior to the study. In two patients, with NSCLC and either partial response or stable disease as best response, there was a reduction in circulating KRAS</w:t>
      </w:r>
      <w:r>
        <w:rPr>
          <w:rFonts w:ascii="Arial" w:cs="Arial" w:eastAsia="Arial" w:hAnsi="Arial"/>
          <w:sz w:val="11"/>
          <w:szCs w:val="11"/>
          <w:color w:val="auto"/>
        </w:rPr>
        <w:t>G12C</w:t>
      </w:r>
      <w:r>
        <w:rPr>
          <w:rFonts w:ascii="Arial" w:cs="Arial" w:eastAsia="Arial" w:hAnsi="Arial"/>
          <w:sz w:val="18"/>
          <w:szCs w:val="18"/>
          <w:color w:val="auto"/>
        </w:rPr>
        <w:t xml:space="preserve"> ctDNA. In one patient with colon cancer who had a progressive disease the allelic frequency of KRAS</w:t>
      </w:r>
      <w:r>
        <w:rPr>
          <w:rFonts w:ascii="Arial" w:cs="Arial" w:eastAsia="Arial" w:hAnsi="Arial"/>
          <w:sz w:val="11"/>
          <w:szCs w:val="11"/>
          <w:color w:val="auto"/>
        </w:rPr>
        <w:t>G12C</w:t>
      </w:r>
      <w:r>
        <w:rPr>
          <w:rFonts w:ascii="Arial" w:cs="Arial" w:eastAsia="Arial" w:hAnsi="Arial"/>
          <w:sz w:val="18"/>
          <w:szCs w:val="18"/>
          <w:color w:val="auto"/>
        </w:rPr>
        <w:t xml:space="preserve"> ctDNA increased.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Interim evidence of clinical activity—daily and intermittent schedules</w:t>
      </w:r>
    </w:p>
    <w:p>
      <w:pPr>
        <w:spacing w:after="0" w:line="122"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There is preliminary evidence that RMC-4630 has single agent anti-tumor activity in KRAS mutant NSCLC. One patient, with KRAS</w:t>
      </w:r>
      <w:r>
        <w:rPr>
          <w:rFonts w:ascii="Arial" w:cs="Arial" w:eastAsia="Arial" w:hAnsi="Arial"/>
          <w:sz w:val="11"/>
          <w:szCs w:val="11"/>
          <w:color w:val="auto"/>
        </w:rPr>
        <w:t>G12C</w:t>
      </w:r>
      <w:r>
        <w:rPr>
          <w:rFonts w:ascii="Arial" w:cs="Arial" w:eastAsia="Arial" w:hAnsi="Arial"/>
          <w:sz w:val="18"/>
          <w:szCs w:val="18"/>
          <w:color w:val="auto"/>
        </w:rPr>
        <w:t xml:space="preserve"> NSCLC treated at 60 mg daily, had a confirmed partial response, with a 45% reduction in tumor volume as measured by CT imaging and is ongoing on study therapy at 16 weeks. A second, NSCLC patient with KRAS</w:t>
      </w:r>
      <w:r>
        <w:rPr>
          <w:rFonts w:ascii="Arial" w:cs="Arial" w:eastAsia="Arial" w:hAnsi="Arial"/>
          <w:sz w:val="11"/>
          <w:szCs w:val="11"/>
          <w:color w:val="auto"/>
        </w:rPr>
        <w:t>G12D</w:t>
      </w:r>
      <w:r>
        <w:rPr>
          <w:rFonts w:ascii="Arial" w:cs="Arial" w:eastAsia="Arial" w:hAnsi="Arial"/>
          <w:sz w:val="18"/>
          <w:szCs w:val="18"/>
          <w:color w:val="auto"/>
        </w:rPr>
        <w:t xml:space="preserve"> and a mutation in the SHP2 gene (SHP2</w:t>
      </w:r>
      <w:r>
        <w:rPr>
          <w:rFonts w:ascii="Arial" w:cs="Arial" w:eastAsia="Arial" w:hAnsi="Arial"/>
          <w:sz w:val="11"/>
          <w:szCs w:val="11"/>
          <w:color w:val="auto"/>
        </w:rPr>
        <w:t>V428M</w:t>
      </w:r>
      <w:r>
        <w:rPr>
          <w:rFonts w:ascii="Arial" w:cs="Arial" w:eastAsia="Arial" w:hAnsi="Arial"/>
          <w:sz w:val="18"/>
          <w:szCs w:val="18"/>
          <w:color w:val="auto"/>
        </w:rPr>
        <w:t>), treated with 140 mg on the intermittent schedule, had an unconfirmed partial response (unconfirmed by RECIST 1.1, recorded as best response of stable disease). Disease control rate, or DCR, the sum of best response of partial response and stable disease cases for patients with KRAS</w:t>
      </w:r>
      <w:r>
        <w:rPr>
          <w:rFonts w:ascii="Arial" w:cs="Arial" w:eastAsia="Arial" w:hAnsi="Arial"/>
          <w:sz w:val="11"/>
          <w:szCs w:val="11"/>
          <w:color w:val="auto"/>
        </w:rPr>
        <w:t>G12C</w:t>
      </w:r>
      <w:r>
        <w:rPr>
          <w:rFonts w:ascii="Arial" w:cs="Arial" w:eastAsia="Arial" w:hAnsi="Arial"/>
          <w:sz w:val="18"/>
          <w:szCs w:val="18"/>
          <w:color w:val="auto"/>
        </w:rPr>
        <w:t xml:space="preserve"> NSCLC as of the cut-off date was 6/8 (75%).</w:t>
      </w:r>
    </w:p>
    <w:p>
      <w:pPr>
        <w:spacing w:after="0" w:line="102"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As of the cut-off date, five patients with KRAS</w:t>
      </w:r>
      <w:r>
        <w:rPr>
          <w:rFonts w:ascii="Arial" w:cs="Arial" w:eastAsia="Arial" w:hAnsi="Arial"/>
          <w:sz w:val="11"/>
          <w:szCs w:val="11"/>
          <w:color w:val="auto"/>
        </w:rPr>
        <w:t>G12C</w:t>
      </w:r>
      <w:r>
        <w:rPr>
          <w:rFonts w:ascii="Arial" w:cs="Arial" w:eastAsia="Arial" w:hAnsi="Arial"/>
          <w:sz w:val="18"/>
          <w:szCs w:val="18"/>
          <w:color w:val="auto"/>
        </w:rPr>
        <w:t xml:space="preserve"> NSCLC had follow-up CT scans of target lesions and had either partial response or stable disease (Figure 12); three patients had not reported follow-up measurements of target lesions, of which one has been recorded as best response of stable disease and two of progressive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240" w:top="459"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360"/>
        <w:spacing w:after="0" w:line="275" w:lineRule="auto"/>
        <w:rPr>
          <w:sz w:val="20"/>
          <w:szCs w:val="20"/>
          <w:color w:val="auto"/>
        </w:rPr>
      </w:pPr>
      <w:r>
        <w:rPr>
          <w:rFonts w:ascii="Arial" w:cs="Arial" w:eastAsia="Arial" w:hAnsi="Arial"/>
          <w:sz w:val="16"/>
          <w:szCs w:val="16"/>
          <w:color w:val="auto"/>
        </w:rPr>
        <w:t>disease. For all patients with KRAS mutant NSCLC, DCR was 12/18 (67%) (Figure 13). One patient with KRAS</w:t>
      </w:r>
      <w:r>
        <w:rPr>
          <w:rFonts w:ascii="Arial" w:cs="Arial" w:eastAsia="Arial" w:hAnsi="Arial"/>
          <w:sz w:val="10"/>
          <w:szCs w:val="10"/>
          <w:color w:val="auto"/>
        </w:rPr>
        <w:t>G12V</w:t>
      </w:r>
      <w:r>
        <w:rPr>
          <w:rFonts w:ascii="Arial" w:cs="Arial" w:eastAsia="Arial" w:hAnsi="Arial"/>
          <w:sz w:val="16"/>
          <w:szCs w:val="16"/>
          <w:color w:val="auto"/>
        </w:rPr>
        <w:t xml:space="preserve"> NSCLC had been on treatment for over 14 months with stable disease (and approximately 15% reduction in tumor volume) as of the cut-off date. Duration of treatment, time to first and best response, duration of response and time to progression in NSCLC patients with any KRAS mutation are shown in Figure 14. In histotypes other than NSCLC, the best response as of the cut-off date was stable disease.</w:t>
      </w:r>
    </w:p>
    <w:p>
      <w:pPr>
        <w:spacing w:after="0" w:line="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Figure 12: </w:t>
      </w:r>
      <w:r>
        <w:rPr>
          <w:rFonts w:ascii="Arial" w:cs="Arial" w:eastAsia="Arial" w:hAnsi="Arial"/>
          <w:sz w:val="18"/>
          <w:szCs w:val="18"/>
          <w:color w:val="auto"/>
        </w:rPr>
        <w:t>Best change in tumor burden from baseline in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NSCLC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86360</wp:posOffset>
            </wp:positionV>
            <wp:extent cx="4871085" cy="2684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871085" cy="2684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ind w:left="200" w:right="40"/>
        <w:spacing w:after="0" w:line="200" w:lineRule="auto"/>
        <w:rPr>
          <w:sz w:val="20"/>
          <w:szCs w:val="20"/>
          <w:color w:val="auto"/>
        </w:rPr>
      </w:pPr>
      <w:r>
        <w:rPr>
          <w:rFonts w:ascii="Arial" w:cs="Arial" w:eastAsia="Arial" w:hAnsi="Arial"/>
          <w:sz w:val="14"/>
          <w:szCs w:val="14"/>
          <w:color w:val="auto"/>
        </w:rPr>
        <w:t>Waterfall plot of best tumor response for five patients with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NSCLC who had baseline target lesions assessed and at least one radiologic follow-up assessment of target lesion size. Percentage (Y axis) represents the percentage change from baseline in the Sum of Longest Diameters of target lesions using RECIST 1.1. Colors represent different dose levels.</w:t>
      </w:r>
    </w:p>
    <w:p>
      <w:pPr>
        <w:spacing w:after="0" w:line="4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Confirmed PR</w:t>
      </w:r>
    </w:p>
    <w:p>
      <w:pPr>
        <w:spacing w:after="0" w:line="42" w:lineRule="exact"/>
        <w:rPr>
          <w:sz w:val="20"/>
          <w:szCs w:val="20"/>
          <w:color w:val="auto"/>
        </w:rPr>
      </w:pPr>
    </w:p>
    <w:p>
      <w:pPr>
        <w:jc w:val="both"/>
        <w:ind w:left="200"/>
        <w:spacing w:after="0" w:line="228" w:lineRule="auto"/>
        <w:rPr>
          <w:sz w:val="20"/>
          <w:szCs w:val="20"/>
          <w:color w:val="auto"/>
        </w:rPr>
      </w:pPr>
      <w:r>
        <w:rPr>
          <w:rFonts w:ascii="Arial" w:cs="Arial" w:eastAsia="Arial" w:hAnsi="Arial"/>
          <w:sz w:val="14"/>
          <w:szCs w:val="14"/>
          <w:color w:val="auto"/>
        </w:rPr>
        <w:t>Data are presented for the efficacy evaluable population (N=8) defined as participants with baseline and at least one post-baseline scan or who died or had clinical progression prior to first post-baseline scan. Three patients are not represented in this figure: 2 PD (1 clinical progression and 1 did not have measurement for one of the target lesions but had new lesion) and 1 SD (pending data entry in EDC).</w:t>
      </w:r>
    </w:p>
    <w:p>
      <w:pPr>
        <w:spacing w:after="0" w:line="1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240" w:top="459" w:right="5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13</w:t>
      </w:r>
      <w:r>
        <w:rPr>
          <w:rFonts w:ascii="Arial" w:cs="Arial" w:eastAsia="Arial" w:hAnsi="Arial"/>
          <w:sz w:val="18"/>
          <w:szCs w:val="18"/>
          <w:color w:val="auto"/>
        </w:rPr>
        <w:t>: Best change in tumor burden from baseline for NSCLC with any KRAS mutation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86360</wp:posOffset>
            </wp:positionV>
            <wp:extent cx="4948555" cy="2795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48555"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ind w:left="200"/>
        <w:spacing w:after="0" w:line="222" w:lineRule="auto"/>
        <w:rPr>
          <w:sz w:val="20"/>
          <w:szCs w:val="20"/>
          <w:color w:val="auto"/>
        </w:rPr>
      </w:pPr>
      <w:r>
        <w:rPr>
          <w:rFonts w:ascii="Arial" w:cs="Arial" w:eastAsia="Arial" w:hAnsi="Arial"/>
          <w:sz w:val="13"/>
          <w:szCs w:val="13"/>
          <w:color w:val="auto"/>
        </w:rPr>
        <w:t>Waterfall plot of best tumor response for fourteen patients with KRAS mutant NSCLC, including KRAS</w:t>
      </w:r>
      <w:r>
        <w:rPr>
          <w:rFonts w:ascii="Arial" w:cs="Arial" w:eastAsia="Arial" w:hAnsi="Arial"/>
          <w:sz w:val="21"/>
          <w:szCs w:val="21"/>
          <w:color w:val="auto"/>
          <w:vertAlign w:val="superscript"/>
        </w:rPr>
        <w:t>G12C</w:t>
      </w:r>
      <w:r>
        <w:rPr>
          <w:rFonts w:ascii="Arial" w:cs="Arial" w:eastAsia="Arial" w:hAnsi="Arial"/>
          <w:sz w:val="13"/>
          <w:szCs w:val="13"/>
          <w:color w:val="auto"/>
        </w:rPr>
        <w:t>, who had baseline target lesions assessed and at least one radiologic follow-up assessment of target lesion size. Percentage (Y axis) represents the percentage change from baseline in the Sum of Longest Diameters of target lesions using RECIST 1.1. Colors represent different KRAS mutations. Data are presented for the efficacy evaluable population (N=18) defined as participants with baseline and at least one post-baseline scan or who died or had clinical progression prior to first post-baseline scan. Four patients are not represented in this figure: 2 patients had clinical progression prior to first scan, 1 patient did not have measurements for one of the target lesions but progressed developing new lesion, and 1 patient had missing tumor measurements in the database at the time of data extract.</w:t>
      </w:r>
    </w:p>
    <w:p>
      <w:pPr>
        <w:spacing w:after="0" w:line="54" w:lineRule="exact"/>
        <w:rPr>
          <w:sz w:val="20"/>
          <w:szCs w:val="20"/>
          <w:color w:val="auto"/>
        </w:rPr>
      </w:pPr>
    </w:p>
    <w:p>
      <w:pPr>
        <w:ind w:left="520" w:hanging="316"/>
        <w:spacing w:after="0"/>
        <w:tabs>
          <w:tab w:leader="none" w:pos="5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Confirmed PR</w:t>
      </w:r>
    </w:p>
    <w:p>
      <w:pPr>
        <w:spacing w:after="0" w:line="55" w:lineRule="exact"/>
        <w:rPr>
          <w:sz w:val="20"/>
          <w:szCs w:val="20"/>
          <w:color w:val="auto"/>
        </w:rPr>
      </w:pPr>
    </w:p>
    <w:p>
      <w:pPr>
        <w:ind w:left="520" w:hanging="316"/>
        <w:spacing w:after="0"/>
        <w:tabs>
          <w:tab w:leader="none" w:pos="520" w:val="left"/>
        </w:tabs>
        <w:numPr>
          <w:ilvl w:val="0"/>
          <w:numId w:val="87"/>
        </w:numPr>
        <w:rPr>
          <w:rFonts w:ascii="Arial" w:cs="Arial" w:eastAsia="Arial" w:hAnsi="Arial"/>
          <w:sz w:val="14"/>
          <w:szCs w:val="14"/>
          <w:color w:val="auto"/>
        </w:rPr>
      </w:pPr>
      <w:r>
        <w:rPr>
          <w:rFonts w:ascii="Arial" w:cs="Arial" w:eastAsia="Arial" w:hAnsi="Arial"/>
          <w:sz w:val="14"/>
          <w:szCs w:val="14"/>
          <w:color w:val="auto"/>
        </w:rPr>
        <w:t>PR initially, subsequently unconfirmed</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60"/>
          </w:cols>
          <w:pgMar w:left="240" w:top="459" w:right="49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14</w:t>
      </w:r>
      <w:r>
        <w:rPr>
          <w:rFonts w:ascii="Arial" w:cs="Arial" w:eastAsia="Arial" w:hAnsi="Arial"/>
          <w:sz w:val="18"/>
          <w:szCs w:val="18"/>
          <w:color w:val="auto"/>
        </w:rPr>
        <w:t>: Duration of treatment, time to and duration of response in NSCLC with any KRAS mutation in RMC-4630-01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86360</wp:posOffset>
            </wp:positionV>
            <wp:extent cx="5188585" cy="29673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88585"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6, 2019.</w:t>
      </w:r>
    </w:p>
    <w:p>
      <w:pPr>
        <w:ind w:left="200"/>
        <w:spacing w:after="0" w:line="193" w:lineRule="auto"/>
        <w:rPr>
          <w:sz w:val="20"/>
          <w:szCs w:val="20"/>
          <w:color w:val="auto"/>
        </w:rPr>
      </w:pPr>
      <w:r>
        <w:rPr>
          <w:rFonts w:ascii="Arial" w:cs="Arial" w:eastAsia="Arial" w:hAnsi="Arial"/>
          <w:sz w:val="14"/>
          <w:szCs w:val="14"/>
          <w:color w:val="auto"/>
        </w:rPr>
        <w:t>Swimmer plot of duration of treatment, time to first and best response, duration of response and time to progression for eighteen patients with KRAS mutant NSCLC, including</w:t>
      </w:r>
    </w:p>
    <w:p>
      <w:pPr>
        <w:spacing w:after="0" w:line="1" w:lineRule="exact"/>
        <w:rPr>
          <w:sz w:val="20"/>
          <w:szCs w:val="20"/>
          <w:color w:val="auto"/>
        </w:rPr>
      </w:pPr>
    </w:p>
    <w:p>
      <w:pPr>
        <w:ind w:left="200" w:right="20"/>
        <w:spacing w:after="0" w:line="191" w:lineRule="auto"/>
        <w:rPr>
          <w:sz w:val="20"/>
          <w:szCs w:val="20"/>
          <w:color w:val="auto"/>
        </w:rPr>
      </w:pPr>
      <w:r>
        <w:rPr>
          <w:rFonts w:ascii="Arial" w:cs="Arial" w:eastAsia="Arial" w:hAnsi="Arial"/>
          <w:sz w:val="14"/>
          <w:szCs w:val="14"/>
          <w:color w:val="auto"/>
        </w:rPr>
        <w:t>KRAS</w:t>
      </w:r>
      <w:r>
        <w:rPr>
          <w:rFonts w:ascii="Arial" w:cs="Arial" w:eastAsia="Arial" w:hAnsi="Arial"/>
          <w:sz w:val="22"/>
          <w:szCs w:val="22"/>
          <w:color w:val="auto"/>
          <w:vertAlign w:val="superscript"/>
        </w:rPr>
        <w:t>G12C</w:t>
      </w:r>
      <w:r>
        <w:rPr>
          <w:rFonts w:ascii="Arial" w:cs="Arial" w:eastAsia="Arial" w:hAnsi="Arial"/>
          <w:sz w:val="14"/>
          <w:szCs w:val="14"/>
          <w:color w:val="auto"/>
        </w:rPr>
        <w:t>. Percentage (Y axis) represents each individual patient. Colors represent different KRAS mutations. Data are presented for the efficacy evaluable population (N=18) defined as participants with baseline and at least one post-baseline scan or who died or had clinical progression prior to first post-baseline scan.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RMC-4630-02 study of RMC-4630 in combination with cobimetinib in patients with advanced solid tumors</w:t>
      </w:r>
    </w:p>
    <w:p>
      <w:pPr>
        <w:spacing w:after="0" w:line="124" w:lineRule="exact"/>
        <w:rPr>
          <w:sz w:val="20"/>
          <w:szCs w:val="20"/>
          <w:color w:val="auto"/>
        </w:rPr>
      </w:pPr>
    </w:p>
    <w:p>
      <w:pPr>
        <w:jc w:val="both"/>
        <w:ind w:left="200" w:right="100"/>
        <w:spacing w:after="0" w:line="238" w:lineRule="auto"/>
        <w:rPr>
          <w:sz w:val="20"/>
          <w:szCs w:val="20"/>
          <w:color w:val="auto"/>
        </w:rPr>
      </w:pPr>
      <w:r>
        <w:rPr>
          <w:rFonts w:ascii="Arial" w:cs="Arial" w:eastAsia="Arial" w:hAnsi="Arial"/>
          <w:sz w:val="18"/>
          <w:szCs w:val="18"/>
          <w:color w:val="auto"/>
        </w:rPr>
        <w:t>RMC-4630-02 is a Phase 1b/2 study of RMC-4630 in combination with the MEK inhibitor cobimetinib in patients with advanced cancers that harbor mutations in the RAS signaling pathway. The study is designed to evaluate the safety, tolerability and pharmacokinetics of RMC-4630 and cobimetinib under two different dose administration schedules.</w:t>
      </w:r>
    </w:p>
    <w:p>
      <w:pPr>
        <w:spacing w:after="0" w:line="100" w:lineRule="exact"/>
        <w:rPr>
          <w:sz w:val="20"/>
          <w:szCs w:val="20"/>
          <w:color w:val="auto"/>
        </w:rPr>
      </w:pPr>
    </w:p>
    <w:p>
      <w:pPr>
        <w:ind w:left="200" w:right="60"/>
        <w:spacing w:after="0" w:line="281" w:lineRule="auto"/>
        <w:rPr>
          <w:sz w:val="20"/>
          <w:szCs w:val="20"/>
          <w:color w:val="auto"/>
        </w:rPr>
      </w:pPr>
      <w:r>
        <w:rPr>
          <w:rFonts w:ascii="Arial" w:cs="Arial" w:eastAsia="Arial" w:hAnsi="Arial"/>
          <w:sz w:val="16"/>
          <w:szCs w:val="16"/>
          <w:color w:val="auto"/>
        </w:rPr>
        <w:t>The objective of this study is to determine a recommended dose and schedule and further test clinical activity of the combination. Initially, the study assesses twice weekly RMC-4630 (D1,D4) with daily cobimetinib (21 days on, 7 off). In the second schedule, which has not begun dosing, both RMC-4630 and cobimetinib are dosed intermittently. A preliminary evaluation of anti-tumor activity is also being made.</w:t>
      </w:r>
    </w:p>
    <w:p>
      <w:pPr>
        <w:spacing w:after="0" w:line="70"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At the latest data cut-off on November 14, 2019, 8 patients had been enrolled and all had received study medication at the first dose level and were evaluable for safety. Dose escalation to the next highest dose level has occurred and enrollment is ongoing.</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Interim safety and tolerability</w:t>
      </w:r>
    </w:p>
    <w:p>
      <w:pPr>
        <w:spacing w:after="0" w:line="122"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Eight patients have been evaluated for safety with a median RMC-4630 exposure of 1.4 months (range 0.1 – 2.5 months). Demographic and baseline characteristics information is shown in Table 10.</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80"/>
          </w:cols>
          <w:pgMar w:left="240" w:top="459" w:right="4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10</w:t>
      </w:r>
      <w:r>
        <w:rPr>
          <w:rFonts w:ascii="Arial" w:cs="Arial" w:eastAsia="Arial" w:hAnsi="Arial"/>
          <w:sz w:val="18"/>
          <w:szCs w:val="18"/>
          <w:color w:val="auto"/>
        </w:rPr>
        <w:t>: Demographics and baseline characteristics for RMC-4630-02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RMC-4630 80 mg</w:t>
            </w: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4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D1,D4</w:t>
            </w: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4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cobimetinib 20 mg</w:t>
            </w:r>
          </w:p>
        </w:tc>
      </w:tr>
      <w:tr>
        <w:trPr>
          <w:trHeight w:val="203"/>
        </w:trPr>
        <w:tc>
          <w:tcPr>
            <w:tcW w:w="2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4400" w:type="dxa"/>
            <w:vAlign w:val="bottom"/>
            <w:gridSpan w:val="2"/>
          </w:tcPr>
          <w:p>
            <w:pPr>
              <w:jc w:val="right"/>
              <w:ind w:right="80"/>
              <w:spacing w:after="0" w:line="202" w:lineRule="exact"/>
              <w:rPr>
                <w:sz w:val="20"/>
                <w:szCs w:val="20"/>
                <w:color w:val="auto"/>
              </w:rPr>
            </w:pPr>
            <w:r>
              <w:rPr>
                <w:rFonts w:ascii="Arial" w:cs="Arial" w:eastAsia="Arial" w:hAnsi="Arial"/>
                <w:sz w:val="18"/>
                <w:szCs w:val="18"/>
                <w:b w:val="1"/>
                <w:bCs w:val="1"/>
                <w:color w:val="auto"/>
              </w:rPr>
              <w:t>daily</w:t>
            </w:r>
          </w:p>
        </w:tc>
      </w:tr>
      <w:tr>
        <w:trPr>
          <w:trHeight w:val="234"/>
        </w:trPr>
        <w:tc>
          <w:tcPr>
            <w:tcW w:w="20" w:type="dxa"/>
            <w:vAlign w:val="bottom"/>
          </w:tcPr>
          <w:p>
            <w:pPr>
              <w:spacing w:after="0"/>
              <w:rPr>
                <w:sz w:val="20"/>
                <w:szCs w:val="20"/>
                <w:color w:val="auto"/>
              </w:rPr>
            </w:pPr>
          </w:p>
        </w:tc>
        <w:tc>
          <w:tcPr>
            <w:tcW w:w="662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(N=8)</w:t>
            </w:r>
          </w:p>
        </w:tc>
      </w:tr>
      <w:tr>
        <w:trPr>
          <w:trHeight w:val="197"/>
        </w:trPr>
        <w:tc>
          <w:tcPr>
            <w:tcW w:w="20" w:type="dxa"/>
            <w:vAlign w:val="bottom"/>
          </w:tcPr>
          <w:p>
            <w:pPr>
              <w:spacing w:after="0"/>
              <w:rPr>
                <w:sz w:val="17"/>
                <w:szCs w:val="17"/>
                <w:color w:val="auto"/>
              </w:rPr>
            </w:pPr>
          </w:p>
        </w:tc>
        <w:tc>
          <w:tcPr>
            <w:tcW w:w="662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Age, median (range)</w:t>
            </w:r>
          </w:p>
        </w:tc>
        <w:tc>
          <w:tcPr>
            <w:tcW w:w="4400" w:type="dxa"/>
            <w:vAlign w:val="bottom"/>
            <w:gridSpan w:val="2"/>
            <w:shd w:val="clear" w:color="auto" w:fill="CCEEFF"/>
          </w:tcPr>
          <w:p>
            <w:pPr>
              <w:jc w:val="right"/>
              <w:ind w:right="80"/>
              <w:spacing w:after="0" w:line="197" w:lineRule="exact"/>
              <w:rPr>
                <w:sz w:val="20"/>
                <w:szCs w:val="20"/>
                <w:color w:val="auto"/>
              </w:rPr>
            </w:pPr>
            <w:r>
              <w:rPr>
                <w:rFonts w:ascii="Arial" w:cs="Arial" w:eastAsia="Arial" w:hAnsi="Arial"/>
                <w:sz w:val="18"/>
                <w:szCs w:val="18"/>
                <w:color w:val="auto"/>
              </w:rPr>
              <w:t>61.5 (35.0 – 64.0)</w:t>
            </w:r>
          </w:p>
        </w:tc>
      </w:tr>
      <w:tr>
        <w:trPr>
          <w:trHeight w:val="214"/>
        </w:trPr>
        <w:tc>
          <w:tcPr>
            <w:tcW w:w="6640" w:type="dxa"/>
            <w:vAlign w:val="bottom"/>
            <w:gridSpan w:val="2"/>
          </w:tcPr>
          <w:p>
            <w:pPr>
              <w:spacing w:after="0"/>
              <w:rPr>
                <w:sz w:val="20"/>
                <w:szCs w:val="20"/>
                <w:color w:val="auto"/>
              </w:rPr>
            </w:pPr>
            <w:r>
              <w:rPr>
                <w:rFonts w:ascii="Arial" w:cs="Arial" w:eastAsia="Arial" w:hAnsi="Arial"/>
                <w:sz w:val="18"/>
                <w:szCs w:val="18"/>
                <w:color w:val="auto"/>
              </w:rPr>
              <w:t>Male (%)</w:t>
            </w:r>
          </w:p>
        </w:tc>
        <w:tc>
          <w:tcPr>
            <w:tcW w:w="4320" w:type="dxa"/>
            <w:vAlign w:val="bottom"/>
          </w:tcPr>
          <w:p>
            <w:pPr>
              <w:jc w:val="right"/>
              <w:spacing w:after="0"/>
              <w:rPr>
                <w:sz w:val="20"/>
                <w:szCs w:val="20"/>
                <w:color w:val="auto"/>
              </w:rPr>
            </w:pPr>
            <w:r>
              <w:rPr>
                <w:rFonts w:ascii="Arial" w:cs="Arial" w:eastAsia="Arial" w:hAnsi="Arial"/>
                <w:sz w:val="18"/>
                <w:szCs w:val="18"/>
                <w:color w:val="auto"/>
              </w:rPr>
              <w:t>3 (37.5%)</w:t>
            </w:r>
          </w:p>
        </w:tc>
        <w:tc>
          <w:tcPr>
            <w:tcW w:w="80" w:type="dxa"/>
            <w:vAlign w:val="bottom"/>
          </w:tcPr>
          <w:p>
            <w:pPr>
              <w:spacing w:after="0"/>
              <w:rPr>
                <w:sz w:val="18"/>
                <w:szCs w:val="18"/>
                <w:color w:val="auto"/>
              </w:rPr>
            </w:pPr>
          </w:p>
        </w:tc>
      </w:tr>
      <w:tr>
        <w:trPr>
          <w:trHeight w:val="56"/>
        </w:trPr>
        <w:tc>
          <w:tcPr>
            <w:tcW w:w="6640" w:type="dxa"/>
            <w:vAlign w:val="bottom"/>
            <w:gridSpan w:val="2"/>
          </w:tcPr>
          <w:p>
            <w:pPr>
              <w:spacing w:after="0"/>
              <w:rPr>
                <w:sz w:val="4"/>
                <w:szCs w:val="4"/>
                <w:color w:val="auto"/>
              </w:rPr>
            </w:pPr>
          </w:p>
        </w:tc>
        <w:tc>
          <w:tcPr>
            <w:tcW w:w="43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Cancer Type</w:t>
            </w:r>
          </w:p>
        </w:tc>
        <w:tc>
          <w:tcPr>
            <w:tcW w:w="4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Lung (%)</w:t>
            </w:r>
          </w:p>
        </w:tc>
        <w:tc>
          <w:tcPr>
            <w:tcW w:w="4400" w:type="dxa"/>
            <w:vAlign w:val="bottom"/>
            <w:gridSpan w:val="2"/>
          </w:tcPr>
          <w:p>
            <w:pPr>
              <w:ind w:left="4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Colon and/or Rectal (%)</w:t>
            </w:r>
          </w:p>
        </w:tc>
        <w:tc>
          <w:tcPr>
            <w:tcW w:w="4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(62.5%)</w:t>
            </w:r>
          </w:p>
        </w:tc>
        <w:tc>
          <w:tcPr>
            <w:tcW w:w="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20" w:type="dxa"/>
            <w:vAlign w:val="bottom"/>
          </w:tcPr>
          <w:p>
            <w:pPr>
              <w:ind w:left="200"/>
              <w:spacing w:after="0" w:line="202" w:lineRule="exact"/>
              <w:rPr>
                <w:sz w:val="20"/>
                <w:szCs w:val="20"/>
                <w:color w:val="auto"/>
              </w:rPr>
            </w:pPr>
            <w:r>
              <w:rPr>
                <w:rFonts w:ascii="Arial" w:cs="Arial" w:eastAsia="Arial" w:hAnsi="Arial"/>
                <w:sz w:val="18"/>
                <w:szCs w:val="18"/>
                <w:color w:val="auto"/>
              </w:rPr>
              <w:t>Pancreatic (%)</w:t>
            </w:r>
          </w:p>
        </w:tc>
        <w:tc>
          <w:tcPr>
            <w:tcW w:w="4320" w:type="dxa"/>
            <w:vAlign w:val="bottom"/>
          </w:tcPr>
          <w:p>
            <w:pPr>
              <w:jc w:val="right"/>
              <w:spacing w:after="0" w:line="202" w:lineRule="exact"/>
              <w:rPr>
                <w:sz w:val="20"/>
                <w:szCs w:val="20"/>
                <w:color w:val="auto"/>
              </w:rPr>
            </w:pPr>
            <w:r>
              <w:rPr>
                <w:rFonts w:ascii="Arial" w:cs="Arial" w:eastAsia="Arial" w:hAnsi="Arial"/>
                <w:sz w:val="18"/>
                <w:szCs w:val="18"/>
                <w:color w:val="auto"/>
              </w:rPr>
              <w:t>2 (25.0%)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Ovarian (%)</w:t>
            </w:r>
          </w:p>
        </w:tc>
        <w:tc>
          <w:tcPr>
            <w:tcW w:w="4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 (12.5%)</w:t>
            </w:r>
          </w:p>
        </w:tc>
        <w:tc>
          <w:tcPr>
            <w:tcW w:w="80" w:type="dxa"/>
            <w:vAlign w:val="bottom"/>
            <w:shd w:val="clear" w:color="auto" w:fill="CCEEFF"/>
          </w:tcPr>
          <w:p>
            <w:pPr>
              <w:spacing w:after="0"/>
              <w:rPr>
                <w:sz w:val="17"/>
                <w:szCs w:val="17"/>
                <w:color w:val="auto"/>
              </w:rPr>
            </w:pPr>
          </w:p>
        </w:tc>
      </w:tr>
      <w:tr>
        <w:trPr>
          <w:trHeight w:val="270"/>
        </w:trPr>
        <w:tc>
          <w:tcPr>
            <w:tcW w:w="6640" w:type="dxa"/>
            <w:vAlign w:val="bottom"/>
            <w:gridSpan w:val="2"/>
          </w:tcPr>
          <w:p>
            <w:pPr>
              <w:spacing w:after="0"/>
              <w:rPr>
                <w:sz w:val="20"/>
                <w:szCs w:val="20"/>
                <w:color w:val="auto"/>
              </w:rPr>
            </w:pPr>
            <w:r>
              <w:rPr>
                <w:rFonts w:ascii="Arial" w:cs="Arial" w:eastAsia="Arial" w:hAnsi="Arial"/>
                <w:sz w:val="18"/>
                <w:szCs w:val="18"/>
                <w:color w:val="auto"/>
              </w:rPr>
              <w:t>ECOG performance status</w:t>
            </w:r>
          </w:p>
        </w:tc>
        <w:tc>
          <w:tcPr>
            <w:tcW w:w="43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0</w:t>
            </w:r>
          </w:p>
        </w:tc>
        <w:tc>
          <w:tcPr>
            <w:tcW w:w="4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 (62.5%)</w:t>
            </w:r>
          </w:p>
        </w:tc>
        <w:tc>
          <w:tcPr>
            <w:tcW w:w="80" w:type="dxa"/>
            <w:vAlign w:val="bottom"/>
            <w:shd w:val="clear" w:color="auto" w:fill="CCEEFF"/>
          </w:tcPr>
          <w:p>
            <w:pPr>
              <w:spacing w:after="0"/>
              <w:rPr>
                <w:sz w:val="17"/>
                <w:szCs w:val="17"/>
                <w:color w:val="auto"/>
              </w:rPr>
            </w:pPr>
          </w:p>
        </w:tc>
      </w:tr>
      <w:tr>
        <w:trPr>
          <w:trHeight w:val="203"/>
        </w:trPr>
        <w:tc>
          <w:tcPr>
            <w:tcW w:w="66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w:t>
            </w:r>
          </w:p>
        </w:tc>
        <w:tc>
          <w:tcPr>
            <w:tcW w:w="4320" w:type="dxa"/>
            <w:vAlign w:val="bottom"/>
          </w:tcPr>
          <w:p>
            <w:pPr>
              <w:jc w:val="right"/>
              <w:spacing w:after="0" w:line="202" w:lineRule="exact"/>
              <w:rPr>
                <w:sz w:val="20"/>
                <w:szCs w:val="20"/>
                <w:color w:val="auto"/>
              </w:rPr>
            </w:pPr>
            <w:r>
              <w:rPr>
                <w:rFonts w:ascii="Arial" w:cs="Arial" w:eastAsia="Arial" w:hAnsi="Arial"/>
                <w:sz w:val="18"/>
                <w:szCs w:val="18"/>
                <w:color w:val="auto"/>
              </w:rPr>
              <w:t>3 (37.5%)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Number of prior cancer therapies, median (range)</w:t>
            </w:r>
          </w:p>
        </w:tc>
        <w:tc>
          <w:tcPr>
            <w:tcW w:w="44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 (2 – 6)</w:t>
            </w:r>
          </w:p>
        </w:tc>
      </w:tr>
      <w:tr>
        <w:trPr>
          <w:trHeight w:val="20"/>
        </w:trPr>
        <w:tc>
          <w:tcPr>
            <w:tcW w:w="20" w:type="dxa"/>
            <w:vAlign w:val="bottom"/>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14, 2019.</w:t>
      </w:r>
    </w:p>
    <w:p>
      <w:pPr>
        <w:spacing w:after="0" w:line="69" w:lineRule="exact"/>
        <w:rPr>
          <w:sz w:val="20"/>
          <w:szCs w:val="20"/>
          <w:color w:val="auto"/>
        </w:rPr>
      </w:pPr>
    </w:p>
    <w:p>
      <w:pPr>
        <w:ind w:left="200"/>
        <w:spacing w:after="0"/>
        <w:tabs>
          <w:tab w:leader="none" w:pos="540" w:val="left"/>
        </w:tabs>
        <w:rPr>
          <w:sz w:val="20"/>
          <w:szCs w:val="20"/>
          <w:color w:val="auto"/>
        </w:rPr>
      </w:pPr>
      <w:r>
        <w:rPr>
          <w:rFonts w:ascii="Arial" w:cs="Arial" w:eastAsia="Arial" w:hAnsi="Arial"/>
          <w:sz w:val="14"/>
          <w:szCs w:val="14"/>
          <w:color w:val="auto"/>
        </w:rPr>
        <w:t>The</w:t>
      </w:r>
      <w:r>
        <w:rPr>
          <w:sz w:val="20"/>
          <w:szCs w:val="20"/>
          <w:color w:val="auto"/>
        </w:rPr>
        <w:tab/>
      </w:r>
      <w:r>
        <w:rPr>
          <w:rFonts w:ascii="Arial" w:cs="Arial" w:eastAsia="Arial" w:hAnsi="Arial"/>
          <w:sz w:val="12"/>
          <w:szCs w:val="12"/>
          <w:color w:val="auto"/>
        </w:rPr>
        <w:t>ECOG (Eastern Cooperative Oncology Group) performance status is a scale often used to assess how a patient’s disease is progressing.</w:t>
      </w:r>
    </w:p>
    <w:p>
      <w:pPr>
        <w:spacing w:after="0" w:line="45"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The emerging safety profile is consistent with the mechanistic effects of both SHP2 inhibition and MEK inhibition, including edema, diarrhea and other gastrointestinal toxicity, anemia and rash. This safety profile was largely predictable from single agent clinical studies of both agents.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Table 11</w:t>
      </w:r>
      <w:r>
        <w:rPr>
          <w:rFonts w:ascii="Arial" w:cs="Arial" w:eastAsia="Arial" w:hAnsi="Arial"/>
          <w:sz w:val="18"/>
          <w:szCs w:val="18"/>
          <w:color w:val="auto"/>
        </w:rPr>
        <w:t>: Related AEs attributed to RMC-4630 in RMC-4630-02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Preferred term</w:t>
            </w:r>
          </w:p>
        </w:tc>
        <w:tc>
          <w:tcPr>
            <w:tcW w:w="3320" w:type="dxa"/>
            <w:vAlign w:val="bottom"/>
          </w:tcPr>
          <w:p>
            <w:pPr>
              <w:jc w:val="right"/>
              <w:ind w:right="32"/>
              <w:spacing w:after="0"/>
              <w:rPr>
                <w:sz w:val="20"/>
                <w:szCs w:val="20"/>
                <w:color w:val="auto"/>
              </w:rPr>
            </w:pPr>
            <w:r>
              <w:rPr>
                <w:rFonts w:ascii="Arial" w:cs="Arial" w:eastAsia="Arial" w:hAnsi="Arial"/>
                <w:sz w:val="18"/>
                <w:szCs w:val="18"/>
                <w:b w:val="1"/>
                <w:bCs w:val="1"/>
                <w:color w:val="auto"/>
              </w:rPr>
              <w:t>Any grade</w:t>
            </w: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Grade 1</w:t>
            </w: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Grade 2</w:t>
            </w:r>
          </w:p>
        </w:tc>
        <w:tc>
          <w:tcPr>
            <w:tcW w:w="1080" w:type="dxa"/>
            <w:vAlign w:val="bottom"/>
          </w:tcPr>
          <w:p>
            <w:pPr>
              <w:ind w:left="420"/>
              <w:spacing w:after="0"/>
              <w:rPr>
                <w:sz w:val="20"/>
                <w:szCs w:val="20"/>
                <w:color w:val="auto"/>
              </w:rPr>
            </w:pPr>
            <w:r>
              <w:rPr>
                <w:rFonts w:ascii="Arial" w:cs="Arial" w:eastAsia="Arial" w:hAnsi="Arial"/>
                <w:sz w:val="18"/>
                <w:szCs w:val="18"/>
                <w:b w:val="1"/>
                <w:bCs w:val="1"/>
                <w:color w:val="auto"/>
                <w:w w:val="95"/>
              </w:rPr>
              <w:t>Grade 3</w:t>
            </w:r>
          </w:p>
        </w:tc>
      </w:tr>
      <w:tr>
        <w:trPr>
          <w:trHeight w:val="196"/>
        </w:trPr>
        <w:tc>
          <w:tcPr>
            <w:tcW w:w="20" w:type="dxa"/>
            <w:vAlign w:val="bottom"/>
          </w:tcPr>
          <w:p>
            <w:pPr>
              <w:spacing w:after="0"/>
              <w:rPr>
                <w:sz w:val="17"/>
                <w:szCs w:val="17"/>
                <w:color w:val="auto"/>
              </w:rPr>
            </w:pPr>
          </w:p>
        </w:tc>
        <w:tc>
          <w:tcPr>
            <w:tcW w:w="4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Diarrhea</w:t>
            </w:r>
          </w:p>
        </w:tc>
        <w:tc>
          <w:tcPr>
            <w:tcW w:w="3320" w:type="dxa"/>
            <w:vAlign w:val="bottom"/>
            <w:tcBorders>
              <w:top w:val="single" w:sz="8" w:color="auto"/>
            </w:tcBorders>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2 (25.0%)</w:t>
            </w:r>
          </w:p>
        </w:tc>
        <w:tc>
          <w:tcPr>
            <w:tcW w:w="1180" w:type="dxa"/>
            <w:vAlign w:val="bottom"/>
            <w:tcBorders>
              <w:top w:val="single" w:sz="8" w:color="auto"/>
            </w:tcBorders>
            <w:shd w:val="clear" w:color="auto" w:fill="CCEEFF"/>
          </w:tcPr>
          <w:p>
            <w:pPr>
              <w:jc w:val="center"/>
              <w:ind w:right="52"/>
              <w:spacing w:after="0" w:line="196" w:lineRule="exact"/>
              <w:rPr>
                <w:sz w:val="20"/>
                <w:szCs w:val="20"/>
                <w:color w:val="auto"/>
              </w:rPr>
            </w:pPr>
            <w:r>
              <w:rPr>
                <w:rFonts w:ascii="Arial" w:cs="Arial" w:eastAsia="Arial" w:hAnsi="Arial"/>
                <w:sz w:val="18"/>
                <w:szCs w:val="18"/>
                <w:color w:val="auto"/>
                <w:w w:val="97"/>
              </w:rPr>
              <w:t>2 (25.0%)</w:t>
            </w:r>
          </w:p>
        </w:tc>
        <w:tc>
          <w:tcPr>
            <w:tcW w:w="1180" w:type="dxa"/>
            <w:vAlign w:val="bottom"/>
            <w:tcBorders>
              <w:top w:val="single" w:sz="8" w:color="auto"/>
            </w:tcBorders>
            <w:shd w:val="clear" w:color="auto" w:fill="CCEEFF"/>
          </w:tcPr>
          <w:p>
            <w:pPr>
              <w:jc w:val="center"/>
              <w:ind w:right="72"/>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Edema*</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 (25.0%)</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Abdominal discomfort</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Abdominal distension</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Blood creatinine increased</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Dry mouth</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Leukopenia</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Nephropathy</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Rash</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 (12.5%)</w:t>
            </w:r>
          </w:p>
        </w:tc>
      </w:tr>
      <w:tr>
        <w:trPr>
          <w:trHeight w:val="215"/>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Rash maculo-papular</w:t>
            </w:r>
          </w:p>
        </w:tc>
        <w:tc>
          <w:tcPr>
            <w:tcW w:w="33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 (12.5%)</w:t>
            </w: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7"/>
              </w:rPr>
              <w:t>1 (12.5%)</w:t>
            </w: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14, 2019.</w:t>
      </w:r>
    </w:p>
    <w:p>
      <w:pPr>
        <w:spacing w:after="0" w:line="69" w:lineRule="exact"/>
        <w:rPr>
          <w:sz w:val="20"/>
          <w:szCs w:val="20"/>
          <w:color w:val="auto"/>
        </w:rPr>
      </w:pPr>
    </w:p>
    <w:p>
      <w:pPr>
        <w:ind w:left="520" w:hanging="316"/>
        <w:spacing w:after="0"/>
        <w:tabs>
          <w:tab w:leader="none" w:pos="52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Consists of eyelid edema, face edema, generalized edema, lip edema, edema, edema peripheral, periorbital edema and peripheral swelling.</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240" w:top="459" w:right="41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Table 12: </w:t>
      </w:r>
      <w:r>
        <w:rPr>
          <w:rFonts w:ascii="Arial" w:cs="Arial" w:eastAsia="Arial" w:hAnsi="Arial"/>
          <w:sz w:val="18"/>
          <w:szCs w:val="18"/>
          <w:color w:val="auto"/>
        </w:rPr>
        <w:t>Related AEs attributed to cobimetinib in RMC-4630-02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Preferred term</w:t>
            </w:r>
          </w:p>
        </w:tc>
        <w:tc>
          <w:tcPr>
            <w:tcW w:w="3320" w:type="dxa"/>
            <w:vAlign w:val="bottom"/>
          </w:tcPr>
          <w:p>
            <w:pPr>
              <w:jc w:val="right"/>
              <w:ind w:right="32"/>
              <w:spacing w:after="0"/>
              <w:rPr>
                <w:sz w:val="20"/>
                <w:szCs w:val="20"/>
                <w:color w:val="auto"/>
              </w:rPr>
            </w:pPr>
            <w:r>
              <w:rPr>
                <w:rFonts w:ascii="Arial" w:cs="Arial" w:eastAsia="Arial" w:hAnsi="Arial"/>
                <w:sz w:val="18"/>
                <w:szCs w:val="18"/>
                <w:b w:val="1"/>
                <w:bCs w:val="1"/>
                <w:color w:val="auto"/>
              </w:rPr>
              <w:t>Any grade</w:t>
            </w: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Grade 1</w:t>
            </w:r>
          </w:p>
        </w:tc>
        <w:tc>
          <w:tcPr>
            <w:tcW w:w="1180" w:type="dxa"/>
            <w:vAlign w:val="bottom"/>
          </w:tcPr>
          <w:p>
            <w:pPr>
              <w:ind w:left="400"/>
              <w:spacing w:after="0"/>
              <w:rPr>
                <w:sz w:val="20"/>
                <w:szCs w:val="20"/>
                <w:color w:val="auto"/>
              </w:rPr>
            </w:pPr>
            <w:r>
              <w:rPr>
                <w:rFonts w:ascii="Arial" w:cs="Arial" w:eastAsia="Arial" w:hAnsi="Arial"/>
                <w:sz w:val="18"/>
                <w:szCs w:val="18"/>
                <w:b w:val="1"/>
                <w:bCs w:val="1"/>
                <w:color w:val="auto"/>
              </w:rPr>
              <w:t>Grade 2</w:t>
            </w:r>
          </w:p>
        </w:tc>
        <w:tc>
          <w:tcPr>
            <w:tcW w:w="1080" w:type="dxa"/>
            <w:vAlign w:val="bottom"/>
          </w:tcPr>
          <w:p>
            <w:pPr>
              <w:ind w:left="420"/>
              <w:spacing w:after="0"/>
              <w:rPr>
                <w:sz w:val="20"/>
                <w:szCs w:val="20"/>
                <w:color w:val="auto"/>
              </w:rPr>
            </w:pPr>
            <w:r>
              <w:rPr>
                <w:rFonts w:ascii="Arial" w:cs="Arial" w:eastAsia="Arial" w:hAnsi="Arial"/>
                <w:sz w:val="18"/>
                <w:szCs w:val="18"/>
                <w:b w:val="1"/>
                <w:bCs w:val="1"/>
                <w:color w:val="auto"/>
                <w:w w:val="95"/>
              </w:rPr>
              <w:t>Grade 3</w:t>
            </w:r>
          </w:p>
        </w:tc>
      </w:tr>
      <w:tr>
        <w:trPr>
          <w:trHeight w:val="196"/>
        </w:trPr>
        <w:tc>
          <w:tcPr>
            <w:tcW w:w="20" w:type="dxa"/>
            <w:vAlign w:val="bottom"/>
          </w:tcPr>
          <w:p>
            <w:pPr>
              <w:spacing w:after="0"/>
              <w:rPr>
                <w:sz w:val="17"/>
                <w:szCs w:val="17"/>
                <w:color w:val="auto"/>
              </w:rPr>
            </w:pPr>
          </w:p>
        </w:tc>
        <w:tc>
          <w:tcPr>
            <w:tcW w:w="42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Edema*</w:t>
            </w:r>
          </w:p>
        </w:tc>
        <w:tc>
          <w:tcPr>
            <w:tcW w:w="3320" w:type="dxa"/>
            <w:vAlign w:val="bottom"/>
            <w:tcBorders>
              <w:top w:val="single" w:sz="8" w:color="auto"/>
            </w:tcBorders>
            <w:shd w:val="clear" w:color="auto" w:fill="CCEEFF"/>
          </w:tcPr>
          <w:p>
            <w:pPr>
              <w:jc w:val="right"/>
              <w:ind w:right="252"/>
              <w:spacing w:after="0" w:line="196" w:lineRule="exact"/>
              <w:rPr>
                <w:sz w:val="20"/>
                <w:szCs w:val="20"/>
                <w:color w:val="auto"/>
              </w:rPr>
            </w:pPr>
            <w:r>
              <w:rPr>
                <w:rFonts w:ascii="Arial" w:cs="Arial" w:eastAsia="Arial" w:hAnsi="Arial"/>
                <w:sz w:val="18"/>
                <w:szCs w:val="18"/>
                <w:color w:val="auto"/>
              </w:rPr>
              <w:t>2 (25.0%)</w:t>
            </w:r>
          </w:p>
        </w:tc>
        <w:tc>
          <w:tcPr>
            <w:tcW w:w="1180" w:type="dxa"/>
            <w:vAlign w:val="bottom"/>
            <w:tcBorders>
              <w:top w:val="single" w:sz="8" w:color="auto"/>
            </w:tcBorders>
            <w:shd w:val="clear" w:color="auto" w:fill="CCEEFF"/>
          </w:tcPr>
          <w:p>
            <w:pPr>
              <w:jc w:val="center"/>
              <w:ind w:right="52"/>
              <w:spacing w:after="0" w:line="196" w:lineRule="exact"/>
              <w:rPr>
                <w:sz w:val="20"/>
                <w:szCs w:val="20"/>
                <w:color w:val="auto"/>
              </w:rPr>
            </w:pPr>
            <w:r>
              <w:rPr>
                <w:rFonts w:ascii="Arial" w:cs="Arial" w:eastAsia="Arial" w:hAnsi="Arial"/>
                <w:sz w:val="18"/>
                <w:szCs w:val="18"/>
                <w:color w:val="auto"/>
                <w:w w:val="97"/>
              </w:rPr>
              <w:t>1 (12.5%)</w:t>
            </w:r>
          </w:p>
        </w:tc>
        <w:tc>
          <w:tcPr>
            <w:tcW w:w="1180" w:type="dxa"/>
            <w:vAlign w:val="bottom"/>
            <w:tcBorders>
              <w:top w:val="single" w:sz="8" w:color="auto"/>
            </w:tcBorders>
            <w:shd w:val="clear" w:color="auto" w:fill="CCEEFF"/>
          </w:tcPr>
          <w:p>
            <w:pPr>
              <w:jc w:val="center"/>
              <w:ind w:right="52"/>
              <w:spacing w:after="0" w:line="196" w:lineRule="exact"/>
              <w:rPr>
                <w:sz w:val="20"/>
                <w:szCs w:val="20"/>
                <w:color w:val="auto"/>
              </w:rPr>
            </w:pPr>
            <w:r>
              <w:rPr>
                <w:rFonts w:ascii="Arial" w:cs="Arial" w:eastAsia="Arial" w:hAnsi="Arial"/>
                <w:sz w:val="18"/>
                <w:szCs w:val="18"/>
                <w:color w:val="auto"/>
                <w:w w:val="97"/>
              </w:rPr>
              <w:t>1 (12.5%)</w:t>
            </w:r>
          </w:p>
        </w:tc>
        <w:tc>
          <w:tcPr>
            <w:tcW w:w="108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Abdominal discomfort</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Abdominal distension</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Blood creatinine increased</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Decreased appetite</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Dizziness</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Diarrhea</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4280" w:type="dxa"/>
            <w:vAlign w:val="bottom"/>
            <w:gridSpan w:val="2"/>
          </w:tcPr>
          <w:p>
            <w:pPr>
              <w:spacing w:after="0" w:line="202" w:lineRule="exact"/>
              <w:rPr>
                <w:sz w:val="20"/>
                <w:szCs w:val="20"/>
                <w:color w:val="auto"/>
              </w:rPr>
            </w:pPr>
            <w:r>
              <w:rPr>
                <w:rFonts w:ascii="Arial" w:cs="Arial" w:eastAsia="Arial" w:hAnsi="Arial"/>
                <w:sz w:val="18"/>
                <w:szCs w:val="18"/>
                <w:color w:val="auto"/>
              </w:rPr>
              <w:t>Leukopenia</w:t>
            </w:r>
          </w:p>
        </w:tc>
        <w:tc>
          <w:tcPr>
            <w:tcW w:w="33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tcPr>
          <w:p>
            <w:pPr>
              <w:jc w:val="center"/>
              <w:ind w:right="52"/>
              <w:spacing w:after="0" w:line="202" w:lineRule="exact"/>
              <w:rPr>
                <w:sz w:val="20"/>
                <w:szCs w:val="20"/>
                <w:color w:val="auto"/>
              </w:rPr>
            </w:pPr>
            <w:r>
              <w:rPr>
                <w:rFonts w:ascii="Arial" w:cs="Arial" w:eastAsia="Arial" w:hAnsi="Arial"/>
                <w:sz w:val="18"/>
                <w:szCs w:val="18"/>
                <w:color w:val="auto"/>
                <w:w w:val="97"/>
              </w:rPr>
              <w:t>1 (12.5%)</w:t>
            </w:r>
          </w:p>
        </w:tc>
        <w:tc>
          <w:tcPr>
            <w:tcW w:w="1180" w:type="dxa"/>
            <w:vAlign w:val="bottom"/>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line="202" w:lineRule="exact"/>
              <w:rPr>
                <w:sz w:val="20"/>
                <w:szCs w:val="20"/>
                <w:color w:val="auto"/>
              </w:rPr>
            </w:pPr>
            <w:r>
              <w:rPr>
                <w:rFonts w:ascii="Arial" w:cs="Arial" w:eastAsia="Arial" w:hAnsi="Arial"/>
                <w:sz w:val="18"/>
                <w:szCs w:val="18"/>
                <w:color w:val="auto"/>
                <w:w w:val="99"/>
              </w:rPr>
              <w:t>—</w:t>
            </w:r>
          </w:p>
        </w:tc>
      </w:tr>
      <w:tr>
        <w:trPr>
          <w:trHeight w:val="203"/>
        </w:trPr>
        <w:tc>
          <w:tcPr>
            <w:tcW w:w="20" w:type="dxa"/>
            <w:vAlign w:val="bottom"/>
          </w:tcPr>
          <w:p>
            <w:pPr>
              <w:spacing w:after="0"/>
              <w:rPr>
                <w:sz w:val="17"/>
                <w:szCs w:val="17"/>
                <w:color w:val="auto"/>
              </w:rPr>
            </w:pPr>
          </w:p>
        </w:tc>
        <w:tc>
          <w:tcPr>
            <w:tcW w:w="42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Rash</w:t>
            </w:r>
          </w:p>
        </w:tc>
        <w:tc>
          <w:tcPr>
            <w:tcW w:w="332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 (12.5%)</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right="72"/>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 (12.5%)</w:t>
            </w:r>
          </w:p>
        </w:tc>
      </w:tr>
      <w:tr>
        <w:trPr>
          <w:trHeight w:val="215"/>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Rash maculo-papular</w:t>
            </w:r>
          </w:p>
        </w:tc>
        <w:tc>
          <w:tcPr>
            <w:tcW w:w="332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1 (12.5%)</w:t>
            </w:r>
          </w:p>
        </w:tc>
        <w:tc>
          <w:tcPr>
            <w:tcW w:w="118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color w:val="auto"/>
                <w:w w:val="97"/>
              </w:rPr>
              <w:t>1 (12.5%)</w:t>
            </w:r>
          </w:p>
        </w:tc>
        <w:tc>
          <w:tcPr>
            <w:tcW w:w="118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14, 2019.</w:t>
      </w:r>
    </w:p>
    <w:p>
      <w:pPr>
        <w:spacing w:after="0" w:line="69" w:lineRule="exact"/>
        <w:rPr>
          <w:sz w:val="20"/>
          <w:szCs w:val="20"/>
          <w:color w:val="auto"/>
        </w:rPr>
      </w:pPr>
    </w:p>
    <w:p>
      <w:pPr>
        <w:ind w:left="520" w:hanging="316"/>
        <w:spacing w:after="0"/>
        <w:tabs>
          <w:tab w:leader="none" w:pos="520" w:val="left"/>
        </w:tabs>
        <w:numPr>
          <w:ilvl w:val="0"/>
          <w:numId w:val="89"/>
        </w:numPr>
        <w:rPr>
          <w:rFonts w:ascii="Arial" w:cs="Arial" w:eastAsia="Arial" w:hAnsi="Arial"/>
          <w:sz w:val="14"/>
          <w:szCs w:val="14"/>
          <w:color w:val="auto"/>
        </w:rPr>
      </w:pPr>
      <w:r>
        <w:rPr>
          <w:rFonts w:ascii="Arial" w:cs="Arial" w:eastAsia="Arial" w:hAnsi="Arial"/>
          <w:sz w:val="14"/>
          <w:szCs w:val="14"/>
          <w:color w:val="auto"/>
        </w:rPr>
        <w:t>Consists of eyelid edema, face edema, generalized edema, lip edema, edema, edema peripheral, periorbital edema and peripheral swelling.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Pharmacokinetics</w:t>
      </w:r>
    </w:p>
    <w:p>
      <w:pPr>
        <w:spacing w:after="0" w:line="122" w:lineRule="exact"/>
        <w:rPr>
          <w:sz w:val="20"/>
          <w:szCs w:val="20"/>
          <w:color w:val="auto"/>
        </w:rPr>
      </w:pPr>
    </w:p>
    <w:p>
      <w:pPr>
        <w:ind w:left="200" w:right="640"/>
        <w:spacing w:after="0" w:line="221" w:lineRule="auto"/>
        <w:rPr>
          <w:sz w:val="20"/>
          <w:szCs w:val="20"/>
          <w:color w:val="auto"/>
        </w:rPr>
      </w:pPr>
      <w:r>
        <w:rPr>
          <w:rFonts w:ascii="Arial" w:cs="Arial" w:eastAsia="Arial" w:hAnsi="Arial"/>
          <w:sz w:val="18"/>
          <w:szCs w:val="18"/>
          <w:color w:val="auto"/>
        </w:rPr>
        <w:t>The pharmacokinetic profiles of RMC-4630 and cobimetinib are shown in Table 13 and Figure 14. Plasma levels of RMC-4630 were consistent with those obtained in the RMC-4630-01 study and were continuously greater than our predicted EC</w:t>
      </w:r>
      <w:r>
        <w:rPr>
          <w:rFonts w:ascii="Arial" w:cs="Arial" w:eastAsia="Arial" w:hAnsi="Arial"/>
          <w:sz w:val="22"/>
          <w:szCs w:val="22"/>
          <w:color w:val="auto"/>
          <w:vertAlign w:val="subscript"/>
        </w:rPr>
        <w:t>50</w:t>
      </w:r>
      <w:r>
        <w:rPr>
          <w:rFonts w:ascii="Arial" w:cs="Arial" w:eastAsia="Arial" w:hAnsi="Arial"/>
          <w:sz w:val="18"/>
          <w:szCs w:val="18"/>
          <w:color w:val="auto"/>
        </w:rPr>
        <w:t xml:space="preserve"> for pERK inhibition in preclinical tumor models.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Table 13: </w:t>
      </w:r>
      <w:r>
        <w:rPr>
          <w:rFonts w:ascii="Arial" w:cs="Arial" w:eastAsia="Arial" w:hAnsi="Arial"/>
          <w:sz w:val="18"/>
          <w:szCs w:val="18"/>
          <w:color w:val="auto"/>
        </w:rPr>
        <w:t>Summary of pharmacokinetics in the RMC-4630-02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86360</wp:posOffset>
            </wp:positionV>
            <wp:extent cx="699770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7"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left="112"/>
              <w:spacing w:after="0"/>
              <w:rPr>
                <w:sz w:val="20"/>
                <w:szCs w:val="20"/>
                <w:color w:val="auto"/>
              </w:rPr>
            </w:pPr>
            <w:r>
              <w:rPr>
                <w:rFonts w:ascii="Arial" w:cs="Arial" w:eastAsia="Arial" w:hAnsi="Arial"/>
                <w:sz w:val="14"/>
                <w:szCs w:val="14"/>
                <w:b w:val="1"/>
                <w:bCs w:val="1"/>
                <w:color w:val="auto"/>
                <w:w w:val="96"/>
              </w:rPr>
              <w:t>Dose (mg)</w:t>
            </w: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PK parameters [Mean(CV%)]</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gridSpan w:val="2"/>
          </w:tcPr>
          <w:p>
            <w:pPr>
              <w:jc w:val="right"/>
              <w:ind w:right="95"/>
              <w:spacing w:after="0" w:line="125" w:lineRule="exact"/>
              <w:rPr>
                <w:sz w:val="20"/>
                <w:szCs w:val="20"/>
                <w:color w:val="auto"/>
              </w:rPr>
            </w:pPr>
            <w:r>
              <w:rPr>
                <w:rFonts w:ascii="Arial" w:cs="Arial" w:eastAsia="Arial" w:hAnsi="Arial"/>
                <w:sz w:val="14"/>
                <w:szCs w:val="14"/>
                <w:b w:val="1"/>
                <w:bCs w:val="1"/>
                <w:color w:val="auto"/>
              </w:rPr>
              <w:t>Median</w:t>
            </w:r>
          </w:p>
        </w:tc>
        <w:tc>
          <w:tcPr>
            <w:tcW w:w="9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restart"/>
          </w:tcPr>
          <w:p>
            <w:pPr>
              <w:jc w:val="right"/>
              <w:ind w:right="54"/>
              <w:spacing w:after="0"/>
              <w:rPr>
                <w:sz w:val="20"/>
                <w:szCs w:val="20"/>
                <w:color w:val="auto"/>
              </w:rPr>
            </w:pPr>
            <w:r>
              <w:rPr>
                <w:rFonts w:ascii="Arial" w:cs="Arial" w:eastAsia="Arial" w:hAnsi="Arial"/>
                <w:sz w:val="27"/>
                <w:szCs w:val="27"/>
                <w:b w:val="1"/>
                <w:bCs w:val="1"/>
                <w:color w:val="auto"/>
                <w:vertAlign w:val="superscript"/>
              </w:rPr>
              <w:t>C</w:t>
            </w:r>
            <w:r>
              <w:rPr>
                <w:rFonts w:ascii="Arial" w:cs="Arial" w:eastAsia="Arial" w:hAnsi="Arial"/>
                <w:sz w:val="11"/>
                <w:szCs w:val="11"/>
                <w:b w:val="1"/>
                <w:bCs w:val="1"/>
                <w:color w:val="auto"/>
              </w:rPr>
              <w:t>max</w:t>
            </w:r>
          </w:p>
        </w:tc>
        <w:tc>
          <w:tcPr>
            <w:tcW w:w="320" w:type="dxa"/>
            <w:vAlign w:val="bottom"/>
          </w:tcPr>
          <w:p>
            <w:pPr>
              <w:spacing w:after="0"/>
              <w:rPr>
                <w:sz w:val="14"/>
                <w:szCs w:val="14"/>
                <w:color w:val="auto"/>
              </w:rPr>
            </w:pPr>
          </w:p>
        </w:tc>
        <w:tc>
          <w:tcPr>
            <w:tcW w:w="480" w:type="dxa"/>
            <w:vAlign w:val="bottom"/>
          </w:tcPr>
          <w:p>
            <w:pPr>
              <w:jc w:val="right"/>
              <w:ind w:right="95"/>
              <w:spacing w:after="0" w:line="165" w:lineRule="exact"/>
              <w:rPr>
                <w:sz w:val="20"/>
                <w:szCs w:val="20"/>
                <w:color w:val="auto"/>
              </w:rPr>
            </w:pPr>
            <w:r>
              <w:rPr>
                <w:rFonts w:ascii="Arial" w:cs="Arial" w:eastAsia="Arial" w:hAnsi="Arial"/>
                <w:sz w:val="19"/>
                <w:szCs w:val="19"/>
                <w:b w:val="1"/>
                <w:bCs w:val="1"/>
                <w:color w:val="auto"/>
                <w:vertAlign w:val="superscript"/>
              </w:rPr>
              <w:t>T</w:t>
            </w:r>
            <w:r>
              <w:rPr>
                <w:rFonts w:ascii="Arial" w:cs="Arial" w:eastAsia="Arial" w:hAnsi="Arial"/>
                <w:sz w:val="9"/>
                <w:szCs w:val="9"/>
                <w:b w:val="1"/>
                <w:bCs w:val="1"/>
                <w:color w:val="auto"/>
              </w:rPr>
              <w:t>max</w:t>
            </w:r>
          </w:p>
        </w:tc>
        <w:tc>
          <w:tcPr>
            <w:tcW w:w="940" w:type="dxa"/>
            <w:vAlign w:val="bottom"/>
            <w:vMerge w:val="restart"/>
          </w:tcPr>
          <w:p>
            <w:pPr>
              <w:jc w:val="right"/>
              <w:ind w:right="174"/>
              <w:spacing w:after="0"/>
              <w:rPr>
                <w:sz w:val="20"/>
                <w:szCs w:val="20"/>
                <w:color w:val="auto"/>
              </w:rPr>
            </w:pPr>
            <w:r>
              <w:rPr>
                <w:rFonts w:ascii="Arial" w:cs="Arial" w:eastAsia="Arial" w:hAnsi="Arial"/>
                <w:sz w:val="27"/>
                <w:szCs w:val="27"/>
                <w:b w:val="1"/>
                <w:bCs w:val="1"/>
                <w:color w:val="auto"/>
                <w:vertAlign w:val="superscript"/>
              </w:rPr>
              <w:t>AUC</w:t>
            </w:r>
            <w:r>
              <w:rPr>
                <w:rFonts w:ascii="Arial" w:cs="Arial" w:eastAsia="Arial" w:hAnsi="Arial"/>
                <w:sz w:val="11"/>
                <w:szCs w:val="11"/>
                <w:b w:val="1"/>
                <w:bCs w:val="1"/>
                <w:color w:val="auto"/>
              </w:rPr>
              <w:t>0-24</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Mean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N(Cmax/</w:t>
            </w:r>
          </w:p>
        </w:tc>
        <w:tc>
          <w:tcPr>
            <w:tcW w:w="80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gridSpan w:val="2"/>
          </w:tcPr>
          <w:p>
            <w:pPr>
              <w:jc w:val="right"/>
              <w:ind w:right="95"/>
              <w:spacing w:after="0" w:line="148" w:lineRule="exact"/>
              <w:rPr>
                <w:sz w:val="20"/>
                <w:szCs w:val="20"/>
                <w:color w:val="auto"/>
              </w:rPr>
            </w:pPr>
            <w:r>
              <w:rPr>
                <w:rFonts w:ascii="Arial" w:cs="Arial" w:eastAsia="Arial" w:hAnsi="Arial"/>
                <w:sz w:val="14"/>
                <w:szCs w:val="14"/>
                <w:b w:val="1"/>
                <w:bCs w:val="1"/>
                <w:color w:val="auto"/>
              </w:rPr>
              <w:t>(range)</w:t>
            </w:r>
          </w:p>
        </w:tc>
        <w:tc>
          <w:tcPr>
            <w:tcW w:w="940" w:type="dxa"/>
            <w:vAlign w:val="bottom"/>
            <w:tcBorders>
              <w:bottom w:val="single" w:sz="8" w:color="auto"/>
            </w:tcBorders>
            <w:vMerge w:val="continue"/>
          </w:tcPr>
          <w:p>
            <w:pPr>
              <w:spacing w:after="0"/>
              <w:rPr>
                <w:sz w:val="12"/>
                <w:szCs w:val="12"/>
                <w:color w:val="auto"/>
              </w:rPr>
            </w:pPr>
          </w:p>
        </w:tc>
        <w:tc>
          <w:tcPr>
            <w:tcW w:w="1160" w:type="dxa"/>
            <w:vAlign w:val="bottom"/>
            <w:gridSpan w:val="2"/>
          </w:tcPr>
          <w:p>
            <w:pPr>
              <w:jc w:val="right"/>
              <w:ind w:right="60"/>
              <w:spacing w:after="0" w:line="148" w:lineRule="exact"/>
              <w:rPr>
                <w:sz w:val="20"/>
                <w:szCs w:val="20"/>
                <w:color w:val="auto"/>
              </w:rPr>
            </w:pPr>
            <w:r>
              <w:rPr>
                <w:rFonts w:ascii="Arial" w:cs="Arial" w:eastAsia="Arial" w:hAnsi="Arial"/>
                <w:sz w:val="14"/>
                <w:szCs w:val="14"/>
                <w:b w:val="1"/>
                <w:bCs w:val="1"/>
                <w:color w:val="auto"/>
              </w:rPr>
              <w:t>accumulation</w:t>
            </w:r>
          </w:p>
        </w:tc>
        <w:tc>
          <w:tcPr>
            <w:tcW w:w="0" w:type="dxa"/>
            <w:vAlign w:val="bottom"/>
          </w:tcPr>
          <w:p>
            <w:pPr>
              <w:spacing w:after="0"/>
              <w:rPr>
                <w:sz w:val="1"/>
                <w:szCs w:val="1"/>
                <w:color w:val="auto"/>
              </w:rPr>
            </w:pPr>
          </w:p>
        </w:tc>
      </w:tr>
      <w:tr>
        <w:trPr>
          <w:trHeight w:val="143"/>
        </w:trPr>
        <w:tc>
          <w:tcPr>
            <w:tcW w:w="2740" w:type="dxa"/>
            <w:vAlign w:val="bottom"/>
            <w:gridSpan w:val="2"/>
          </w:tcPr>
          <w:p>
            <w:pPr>
              <w:spacing w:after="0" w:line="143" w:lineRule="exact"/>
              <w:rPr>
                <w:sz w:val="20"/>
                <w:szCs w:val="20"/>
                <w:color w:val="auto"/>
              </w:rPr>
            </w:pPr>
            <w:r>
              <w:rPr>
                <w:rFonts w:ascii="Arial" w:cs="Arial" w:eastAsia="Arial" w:hAnsi="Arial"/>
                <w:sz w:val="14"/>
                <w:szCs w:val="14"/>
                <w:b w:val="1"/>
                <w:bCs w:val="1"/>
                <w:color w:val="auto"/>
              </w:rPr>
              <w:t>Study</w:t>
            </w:r>
          </w:p>
        </w:tc>
        <w:tc>
          <w:tcPr>
            <w:tcW w:w="160" w:type="dxa"/>
            <w:vAlign w:val="bottom"/>
          </w:tcPr>
          <w:p>
            <w:pPr>
              <w:spacing w:after="0"/>
              <w:rPr>
                <w:sz w:val="12"/>
                <w:szCs w:val="12"/>
                <w:color w:val="auto"/>
              </w:rPr>
            </w:pPr>
          </w:p>
        </w:tc>
        <w:tc>
          <w:tcPr>
            <w:tcW w:w="760" w:type="dxa"/>
            <w:vAlign w:val="bottom"/>
          </w:tcPr>
          <w:p>
            <w:pPr>
              <w:jc w:val="right"/>
              <w:ind w:right="32"/>
              <w:spacing w:after="0" w:line="143" w:lineRule="exact"/>
              <w:rPr>
                <w:sz w:val="20"/>
                <w:szCs w:val="20"/>
                <w:color w:val="auto"/>
              </w:rPr>
            </w:pPr>
            <w:r>
              <w:rPr>
                <w:rFonts w:ascii="Arial" w:cs="Arial" w:eastAsia="Arial" w:hAnsi="Arial"/>
                <w:sz w:val="14"/>
                <w:szCs w:val="14"/>
                <w:b w:val="1"/>
                <w:bCs w:val="1"/>
                <w:color w:val="auto"/>
                <w:w w:val="94"/>
              </w:rPr>
              <w:t>RMC-4630</w:t>
            </w:r>
          </w:p>
        </w:tc>
        <w:tc>
          <w:tcPr>
            <w:tcW w:w="920" w:type="dxa"/>
            <w:vAlign w:val="bottom"/>
          </w:tcPr>
          <w:p>
            <w:pPr>
              <w:ind w:left="100"/>
              <w:spacing w:after="0" w:line="143" w:lineRule="exact"/>
              <w:rPr>
                <w:sz w:val="20"/>
                <w:szCs w:val="20"/>
                <w:color w:val="auto"/>
              </w:rPr>
            </w:pPr>
            <w:r>
              <w:rPr>
                <w:rFonts w:ascii="Arial" w:cs="Arial" w:eastAsia="Arial" w:hAnsi="Arial"/>
                <w:sz w:val="14"/>
                <w:szCs w:val="14"/>
                <w:b w:val="1"/>
                <w:bCs w:val="1"/>
                <w:color w:val="auto"/>
                <w:w w:val="98"/>
              </w:rPr>
              <w:t>Cobimetinib</w:t>
            </w:r>
          </w:p>
        </w:tc>
        <w:tc>
          <w:tcPr>
            <w:tcW w:w="1020" w:type="dxa"/>
            <w:vAlign w:val="bottom"/>
          </w:tcPr>
          <w:p>
            <w:pPr>
              <w:ind w:left="440"/>
              <w:spacing w:after="0" w:line="143" w:lineRule="exact"/>
              <w:rPr>
                <w:sz w:val="20"/>
                <w:szCs w:val="20"/>
                <w:color w:val="auto"/>
              </w:rPr>
            </w:pPr>
            <w:r>
              <w:rPr>
                <w:rFonts w:ascii="Arial" w:cs="Arial" w:eastAsia="Arial" w:hAnsi="Arial"/>
                <w:sz w:val="14"/>
                <w:szCs w:val="14"/>
                <w:b w:val="1"/>
                <w:bCs w:val="1"/>
                <w:color w:val="auto"/>
              </w:rPr>
              <w:t>Analyte</w:t>
            </w:r>
          </w:p>
        </w:tc>
        <w:tc>
          <w:tcPr>
            <w:tcW w:w="580" w:type="dxa"/>
            <w:vAlign w:val="bottom"/>
          </w:tcPr>
          <w:p>
            <w:pPr>
              <w:jc w:val="right"/>
              <w:ind w:right="52"/>
              <w:spacing w:after="0" w:line="143" w:lineRule="exact"/>
              <w:rPr>
                <w:sz w:val="20"/>
                <w:szCs w:val="20"/>
                <w:color w:val="auto"/>
              </w:rPr>
            </w:pPr>
            <w:r>
              <w:rPr>
                <w:rFonts w:ascii="Arial" w:cs="Arial" w:eastAsia="Arial" w:hAnsi="Arial"/>
                <w:sz w:val="14"/>
                <w:szCs w:val="14"/>
                <w:b w:val="1"/>
                <w:bCs w:val="1"/>
                <w:color w:val="auto"/>
              </w:rPr>
              <w:t>Cycle</w:t>
            </w:r>
          </w:p>
        </w:tc>
        <w:tc>
          <w:tcPr>
            <w:tcW w:w="460" w:type="dxa"/>
            <w:vAlign w:val="bottom"/>
          </w:tcPr>
          <w:p>
            <w:pPr>
              <w:jc w:val="right"/>
              <w:ind w:right="52"/>
              <w:spacing w:after="0" w:line="143" w:lineRule="exact"/>
              <w:rPr>
                <w:sz w:val="20"/>
                <w:szCs w:val="20"/>
                <w:color w:val="auto"/>
              </w:rPr>
            </w:pPr>
            <w:r>
              <w:rPr>
                <w:rFonts w:ascii="Arial" w:cs="Arial" w:eastAsia="Arial" w:hAnsi="Arial"/>
                <w:sz w:val="14"/>
                <w:szCs w:val="14"/>
                <w:b w:val="1"/>
                <w:bCs w:val="1"/>
                <w:color w:val="auto"/>
              </w:rPr>
              <w:t>Day</w:t>
            </w:r>
          </w:p>
        </w:tc>
        <w:tc>
          <w:tcPr>
            <w:tcW w:w="700" w:type="dxa"/>
            <w:vAlign w:val="bottom"/>
          </w:tcPr>
          <w:p>
            <w:pPr>
              <w:jc w:val="right"/>
              <w:spacing w:after="0" w:line="143" w:lineRule="exact"/>
              <w:rPr>
                <w:sz w:val="20"/>
                <w:szCs w:val="20"/>
                <w:color w:val="auto"/>
              </w:rPr>
            </w:pPr>
            <w:r>
              <w:rPr>
                <w:rFonts w:ascii="Arial" w:cs="Arial" w:eastAsia="Arial" w:hAnsi="Arial"/>
                <w:sz w:val="14"/>
                <w:szCs w:val="14"/>
                <w:b w:val="1"/>
                <w:bCs w:val="1"/>
                <w:color w:val="auto"/>
              </w:rPr>
              <w:t>AUC)</w:t>
            </w:r>
          </w:p>
        </w:tc>
        <w:tc>
          <w:tcPr>
            <w:tcW w:w="800" w:type="dxa"/>
            <w:vAlign w:val="bottom"/>
          </w:tcPr>
          <w:p>
            <w:pPr>
              <w:jc w:val="right"/>
              <w:ind w:right="54"/>
              <w:spacing w:after="0" w:line="143" w:lineRule="exact"/>
              <w:rPr>
                <w:sz w:val="20"/>
                <w:szCs w:val="20"/>
                <w:color w:val="auto"/>
              </w:rPr>
            </w:pPr>
            <w:r>
              <w:rPr>
                <w:rFonts w:ascii="Arial" w:cs="Arial" w:eastAsia="Arial" w:hAnsi="Arial"/>
                <w:sz w:val="14"/>
                <w:szCs w:val="14"/>
                <w:b w:val="1"/>
                <w:bCs w:val="1"/>
                <w:color w:val="auto"/>
              </w:rPr>
              <w:t>µM</w:t>
            </w:r>
          </w:p>
        </w:tc>
        <w:tc>
          <w:tcPr>
            <w:tcW w:w="320" w:type="dxa"/>
            <w:vAlign w:val="bottom"/>
          </w:tcPr>
          <w:p>
            <w:pPr>
              <w:spacing w:after="0"/>
              <w:rPr>
                <w:sz w:val="12"/>
                <w:szCs w:val="12"/>
                <w:color w:val="auto"/>
              </w:rPr>
            </w:pPr>
          </w:p>
        </w:tc>
        <w:tc>
          <w:tcPr>
            <w:tcW w:w="480" w:type="dxa"/>
            <w:vAlign w:val="bottom"/>
          </w:tcPr>
          <w:p>
            <w:pPr>
              <w:jc w:val="right"/>
              <w:ind w:right="95"/>
              <w:spacing w:after="0" w:line="143" w:lineRule="exact"/>
              <w:rPr>
                <w:sz w:val="20"/>
                <w:szCs w:val="20"/>
                <w:color w:val="auto"/>
              </w:rPr>
            </w:pPr>
            <w:r>
              <w:rPr>
                <w:rFonts w:ascii="Arial" w:cs="Arial" w:eastAsia="Arial" w:hAnsi="Arial"/>
                <w:sz w:val="14"/>
                <w:szCs w:val="14"/>
                <w:b w:val="1"/>
                <w:bCs w:val="1"/>
                <w:color w:val="auto"/>
              </w:rPr>
              <w:t>h</w:t>
            </w:r>
          </w:p>
        </w:tc>
        <w:tc>
          <w:tcPr>
            <w:tcW w:w="940" w:type="dxa"/>
            <w:vAlign w:val="bottom"/>
          </w:tcPr>
          <w:p>
            <w:pPr>
              <w:jc w:val="right"/>
              <w:ind w:right="174"/>
              <w:spacing w:after="0" w:line="143" w:lineRule="exact"/>
              <w:rPr>
                <w:sz w:val="20"/>
                <w:szCs w:val="20"/>
                <w:color w:val="auto"/>
              </w:rPr>
            </w:pPr>
            <w:r>
              <w:rPr>
                <w:rFonts w:ascii="Arial" w:cs="Arial" w:eastAsia="Arial" w:hAnsi="Arial"/>
                <w:sz w:val="14"/>
                <w:szCs w:val="14"/>
                <w:b w:val="1"/>
                <w:bCs w:val="1"/>
                <w:color w:val="auto"/>
              </w:rPr>
              <w:t>µM*h</w:t>
            </w:r>
          </w:p>
        </w:tc>
        <w:tc>
          <w:tcPr>
            <w:tcW w:w="1160" w:type="dxa"/>
            <w:vAlign w:val="bottom"/>
            <w:gridSpan w:val="2"/>
          </w:tcPr>
          <w:p>
            <w:pPr>
              <w:jc w:val="right"/>
              <w:ind w:right="60"/>
              <w:spacing w:after="0" w:line="143" w:lineRule="exact"/>
              <w:rPr>
                <w:sz w:val="20"/>
                <w:szCs w:val="20"/>
                <w:color w:val="auto"/>
              </w:rPr>
            </w:pPr>
            <w:r>
              <w:rPr>
                <w:rFonts w:ascii="Arial" w:cs="Arial" w:eastAsia="Arial" w:hAnsi="Arial"/>
                <w:sz w:val="14"/>
                <w:szCs w:val="14"/>
                <w:b w:val="1"/>
                <w:bCs w:val="1"/>
                <w:color w:val="auto"/>
              </w:rPr>
              <w:t>(AUC Ratio)</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20" w:type="dxa"/>
            <w:vAlign w:val="bottom"/>
            <w:tcBorders>
              <w:top w:val="single" w:sz="8" w:color="auto"/>
            </w:tcBorders>
            <w:shd w:val="clear" w:color="auto" w:fill="CCEEFF"/>
          </w:tcPr>
          <w:p>
            <w:pPr>
              <w:spacing w:after="0" w:line="141" w:lineRule="exact"/>
              <w:rPr>
                <w:sz w:val="20"/>
                <w:szCs w:val="20"/>
                <w:color w:val="auto"/>
              </w:rPr>
            </w:pPr>
            <w:r>
              <w:rPr>
                <w:rFonts w:ascii="Arial" w:cs="Arial" w:eastAsia="Arial" w:hAnsi="Arial"/>
                <w:sz w:val="14"/>
                <w:szCs w:val="14"/>
                <w:color w:val="auto"/>
              </w:rPr>
              <w:t>RMC-4630-02</w:t>
            </w:r>
          </w:p>
        </w:tc>
        <w:tc>
          <w:tcPr>
            <w:tcW w:w="920" w:type="dxa"/>
            <w:vAlign w:val="bottom"/>
            <w:tcBorders>
              <w:top w:val="single" w:sz="8" w:color="auto"/>
            </w:tcBorders>
            <w:gridSpan w:val="2"/>
            <w:shd w:val="clear" w:color="auto" w:fill="CCEEFF"/>
          </w:tcPr>
          <w:p>
            <w:pPr>
              <w:jc w:val="right"/>
              <w:ind w:right="232"/>
              <w:spacing w:after="0" w:line="141" w:lineRule="exact"/>
              <w:rPr>
                <w:sz w:val="20"/>
                <w:szCs w:val="20"/>
                <w:color w:val="auto"/>
              </w:rPr>
            </w:pPr>
            <w:r>
              <w:rPr>
                <w:rFonts w:ascii="Arial" w:cs="Arial" w:eastAsia="Arial" w:hAnsi="Arial"/>
                <w:sz w:val="14"/>
                <w:szCs w:val="14"/>
                <w:color w:val="auto"/>
              </w:rPr>
              <w:t>80</w:t>
            </w:r>
          </w:p>
        </w:tc>
        <w:tc>
          <w:tcPr>
            <w:tcW w:w="920" w:type="dxa"/>
            <w:vAlign w:val="bottom"/>
            <w:tcBorders>
              <w:top w:val="single" w:sz="8" w:color="auto"/>
            </w:tcBorders>
            <w:shd w:val="clear" w:color="auto" w:fill="CCEEFF"/>
          </w:tcPr>
          <w:p>
            <w:pPr>
              <w:jc w:val="center"/>
              <w:ind w:left="132"/>
              <w:spacing w:after="0" w:line="141" w:lineRule="exact"/>
              <w:rPr>
                <w:sz w:val="20"/>
                <w:szCs w:val="20"/>
                <w:color w:val="auto"/>
              </w:rPr>
            </w:pPr>
            <w:r>
              <w:rPr>
                <w:rFonts w:ascii="Arial" w:cs="Arial" w:eastAsia="Arial" w:hAnsi="Arial"/>
                <w:sz w:val="14"/>
                <w:szCs w:val="14"/>
                <w:color w:val="auto"/>
              </w:rPr>
              <w:t>20</w:t>
            </w:r>
          </w:p>
        </w:tc>
        <w:tc>
          <w:tcPr>
            <w:tcW w:w="1020" w:type="dxa"/>
            <w:vAlign w:val="bottom"/>
            <w:tcBorders>
              <w:top w:val="single" w:sz="8" w:color="auto"/>
            </w:tcBorders>
            <w:shd w:val="clear" w:color="auto" w:fill="CCEEFF"/>
          </w:tcPr>
          <w:p>
            <w:pPr>
              <w:jc w:val="center"/>
              <w:ind w:left="32"/>
              <w:spacing w:after="0" w:line="141" w:lineRule="exact"/>
              <w:rPr>
                <w:sz w:val="20"/>
                <w:szCs w:val="20"/>
                <w:color w:val="auto"/>
              </w:rPr>
            </w:pPr>
            <w:r>
              <w:rPr>
                <w:rFonts w:ascii="Arial" w:cs="Arial" w:eastAsia="Arial" w:hAnsi="Arial"/>
                <w:sz w:val="14"/>
                <w:szCs w:val="14"/>
                <w:color w:val="auto"/>
                <w:w w:val="94"/>
              </w:rPr>
              <w:t>RMC-4630</w:t>
            </w:r>
          </w:p>
        </w:tc>
        <w:tc>
          <w:tcPr>
            <w:tcW w:w="580" w:type="dxa"/>
            <w:vAlign w:val="bottom"/>
            <w:tcBorders>
              <w:top w:val="single" w:sz="8" w:color="auto"/>
            </w:tcBorders>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1</w:t>
            </w:r>
          </w:p>
        </w:tc>
        <w:tc>
          <w:tcPr>
            <w:tcW w:w="460" w:type="dxa"/>
            <w:vAlign w:val="bottom"/>
            <w:tcBorders>
              <w:top w:val="single" w:sz="8" w:color="auto"/>
            </w:tcBorders>
            <w:shd w:val="clear" w:color="auto" w:fill="CCEEFF"/>
          </w:tcPr>
          <w:p>
            <w:pPr>
              <w:jc w:val="right"/>
              <w:ind w:right="52"/>
              <w:spacing w:after="0" w:line="141" w:lineRule="exact"/>
              <w:rPr>
                <w:sz w:val="20"/>
                <w:szCs w:val="20"/>
                <w:color w:val="auto"/>
              </w:rPr>
            </w:pPr>
            <w:r>
              <w:rPr>
                <w:rFonts w:ascii="Arial" w:cs="Arial" w:eastAsia="Arial" w:hAnsi="Arial"/>
                <w:sz w:val="14"/>
                <w:szCs w:val="14"/>
                <w:color w:val="auto"/>
              </w:rPr>
              <w:t>1</w:t>
            </w:r>
          </w:p>
        </w:tc>
        <w:tc>
          <w:tcPr>
            <w:tcW w:w="700" w:type="dxa"/>
            <w:vAlign w:val="bottom"/>
            <w:tcBorders>
              <w:top w:val="single" w:sz="8" w:color="auto"/>
            </w:tcBorders>
            <w:shd w:val="clear" w:color="auto" w:fill="CCEEFF"/>
          </w:tcPr>
          <w:p>
            <w:pPr>
              <w:jc w:val="right"/>
              <w:ind w:right="132"/>
              <w:spacing w:after="0" w:line="141" w:lineRule="exact"/>
              <w:rPr>
                <w:sz w:val="20"/>
                <w:szCs w:val="20"/>
                <w:color w:val="auto"/>
              </w:rPr>
            </w:pPr>
            <w:r>
              <w:rPr>
                <w:rFonts w:ascii="Arial" w:cs="Arial" w:eastAsia="Arial" w:hAnsi="Arial"/>
                <w:sz w:val="14"/>
                <w:szCs w:val="14"/>
                <w:color w:val="auto"/>
              </w:rPr>
              <w:t>8/8</w:t>
            </w:r>
          </w:p>
        </w:tc>
        <w:tc>
          <w:tcPr>
            <w:tcW w:w="800" w:type="dxa"/>
            <w:vAlign w:val="bottom"/>
            <w:tcBorders>
              <w:top w:val="single" w:sz="8" w:color="auto"/>
            </w:tcBorders>
            <w:shd w:val="clear" w:color="auto" w:fill="CCEEFF"/>
          </w:tcPr>
          <w:p>
            <w:pPr>
              <w:jc w:val="right"/>
              <w:ind w:right="54"/>
              <w:spacing w:after="0" w:line="141" w:lineRule="exact"/>
              <w:rPr>
                <w:sz w:val="20"/>
                <w:szCs w:val="20"/>
                <w:color w:val="auto"/>
              </w:rPr>
            </w:pPr>
            <w:r>
              <w:rPr>
                <w:rFonts w:ascii="Arial" w:cs="Arial" w:eastAsia="Arial" w:hAnsi="Arial"/>
                <w:sz w:val="14"/>
                <w:szCs w:val="14"/>
                <w:color w:val="auto"/>
              </w:rPr>
              <w:t>0.518 (47)</w:t>
            </w:r>
          </w:p>
        </w:tc>
        <w:tc>
          <w:tcPr>
            <w:tcW w:w="320" w:type="dxa"/>
            <w:vAlign w:val="bottom"/>
            <w:tcBorders>
              <w:top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3</w:t>
            </w:r>
          </w:p>
        </w:tc>
        <w:tc>
          <w:tcPr>
            <w:tcW w:w="480" w:type="dxa"/>
            <w:vAlign w:val="bottom"/>
            <w:tcBorders>
              <w:top w:val="single" w:sz="8" w:color="auto"/>
            </w:tcBorders>
            <w:shd w:val="clear" w:color="auto" w:fill="CCEEFF"/>
          </w:tcPr>
          <w:p>
            <w:pPr>
              <w:jc w:val="right"/>
              <w:ind w:right="95"/>
              <w:spacing w:after="0" w:line="141" w:lineRule="exact"/>
              <w:rPr>
                <w:sz w:val="20"/>
                <w:szCs w:val="20"/>
                <w:color w:val="auto"/>
              </w:rPr>
            </w:pPr>
            <w:r>
              <w:rPr>
                <w:rFonts w:ascii="Arial" w:cs="Arial" w:eastAsia="Arial" w:hAnsi="Arial"/>
                <w:sz w:val="14"/>
                <w:szCs w:val="14"/>
                <w:color w:val="auto"/>
              </w:rPr>
              <w:t>(1-4)</w:t>
            </w:r>
          </w:p>
        </w:tc>
        <w:tc>
          <w:tcPr>
            <w:tcW w:w="940" w:type="dxa"/>
            <w:vAlign w:val="bottom"/>
            <w:tcBorders>
              <w:top w:val="single" w:sz="8" w:color="auto"/>
            </w:tcBorders>
            <w:shd w:val="clear" w:color="auto" w:fill="CCEEFF"/>
          </w:tcPr>
          <w:p>
            <w:pPr>
              <w:jc w:val="right"/>
              <w:ind w:right="174"/>
              <w:spacing w:after="0" w:line="141" w:lineRule="exact"/>
              <w:rPr>
                <w:sz w:val="20"/>
                <w:szCs w:val="20"/>
                <w:color w:val="auto"/>
              </w:rPr>
            </w:pPr>
            <w:r>
              <w:rPr>
                <w:rFonts w:ascii="Arial" w:cs="Arial" w:eastAsia="Arial" w:hAnsi="Arial"/>
                <w:sz w:val="14"/>
                <w:szCs w:val="14"/>
                <w:color w:val="auto"/>
              </w:rPr>
              <w:t>6.14 (35)</w:t>
            </w:r>
          </w:p>
        </w:tc>
        <w:tc>
          <w:tcPr>
            <w:tcW w:w="11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w:t>
            </w:r>
          </w:p>
        </w:tc>
        <w:tc>
          <w:tcPr>
            <w:tcW w:w="800" w:type="dxa"/>
            <w:vAlign w:val="bottom"/>
            <w:shd w:val="clear" w:color="auto" w:fill="CCEEFF"/>
          </w:tcPr>
          <w:p>
            <w:pPr>
              <w:jc w:val="right"/>
              <w:ind w:right="54"/>
              <w:spacing w:after="0" w:line="149" w:lineRule="exact"/>
              <w:rPr>
                <w:sz w:val="20"/>
                <w:szCs w:val="20"/>
                <w:color w:val="auto"/>
              </w:rPr>
            </w:pPr>
            <w:r>
              <w:rPr>
                <w:rFonts w:ascii="Arial" w:cs="Arial" w:eastAsia="Arial" w:hAnsi="Arial"/>
                <w:sz w:val="14"/>
                <w:szCs w:val="14"/>
                <w:color w:val="auto"/>
              </w:rPr>
              <w:t>0.657 (53)</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(1-4)</w:t>
            </w:r>
          </w:p>
        </w:tc>
        <w:tc>
          <w:tcPr>
            <w:tcW w:w="940" w:type="dxa"/>
            <w:vAlign w:val="bottom"/>
            <w:shd w:val="clear" w:color="auto" w:fill="CCEEFF"/>
          </w:tcPr>
          <w:p>
            <w:pPr>
              <w:jc w:val="right"/>
              <w:ind w:right="174"/>
              <w:spacing w:after="0" w:line="149" w:lineRule="exact"/>
              <w:rPr>
                <w:sz w:val="20"/>
                <w:szCs w:val="20"/>
                <w:color w:val="auto"/>
              </w:rPr>
            </w:pPr>
            <w:r>
              <w:rPr>
                <w:rFonts w:ascii="Arial" w:cs="Arial" w:eastAsia="Arial" w:hAnsi="Arial"/>
                <w:sz w:val="14"/>
                <w:szCs w:val="14"/>
                <w:color w:val="auto"/>
              </w:rPr>
              <w:t>10.7 (67)</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jc w:val="center"/>
              <w:ind w:left="32"/>
              <w:spacing w:after="0" w:line="149" w:lineRule="exact"/>
              <w:rPr>
                <w:sz w:val="20"/>
                <w:szCs w:val="20"/>
                <w:color w:val="auto"/>
              </w:rPr>
            </w:pPr>
            <w:r>
              <w:rPr>
                <w:rFonts w:ascii="Arial" w:cs="Arial" w:eastAsia="Arial" w:hAnsi="Arial"/>
                <w:sz w:val="14"/>
                <w:szCs w:val="14"/>
                <w:color w:val="auto"/>
                <w:w w:val="97"/>
              </w:rPr>
              <w:t>Cobimetinib</w:t>
            </w:r>
          </w:p>
        </w:tc>
        <w:tc>
          <w:tcPr>
            <w:tcW w:w="5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800" w:type="dxa"/>
            <w:vAlign w:val="bottom"/>
            <w:shd w:val="clear" w:color="auto" w:fill="CCEEFF"/>
          </w:tcPr>
          <w:p>
            <w:pPr>
              <w:jc w:val="right"/>
              <w:ind w:right="54"/>
              <w:spacing w:after="0" w:line="149" w:lineRule="exact"/>
              <w:rPr>
                <w:sz w:val="20"/>
                <w:szCs w:val="20"/>
                <w:color w:val="auto"/>
              </w:rPr>
            </w:pPr>
            <w:r>
              <w:rPr>
                <w:rFonts w:ascii="Arial" w:cs="Arial" w:eastAsia="Arial" w:hAnsi="Arial"/>
                <w:sz w:val="14"/>
                <w:szCs w:val="14"/>
                <w:color w:val="auto"/>
              </w:rPr>
              <w:t>0.126 (71)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48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(1-4)</w:t>
            </w:r>
          </w:p>
        </w:tc>
        <w:tc>
          <w:tcPr>
            <w:tcW w:w="940" w:type="dxa"/>
            <w:vAlign w:val="bottom"/>
            <w:shd w:val="clear" w:color="auto" w:fill="CCEEFF"/>
          </w:tcPr>
          <w:p>
            <w:pPr>
              <w:jc w:val="right"/>
              <w:ind w:right="174"/>
              <w:spacing w:after="0" w:line="149" w:lineRule="exact"/>
              <w:rPr>
                <w:sz w:val="20"/>
                <w:szCs w:val="20"/>
                <w:color w:val="auto"/>
              </w:rPr>
            </w:pPr>
            <w:r>
              <w:rPr>
                <w:rFonts w:ascii="Arial" w:cs="Arial" w:eastAsia="Arial" w:hAnsi="Arial"/>
                <w:sz w:val="14"/>
                <w:szCs w:val="14"/>
                <w:color w:val="auto"/>
              </w:rPr>
              <w:t>1.55 (85)</w:t>
            </w:r>
          </w:p>
        </w:tc>
        <w:tc>
          <w:tcPr>
            <w:tcW w:w="1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15</w:t>
            </w:r>
          </w:p>
        </w:tc>
        <w:tc>
          <w:tcPr>
            <w:tcW w:w="70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5/5</w:t>
            </w:r>
          </w:p>
        </w:tc>
        <w:tc>
          <w:tcPr>
            <w:tcW w:w="800" w:type="dxa"/>
            <w:vAlign w:val="bottom"/>
            <w:shd w:val="clear" w:color="auto" w:fill="CCEEFF"/>
          </w:tcPr>
          <w:p>
            <w:pPr>
              <w:jc w:val="right"/>
              <w:ind w:right="54"/>
              <w:spacing w:after="0" w:line="149" w:lineRule="exact"/>
              <w:rPr>
                <w:sz w:val="20"/>
                <w:szCs w:val="20"/>
                <w:color w:val="auto"/>
              </w:rPr>
            </w:pPr>
            <w:r>
              <w:rPr>
                <w:rFonts w:ascii="Arial" w:cs="Arial" w:eastAsia="Arial" w:hAnsi="Arial"/>
                <w:sz w:val="14"/>
                <w:szCs w:val="14"/>
                <w:color w:val="auto"/>
              </w:rPr>
              <w:t>0.374 (41)</w:t>
            </w: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480" w:type="dxa"/>
            <w:vAlign w:val="bottom"/>
            <w:shd w:val="clear" w:color="auto" w:fill="CCEEFF"/>
          </w:tcPr>
          <w:p>
            <w:pPr>
              <w:jc w:val="right"/>
              <w:ind w:right="95"/>
              <w:spacing w:after="0" w:line="149" w:lineRule="exact"/>
              <w:rPr>
                <w:sz w:val="20"/>
                <w:szCs w:val="20"/>
                <w:color w:val="auto"/>
              </w:rPr>
            </w:pPr>
            <w:r>
              <w:rPr>
                <w:rFonts w:ascii="Arial" w:cs="Arial" w:eastAsia="Arial" w:hAnsi="Arial"/>
                <w:sz w:val="14"/>
                <w:szCs w:val="14"/>
                <w:color w:val="auto"/>
              </w:rPr>
              <w:t>(1-8)</w:t>
            </w:r>
          </w:p>
        </w:tc>
        <w:tc>
          <w:tcPr>
            <w:tcW w:w="940" w:type="dxa"/>
            <w:vAlign w:val="bottom"/>
            <w:shd w:val="clear" w:color="auto" w:fill="CCEEFF"/>
          </w:tcPr>
          <w:p>
            <w:pPr>
              <w:jc w:val="right"/>
              <w:ind w:right="174"/>
              <w:spacing w:after="0" w:line="149" w:lineRule="exact"/>
              <w:rPr>
                <w:sz w:val="20"/>
                <w:szCs w:val="20"/>
                <w:color w:val="auto"/>
              </w:rPr>
            </w:pPr>
            <w:r>
              <w:rPr>
                <w:rFonts w:ascii="Arial" w:cs="Arial" w:eastAsia="Arial" w:hAnsi="Arial"/>
                <w:sz w:val="14"/>
                <w:szCs w:val="14"/>
                <w:color w:val="auto"/>
              </w:rPr>
              <w:t>7.09 (51)</w:t>
            </w:r>
          </w:p>
        </w:tc>
        <w:tc>
          <w:tcPr>
            <w:tcW w:w="1120" w:type="dxa"/>
            <w:vAlign w:val="bottom"/>
            <w:shd w:val="clear" w:color="auto" w:fill="CCEEFF"/>
          </w:tcPr>
          <w:p>
            <w:pPr>
              <w:jc w:val="right"/>
              <w:ind w:right="492"/>
              <w:spacing w:after="0" w:line="149" w:lineRule="exact"/>
              <w:rPr>
                <w:sz w:val="20"/>
                <w:szCs w:val="20"/>
                <w:color w:val="auto"/>
              </w:rPr>
            </w:pPr>
            <w:r>
              <w:rPr>
                <w:rFonts w:ascii="Arial" w:cs="Arial" w:eastAsia="Arial" w:hAnsi="Arial"/>
                <w:sz w:val="14"/>
                <w:szCs w:val="14"/>
                <w:color w:val="auto"/>
              </w:rPr>
              <w:t>4.6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20" w:type="dxa"/>
            <w:vAlign w:val="bottom"/>
          </w:tcPr>
          <w:p>
            <w:pPr>
              <w:spacing w:after="0" w:line="148" w:lineRule="exact"/>
              <w:rPr>
                <w:sz w:val="20"/>
                <w:szCs w:val="20"/>
                <w:color w:val="auto"/>
              </w:rPr>
            </w:pPr>
            <w:r>
              <w:rPr>
                <w:rFonts w:ascii="Arial" w:cs="Arial" w:eastAsia="Arial" w:hAnsi="Arial"/>
                <w:sz w:val="14"/>
                <w:szCs w:val="14"/>
                <w:color w:val="auto"/>
              </w:rPr>
              <w:t>RMC-4630-01</w:t>
            </w:r>
          </w:p>
        </w:tc>
        <w:tc>
          <w:tcPr>
            <w:tcW w:w="160" w:type="dxa"/>
            <w:vAlign w:val="bottom"/>
          </w:tcPr>
          <w:p>
            <w:pPr>
              <w:spacing w:after="0"/>
              <w:rPr>
                <w:sz w:val="12"/>
                <w:szCs w:val="12"/>
                <w:color w:val="auto"/>
              </w:rPr>
            </w:pPr>
          </w:p>
        </w:tc>
        <w:tc>
          <w:tcPr>
            <w:tcW w:w="760" w:type="dxa"/>
            <w:vAlign w:val="bottom"/>
          </w:tcPr>
          <w:p>
            <w:pPr>
              <w:jc w:val="right"/>
              <w:ind w:right="232"/>
              <w:spacing w:after="0" w:line="148" w:lineRule="exact"/>
              <w:rPr>
                <w:sz w:val="20"/>
                <w:szCs w:val="20"/>
                <w:color w:val="auto"/>
              </w:rPr>
            </w:pPr>
            <w:r>
              <w:rPr>
                <w:rFonts w:ascii="Arial" w:cs="Arial" w:eastAsia="Arial" w:hAnsi="Arial"/>
                <w:sz w:val="14"/>
                <w:szCs w:val="14"/>
                <w:color w:val="auto"/>
              </w:rPr>
              <w:t>80</w:t>
            </w:r>
          </w:p>
        </w:tc>
        <w:tc>
          <w:tcPr>
            <w:tcW w:w="920" w:type="dxa"/>
            <w:vAlign w:val="bottom"/>
          </w:tcPr>
          <w:p>
            <w:pPr>
              <w:jc w:val="center"/>
              <w:ind w:left="132"/>
              <w:spacing w:after="0" w:line="148" w:lineRule="exact"/>
              <w:rPr>
                <w:sz w:val="20"/>
                <w:szCs w:val="20"/>
                <w:color w:val="auto"/>
              </w:rPr>
            </w:pPr>
            <w:r>
              <w:rPr>
                <w:rFonts w:ascii="Arial" w:cs="Arial" w:eastAsia="Arial" w:hAnsi="Arial"/>
                <w:sz w:val="14"/>
                <w:szCs w:val="14"/>
                <w:color w:val="auto"/>
              </w:rPr>
              <w:t>NA</w:t>
            </w:r>
          </w:p>
        </w:tc>
        <w:tc>
          <w:tcPr>
            <w:tcW w:w="1020" w:type="dxa"/>
            <w:vAlign w:val="bottom"/>
          </w:tcPr>
          <w:p>
            <w:pPr>
              <w:jc w:val="center"/>
              <w:ind w:left="32"/>
              <w:spacing w:after="0" w:line="148" w:lineRule="exact"/>
              <w:rPr>
                <w:sz w:val="20"/>
                <w:szCs w:val="20"/>
                <w:color w:val="auto"/>
              </w:rPr>
            </w:pPr>
            <w:r>
              <w:rPr>
                <w:rFonts w:ascii="Arial" w:cs="Arial" w:eastAsia="Arial" w:hAnsi="Arial"/>
                <w:sz w:val="14"/>
                <w:szCs w:val="14"/>
                <w:color w:val="auto"/>
                <w:w w:val="94"/>
              </w:rPr>
              <w:t>RMC-4630</w:t>
            </w:r>
          </w:p>
        </w:tc>
        <w:tc>
          <w:tcPr>
            <w:tcW w:w="580" w:type="dxa"/>
            <w:vAlign w:val="bottom"/>
          </w:tcPr>
          <w:p>
            <w:pPr>
              <w:jc w:val="right"/>
              <w:ind w:right="132"/>
              <w:spacing w:after="0" w:line="148" w:lineRule="exact"/>
              <w:rPr>
                <w:sz w:val="20"/>
                <w:szCs w:val="20"/>
                <w:color w:val="auto"/>
              </w:rPr>
            </w:pPr>
            <w:r>
              <w:rPr>
                <w:rFonts w:ascii="Arial" w:cs="Arial" w:eastAsia="Arial" w:hAnsi="Arial"/>
                <w:sz w:val="14"/>
                <w:szCs w:val="14"/>
                <w:color w:val="auto"/>
              </w:rPr>
              <w:t>1</w:t>
            </w:r>
          </w:p>
        </w:tc>
        <w:tc>
          <w:tcPr>
            <w:tcW w:w="460" w:type="dxa"/>
            <w:vAlign w:val="bottom"/>
          </w:tcPr>
          <w:p>
            <w:pPr>
              <w:jc w:val="right"/>
              <w:ind w:right="52"/>
              <w:spacing w:after="0" w:line="148" w:lineRule="exact"/>
              <w:rPr>
                <w:sz w:val="20"/>
                <w:szCs w:val="20"/>
                <w:color w:val="auto"/>
              </w:rPr>
            </w:pPr>
            <w:r>
              <w:rPr>
                <w:rFonts w:ascii="Arial" w:cs="Arial" w:eastAsia="Arial" w:hAnsi="Arial"/>
                <w:sz w:val="14"/>
                <w:szCs w:val="14"/>
                <w:color w:val="auto"/>
              </w:rPr>
              <w:t>1</w:t>
            </w:r>
          </w:p>
        </w:tc>
        <w:tc>
          <w:tcPr>
            <w:tcW w:w="700" w:type="dxa"/>
            <w:vAlign w:val="bottom"/>
          </w:tcPr>
          <w:p>
            <w:pPr>
              <w:jc w:val="right"/>
              <w:ind w:right="132"/>
              <w:spacing w:after="0" w:line="148" w:lineRule="exact"/>
              <w:rPr>
                <w:sz w:val="20"/>
                <w:szCs w:val="20"/>
                <w:color w:val="auto"/>
              </w:rPr>
            </w:pPr>
            <w:r>
              <w:rPr>
                <w:rFonts w:ascii="Arial" w:cs="Arial" w:eastAsia="Arial" w:hAnsi="Arial"/>
                <w:sz w:val="14"/>
                <w:szCs w:val="14"/>
                <w:color w:val="auto"/>
              </w:rPr>
              <w:t>6/6</w:t>
            </w:r>
          </w:p>
        </w:tc>
        <w:tc>
          <w:tcPr>
            <w:tcW w:w="800" w:type="dxa"/>
            <w:vAlign w:val="bottom"/>
          </w:tcPr>
          <w:p>
            <w:pPr>
              <w:jc w:val="right"/>
              <w:ind w:right="54"/>
              <w:spacing w:after="0" w:line="148" w:lineRule="exact"/>
              <w:rPr>
                <w:sz w:val="20"/>
                <w:szCs w:val="20"/>
                <w:color w:val="auto"/>
              </w:rPr>
            </w:pPr>
            <w:r>
              <w:rPr>
                <w:rFonts w:ascii="Arial" w:cs="Arial" w:eastAsia="Arial" w:hAnsi="Arial"/>
                <w:sz w:val="14"/>
                <w:szCs w:val="14"/>
                <w:color w:val="auto"/>
              </w:rPr>
              <w:t>0.472 (84)</w:t>
            </w:r>
          </w:p>
        </w:tc>
        <w:tc>
          <w:tcPr>
            <w:tcW w:w="320" w:type="dxa"/>
            <w:vAlign w:val="bottom"/>
          </w:tcPr>
          <w:p>
            <w:pPr>
              <w:jc w:val="right"/>
              <w:spacing w:after="0" w:line="148" w:lineRule="exact"/>
              <w:rPr>
                <w:sz w:val="20"/>
                <w:szCs w:val="20"/>
                <w:color w:val="auto"/>
              </w:rPr>
            </w:pPr>
            <w:r>
              <w:rPr>
                <w:rFonts w:ascii="Arial" w:cs="Arial" w:eastAsia="Arial" w:hAnsi="Arial"/>
                <w:sz w:val="14"/>
                <w:szCs w:val="14"/>
                <w:color w:val="auto"/>
              </w:rPr>
              <w:t>3</w:t>
            </w:r>
          </w:p>
        </w:tc>
        <w:tc>
          <w:tcPr>
            <w:tcW w:w="480" w:type="dxa"/>
            <w:vAlign w:val="bottom"/>
          </w:tcPr>
          <w:p>
            <w:pPr>
              <w:jc w:val="right"/>
              <w:ind w:right="95"/>
              <w:spacing w:after="0" w:line="148" w:lineRule="exact"/>
              <w:rPr>
                <w:sz w:val="20"/>
                <w:szCs w:val="20"/>
                <w:color w:val="auto"/>
              </w:rPr>
            </w:pPr>
            <w:r>
              <w:rPr>
                <w:rFonts w:ascii="Arial" w:cs="Arial" w:eastAsia="Arial" w:hAnsi="Arial"/>
                <w:sz w:val="14"/>
                <w:szCs w:val="14"/>
                <w:color w:val="auto"/>
              </w:rPr>
              <w:t>(1-4)</w:t>
            </w:r>
          </w:p>
        </w:tc>
        <w:tc>
          <w:tcPr>
            <w:tcW w:w="940" w:type="dxa"/>
            <w:vAlign w:val="bottom"/>
          </w:tcPr>
          <w:p>
            <w:pPr>
              <w:jc w:val="right"/>
              <w:ind w:right="174"/>
              <w:spacing w:after="0" w:line="148" w:lineRule="exact"/>
              <w:rPr>
                <w:sz w:val="20"/>
                <w:szCs w:val="20"/>
                <w:color w:val="auto"/>
              </w:rPr>
            </w:pPr>
            <w:r>
              <w:rPr>
                <w:rFonts w:ascii="Arial" w:cs="Arial" w:eastAsia="Arial" w:hAnsi="Arial"/>
                <w:sz w:val="14"/>
                <w:szCs w:val="14"/>
                <w:color w:val="auto"/>
              </w:rPr>
              <w:t>6.03 (56)</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color w:val="auto"/>
              </w:rPr>
              <w:t>22</w:t>
            </w: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2/2</w:t>
            </w:r>
          </w:p>
        </w:tc>
        <w:tc>
          <w:tcPr>
            <w:tcW w:w="8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color w:val="auto"/>
              </w:rPr>
              <w:t>0.844</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4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color w:val="auto"/>
              </w:rPr>
              <w:t>(2-4)</w:t>
            </w: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13.9</w:t>
            </w: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1, 2019.</w:t>
      </w:r>
    </w:p>
    <w:p>
      <w:pPr>
        <w:spacing w:after="0" w:line="69" w:lineRule="exact"/>
        <w:rPr>
          <w:sz w:val="20"/>
          <w:szCs w:val="20"/>
          <w:color w:val="auto"/>
        </w:rPr>
      </w:pPr>
    </w:p>
    <w:p>
      <w:pPr>
        <w:ind w:left="200"/>
        <w:spacing w:after="0"/>
        <w:tabs>
          <w:tab w:leader="none" w:pos="78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2"/>
          <w:szCs w:val="12"/>
          <w:color w:val="auto"/>
        </w:rPr>
        <w:t>of patients evaluated for parameters Cmax and AUC are shown in N(Cmax/AUC) column.</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15</w:t>
      </w:r>
      <w:r>
        <w:rPr>
          <w:rFonts w:ascii="Arial" w:cs="Arial" w:eastAsia="Arial" w:hAnsi="Arial"/>
          <w:sz w:val="18"/>
          <w:szCs w:val="18"/>
          <w:color w:val="auto"/>
        </w:rPr>
        <w:t>: RMC-4630 pharmacokinetics in RMC-4630-02 study.</w:t>
      </w:r>
    </w:p>
    <w:p>
      <w:pPr>
        <w:spacing w:after="0" w:line="100" w:lineRule="exact"/>
        <w:rPr>
          <w:sz w:val="20"/>
          <w:szCs w:val="20"/>
          <w:color w:val="auto"/>
        </w:rPr>
      </w:pPr>
    </w:p>
    <w:p>
      <w:pPr>
        <w:ind w:left="2340"/>
        <w:spacing w:after="0"/>
        <w:tabs>
          <w:tab w:leader="none" w:pos="7400" w:val="left"/>
        </w:tabs>
        <w:rPr>
          <w:sz w:val="20"/>
          <w:szCs w:val="20"/>
          <w:color w:val="auto"/>
        </w:rPr>
      </w:pPr>
      <w:r>
        <w:rPr>
          <w:rFonts w:ascii="Arial" w:cs="Arial" w:eastAsia="Arial" w:hAnsi="Arial"/>
          <w:sz w:val="32"/>
          <w:szCs w:val="32"/>
          <w:b w:val="1"/>
          <w:bCs w:val="1"/>
          <w:color w:val="auto"/>
        </w:rPr>
        <w:t>PK C1D1</w:t>
      </w:r>
      <w:r>
        <w:rPr>
          <w:sz w:val="20"/>
          <w:szCs w:val="20"/>
          <w:color w:val="auto"/>
        </w:rPr>
        <w:tab/>
      </w:r>
      <w:r>
        <w:rPr>
          <w:rFonts w:ascii="Arial" w:cs="Arial" w:eastAsia="Arial" w:hAnsi="Arial"/>
          <w:sz w:val="32"/>
          <w:szCs w:val="32"/>
          <w:b w:val="1"/>
          <w:bCs w:val="1"/>
          <w:color w:val="auto"/>
        </w:rPr>
        <w:t>Steady state PK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97790</wp:posOffset>
            </wp:positionV>
            <wp:extent cx="5857240" cy="174942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57240" cy="174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Data as of November 1, 2019.</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Clinical activity</w:t>
      </w:r>
    </w:p>
    <w:p>
      <w:pPr>
        <w:spacing w:after="0" w:line="122"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Only two patients have been evaluated for efficacy in this study. No efficacy data or ctDNA data were available in the electronic database as of the cut-off date.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Ongoing and planned clinical studies with RMC-4630</w:t>
      </w:r>
    </w:p>
    <w:p>
      <w:pPr>
        <w:spacing w:after="0" w:line="12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 RMC-4630-01 Phase 1 study is continuing to enroll patients to determine the maximum tolerated dose and recommended Phase 2 dose for the intermittent dosing schedule. Alternative intermittent schedules may be explored as part of the RMC-4630-01 study and these data may be translated to ongoing combination studies or future studies.</w:t>
      </w:r>
    </w:p>
    <w:p>
      <w:pPr>
        <w:spacing w:after="0" w:line="100" w:lineRule="exact"/>
        <w:rPr>
          <w:sz w:val="20"/>
          <w:szCs w:val="20"/>
          <w:color w:val="auto"/>
        </w:rPr>
      </w:pPr>
    </w:p>
    <w:p>
      <w:pPr>
        <w:ind w:left="200" w:right="760"/>
        <w:spacing w:after="0" w:line="239" w:lineRule="auto"/>
        <w:rPr>
          <w:sz w:val="20"/>
          <w:szCs w:val="20"/>
          <w:color w:val="auto"/>
        </w:rPr>
      </w:pPr>
      <w:r>
        <w:rPr>
          <w:rFonts w:ascii="Arial" w:cs="Arial" w:eastAsia="Arial" w:hAnsi="Arial"/>
          <w:sz w:val="18"/>
          <w:szCs w:val="18"/>
          <w:color w:val="auto"/>
        </w:rPr>
        <w:t>The RMC-4630-02 study, evaluating intermittent dosing of RMC-4630 in combination with cobimetinib, has been activated and dose escalation is ongoing.</w:t>
      </w:r>
    </w:p>
    <w:p>
      <w:pPr>
        <w:spacing w:after="0" w:line="101" w:lineRule="exact"/>
        <w:rPr>
          <w:sz w:val="20"/>
          <w:szCs w:val="20"/>
          <w:color w:val="auto"/>
        </w:rPr>
      </w:pPr>
    </w:p>
    <w:p>
      <w:pPr>
        <w:ind w:left="200"/>
        <w:spacing w:after="0" w:line="299" w:lineRule="auto"/>
        <w:rPr>
          <w:sz w:val="20"/>
          <w:szCs w:val="20"/>
          <w:color w:val="auto"/>
        </w:rPr>
      </w:pPr>
      <w:r>
        <w:rPr>
          <w:rFonts w:ascii="Arial" w:cs="Arial" w:eastAsia="Arial" w:hAnsi="Arial"/>
          <w:sz w:val="16"/>
          <w:szCs w:val="16"/>
          <w:color w:val="auto"/>
        </w:rPr>
        <w:t>In collaboration with others, during 2020, we intend to start dosing patients in Phase 1b studies evaluating the combination of RMC-4630 with the KRAS</w:t>
      </w:r>
      <w:r>
        <w:rPr>
          <w:rFonts w:ascii="Arial" w:cs="Arial" w:eastAsia="Arial" w:hAnsi="Arial"/>
          <w:sz w:val="10"/>
          <w:szCs w:val="10"/>
          <w:color w:val="auto"/>
        </w:rPr>
        <w:t>G12C</w:t>
      </w:r>
      <w:r>
        <w:rPr>
          <w:rFonts w:ascii="Arial" w:cs="Arial" w:eastAsia="Arial" w:hAnsi="Arial"/>
          <w:sz w:val="16"/>
          <w:szCs w:val="16"/>
          <w:color w:val="auto"/>
        </w:rPr>
        <w:t>(OFF) inhibitor AMG 510, with the EGFR inhibitor osimertinib, and with a PD-1 inhibitor such as pembrolizumab (Figure 16).</w:t>
      </w:r>
    </w:p>
    <w:p>
      <w:pPr>
        <w:spacing w:after="0" w:line="9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60"/>
          </w:cols>
          <w:pgMar w:left="24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Figure 16: </w:t>
      </w:r>
      <w:r>
        <w:rPr>
          <w:rFonts w:ascii="Arial" w:cs="Arial" w:eastAsia="Arial" w:hAnsi="Arial"/>
          <w:sz w:val="18"/>
          <w:szCs w:val="18"/>
          <w:color w:val="auto"/>
        </w:rPr>
        <w:t>Phase 1/2 planned clinical development program for RMC-4630.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1231265</wp:posOffset>
            </wp:positionH>
            <wp:positionV relativeFrom="paragraph">
              <wp:posOffset>86360</wp:posOffset>
            </wp:positionV>
            <wp:extent cx="4793615" cy="24955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793615"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RAS(ON) portfolio</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 xml:space="preserve">We are also developing a portfolio of what we believe to be the first potent, selective and cell-active inhibitors of mutant RAS(ON) proteins. These inhibitors have also exhibited anti-tumor activity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in preclinical models. We believe that direct inhibitors of RAS(ON) will suppress cell growth and survival as well as be less susceptible to adaptive resistance mechanisms recognized for RAS(OFF) inhibitors. Initially, we will prioritize four mutant RAS(ON) targets—KRAS</w:t>
      </w:r>
      <w:r>
        <w:rPr>
          <w:rFonts w:ascii="Arial" w:cs="Arial" w:eastAsia="Arial" w:hAnsi="Arial"/>
          <w:sz w:val="10"/>
          <w:szCs w:val="10"/>
          <w:color w:val="auto"/>
        </w:rPr>
        <w:t>G12C</w:t>
      </w:r>
      <w:r>
        <w:rPr>
          <w:rFonts w:ascii="Arial" w:cs="Arial" w:eastAsia="Arial" w:hAnsi="Arial"/>
          <w:sz w:val="16"/>
          <w:szCs w:val="16"/>
          <w:color w:val="auto"/>
        </w:rPr>
        <w:t>, KRAS</w:t>
      </w:r>
      <w:r>
        <w:rPr>
          <w:rFonts w:ascii="Arial" w:cs="Arial" w:eastAsia="Arial" w:hAnsi="Arial"/>
          <w:sz w:val="10"/>
          <w:szCs w:val="10"/>
          <w:color w:val="auto"/>
        </w:rPr>
        <w:t>G13C</w:t>
      </w:r>
      <w:r>
        <w:rPr>
          <w:rFonts w:ascii="Arial" w:cs="Arial" w:eastAsia="Arial" w:hAnsi="Arial"/>
          <w:sz w:val="16"/>
          <w:szCs w:val="16"/>
          <w:color w:val="auto"/>
        </w:rPr>
        <w:t>, KRAS</w:t>
      </w:r>
      <w:r>
        <w:rPr>
          <w:rFonts w:ascii="Arial" w:cs="Arial" w:eastAsia="Arial" w:hAnsi="Arial"/>
          <w:sz w:val="10"/>
          <w:szCs w:val="10"/>
          <w:color w:val="auto"/>
        </w:rPr>
        <w:t>G12D</w:t>
      </w:r>
      <w:r>
        <w:rPr>
          <w:rFonts w:ascii="Arial" w:cs="Arial" w:eastAsia="Arial" w:hAnsi="Arial"/>
          <w:sz w:val="16"/>
          <w:szCs w:val="16"/>
          <w:color w:val="auto"/>
        </w:rPr>
        <w:t xml:space="preserve"> and NRAS</w:t>
      </w:r>
      <w:r>
        <w:rPr>
          <w:rFonts w:ascii="Arial" w:cs="Arial" w:eastAsia="Arial" w:hAnsi="Arial"/>
          <w:sz w:val="10"/>
          <w:szCs w:val="10"/>
          <w:color w:val="auto"/>
        </w:rPr>
        <w:t>G12C</w:t>
      </w:r>
      <w:r>
        <w:rPr>
          <w:rFonts w:ascii="Arial" w:cs="Arial" w:eastAsia="Arial" w:hAnsi="Arial"/>
          <w:sz w:val="16"/>
          <w:szCs w:val="16"/>
          <w:color w:val="auto"/>
        </w:rPr>
        <w:t>—and expect to nominate our first development candidate in 2020. We plan to evaluate our RAS(ON) inhibitors alone and in combination with other drugs and investigational new drugs, particularly in-pathway agents. Our proprietary tri-complex technology platform provides us the opportunity to build a portfolio of genetically targeted RAS(ON) inhibitors by discovering and developing compounds that target diverse oncogenic RAS mutants.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Challenges and limitations of current approaches for RAS mutant cancers</w:t>
      </w:r>
    </w:p>
    <w:p>
      <w:pPr>
        <w:spacing w:after="0" w:line="12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To our knowledge, every targeted therapy approved or in clinical development for the treatment of RAS-dependent cancers acts on targets that lie either upstream or downstream of RAS(ON) within the cellular signaling cascade. Historically, direct inhibition of any RAS protein has been challenging due to a lack of tractable, or “druggable,” binding pockets. However, selective inhibitors of the inactive GDP-bound, or “OFF” form, of KRAS</w:t>
      </w:r>
      <w:r>
        <w:rPr>
          <w:rFonts w:ascii="Arial" w:cs="Arial" w:eastAsia="Arial" w:hAnsi="Arial"/>
          <w:sz w:val="11"/>
          <w:szCs w:val="11"/>
          <w:color w:val="auto"/>
        </w:rPr>
        <w:t>G12C</w:t>
      </w:r>
      <w:r>
        <w:rPr>
          <w:rFonts w:ascii="Arial" w:cs="Arial" w:eastAsia="Arial" w:hAnsi="Arial"/>
          <w:sz w:val="18"/>
          <w:szCs w:val="18"/>
          <w:color w:val="auto"/>
        </w:rPr>
        <w:t xml:space="preserve"> are being developed by several companies. Recently reported initial clinical results from two RAS(OFF) inhibitors targeting mutant KRAS</w:t>
      </w:r>
      <w:r>
        <w:rPr>
          <w:rFonts w:ascii="Arial" w:cs="Arial" w:eastAsia="Arial" w:hAnsi="Arial"/>
          <w:sz w:val="11"/>
          <w:szCs w:val="11"/>
          <w:color w:val="auto"/>
        </w:rPr>
        <w:t>G12C</w:t>
      </w:r>
      <w:r>
        <w:rPr>
          <w:rFonts w:ascii="Arial" w:cs="Arial" w:eastAsia="Arial" w:hAnsi="Arial"/>
          <w:sz w:val="18"/>
          <w:szCs w:val="18"/>
          <w:color w:val="auto"/>
        </w:rPr>
        <w:t xml:space="preserve"> suggest significant clinical benefit and provide strong pharmacologic validation of this oncoprotein as a cancer driver. These results, along with other preclinical data, provide a compelling basis for our commitment to targeting oncogenic mutant forms of RAS(ON). We are not aware of any programs in clinical development that have successfully targeted any RAS(ON) protein. In tumor cells addicted to RAS(ON), we believe that selective inhibitors of RAS(ON) will suppress cell growth and survival and be less susceptible to adaptive resistance mechanisms recognized for RAS(OFF) inhibitors.</w:t>
      </w:r>
    </w:p>
    <w:p>
      <w:pPr>
        <w:spacing w:after="0" w:line="107"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The key drug discovery challenge for any known RAS(ON) protein is the absence of a tractable drug binding site on these RAS(ON) proteins, including different RAS isoforms and mutants. One molecular site of particular focus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has been a switch region protein shallow, solvent-exposed groove, or “valley,” that has been detected exclusively in the GTP-bound forms of RAS. Our proprietary tri-complex technology enables us to discover small molecule compounds that inhibit this site by inducing new druggable pockets. This approach is inspired by a biological phenomenon observed in nature, as exemplified by rapamycin. These tri-complexes exploit the surfaces of the two adjacent proteins to form a new ligand-binding pocket. The chaperone protein in the tri-complex helps to form the ligand binding site for the small molecule compound. Further, by physically participating in the tri-complex in the presence of the compound, the chaperone protein sterically occludes the target protein and prevents interaction with affiliated proteins required for propagating oncogenic signals.</w:t>
      </w:r>
    </w:p>
    <w:p>
      <w:pPr>
        <w:spacing w:after="0" w:line="79" w:lineRule="exact"/>
        <w:rPr>
          <w:sz w:val="20"/>
          <w:szCs w:val="20"/>
          <w:color w:val="auto"/>
        </w:rPr>
      </w:pPr>
    </w:p>
    <w:p>
      <w:pPr>
        <w:ind w:left="200" w:right="900"/>
        <w:spacing w:after="0" w:line="264" w:lineRule="auto"/>
        <w:rPr>
          <w:sz w:val="20"/>
          <w:szCs w:val="20"/>
          <w:color w:val="auto"/>
        </w:rPr>
      </w:pPr>
      <w:r>
        <w:rPr>
          <w:rFonts w:ascii="Arial" w:cs="Arial" w:eastAsia="Arial" w:hAnsi="Arial"/>
          <w:sz w:val="18"/>
          <w:szCs w:val="18"/>
          <w:b w:val="1"/>
          <w:bCs w:val="1"/>
          <w:color w:val="auto"/>
        </w:rPr>
        <w:t>Figure 17</w:t>
      </w:r>
      <w:r>
        <w:rPr>
          <w:rFonts w:ascii="Arial" w:cs="Arial" w:eastAsia="Arial" w:hAnsi="Arial"/>
          <w:sz w:val="18"/>
          <w:szCs w:val="18"/>
          <w:color w:val="auto"/>
        </w:rPr>
        <w:t>: KRAS</w:t>
      </w:r>
      <w:r>
        <w:rPr>
          <w:rFonts w:ascii="Arial" w:cs="Arial" w:eastAsia="Arial" w:hAnsi="Arial"/>
          <w:sz w:val="11"/>
          <w:szCs w:val="11"/>
          <w:color w:val="auto"/>
        </w:rPr>
        <w:t>G12C</w:t>
      </w:r>
      <w:r>
        <w:rPr>
          <w:rFonts w:ascii="Arial" w:cs="Arial" w:eastAsia="Arial" w:hAnsi="Arial"/>
          <w:sz w:val="18"/>
          <w:szCs w:val="18"/>
          <w:color w:val="auto"/>
        </w:rPr>
        <w:t>(ON) inhibitor RM-009 drives formation of a tri-complex binding to an induced pocket at the interface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KRAS</w:t>
      </w:r>
      <w:r>
        <w:rPr>
          <w:rFonts w:ascii="Arial" w:cs="Arial" w:eastAsia="Arial" w:hAnsi="Arial"/>
          <w:sz w:val="11"/>
          <w:szCs w:val="11"/>
          <w:color w:val="auto"/>
        </w:rPr>
        <w:t>G12C</w:t>
      </w:r>
      <w:r>
        <w:rPr>
          <w:rFonts w:ascii="Arial" w:cs="Arial" w:eastAsia="Arial" w:hAnsi="Arial"/>
          <w:sz w:val="18"/>
          <w:szCs w:val="18"/>
          <w:color w:val="auto"/>
        </w:rPr>
        <w:t>(ON) and cyclophilin A.</w:t>
      </w:r>
    </w:p>
    <w:p>
      <w:pPr>
        <w:spacing w:after="0" w:line="6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100" w:type="dxa"/>
            <w:vAlign w:val="bottom"/>
          </w:tcPr>
          <w:p>
            <w:pPr>
              <w:spacing w:after="0"/>
              <w:rPr>
                <w:sz w:val="20"/>
                <w:szCs w:val="20"/>
                <w:color w:val="auto"/>
              </w:rPr>
            </w:pPr>
            <w:r>
              <w:rPr>
                <w:rFonts w:ascii="Arial" w:cs="Arial" w:eastAsia="Arial" w:hAnsi="Arial"/>
                <w:sz w:val="18"/>
                <w:szCs w:val="18"/>
                <w:b w:val="1"/>
                <w:bCs w:val="1"/>
                <w:color w:val="auto"/>
              </w:rPr>
              <w:t>(a)</w:t>
            </w:r>
          </w:p>
        </w:tc>
        <w:tc>
          <w:tcPr>
            <w:tcW w:w="5000" w:type="dxa"/>
            <w:vAlign w:val="bottom"/>
          </w:tcPr>
          <w:p>
            <w:pPr>
              <w:ind w:left="1880"/>
              <w:spacing w:after="0"/>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Highly selective for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oncogenic</w:t>
            </w:r>
          </w:p>
        </w:tc>
        <w:tc>
          <w:tcPr>
            <w:tcW w:w="500" w:type="dxa"/>
            <w:vAlign w:val="bottom"/>
          </w:tcPr>
          <w:p>
            <w:pPr>
              <w:ind w:left="300"/>
              <w:spacing w:after="0"/>
              <w:rPr>
                <w:sz w:val="20"/>
                <w:szCs w:val="20"/>
                <w:color w:val="auto"/>
              </w:rPr>
            </w:pPr>
            <w:r>
              <w:rPr>
                <w:rFonts w:ascii="Arial" w:cs="Arial" w:eastAsia="Arial" w:hAnsi="Arial"/>
                <w:sz w:val="18"/>
                <w:szCs w:val="18"/>
                <w:b w:val="1"/>
                <w:bCs w:val="1"/>
                <w:color w:val="auto"/>
                <w:w w:val="81"/>
              </w:rPr>
              <w:t>(c)</w:t>
            </w:r>
          </w:p>
        </w:tc>
      </w:tr>
      <w:tr>
        <w:trPr>
          <w:trHeight w:val="233"/>
        </w:trPr>
        <w:tc>
          <w:tcPr>
            <w:tcW w:w="2100" w:type="dxa"/>
            <w:vAlign w:val="bottom"/>
          </w:tcPr>
          <w:p>
            <w:pPr>
              <w:spacing w:after="0"/>
              <w:rPr>
                <w:sz w:val="20"/>
                <w:szCs w:val="20"/>
                <w:color w:val="auto"/>
              </w:rPr>
            </w:pPr>
          </w:p>
        </w:tc>
        <w:tc>
          <w:tcPr>
            <w:tcW w:w="5000" w:type="dxa"/>
            <w:vAlign w:val="bottom"/>
          </w:tcPr>
          <w:p>
            <w:pPr>
              <w:ind w:left="2320"/>
              <w:spacing w:after="0"/>
              <w:rPr>
                <w:sz w:val="20"/>
                <w:szCs w:val="20"/>
                <w:color w:val="auto"/>
              </w:rPr>
            </w:pPr>
            <w:r>
              <w:rPr>
                <w:rFonts w:ascii="Arial" w:cs="Arial" w:eastAsia="Arial" w:hAnsi="Arial"/>
                <w:sz w:val="18"/>
                <w:szCs w:val="18"/>
                <w:b w:val="1"/>
                <w:bCs w:val="1"/>
                <w:color w:val="auto"/>
              </w:rPr>
              <w:t xml:space="preserve">GTP-bound </w:t>
            </w:r>
            <w:r>
              <w:rPr>
                <w:rFonts w:ascii="Arial" w:cs="Arial" w:eastAsia="Arial" w:hAnsi="Arial"/>
                <w:sz w:val="18"/>
                <w:szCs w:val="18"/>
                <w:color w:val="auto"/>
              </w:rPr>
              <w:t>form of KRAS</w:t>
            </w:r>
            <w:r>
              <w:rPr>
                <w:rFonts w:ascii="Arial" w:cs="Arial" w:eastAsia="Arial" w:hAnsi="Arial"/>
                <w:sz w:val="11"/>
                <w:szCs w:val="11"/>
                <w:color w:val="auto"/>
              </w:rPr>
              <w:t>G12C</w:t>
            </w:r>
          </w:p>
        </w:tc>
        <w:tc>
          <w:tcPr>
            <w:tcW w:w="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44450</wp:posOffset>
            </wp:positionV>
            <wp:extent cx="5068570" cy="31045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068570" cy="3104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Surface representation of atomic resolution crystal structures of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(loaded with a non-hydrolysable analog of GTP in grey, gamma phosphate shown in yellow)</w:t>
      </w:r>
    </w:p>
    <w:p>
      <w:pPr>
        <w:ind w:left="200"/>
        <w:spacing w:after="0" w:line="182" w:lineRule="auto"/>
        <w:rPr>
          <w:sz w:val="20"/>
          <w:szCs w:val="20"/>
          <w:color w:val="auto"/>
        </w:rPr>
      </w:pPr>
      <w:r>
        <w:rPr>
          <w:rFonts w:ascii="Arial" w:cs="Arial" w:eastAsia="Arial" w:hAnsi="Arial"/>
          <w:sz w:val="11"/>
          <w:szCs w:val="11"/>
          <w:color w:val="auto"/>
        </w:rPr>
        <w:t>(KRAS</w:t>
      </w:r>
      <w:r>
        <w:rPr>
          <w:rFonts w:ascii="Arial" w:cs="Arial" w:eastAsia="Arial" w:hAnsi="Arial"/>
          <w:sz w:val="17"/>
          <w:szCs w:val="17"/>
          <w:color w:val="auto"/>
          <w:vertAlign w:val="superscript"/>
        </w:rPr>
        <w:t>G12C</w:t>
      </w:r>
      <w:r>
        <w:rPr>
          <w:rFonts w:ascii="Arial" w:cs="Arial" w:eastAsia="Arial" w:hAnsi="Arial"/>
          <w:sz w:val="11"/>
          <w:szCs w:val="11"/>
          <w:color w:val="auto"/>
        </w:rPr>
        <w:t xml:space="preserve">(ON), green) and a binary complex of RM-009 (ochre) and cyclophilin A (brown) </w:t>
      </w:r>
      <w:r>
        <w:rPr>
          <w:rFonts w:ascii="Arial" w:cs="Arial" w:eastAsia="Arial" w:hAnsi="Arial"/>
          <w:sz w:val="11"/>
          <w:szCs w:val="11"/>
          <w:b w:val="1"/>
          <w:bCs w:val="1"/>
          <w:color w:val="auto"/>
        </w:rPr>
        <w:t>(a)</w:t>
      </w:r>
      <w:r>
        <w:rPr>
          <w:rFonts w:ascii="Arial" w:cs="Arial" w:eastAsia="Arial" w:hAnsi="Arial"/>
          <w:sz w:val="11"/>
          <w:szCs w:val="11"/>
          <w:color w:val="auto"/>
        </w:rPr>
        <w:t>. The shallow, solvent-exposed groove, or “valley,” between the switch I (blue) and switch</w:t>
      </w:r>
    </w:p>
    <w:p>
      <w:pPr>
        <w:ind w:left="200" w:right="100" w:firstLine="4"/>
        <w:spacing w:after="0" w:line="191" w:lineRule="auto"/>
        <w:tabs>
          <w:tab w:leader="none" w:pos="313"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(red) regions of KRAS is highlighted. The cyclophilin A-RM-009 binary complex binds to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(ON) to form a tri-complex </w:t>
      </w:r>
      <w:r>
        <w:rPr>
          <w:rFonts w:ascii="Arial" w:cs="Arial" w:eastAsia="Arial" w:hAnsi="Arial"/>
          <w:sz w:val="14"/>
          <w:szCs w:val="14"/>
          <w:b w:val="1"/>
          <w:bCs w:val="1"/>
          <w:color w:val="auto"/>
        </w:rPr>
        <w:t>(b)</w:t>
      </w:r>
      <w:r>
        <w:rPr>
          <w:rFonts w:ascii="Arial" w:cs="Arial" w:eastAsia="Arial" w:hAnsi="Arial"/>
          <w:sz w:val="14"/>
          <w:szCs w:val="14"/>
          <w:color w:val="auto"/>
        </w:rPr>
        <w:t xml:space="preserve"> with RM-009 bound in an induced binding pocket at the interface between the two proteins, visible following digital removal of the ligand </w:t>
      </w:r>
      <w:r>
        <w:rPr>
          <w:rFonts w:ascii="Arial" w:cs="Arial" w:eastAsia="Arial" w:hAnsi="Arial"/>
          <w:sz w:val="14"/>
          <w:szCs w:val="14"/>
          <w:b w:val="1"/>
          <w:bCs w:val="1"/>
          <w:color w:val="auto"/>
        </w:rPr>
        <w:t>(c)</w:t>
      </w:r>
      <w:r>
        <w:rPr>
          <w:rFonts w:ascii="Arial" w:cs="Arial" w:eastAsia="Arial" w:hAnsi="Arial"/>
          <w:sz w:val="14"/>
          <w:szCs w:val="14"/>
          <w:color w:val="auto"/>
        </w:rPr>
        <w:t>.</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design and synthesize novel RAS(ON) inhibitors that enter a cell and bind to the highly abundant chaperone protein cyclophilin A to create a “binary complex.” This binary complex presents a unique surface that has the molecular features needed to engage the RAS mutant of interest in a “tri-complex” with the inhibitor sandwiched in an induced binding pocket at the interface between the two proteins. This tri-complex is held together by chemical interactions between cyclophilin A and the respective RAS(ON) mutant and between the compound and each of the two proteins. In some instances, including in the case of cysteine-containing RAS mutants, our RAS(ON) inhibitors can form a covalent bond with RAS. We use our structure-based drug discovery capabilities to drive rational design and optimization of tri-complex inhibitors of RAS(ON).</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Our RAS(ON) inhibitor programs</w:t>
      </w:r>
    </w:p>
    <w:p>
      <w:pPr>
        <w:spacing w:after="0" w:line="122" w:lineRule="exact"/>
        <w:rPr>
          <w:sz w:val="20"/>
          <w:szCs w:val="20"/>
          <w:color w:val="auto"/>
        </w:rPr>
      </w:pPr>
    </w:p>
    <w:p>
      <w:pPr>
        <w:ind w:left="200" w:right="100"/>
        <w:spacing w:after="0" w:line="270" w:lineRule="auto"/>
        <w:rPr>
          <w:sz w:val="20"/>
          <w:szCs w:val="20"/>
          <w:color w:val="auto"/>
        </w:rPr>
      </w:pPr>
      <w:r>
        <w:rPr>
          <w:rFonts w:ascii="Arial" w:cs="Arial" w:eastAsia="Arial" w:hAnsi="Arial"/>
          <w:sz w:val="16"/>
          <w:szCs w:val="16"/>
          <w:color w:val="auto"/>
        </w:rPr>
        <w:t>We are initially prioritizing four mutant RAS(ON) targets—KRAS</w:t>
      </w:r>
      <w:r>
        <w:rPr>
          <w:rFonts w:ascii="Arial" w:cs="Arial" w:eastAsia="Arial" w:hAnsi="Arial"/>
          <w:sz w:val="10"/>
          <w:szCs w:val="10"/>
          <w:color w:val="auto"/>
        </w:rPr>
        <w:t>G12C</w:t>
      </w:r>
      <w:r>
        <w:rPr>
          <w:rFonts w:ascii="Arial" w:cs="Arial" w:eastAsia="Arial" w:hAnsi="Arial"/>
          <w:sz w:val="16"/>
          <w:szCs w:val="16"/>
          <w:color w:val="auto"/>
        </w:rPr>
        <w:t>, KRAS</w:t>
      </w:r>
      <w:r>
        <w:rPr>
          <w:rFonts w:ascii="Arial" w:cs="Arial" w:eastAsia="Arial" w:hAnsi="Arial"/>
          <w:sz w:val="10"/>
          <w:szCs w:val="10"/>
          <w:color w:val="auto"/>
        </w:rPr>
        <w:t>G13C</w:t>
      </w:r>
      <w:r>
        <w:rPr>
          <w:rFonts w:ascii="Arial" w:cs="Arial" w:eastAsia="Arial" w:hAnsi="Arial"/>
          <w:sz w:val="16"/>
          <w:szCs w:val="16"/>
          <w:color w:val="auto"/>
        </w:rPr>
        <w:t>, KRAS</w:t>
      </w:r>
      <w:r>
        <w:rPr>
          <w:rFonts w:ascii="Arial" w:cs="Arial" w:eastAsia="Arial" w:hAnsi="Arial"/>
          <w:sz w:val="10"/>
          <w:szCs w:val="10"/>
          <w:color w:val="auto"/>
        </w:rPr>
        <w:t>G12D</w:t>
      </w:r>
      <w:r>
        <w:rPr>
          <w:rFonts w:ascii="Arial" w:cs="Arial" w:eastAsia="Arial" w:hAnsi="Arial"/>
          <w:sz w:val="16"/>
          <w:szCs w:val="16"/>
          <w:color w:val="auto"/>
        </w:rPr>
        <w:t xml:space="preserve"> and NRAS</w:t>
      </w:r>
      <w:r>
        <w:rPr>
          <w:rFonts w:ascii="Arial" w:cs="Arial" w:eastAsia="Arial" w:hAnsi="Arial"/>
          <w:sz w:val="10"/>
          <w:szCs w:val="10"/>
          <w:color w:val="auto"/>
        </w:rPr>
        <w:t>G12C</w:t>
      </w:r>
      <w:r>
        <w:rPr>
          <w:rFonts w:ascii="Arial" w:cs="Arial" w:eastAsia="Arial" w:hAnsi="Arial"/>
          <w:sz w:val="16"/>
          <w:szCs w:val="16"/>
          <w:color w:val="auto"/>
        </w:rPr>
        <w:t xml:space="preserve">. We believe our tri-complex RAS inhibitors can act in three ways to suppress growth signaling: (1) we have demonstrated direct disruption of the critical RAS-RAF interaction that triggers the downstream portion of the growth signaling cascade. By extension, our RAS(ON) inhibitors likely also: (2) directly disrupt the RAS-PI3K interaction that stimulates mTOR-dependent growth signaling, and (3) prevent the binding of RAS to a recognized allosteric site of SOS1, thereby blocking a positive feedback loop that amplifies conversion of RAS(OFF) to RAS(ON). The first two effects represent direct suppression of oncogenic RAS signaling. The third effect may attenuate the ability of RAS(ON) to increase GTP-bound levels of other </w:t>
      </w:r>
      <w:r>
        <w:rPr>
          <w:rFonts w:ascii="Arial" w:cs="Arial" w:eastAsia="Arial" w:hAnsi="Arial"/>
          <w:sz w:val="16"/>
          <w:szCs w:val="16"/>
          <w:i w:val="1"/>
          <w:iCs w:val="1"/>
          <w:color w:val="auto"/>
        </w:rPr>
        <w:t xml:space="preserve">non-mutant </w:t>
      </w:r>
      <w:r>
        <w:rPr>
          <w:rFonts w:ascii="Arial" w:cs="Arial" w:eastAsia="Arial" w:hAnsi="Arial"/>
          <w:sz w:val="16"/>
          <w:szCs w:val="16"/>
          <w:color w:val="auto"/>
        </w:rPr>
        <w:t>forms, i.e. wild-type, of RAS in the same cancer cells that may contribute to overall cell survival and proliferation.</w:t>
      </w:r>
    </w:p>
    <w:p>
      <w:pPr>
        <w:spacing w:after="0" w:line="55"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b w:val="1"/>
          <w:bCs w:val="1"/>
          <w:color w:val="auto"/>
        </w:rPr>
        <w:t>Figure 18</w:t>
      </w:r>
      <w:r>
        <w:rPr>
          <w:rFonts w:ascii="Arial" w:cs="Arial" w:eastAsia="Arial" w:hAnsi="Arial"/>
          <w:sz w:val="18"/>
          <w:szCs w:val="18"/>
          <w:color w:val="auto"/>
        </w:rPr>
        <w:t>: Layered structural models illustrating potential for tri-complex KRAS</w:t>
      </w:r>
      <w:r>
        <w:rPr>
          <w:rFonts w:ascii="Arial" w:cs="Arial" w:eastAsia="Arial" w:hAnsi="Arial"/>
          <w:sz w:val="11"/>
          <w:szCs w:val="11"/>
          <w:color w:val="auto"/>
        </w:rPr>
        <w:t>G12C</w:t>
      </w:r>
      <w:r>
        <w:rPr>
          <w:rFonts w:ascii="Arial" w:cs="Arial" w:eastAsia="Arial" w:hAnsi="Arial"/>
          <w:sz w:val="18"/>
          <w:szCs w:val="18"/>
          <w:color w:val="auto"/>
        </w:rPr>
        <w:t>(ON) inhibitors to sterically preclude engagement of RAF,</w:t>
      </w:r>
      <w:r>
        <w:rPr>
          <w:rFonts w:ascii="Arial" w:cs="Arial" w:eastAsia="Arial" w:hAnsi="Arial"/>
          <w:sz w:val="18"/>
          <w:szCs w:val="18"/>
          <w:b w:val="1"/>
          <w:bCs w:val="1"/>
          <w:color w:val="auto"/>
        </w:rPr>
        <w:t xml:space="preserve"> </w:t>
      </w:r>
      <w:r>
        <w:rPr>
          <w:rFonts w:ascii="Arial" w:cs="Arial" w:eastAsia="Arial" w:hAnsi="Arial"/>
          <w:sz w:val="18"/>
          <w:szCs w:val="18"/>
          <w:color w:val="auto"/>
        </w:rPr>
        <w:t>PI3K and SOS1 by KRAS</w:t>
      </w:r>
      <w:r>
        <w:rPr>
          <w:rFonts w:ascii="Arial" w:cs="Arial" w:eastAsia="Arial" w:hAnsi="Arial"/>
          <w:sz w:val="11"/>
          <w:szCs w:val="11"/>
          <w:color w:val="auto"/>
        </w:rPr>
        <w:t>G12C</w:t>
      </w:r>
      <w:r>
        <w:rPr>
          <w:rFonts w:ascii="Arial" w:cs="Arial" w:eastAsia="Arial" w:hAnsi="Arial"/>
          <w:sz w:val="18"/>
          <w:szCs w:val="18"/>
          <w:color w:val="auto"/>
        </w:rPr>
        <w:t>(ON).</w:t>
      </w:r>
    </w:p>
    <w:p>
      <w:pPr>
        <w:spacing w:after="0" w:line="71" w:lineRule="exact"/>
        <w:rPr>
          <w:sz w:val="20"/>
          <w:szCs w:val="20"/>
          <w:color w:val="auto"/>
        </w:rPr>
      </w:pPr>
    </w:p>
    <w:p>
      <w:pPr>
        <w:ind w:left="200"/>
        <w:spacing w:after="0"/>
        <w:tabs>
          <w:tab w:leader="none" w:pos="4060" w:val="left"/>
          <w:tab w:leader="none" w:pos="780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(b)</w:t>
      </w:r>
      <w:r>
        <w:rPr>
          <w:sz w:val="20"/>
          <w:szCs w:val="20"/>
          <w:color w:val="auto"/>
        </w:rPr>
        <w:tab/>
      </w:r>
      <w:r>
        <w:rPr>
          <w:rFonts w:ascii="Arial" w:cs="Arial" w:eastAsia="Arial" w:hAnsi="Arial"/>
          <w:sz w:val="18"/>
          <w:szCs w:val="18"/>
          <w:b w:val="1"/>
          <w:bCs w:val="1"/>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8890</wp:posOffset>
            </wp:positionV>
            <wp:extent cx="5025390" cy="20154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025390" cy="201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0" w:right="200"/>
        <w:spacing w:after="0" w:line="191" w:lineRule="auto"/>
        <w:rPr>
          <w:sz w:val="20"/>
          <w:szCs w:val="20"/>
          <w:color w:val="auto"/>
        </w:rPr>
      </w:pPr>
      <w:r>
        <w:rPr>
          <w:rFonts w:ascii="Arial" w:cs="Arial" w:eastAsia="Arial" w:hAnsi="Arial"/>
          <w:sz w:val="14"/>
          <w:szCs w:val="14"/>
          <w:color w:val="auto"/>
        </w:rPr>
        <w:t>Surface representation of atomic resolution crystal structures of tri-complex of RM-009 with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(ON) with structural overlays showing (in grey) interaction with </w:t>
      </w:r>
      <w:r>
        <w:rPr>
          <w:rFonts w:ascii="Arial" w:cs="Arial" w:eastAsia="Arial" w:hAnsi="Arial"/>
          <w:sz w:val="14"/>
          <w:szCs w:val="14"/>
          <w:b w:val="1"/>
          <w:bCs w:val="1"/>
          <w:color w:val="auto"/>
        </w:rPr>
        <w:t>(a)</w:t>
      </w:r>
      <w:r>
        <w:rPr>
          <w:rFonts w:ascii="Arial" w:cs="Arial" w:eastAsia="Arial" w:hAnsi="Arial"/>
          <w:sz w:val="14"/>
          <w:szCs w:val="14"/>
          <w:color w:val="auto"/>
        </w:rPr>
        <w:t xml:space="preserve"> RAS binding domain (RBD) of BRAF, </w:t>
      </w:r>
      <w:r>
        <w:rPr>
          <w:rFonts w:ascii="Arial" w:cs="Arial" w:eastAsia="Arial" w:hAnsi="Arial"/>
          <w:sz w:val="14"/>
          <w:szCs w:val="14"/>
          <w:b w:val="1"/>
          <w:bCs w:val="1"/>
          <w:color w:val="auto"/>
        </w:rPr>
        <w:t>(b)</w:t>
      </w:r>
      <w:r>
        <w:rPr>
          <w:rFonts w:ascii="Arial" w:cs="Arial" w:eastAsia="Arial" w:hAnsi="Arial"/>
          <w:sz w:val="14"/>
          <w:szCs w:val="14"/>
          <w:color w:val="auto"/>
        </w:rPr>
        <w:t xml:space="preserve"> p110a catalytic subunit of PI3K and </w:t>
      </w:r>
      <w:r>
        <w:rPr>
          <w:rFonts w:ascii="Arial" w:cs="Arial" w:eastAsia="Arial" w:hAnsi="Arial"/>
          <w:sz w:val="14"/>
          <w:szCs w:val="14"/>
          <w:b w:val="1"/>
          <w:bCs w:val="1"/>
          <w:color w:val="auto"/>
        </w:rPr>
        <w:t>(c)</w:t>
      </w:r>
      <w:r>
        <w:rPr>
          <w:rFonts w:ascii="Arial" w:cs="Arial" w:eastAsia="Arial" w:hAnsi="Arial"/>
          <w:sz w:val="14"/>
          <w:szCs w:val="14"/>
          <w:color w:val="auto"/>
        </w:rPr>
        <w:t xml:space="preserve"> allosteric site on SOS1.</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A representative KRAS</w:t>
      </w:r>
      <w:r>
        <w:rPr>
          <w:rFonts w:ascii="Arial" w:cs="Arial" w:eastAsia="Arial" w:hAnsi="Arial"/>
          <w:sz w:val="11"/>
          <w:szCs w:val="11"/>
          <w:color w:val="auto"/>
        </w:rPr>
        <w:t>G12C</w:t>
      </w:r>
      <w:r>
        <w:rPr>
          <w:rFonts w:ascii="Arial" w:cs="Arial" w:eastAsia="Arial" w:hAnsi="Arial"/>
          <w:sz w:val="18"/>
          <w:szCs w:val="18"/>
          <w:color w:val="auto"/>
        </w:rPr>
        <w:t>(ON) tri-complex inhibitor causes concentration-dependent disruption of the interaction between KRAS</w:t>
      </w:r>
      <w:r>
        <w:rPr>
          <w:rFonts w:ascii="Arial" w:cs="Arial" w:eastAsia="Arial" w:hAnsi="Arial"/>
          <w:sz w:val="11"/>
          <w:szCs w:val="11"/>
          <w:color w:val="auto"/>
        </w:rPr>
        <w:t>G12C</w:t>
      </w:r>
      <w:r>
        <w:rPr>
          <w:rFonts w:ascii="Arial" w:cs="Arial" w:eastAsia="Arial" w:hAnsi="Arial"/>
          <w:sz w:val="18"/>
          <w:szCs w:val="18"/>
          <w:color w:val="auto"/>
        </w:rPr>
        <w:t>(ON) and RAF-binding domain of BRAF (Figure 18). This inhibitor also penetrates KRAS</w:t>
      </w:r>
      <w:r>
        <w:rPr>
          <w:rFonts w:ascii="Arial" w:cs="Arial" w:eastAsia="Arial" w:hAnsi="Arial"/>
          <w:sz w:val="11"/>
          <w:szCs w:val="11"/>
          <w:color w:val="auto"/>
        </w:rPr>
        <w:t>G12C</w:t>
      </w:r>
      <w:r>
        <w:rPr>
          <w:rFonts w:ascii="Arial" w:cs="Arial" w:eastAsia="Arial" w:hAnsi="Arial"/>
          <w:sz w:val="18"/>
          <w:szCs w:val="18"/>
          <w:color w:val="auto"/>
        </w:rPr>
        <w:t xml:space="preserve"> mutant tumor cells and potently suppresses pERK levels and cell growth. Most tumor cells carrying this RAS variant are highly sensitive to the inhibitor, whereas none of those with mutations elsewhere in the pathway are sensitive to this inhibitor at pharmacologically relevant concentrations. We believe the range of sensitivities reflects the level of addiction of each specific cell line to KRAS</w:t>
      </w:r>
      <w:r>
        <w:rPr>
          <w:rFonts w:ascii="Arial" w:cs="Arial" w:eastAsia="Arial" w:hAnsi="Arial"/>
          <w:sz w:val="11"/>
          <w:szCs w:val="11"/>
          <w:color w:val="auto"/>
        </w:rPr>
        <w:t>G12C</w:t>
      </w:r>
      <w:r>
        <w:rPr>
          <w:rFonts w:ascii="Arial" w:cs="Arial" w:eastAsia="Arial" w:hAnsi="Arial"/>
          <w:sz w:val="18"/>
          <w:szCs w:val="18"/>
          <w:color w:val="auto"/>
        </w:rPr>
        <w:t xml:space="preserve">(ON).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administration of a representative KRAS</w:t>
      </w:r>
      <w:r>
        <w:rPr>
          <w:rFonts w:ascii="Arial" w:cs="Arial" w:eastAsia="Arial" w:hAnsi="Arial"/>
          <w:sz w:val="11"/>
          <w:szCs w:val="11"/>
          <w:color w:val="auto"/>
        </w:rPr>
        <w:t>G12C</w:t>
      </w:r>
      <w:r>
        <w:rPr>
          <w:rFonts w:ascii="Arial" w:cs="Arial" w:eastAsia="Arial" w:hAnsi="Arial"/>
          <w:sz w:val="18"/>
          <w:szCs w:val="18"/>
          <w:color w:val="auto"/>
        </w:rPr>
        <w:t>(ON) tri-complex inhibitor (RM-010) drives tumor regressions in a KRAS</w:t>
      </w:r>
      <w:r>
        <w:rPr>
          <w:rFonts w:ascii="Arial" w:cs="Arial" w:eastAsia="Arial" w:hAnsi="Arial"/>
          <w:sz w:val="11"/>
          <w:szCs w:val="11"/>
          <w:color w:val="auto"/>
        </w:rPr>
        <w:t>G12C</w:t>
      </w:r>
      <w:r>
        <w:rPr>
          <w:rFonts w:ascii="Arial" w:cs="Arial" w:eastAsia="Arial" w:hAnsi="Arial"/>
          <w:sz w:val="18"/>
          <w:szCs w:val="18"/>
          <w:color w:val="auto"/>
        </w:rPr>
        <w:t xml:space="preserve"> tumor model following repeat dosing (Figure 19). Covalent cross-linking of RAS in the tumor, consistent with KRAS</w:t>
      </w:r>
      <w:r>
        <w:rPr>
          <w:rFonts w:ascii="Arial" w:cs="Arial" w:eastAsia="Arial" w:hAnsi="Arial"/>
          <w:sz w:val="11"/>
          <w:szCs w:val="11"/>
          <w:color w:val="auto"/>
        </w:rPr>
        <w:t>G12C</w:t>
      </w:r>
      <w:r>
        <w:rPr>
          <w:rFonts w:ascii="Arial" w:cs="Arial" w:eastAsia="Arial" w:hAnsi="Arial"/>
          <w:sz w:val="18"/>
          <w:szCs w:val="18"/>
          <w:color w:val="auto"/>
        </w:rPr>
        <w:t xml:space="preserve"> target engagement by this KRAS</w:t>
      </w:r>
      <w:r>
        <w:rPr>
          <w:rFonts w:ascii="Arial" w:cs="Arial" w:eastAsia="Arial" w:hAnsi="Arial"/>
          <w:sz w:val="11"/>
          <w:szCs w:val="11"/>
          <w:color w:val="auto"/>
        </w:rPr>
        <w:t>G12C</w:t>
      </w:r>
      <w:r>
        <w:rPr>
          <w:rFonts w:ascii="Arial" w:cs="Arial" w:eastAsia="Arial" w:hAnsi="Arial"/>
          <w:sz w:val="18"/>
          <w:szCs w:val="18"/>
          <w:color w:val="auto"/>
        </w:rPr>
        <w:t>(ON) tri-complex inhibitor could be observed following administration of a single dose (Figure 20 inset). Anti-tumor activity with another KRAS</w:t>
      </w:r>
      <w:r>
        <w:rPr>
          <w:rFonts w:ascii="Arial" w:cs="Arial" w:eastAsia="Arial" w:hAnsi="Arial"/>
          <w:sz w:val="11"/>
          <w:szCs w:val="11"/>
          <w:color w:val="auto"/>
        </w:rPr>
        <w:t>G12C</w:t>
      </w:r>
      <w:r>
        <w:rPr>
          <w:rFonts w:ascii="Arial" w:cs="Arial" w:eastAsia="Arial" w:hAnsi="Arial"/>
          <w:sz w:val="18"/>
          <w:szCs w:val="18"/>
          <w:color w:val="auto"/>
        </w:rPr>
        <w:t>(ON) tri-complex inhibitor was observed in multiple KRAS</w:t>
      </w:r>
      <w:r>
        <w:rPr>
          <w:rFonts w:ascii="Arial" w:cs="Arial" w:eastAsia="Arial" w:hAnsi="Arial"/>
          <w:sz w:val="11"/>
          <w:szCs w:val="11"/>
          <w:color w:val="auto"/>
        </w:rPr>
        <w:t>G12C</w:t>
      </w:r>
      <w:r>
        <w:rPr>
          <w:rFonts w:ascii="Arial" w:cs="Arial" w:eastAsia="Arial" w:hAnsi="Arial"/>
          <w:sz w:val="18"/>
          <w:szCs w:val="18"/>
          <w:color w:val="auto"/>
        </w:rPr>
        <w:t xml:space="preserve"> tumor models, as demonstrated by RM-015, which drove deep tumor regressions in preclinical xenograft models of both NSCLC and PDAC tumors harboring KRAS</w:t>
      </w:r>
      <w:r>
        <w:rPr>
          <w:rFonts w:ascii="Arial" w:cs="Arial" w:eastAsia="Arial" w:hAnsi="Arial"/>
          <w:sz w:val="11"/>
          <w:szCs w:val="11"/>
          <w:color w:val="auto"/>
        </w:rPr>
        <w:t>G12C</w:t>
      </w:r>
      <w:r>
        <w:rPr>
          <w:rFonts w:ascii="Arial" w:cs="Arial" w:eastAsia="Arial" w:hAnsi="Arial"/>
          <w:sz w:val="18"/>
          <w:szCs w:val="18"/>
          <w:color w:val="auto"/>
        </w:rPr>
        <w:t xml:space="preserve"> (Figure 21).</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360"/>
        <w:spacing w:after="0" w:line="264" w:lineRule="auto"/>
        <w:rPr>
          <w:sz w:val="20"/>
          <w:szCs w:val="20"/>
          <w:color w:val="auto"/>
        </w:rPr>
      </w:pPr>
      <w:r>
        <w:rPr>
          <w:rFonts w:ascii="Arial" w:cs="Arial" w:eastAsia="Arial" w:hAnsi="Arial"/>
          <w:sz w:val="18"/>
          <w:szCs w:val="18"/>
          <w:b w:val="1"/>
          <w:bCs w:val="1"/>
          <w:color w:val="auto"/>
        </w:rPr>
        <w:t>Figure 19</w:t>
      </w:r>
      <w:r>
        <w:rPr>
          <w:rFonts w:ascii="Arial" w:cs="Arial" w:eastAsia="Arial" w:hAnsi="Arial"/>
          <w:sz w:val="18"/>
          <w:szCs w:val="18"/>
          <w:color w:val="auto"/>
        </w:rPr>
        <w:t>: KRAS</w:t>
      </w:r>
      <w:r>
        <w:rPr>
          <w:rFonts w:ascii="Arial" w:cs="Arial" w:eastAsia="Arial" w:hAnsi="Arial"/>
          <w:sz w:val="11"/>
          <w:szCs w:val="11"/>
          <w:color w:val="auto"/>
        </w:rPr>
        <w:t>G12C</w:t>
      </w:r>
      <w:r>
        <w:rPr>
          <w:rFonts w:ascii="Arial" w:cs="Arial" w:eastAsia="Arial" w:hAnsi="Arial"/>
          <w:sz w:val="18"/>
          <w:szCs w:val="18"/>
          <w:color w:val="auto"/>
        </w:rPr>
        <w:t>(ON) tri-complex inhibitor disrupts KRAS</w:t>
      </w:r>
      <w:r>
        <w:rPr>
          <w:rFonts w:ascii="Arial" w:cs="Arial" w:eastAsia="Arial" w:hAnsi="Arial"/>
          <w:sz w:val="11"/>
          <w:szCs w:val="11"/>
          <w:color w:val="auto"/>
        </w:rPr>
        <w:t>G12C</w:t>
      </w:r>
      <w:r>
        <w:rPr>
          <w:rFonts w:ascii="Arial" w:cs="Arial" w:eastAsia="Arial" w:hAnsi="Arial"/>
          <w:sz w:val="18"/>
          <w:szCs w:val="18"/>
          <w:color w:val="auto"/>
        </w:rPr>
        <w:t>-RAF interaction; inhibits RAS pathway and proliferation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KRAS</w:t>
      </w:r>
      <w:r>
        <w:rPr>
          <w:rFonts w:ascii="Arial" w:cs="Arial" w:eastAsia="Arial" w:hAnsi="Arial"/>
          <w:sz w:val="11"/>
          <w:szCs w:val="11"/>
          <w:color w:val="auto"/>
        </w:rPr>
        <w:t>G12C</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57150</wp:posOffset>
            </wp:positionV>
            <wp:extent cx="4279265" cy="27698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279265" cy="276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spacing w:after="0" w:line="183" w:lineRule="auto"/>
        <w:rPr>
          <w:sz w:val="20"/>
          <w:szCs w:val="20"/>
          <w:color w:val="auto"/>
        </w:rPr>
      </w:pPr>
      <w:r>
        <w:rPr>
          <w:rFonts w:ascii="Arial" w:cs="Arial" w:eastAsia="Arial" w:hAnsi="Arial"/>
          <w:sz w:val="12"/>
          <w:szCs w:val="12"/>
          <w:color w:val="auto"/>
        </w:rPr>
        <w:t>Biochemical characterization of the effect of KRAS</w:t>
      </w:r>
      <w:r>
        <w:rPr>
          <w:rFonts w:ascii="Arial" w:cs="Arial" w:eastAsia="Arial" w:hAnsi="Arial"/>
          <w:sz w:val="18"/>
          <w:szCs w:val="18"/>
          <w:color w:val="auto"/>
          <w:vertAlign w:val="superscript"/>
        </w:rPr>
        <w:t>G12C</w:t>
      </w:r>
      <w:r>
        <w:rPr>
          <w:rFonts w:ascii="Arial" w:cs="Arial" w:eastAsia="Arial" w:hAnsi="Arial"/>
          <w:sz w:val="12"/>
          <w:szCs w:val="12"/>
          <w:color w:val="auto"/>
        </w:rPr>
        <w:t>(ON) tri-complex inhibitor RM-010 on the interaction between KRAS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 (loaded with a non-hydrolysable analog of GTP) and the RAS binding domain (RBD) of BRAF was performed using a TR-FRET assay (RAS-RAF disruption) (a). RAS pathway activity and cell proliferation in NSCLC NCI-H358 KRAS</w:t>
      </w:r>
      <w:r>
        <w:rPr>
          <w:rFonts w:ascii="Arial" w:cs="Arial" w:eastAsia="Arial" w:hAnsi="Arial"/>
          <w:sz w:val="18"/>
          <w:szCs w:val="18"/>
          <w:color w:val="auto"/>
          <w:vertAlign w:val="superscript"/>
        </w:rPr>
        <w:t>G12C</w:t>
      </w:r>
    </w:p>
    <w:p>
      <w:pPr>
        <w:ind w:left="200"/>
        <w:spacing w:after="0" w:line="226" w:lineRule="auto"/>
        <w:rPr>
          <w:sz w:val="20"/>
          <w:szCs w:val="20"/>
          <w:color w:val="auto"/>
        </w:rPr>
      </w:pPr>
      <w:r>
        <w:rPr>
          <w:rFonts w:ascii="Arial" w:cs="Arial" w:eastAsia="Arial" w:hAnsi="Arial"/>
          <w:sz w:val="12"/>
          <w:szCs w:val="12"/>
          <w:color w:val="auto"/>
        </w:rPr>
        <w:t>cells were monitored in 2D cell cultures using levels of ERK1/2 phosphorylation at Thr202/Tyr204 (cellular pERK) (b) and in 3D cell cultures using CellTiter-Glo CTG (cell proliferation)</w:t>
      </w:r>
    </w:p>
    <w:p>
      <w:pPr>
        <w:jc w:val="both"/>
        <w:ind w:left="200" w:right="80"/>
        <w:spacing w:after="0" w:line="200" w:lineRule="auto"/>
        <w:rPr>
          <w:sz w:val="20"/>
          <w:szCs w:val="20"/>
          <w:color w:val="auto"/>
        </w:rPr>
      </w:pPr>
      <w:r>
        <w:rPr>
          <w:rFonts w:ascii="Arial" w:cs="Arial" w:eastAsia="Arial" w:hAnsi="Arial"/>
          <w:sz w:val="14"/>
          <w:szCs w:val="14"/>
          <w:color w:val="auto"/>
        </w:rPr>
        <w:t>(c). RM-007 potency (expressed as the IC</w:t>
      </w:r>
      <w:r>
        <w:rPr>
          <w:rFonts w:ascii="Arial" w:cs="Arial" w:eastAsia="Arial" w:hAnsi="Arial"/>
          <w:sz w:val="22"/>
          <w:szCs w:val="22"/>
          <w:color w:val="auto"/>
          <w:vertAlign w:val="subscript"/>
        </w:rPr>
        <w:t>50</w:t>
      </w:r>
      <w:r>
        <w:rPr>
          <w:rFonts w:ascii="Arial" w:cs="Arial" w:eastAsia="Arial" w:hAnsi="Arial"/>
          <w:sz w:val="14"/>
          <w:szCs w:val="14"/>
          <w:color w:val="auto"/>
        </w:rPr>
        <w:t xml:space="preserve"> in µM) for inhibition of proliferation of a panel of cell lines bearing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mutations (green bars) or other non-KRAS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mutations in the RAS pathway (blue bars) (d). Data shown in Figures a, b and c represent the mean of at least two independent studies, each performed in duplicate (error bars show the standard deviation). Data in Figure d are from a single study performed in triplicate.</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 xml:space="preserve">Figure 20: </w:t>
      </w:r>
      <w:r>
        <w:rPr>
          <w:rFonts w:ascii="Arial" w:cs="Arial" w:eastAsia="Arial" w:hAnsi="Arial"/>
          <w:sz w:val="18"/>
          <w:szCs w:val="18"/>
          <w:color w:val="auto"/>
        </w:rPr>
        <w:t>Tri-complex KRAS</w:t>
      </w:r>
      <w:r>
        <w:rPr>
          <w:rFonts w:ascii="Arial" w:cs="Arial" w:eastAsia="Arial" w:hAnsi="Arial"/>
          <w:sz w:val="11"/>
          <w:szCs w:val="11"/>
          <w:color w:val="auto"/>
        </w:rPr>
        <w:t>G12C</w:t>
      </w:r>
      <w:r>
        <w:rPr>
          <w:rFonts w:ascii="Arial" w:cs="Arial" w:eastAsia="Arial" w:hAnsi="Arial"/>
          <w:sz w:val="18"/>
          <w:szCs w:val="18"/>
          <w:color w:val="auto"/>
        </w:rPr>
        <w:t>(ON) inhibitor suppresses tumor growth in preclinical xenograft model of tumors harboring KRAS</w:t>
      </w:r>
      <w:r>
        <w:rPr>
          <w:rFonts w:ascii="Arial" w:cs="Arial" w:eastAsia="Arial" w:hAnsi="Arial"/>
          <w:sz w:val="11"/>
          <w:szCs w:val="11"/>
          <w:color w:val="auto"/>
        </w:rPr>
        <w:t>G12C</w:t>
      </w:r>
    </w:p>
    <w:p>
      <w:pPr>
        <w:spacing w:after="0" w:line="104"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86360</wp:posOffset>
            </wp:positionV>
            <wp:extent cx="4159250" cy="2195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15925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0" w:right="20"/>
        <w:spacing w:after="0" w:line="191" w:lineRule="auto"/>
        <w:rPr>
          <w:sz w:val="20"/>
          <w:szCs w:val="20"/>
          <w:color w:val="auto"/>
        </w:rPr>
      </w:pPr>
      <w:r>
        <w:rPr>
          <w:rFonts w:ascii="Arial" w:cs="Arial" w:eastAsia="Arial" w:hAnsi="Arial"/>
          <w:sz w:val="14"/>
          <w:szCs w:val="14"/>
          <w:color w:val="auto"/>
        </w:rPr>
        <w:t>Anti-tumor activity of RM-010 (100 mg/kg, intraperitoneal, daily; ip qd) in NSCLC CDX NCI-H358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xenograft model in mice. Data represent mean tumor volume over time (a) or waterfall plot of individual end of study responses, with tumor volume expressed as a percentage of initial tumor volume at time of</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240" w:top="459"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20"/>
        <w:spacing w:after="0" w:line="225" w:lineRule="auto"/>
        <w:rPr>
          <w:sz w:val="20"/>
          <w:szCs w:val="20"/>
          <w:color w:val="auto"/>
        </w:rPr>
      </w:pPr>
      <w:r>
        <w:rPr>
          <w:rFonts w:ascii="Arial" w:cs="Arial" w:eastAsia="Arial" w:hAnsi="Arial"/>
          <w:sz w:val="14"/>
          <w:szCs w:val="14"/>
          <w:color w:val="auto"/>
        </w:rPr>
        <w:t>study start (truncated at 300%) (b). Number of mice per group = 10. In (a) data represent mean and errors bars represent standard error of the mean. In (b) each animal is represented as a separate bar. Numbers indicate number of regressions (defined as &gt; 10% reduction in tumor volume from starting volume) in each group. Inset, western blot for RAS in tumor lysates prepared from tumors harvested at 6 and 48 hours after administration of a single dose of RM-010 (100 mg/kg, ip) or vehicle to mice bearing NCI-H358 tumors. Data shown are from a single mouse (similar target engagement data were obtained using tumor samples from two additional mice at each time point shown, as well as from three additional mice treated for 24 hours).</w:t>
      </w:r>
    </w:p>
    <w:p>
      <w:pPr>
        <w:spacing w:after="0" w:line="78" w:lineRule="exact"/>
        <w:rPr>
          <w:sz w:val="20"/>
          <w:szCs w:val="20"/>
          <w:color w:val="auto"/>
        </w:rPr>
      </w:pPr>
    </w:p>
    <w:p>
      <w:pPr>
        <w:ind w:left="200" w:right="620"/>
        <w:spacing w:after="0" w:line="264" w:lineRule="auto"/>
        <w:rPr>
          <w:sz w:val="20"/>
          <w:szCs w:val="20"/>
          <w:color w:val="auto"/>
        </w:rPr>
      </w:pPr>
      <w:r>
        <w:rPr>
          <w:rFonts w:ascii="Arial" w:cs="Arial" w:eastAsia="Arial" w:hAnsi="Arial"/>
          <w:sz w:val="18"/>
          <w:szCs w:val="18"/>
          <w:b w:val="1"/>
          <w:bCs w:val="1"/>
          <w:color w:val="auto"/>
        </w:rPr>
        <w:t>Figure 21</w:t>
      </w:r>
      <w:r>
        <w:rPr>
          <w:rFonts w:ascii="Arial" w:cs="Arial" w:eastAsia="Arial" w:hAnsi="Arial"/>
          <w:sz w:val="18"/>
          <w:szCs w:val="18"/>
          <w:color w:val="auto"/>
        </w:rPr>
        <w:t>: Tri-complex KRAS</w:t>
      </w:r>
      <w:r>
        <w:rPr>
          <w:rFonts w:ascii="Arial" w:cs="Arial" w:eastAsia="Arial" w:hAnsi="Arial"/>
          <w:sz w:val="11"/>
          <w:szCs w:val="11"/>
          <w:color w:val="auto"/>
        </w:rPr>
        <w:t>G12C</w:t>
      </w:r>
      <w:r>
        <w:rPr>
          <w:rFonts w:ascii="Arial" w:cs="Arial" w:eastAsia="Arial" w:hAnsi="Arial"/>
          <w:sz w:val="18"/>
          <w:szCs w:val="18"/>
          <w:color w:val="auto"/>
        </w:rPr>
        <w:t>(ON) inhibitor drives tumor regressions in preclinical xenograft models of NSCLC and PDAC tumors</w:t>
      </w:r>
      <w:r>
        <w:rPr>
          <w:rFonts w:ascii="Arial" w:cs="Arial" w:eastAsia="Arial" w:hAnsi="Arial"/>
          <w:sz w:val="18"/>
          <w:szCs w:val="18"/>
          <w:b w:val="1"/>
          <w:bCs w:val="1"/>
          <w:color w:val="auto"/>
        </w:rPr>
        <w:t xml:space="preserve"> </w:t>
      </w:r>
      <w:r>
        <w:rPr>
          <w:rFonts w:ascii="Arial" w:cs="Arial" w:eastAsia="Arial" w:hAnsi="Arial"/>
          <w:sz w:val="18"/>
          <w:szCs w:val="18"/>
          <w:color w:val="auto"/>
        </w:rPr>
        <w:t>harboring KRAS</w:t>
      </w:r>
      <w:r>
        <w:rPr>
          <w:rFonts w:ascii="Arial" w:cs="Arial" w:eastAsia="Arial" w:hAnsi="Arial"/>
          <w:sz w:val="11"/>
          <w:szCs w:val="11"/>
          <w:color w:val="auto"/>
        </w:rPr>
        <w:t>G12C</w:t>
      </w:r>
      <w:r>
        <w:rPr>
          <w:rFonts w:ascii="Arial" w:cs="Arial" w:eastAsia="Arial" w:hAnsi="Arial"/>
          <w:sz w:val="18"/>
          <w:szCs w:val="18"/>
          <w:color w:val="auto"/>
        </w:rPr>
        <w:t>.</w:t>
      </w:r>
    </w:p>
    <w:p>
      <w:pPr>
        <w:sectPr>
          <w:pgSz w:w="11900" w:h="16838" w:orient="portrait"/>
          <w:cols w:equalWidth="0" w:num="1">
            <w:col w:w="11160"/>
          </w:cols>
          <w:pgMar w:left="240" w:top="459" w:right="499" w:bottom="1440" w:gutter="0" w:footer="0" w:header="0"/>
        </w:sectPr>
      </w:pPr>
    </w:p>
    <w:p>
      <w:pPr>
        <w:spacing w:after="0" w:line="71"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KRAS</w:t>
      </w:r>
      <w:r>
        <w:rPr>
          <w:rFonts w:ascii="Arial" w:cs="Arial" w:eastAsia="Arial" w:hAnsi="Arial"/>
          <w:sz w:val="10"/>
          <w:szCs w:val="10"/>
          <w:b w:val="1"/>
          <w:bCs w:val="1"/>
          <w:color w:val="auto"/>
        </w:rPr>
        <w:t>G12C</w:t>
      </w:r>
      <w:r>
        <w:rPr>
          <w:rFonts w:ascii="Arial" w:cs="Arial" w:eastAsia="Arial" w:hAnsi="Arial"/>
          <w:sz w:val="16"/>
          <w:szCs w:val="16"/>
          <w:b w:val="1"/>
          <w:bCs w:val="1"/>
          <w:color w:val="auto"/>
        </w:rPr>
        <w:t xml:space="preserve">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126365</wp:posOffset>
            </wp:positionV>
            <wp:extent cx="2066925" cy="143192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066925" cy="14319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KRAS</w:t>
      </w:r>
      <w:r>
        <w:rPr>
          <w:rFonts w:ascii="Arial" w:cs="Arial" w:eastAsia="Arial" w:hAnsi="Arial"/>
          <w:sz w:val="10"/>
          <w:szCs w:val="10"/>
          <w:b w:val="1"/>
          <w:bCs w:val="1"/>
          <w:color w:val="auto"/>
        </w:rPr>
        <w:t>G12C</w:t>
      </w:r>
      <w:r>
        <w:rPr>
          <w:rFonts w:ascii="Arial" w:cs="Arial" w:eastAsia="Arial" w:hAnsi="Arial"/>
          <w:sz w:val="16"/>
          <w:szCs w:val="16"/>
          <w:b w:val="1"/>
          <w:bCs w:val="1"/>
          <w:color w:val="auto"/>
        </w:rPr>
        <w:t xml:space="preserve"> PDAC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-608965</wp:posOffset>
            </wp:positionH>
            <wp:positionV relativeFrom="paragraph">
              <wp:posOffset>126365</wp:posOffset>
            </wp:positionV>
            <wp:extent cx="2075180" cy="14319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075180" cy="143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460" w:space="720"/>
            <w:col w:w="2980"/>
          </w:cols>
          <w:pgMar w:left="240" w:top="459" w:right="499" w:bottom="1440" w:gutter="0" w:footer="0" w:header="0"/>
          <w:type w:val="continuous"/>
        </w:sectPr>
      </w:pP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w:t>
      </w:r>
    </w:p>
    <w:p>
      <w:pPr>
        <w:spacing w:after="0" w:line="222" w:lineRule="exact"/>
        <w:rPr>
          <w:sz w:val="20"/>
          <w:szCs w:val="20"/>
          <w:color w:val="auto"/>
        </w:rPr>
      </w:pPr>
    </w:p>
    <w:p>
      <w:pPr>
        <w:sectPr>
          <w:pgSz w:w="11900" w:h="16838" w:orient="portrait"/>
          <w:cols w:equalWidth="0" w:num="2">
            <w:col w:w="5340" w:space="720"/>
            <w:col w:w="5100"/>
          </w:cols>
          <w:pgMar w:left="240" w:top="459"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480"/>
        <w:spacing w:after="0"/>
        <w:rPr>
          <w:sz w:val="20"/>
          <w:szCs w:val="20"/>
          <w:color w:val="auto"/>
        </w:rPr>
      </w:pPr>
      <w:r>
        <w:rPr>
          <w:rFonts w:ascii="Arial" w:cs="Arial" w:eastAsia="Arial" w:hAnsi="Arial"/>
          <w:sz w:val="16"/>
          <w:szCs w:val="16"/>
          <w:b w:val="1"/>
          <w:bCs w:val="1"/>
          <w:color w:val="auto"/>
        </w:rPr>
        <w:t>Days Post-Implant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126365</wp:posOffset>
            </wp:positionV>
            <wp:extent cx="1989455" cy="12179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989455" cy="1217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Days Post-Implant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126365</wp:posOffset>
            </wp:positionV>
            <wp:extent cx="2195195" cy="13208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95195" cy="13208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260" w:space="720"/>
            <w:col w:w="3180"/>
          </w:cols>
          <w:pgMar w:left="240" w:top="459" w:right="499" w:bottom="1440" w:gutter="0" w:footer="0" w:header="0"/>
          <w:type w:val="continuous"/>
        </w:sectPr>
      </w:pP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w:t>
      </w:r>
    </w:p>
    <w:p>
      <w:pPr>
        <w:spacing w:after="0" w:line="200" w:lineRule="exact"/>
        <w:rPr>
          <w:sz w:val="20"/>
          <w:szCs w:val="20"/>
          <w:color w:val="auto"/>
        </w:rPr>
      </w:pPr>
    </w:p>
    <w:p>
      <w:pPr>
        <w:sectPr>
          <w:pgSz w:w="11900" w:h="16838" w:orient="portrait"/>
          <w:cols w:equalWidth="0" w:num="2">
            <w:col w:w="5220" w:space="720"/>
            <w:col w:w="5220"/>
          </w:cols>
          <w:pgMar w:left="240" w:top="459"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200" w:right="120"/>
        <w:spacing w:after="0" w:line="207" w:lineRule="auto"/>
        <w:rPr>
          <w:sz w:val="20"/>
          <w:szCs w:val="20"/>
          <w:color w:val="auto"/>
        </w:rPr>
      </w:pPr>
      <w:r>
        <w:rPr>
          <w:rFonts w:ascii="Arial" w:cs="Arial" w:eastAsia="Arial" w:hAnsi="Arial"/>
          <w:sz w:val="14"/>
          <w:szCs w:val="14"/>
          <w:color w:val="auto"/>
        </w:rPr>
        <w:t>Anti-tumor activity of RM-015 (10 or 30 mg/kg, intraperitoneal, daily; ip qd) in NSCLC CDX NCI-H358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(a and b) and PDAC CDX NCI-H358 KRAS</w:t>
      </w:r>
      <w:r>
        <w:rPr>
          <w:rFonts w:ascii="Arial" w:cs="Arial" w:eastAsia="Arial" w:hAnsi="Arial"/>
          <w:sz w:val="22"/>
          <w:szCs w:val="22"/>
          <w:color w:val="auto"/>
          <w:vertAlign w:val="superscript"/>
        </w:rPr>
        <w:t>G12C</w:t>
      </w:r>
      <w:r>
        <w:rPr>
          <w:rFonts w:ascii="Arial" w:cs="Arial" w:eastAsia="Arial" w:hAnsi="Arial"/>
          <w:sz w:val="14"/>
          <w:szCs w:val="14"/>
          <w:color w:val="auto"/>
        </w:rPr>
        <w:t xml:space="preserve"> (c and d) xenograft models in mice. Data represent mean tumor volume over time (a and c) or waterfall plots of individual end of study responses, with tumor volume expressed as a percentage of initial tumor volume at time of study start (truncated at 300% in b) (b and d). Number of mice per group = 10. In (a) and (c) data represent mean and errors bars represent standard error of the mean. In (b) and (d) each animal is represented as a separate bar. Numbers indicate number of regressions (defined as &gt; 10% reduction in tumor volume from starting volume) in each group.</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are also able to leverage our findings with KRAS</w:t>
      </w:r>
      <w:r>
        <w:rPr>
          <w:rFonts w:ascii="Arial" w:cs="Arial" w:eastAsia="Arial" w:hAnsi="Arial"/>
          <w:sz w:val="11"/>
          <w:szCs w:val="11"/>
          <w:color w:val="auto"/>
        </w:rPr>
        <w:t>G12C</w:t>
      </w:r>
      <w:r>
        <w:rPr>
          <w:rFonts w:ascii="Arial" w:cs="Arial" w:eastAsia="Arial" w:hAnsi="Arial"/>
          <w:sz w:val="18"/>
          <w:szCs w:val="18"/>
          <w:color w:val="auto"/>
        </w:rPr>
        <w:t>(ON) more broadly to facilitate identification of selective tri-complex inhibitors of other RAS(ON) mutants. We are developing inhibitors of several “hotspot” RAS(ON) mutants, with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and NRAS</w:t>
      </w:r>
      <w:r>
        <w:rPr>
          <w:rFonts w:ascii="Arial" w:cs="Arial" w:eastAsia="Arial" w:hAnsi="Arial"/>
          <w:sz w:val="11"/>
          <w:szCs w:val="11"/>
          <w:color w:val="auto"/>
        </w:rPr>
        <w:t>G12C</w:t>
      </w:r>
      <w:r>
        <w:rPr>
          <w:rFonts w:ascii="Arial" w:cs="Arial" w:eastAsia="Arial" w:hAnsi="Arial"/>
          <w:sz w:val="18"/>
          <w:szCs w:val="18"/>
          <w:color w:val="auto"/>
        </w:rPr>
        <w:t xml:space="preserve"> as particular priorities. We have identified compounds with functional activity in biochemical and cellular assays that measure RAS signaling pathway activity and have representative data for all of these variants (Figures 22, 23 and 24). We have the ability to target different RAS isoforms (i.e., isoform hopping), such as KRAS and NRAS, different mutational hotspots (i.e., hotspot hopping), such as G12 and G13, and different amino acid residues at a given hotspot (i.e., residue hopping), as exemplified by G12C and G12D. We use a common inhibitory mechanism that underscores the versatility of our tri-complex technology platform. Employing this technology, we have the opportunity to generate a broad portfolio of novel RAS(ON) inhibitors with potentially differentiated clinical profiles for use by patients with different tumor genotypes.</w:t>
      </w:r>
    </w:p>
    <w:p>
      <w:pPr>
        <w:spacing w:after="0" w:line="14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60"/>
          </w:cols>
          <w:pgMar w:left="240" w:top="459" w:right="499" w:bottom="1440" w:gutter="0" w:footer="0" w:header="0"/>
          <w:type w:val="continuous"/>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color w:val="auto"/>
        </w:rPr>
        <w:t>Figure 22</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(ON) tri-complex inhibitor RM-008 disrupts KRAS</w:t>
      </w:r>
      <w:r>
        <w:rPr>
          <w:rFonts w:ascii="Arial" w:cs="Arial" w:eastAsia="Arial" w:hAnsi="Arial"/>
          <w:sz w:val="11"/>
          <w:szCs w:val="11"/>
          <w:color w:val="auto"/>
        </w:rPr>
        <w:t>G13C</w:t>
      </w:r>
      <w:r>
        <w:rPr>
          <w:rFonts w:ascii="Arial" w:cs="Arial" w:eastAsia="Arial" w:hAnsi="Arial"/>
          <w:sz w:val="18"/>
          <w:szCs w:val="18"/>
          <w:color w:val="auto"/>
        </w:rPr>
        <w:t>-RAF interaction and inhibits RAS pathway activity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KRAS</w:t>
      </w:r>
      <w:r>
        <w:rPr>
          <w:rFonts w:ascii="Arial" w:cs="Arial" w:eastAsia="Arial" w:hAnsi="Arial"/>
          <w:sz w:val="11"/>
          <w:szCs w:val="11"/>
          <w:color w:val="auto"/>
        </w:rPr>
        <w:t>G13C</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57150</wp:posOffset>
            </wp:positionV>
            <wp:extent cx="3884930" cy="26416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84930" cy="2641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0"/>
        <w:spacing w:after="0" w:line="180" w:lineRule="auto"/>
        <w:rPr>
          <w:sz w:val="20"/>
          <w:szCs w:val="20"/>
          <w:color w:val="auto"/>
        </w:rPr>
      </w:pPr>
      <w:r>
        <w:rPr>
          <w:rFonts w:ascii="Arial" w:cs="Arial" w:eastAsia="Arial" w:hAnsi="Arial"/>
          <w:sz w:val="12"/>
          <w:szCs w:val="12"/>
          <w:color w:val="auto"/>
        </w:rPr>
        <w:t>Surface representation of atomic resolution crystal structure of tri-complex of RM-008 with KRAS</w:t>
      </w:r>
      <w:r>
        <w:rPr>
          <w:rFonts w:ascii="Arial" w:cs="Arial" w:eastAsia="Arial" w:hAnsi="Arial"/>
          <w:sz w:val="18"/>
          <w:szCs w:val="18"/>
          <w:color w:val="auto"/>
          <w:vertAlign w:val="superscript"/>
        </w:rPr>
        <w:t>G13C</w:t>
      </w:r>
      <w:r>
        <w:rPr>
          <w:rFonts w:ascii="Arial" w:cs="Arial" w:eastAsia="Arial" w:hAnsi="Arial"/>
          <w:sz w:val="12"/>
          <w:szCs w:val="12"/>
          <w:color w:val="auto"/>
        </w:rPr>
        <w:t xml:space="preserve"> (loaded with a non-hydrolysable analog of GTP) and cyclophilin A </w:t>
      </w:r>
      <w:r>
        <w:rPr>
          <w:rFonts w:ascii="Arial" w:cs="Arial" w:eastAsia="Arial" w:hAnsi="Arial"/>
          <w:sz w:val="12"/>
          <w:szCs w:val="12"/>
          <w:b w:val="1"/>
          <w:bCs w:val="1"/>
          <w:color w:val="auto"/>
        </w:rPr>
        <w:t>(a)</w:t>
      </w:r>
      <w:r>
        <w:rPr>
          <w:rFonts w:ascii="Arial" w:cs="Arial" w:eastAsia="Arial" w:hAnsi="Arial"/>
          <w:sz w:val="12"/>
          <w:szCs w:val="12"/>
          <w:color w:val="auto"/>
        </w:rPr>
        <w:t>. Biochemical characterization of the effect of KRAS</w:t>
      </w:r>
      <w:r>
        <w:rPr>
          <w:rFonts w:ascii="Arial" w:cs="Arial" w:eastAsia="Arial" w:hAnsi="Arial"/>
          <w:sz w:val="18"/>
          <w:szCs w:val="18"/>
          <w:color w:val="auto"/>
          <w:vertAlign w:val="superscript"/>
        </w:rPr>
        <w:t>G13C</w:t>
      </w:r>
      <w:r>
        <w:rPr>
          <w:rFonts w:ascii="Arial" w:cs="Arial" w:eastAsia="Arial" w:hAnsi="Arial"/>
          <w:sz w:val="12"/>
          <w:szCs w:val="12"/>
          <w:color w:val="auto"/>
        </w:rPr>
        <w:t>(ON) tri-complex inhibitor RM-008 on the interaction between KRAS</w:t>
      </w:r>
      <w:r>
        <w:rPr>
          <w:rFonts w:ascii="Arial" w:cs="Arial" w:eastAsia="Arial" w:hAnsi="Arial"/>
          <w:sz w:val="18"/>
          <w:szCs w:val="18"/>
          <w:color w:val="auto"/>
          <w:vertAlign w:val="superscript"/>
        </w:rPr>
        <w:t>G13C</w:t>
      </w:r>
      <w:r>
        <w:rPr>
          <w:rFonts w:ascii="Arial" w:cs="Arial" w:eastAsia="Arial" w:hAnsi="Arial"/>
          <w:sz w:val="12"/>
          <w:szCs w:val="12"/>
          <w:color w:val="auto"/>
        </w:rPr>
        <w:t xml:space="preserve"> (loaded with a non-hydrolysable analog of GTP) and the RAS binding domain (RBD) of BRAF was performed using a TR-FRET assay (RAS-RAF disruption) </w:t>
      </w:r>
      <w:r>
        <w:rPr>
          <w:rFonts w:ascii="Arial" w:cs="Arial" w:eastAsia="Arial" w:hAnsi="Arial"/>
          <w:sz w:val="12"/>
          <w:szCs w:val="12"/>
          <w:b w:val="1"/>
          <w:bCs w:val="1"/>
          <w:color w:val="auto"/>
        </w:rPr>
        <w:t>(b)</w:t>
      </w:r>
      <w:r>
        <w:rPr>
          <w:rFonts w:ascii="Arial" w:cs="Arial" w:eastAsia="Arial" w:hAnsi="Arial"/>
          <w:sz w:val="12"/>
          <w:szCs w:val="12"/>
          <w:color w:val="auto"/>
        </w:rPr>
        <w:t>. RAS pathway activity in NSCLC NCI-H1734 KRAS</w:t>
      </w:r>
      <w:r>
        <w:rPr>
          <w:rFonts w:ascii="Arial" w:cs="Arial" w:eastAsia="Arial" w:hAnsi="Arial"/>
          <w:sz w:val="18"/>
          <w:szCs w:val="18"/>
          <w:color w:val="auto"/>
          <w:vertAlign w:val="superscript"/>
        </w:rPr>
        <w:t>G13C</w:t>
      </w:r>
      <w:r>
        <w:rPr>
          <w:rFonts w:ascii="Arial" w:cs="Arial" w:eastAsia="Arial" w:hAnsi="Arial"/>
          <w:sz w:val="12"/>
          <w:szCs w:val="12"/>
          <w:color w:val="auto"/>
        </w:rPr>
        <w:t xml:space="preserve"> cells was monitored in 2D</w:t>
      </w:r>
    </w:p>
    <w:p>
      <w:pPr>
        <w:ind w:left="200" w:right="280"/>
        <w:spacing w:after="0" w:line="231" w:lineRule="auto"/>
        <w:rPr>
          <w:sz w:val="20"/>
          <w:szCs w:val="20"/>
          <w:color w:val="auto"/>
        </w:rPr>
      </w:pPr>
      <w:r>
        <w:rPr>
          <w:rFonts w:ascii="Arial" w:cs="Arial" w:eastAsia="Arial" w:hAnsi="Arial"/>
          <w:sz w:val="14"/>
          <w:szCs w:val="14"/>
          <w:color w:val="auto"/>
        </w:rPr>
        <w:t xml:space="preserve">cell cultures using levels of ERK1/2 phosphorylation at Thr202/Tyr204 (cellular pERK) </w:t>
      </w:r>
      <w:r>
        <w:rPr>
          <w:rFonts w:ascii="Arial" w:cs="Arial" w:eastAsia="Arial" w:hAnsi="Arial"/>
          <w:sz w:val="14"/>
          <w:szCs w:val="14"/>
          <w:b w:val="1"/>
          <w:bCs w:val="1"/>
          <w:color w:val="auto"/>
        </w:rPr>
        <w:t>(c)</w:t>
      </w:r>
      <w:r>
        <w:rPr>
          <w:rFonts w:ascii="Arial" w:cs="Arial" w:eastAsia="Arial" w:hAnsi="Arial"/>
          <w:sz w:val="14"/>
          <w:szCs w:val="14"/>
          <w:color w:val="auto"/>
        </w:rPr>
        <w:t>. Data shown in Figures b and c represent the mean of duplicate determinations (error bars show the standard deviation) from a single study. Data are representative of at least two independent studies, each performed in duplicate.</w:t>
      </w:r>
    </w:p>
    <w:p>
      <w:pPr>
        <w:spacing w:after="0" w:line="77"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b w:val="1"/>
          <w:bCs w:val="1"/>
          <w:color w:val="auto"/>
        </w:rPr>
        <w:t>Figure 23</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(ON) tri-complex inhibitor RM-012 disrupts KRAS</w:t>
      </w:r>
      <w:r>
        <w:rPr>
          <w:rFonts w:ascii="Arial" w:cs="Arial" w:eastAsia="Arial" w:hAnsi="Arial"/>
          <w:sz w:val="11"/>
          <w:szCs w:val="11"/>
          <w:color w:val="auto"/>
        </w:rPr>
        <w:t>G12D</w:t>
      </w:r>
      <w:r>
        <w:rPr>
          <w:rFonts w:ascii="Arial" w:cs="Arial" w:eastAsia="Arial" w:hAnsi="Arial"/>
          <w:sz w:val="18"/>
          <w:szCs w:val="18"/>
          <w:color w:val="auto"/>
        </w:rPr>
        <w:t>-RAF interaction and inhibits RAS pathway activity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KRAS</w:t>
      </w:r>
      <w:r>
        <w:rPr>
          <w:rFonts w:ascii="Arial" w:cs="Arial" w:eastAsia="Arial" w:hAnsi="Arial"/>
          <w:sz w:val="11"/>
          <w:szCs w:val="11"/>
          <w:color w:val="auto"/>
        </w:rPr>
        <w:t>G12D</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1685925</wp:posOffset>
            </wp:positionH>
            <wp:positionV relativeFrom="paragraph">
              <wp:posOffset>57150</wp:posOffset>
            </wp:positionV>
            <wp:extent cx="3884930" cy="24523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84930" cy="2452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00"/>
        <w:spacing w:after="0" w:line="180" w:lineRule="auto"/>
        <w:rPr>
          <w:sz w:val="20"/>
          <w:szCs w:val="20"/>
          <w:color w:val="auto"/>
        </w:rPr>
      </w:pPr>
      <w:r>
        <w:rPr>
          <w:rFonts w:ascii="Arial" w:cs="Arial" w:eastAsia="Arial" w:hAnsi="Arial"/>
          <w:sz w:val="12"/>
          <w:szCs w:val="12"/>
          <w:color w:val="auto"/>
        </w:rPr>
        <w:t>Surface representation of atomic resolution crystal structure of tri-complex of RM-012 with KRAS</w:t>
      </w:r>
      <w:r>
        <w:rPr>
          <w:rFonts w:ascii="Arial" w:cs="Arial" w:eastAsia="Arial" w:hAnsi="Arial"/>
          <w:sz w:val="18"/>
          <w:szCs w:val="18"/>
          <w:color w:val="auto"/>
          <w:vertAlign w:val="superscript"/>
        </w:rPr>
        <w:t>G12D</w:t>
      </w:r>
      <w:r>
        <w:rPr>
          <w:rFonts w:ascii="Arial" w:cs="Arial" w:eastAsia="Arial" w:hAnsi="Arial"/>
          <w:sz w:val="12"/>
          <w:szCs w:val="12"/>
          <w:color w:val="auto"/>
        </w:rPr>
        <w:t xml:space="preserve"> (loaded with a non-hydrolysable analog of GTP) and cyclophilin A </w:t>
      </w:r>
      <w:r>
        <w:rPr>
          <w:rFonts w:ascii="Arial" w:cs="Arial" w:eastAsia="Arial" w:hAnsi="Arial"/>
          <w:sz w:val="12"/>
          <w:szCs w:val="12"/>
          <w:b w:val="1"/>
          <w:bCs w:val="1"/>
          <w:color w:val="auto"/>
        </w:rPr>
        <w:t>(a)</w:t>
      </w:r>
      <w:r>
        <w:rPr>
          <w:rFonts w:ascii="Arial" w:cs="Arial" w:eastAsia="Arial" w:hAnsi="Arial"/>
          <w:sz w:val="12"/>
          <w:szCs w:val="12"/>
          <w:color w:val="auto"/>
        </w:rPr>
        <w:t>. Biochemical characterization of the effect of KRAS</w:t>
      </w:r>
      <w:r>
        <w:rPr>
          <w:rFonts w:ascii="Arial" w:cs="Arial" w:eastAsia="Arial" w:hAnsi="Arial"/>
          <w:sz w:val="18"/>
          <w:szCs w:val="18"/>
          <w:color w:val="auto"/>
          <w:vertAlign w:val="superscript"/>
        </w:rPr>
        <w:t>G12D</w:t>
      </w:r>
      <w:r>
        <w:rPr>
          <w:rFonts w:ascii="Arial" w:cs="Arial" w:eastAsia="Arial" w:hAnsi="Arial"/>
          <w:sz w:val="12"/>
          <w:szCs w:val="12"/>
          <w:color w:val="auto"/>
        </w:rPr>
        <w:t xml:space="preserve"> (ON) tri-complex inhibitor RM-012 on the interaction between KRAS</w:t>
      </w:r>
      <w:r>
        <w:rPr>
          <w:rFonts w:ascii="Arial" w:cs="Arial" w:eastAsia="Arial" w:hAnsi="Arial"/>
          <w:sz w:val="18"/>
          <w:szCs w:val="18"/>
          <w:color w:val="auto"/>
          <w:vertAlign w:val="superscript"/>
        </w:rPr>
        <w:t>G12D</w:t>
      </w:r>
      <w:r>
        <w:rPr>
          <w:rFonts w:ascii="Arial" w:cs="Arial" w:eastAsia="Arial" w:hAnsi="Arial"/>
          <w:sz w:val="12"/>
          <w:szCs w:val="12"/>
          <w:color w:val="auto"/>
        </w:rPr>
        <w:t xml:space="preserve"> (loaded with a non-hydrolysable analog of GTP) and the RAS binding domain (RBD) of BRAF was performed using a TR-FRET assay (RAS-RAF disruption) </w:t>
      </w:r>
      <w:r>
        <w:rPr>
          <w:rFonts w:ascii="Arial" w:cs="Arial" w:eastAsia="Arial" w:hAnsi="Arial"/>
          <w:sz w:val="12"/>
          <w:szCs w:val="12"/>
          <w:b w:val="1"/>
          <w:bCs w:val="1"/>
          <w:color w:val="auto"/>
        </w:rPr>
        <w:t>(b)</w:t>
      </w:r>
      <w:r>
        <w:rPr>
          <w:rFonts w:ascii="Arial" w:cs="Arial" w:eastAsia="Arial" w:hAnsi="Arial"/>
          <w:sz w:val="12"/>
          <w:szCs w:val="12"/>
          <w:color w:val="auto"/>
        </w:rPr>
        <w:t>. RAS pathway activity in pancreatic AsPC-1 KRAS</w:t>
      </w:r>
      <w:r>
        <w:rPr>
          <w:rFonts w:ascii="Arial" w:cs="Arial" w:eastAsia="Arial" w:hAnsi="Arial"/>
          <w:sz w:val="18"/>
          <w:szCs w:val="18"/>
          <w:color w:val="auto"/>
          <w:vertAlign w:val="superscript"/>
        </w:rPr>
        <w:t>G13C</w:t>
      </w:r>
      <w:r>
        <w:rPr>
          <w:rFonts w:ascii="Arial" w:cs="Arial" w:eastAsia="Arial" w:hAnsi="Arial"/>
          <w:sz w:val="12"/>
          <w:szCs w:val="12"/>
          <w:color w:val="auto"/>
        </w:rPr>
        <w:t xml:space="preserve"> cells was monitored in 2D cell</w:t>
      </w:r>
    </w:p>
    <w:p>
      <w:pPr>
        <w:ind w:left="200"/>
        <w:spacing w:after="0"/>
        <w:rPr>
          <w:sz w:val="20"/>
          <w:szCs w:val="20"/>
          <w:color w:val="auto"/>
        </w:rPr>
      </w:pPr>
      <w:r>
        <w:rPr>
          <w:rFonts w:ascii="Arial" w:cs="Arial" w:eastAsia="Arial" w:hAnsi="Arial"/>
          <w:sz w:val="14"/>
          <w:szCs w:val="14"/>
          <w:color w:val="auto"/>
        </w:rPr>
        <w:t xml:space="preserve">cultures using levels of ERK1/2 phosphorylation at Thr202/Tyr204 (cellular pERK) </w:t>
      </w:r>
      <w:r>
        <w:rPr>
          <w:rFonts w:ascii="Arial" w:cs="Arial" w:eastAsia="Arial" w:hAnsi="Arial"/>
          <w:sz w:val="14"/>
          <w:szCs w:val="14"/>
          <w:b w:val="1"/>
          <w:bCs w:val="1"/>
          <w:color w:val="auto"/>
        </w:rPr>
        <w:t>(c)</w:t>
      </w:r>
      <w:r>
        <w:rPr>
          <w:rFonts w:ascii="Arial" w:cs="Arial" w:eastAsia="Arial" w:hAnsi="Arial"/>
          <w:sz w:val="14"/>
          <w:szCs w:val="14"/>
          <w:color w:val="auto"/>
        </w:rPr>
        <w:t>. Data</w:t>
      </w:r>
    </w:p>
    <w:p>
      <w:pPr>
        <w:spacing w:after="0" w:line="14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right="180"/>
        <w:spacing w:after="0" w:line="231" w:lineRule="auto"/>
        <w:rPr>
          <w:sz w:val="20"/>
          <w:szCs w:val="20"/>
          <w:color w:val="auto"/>
        </w:rPr>
      </w:pPr>
      <w:r>
        <w:rPr>
          <w:rFonts w:ascii="Arial" w:cs="Arial" w:eastAsia="Arial" w:hAnsi="Arial"/>
          <w:sz w:val="14"/>
          <w:szCs w:val="14"/>
          <w:color w:val="auto"/>
        </w:rPr>
        <w:t>shown in Figures b and c represent the mean of duplicate determinations (error bars show the standard deviation) from a single study. Data in Figure c representative of at least two independent studies, each performed in duplicate.</w:t>
      </w:r>
    </w:p>
    <w:p>
      <w:pPr>
        <w:spacing w:after="0" w:line="77"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b w:val="1"/>
          <w:bCs w:val="1"/>
          <w:color w:val="auto"/>
        </w:rPr>
        <w:t>Figure 24</w:t>
      </w:r>
      <w:r>
        <w:rPr>
          <w:rFonts w:ascii="Arial" w:cs="Arial" w:eastAsia="Arial" w:hAnsi="Arial"/>
          <w:sz w:val="18"/>
          <w:szCs w:val="18"/>
          <w:color w:val="auto"/>
        </w:rPr>
        <w:t>: NRAS</w:t>
      </w:r>
      <w:r>
        <w:rPr>
          <w:rFonts w:ascii="Arial" w:cs="Arial" w:eastAsia="Arial" w:hAnsi="Arial"/>
          <w:sz w:val="11"/>
          <w:szCs w:val="11"/>
          <w:color w:val="auto"/>
        </w:rPr>
        <w:t>G12C</w:t>
      </w:r>
      <w:r>
        <w:rPr>
          <w:rFonts w:ascii="Arial" w:cs="Arial" w:eastAsia="Arial" w:hAnsi="Arial"/>
          <w:sz w:val="18"/>
          <w:szCs w:val="18"/>
          <w:color w:val="auto"/>
        </w:rPr>
        <w:t>(ON) tri-complex inhibitor RM-007 disrupts NRAS</w:t>
      </w:r>
      <w:r>
        <w:rPr>
          <w:rFonts w:ascii="Arial" w:cs="Arial" w:eastAsia="Arial" w:hAnsi="Arial"/>
          <w:sz w:val="11"/>
          <w:szCs w:val="11"/>
          <w:color w:val="auto"/>
        </w:rPr>
        <w:t>G12C</w:t>
      </w:r>
      <w:r>
        <w:rPr>
          <w:rFonts w:ascii="Arial" w:cs="Arial" w:eastAsia="Arial" w:hAnsi="Arial"/>
          <w:sz w:val="18"/>
          <w:szCs w:val="18"/>
          <w:color w:val="auto"/>
        </w:rPr>
        <w:t>-RAF interaction; inhibits RAS pathway activity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in cells</w:t>
      </w:r>
      <w:r>
        <w:rPr>
          <w:rFonts w:ascii="Arial" w:cs="Arial" w:eastAsia="Arial" w:hAnsi="Arial"/>
          <w:sz w:val="18"/>
          <w:szCs w:val="18"/>
          <w:b w:val="1"/>
          <w:bCs w:val="1"/>
          <w:color w:val="auto"/>
        </w:rPr>
        <w:t xml:space="preserve"> </w:t>
      </w:r>
      <w:r>
        <w:rPr>
          <w:rFonts w:ascii="Arial" w:cs="Arial" w:eastAsia="Arial" w:hAnsi="Arial"/>
          <w:sz w:val="18"/>
          <w:szCs w:val="18"/>
          <w:color w:val="auto"/>
        </w:rPr>
        <w:t>bearing NRAS</w:t>
      </w:r>
      <w:r>
        <w:rPr>
          <w:rFonts w:ascii="Arial" w:cs="Arial" w:eastAsia="Arial" w:hAnsi="Arial"/>
          <w:sz w:val="11"/>
          <w:szCs w:val="11"/>
          <w:color w:val="auto"/>
        </w:rPr>
        <w:t>G12C</w:t>
      </w:r>
      <w:r>
        <w:rPr>
          <w:rFonts w:ascii="Arial" w:cs="Arial" w:eastAsia="Arial" w:hAnsi="Arial"/>
          <w:sz w:val="18"/>
          <w:szCs w:val="18"/>
          <w:color w:val="auto"/>
        </w:rPr>
        <w:t xml:space="preserve">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57150</wp:posOffset>
            </wp:positionV>
            <wp:extent cx="3430270" cy="23412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30270" cy="2341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right="80"/>
        <w:spacing w:after="0" w:line="180" w:lineRule="auto"/>
        <w:rPr>
          <w:sz w:val="20"/>
          <w:szCs w:val="20"/>
          <w:color w:val="auto"/>
        </w:rPr>
      </w:pPr>
      <w:r>
        <w:rPr>
          <w:rFonts w:ascii="Arial" w:cs="Arial" w:eastAsia="Arial" w:hAnsi="Arial"/>
          <w:sz w:val="12"/>
          <w:szCs w:val="12"/>
          <w:color w:val="auto"/>
        </w:rPr>
        <w:t>Surface representation of atomic resolution crystal structure of tri-complex of RM-007 with NRAS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 (loaded with a non-hydrolysable analog of GTP) and cyclophilin A </w:t>
      </w:r>
      <w:r>
        <w:rPr>
          <w:rFonts w:ascii="Arial" w:cs="Arial" w:eastAsia="Arial" w:hAnsi="Arial"/>
          <w:sz w:val="12"/>
          <w:szCs w:val="12"/>
          <w:b w:val="1"/>
          <w:bCs w:val="1"/>
          <w:color w:val="auto"/>
        </w:rPr>
        <w:t>(a)</w:t>
      </w:r>
      <w:r>
        <w:rPr>
          <w:rFonts w:ascii="Arial" w:cs="Arial" w:eastAsia="Arial" w:hAnsi="Arial"/>
          <w:sz w:val="12"/>
          <w:szCs w:val="12"/>
          <w:color w:val="auto"/>
        </w:rPr>
        <w:t>. Biochemical characterization of the effect of NRAS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 (ON) tri-complex inhibitor RM-007 on the interaction between NRAS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 (loaded with a non-hydrolysable analog of GTP) and the RAS binding domain (RBD) of BRAF was performed using a TR-FRET assay (RAS-RAF disruption) </w:t>
      </w:r>
      <w:r>
        <w:rPr>
          <w:rFonts w:ascii="Arial" w:cs="Arial" w:eastAsia="Arial" w:hAnsi="Arial"/>
          <w:sz w:val="12"/>
          <w:szCs w:val="12"/>
          <w:b w:val="1"/>
          <w:bCs w:val="1"/>
          <w:color w:val="auto"/>
        </w:rPr>
        <w:t>(b)</w:t>
      </w:r>
      <w:r>
        <w:rPr>
          <w:rFonts w:ascii="Arial" w:cs="Arial" w:eastAsia="Arial" w:hAnsi="Arial"/>
          <w:sz w:val="12"/>
          <w:szCs w:val="12"/>
          <w:color w:val="auto"/>
        </w:rPr>
        <w:t>. RAS pathway activity in AML P31-FUJ NRAS</w:t>
      </w:r>
      <w:r>
        <w:rPr>
          <w:rFonts w:ascii="Arial" w:cs="Arial" w:eastAsia="Arial" w:hAnsi="Arial"/>
          <w:sz w:val="18"/>
          <w:szCs w:val="18"/>
          <w:color w:val="auto"/>
          <w:vertAlign w:val="superscript"/>
        </w:rPr>
        <w:t>G12C</w:t>
      </w:r>
      <w:r>
        <w:rPr>
          <w:rFonts w:ascii="Arial" w:cs="Arial" w:eastAsia="Arial" w:hAnsi="Arial"/>
          <w:sz w:val="12"/>
          <w:szCs w:val="12"/>
          <w:color w:val="auto"/>
        </w:rPr>
        <w:t xml:space="preserve"> cells was monitored in</w:t>
      </w:r>
    </w:p>
    <w:p>
      <w:pPr>
        <w:jc w:val="both"/>
        <w:ind w:left="200"/>
        <w:spacing w:after="0" w:line="228" w:lineRule="auto"/>
        <w:rPr>
          <w:sz w:val="20"/>
          <w:szCs w:val="20"/>
          <w:color w:val="auto"/>
        </w:rPr>
      </w:pPr>
      <w:r>
        <w:rPr>
          <w:rFonts w:ascii="Arial" w:cs="Arial" w:eastAsia="Arial" w:hAnsi="Arial"/>
          <w:sz w:val="14"/>
          <w:szCs w:val="14"/>
          <w:color w:val="auto"/>
        </w:rPr>
        <w:t xml:space="preserve">2D cell cultures using levels of ERK1/2 phosphorylation at Thr202/Tyr204 (cellular pERK) </w:t>
      </w:r>
      <w:r>
        <w:rPr>
          <w:rFonts w:ascii="Arial" w:cs="Arial" w:eastAsia="Arial" w:hAnsi="Arial"/>
          <w:sz w:val="14"/>
          <w:szCs w:val="14"/>
          <w:b w:val="1"/>
          <w:bCs w:val="1"/>
          <w:color w:val="auto"/>
        </w:rPr>
        <w:t>(c)</w:t>
      </w:r>
      <w:r>
        <w:rPr>
          <w:rFonts w:ascii="Arial" w:cs="Arial" w:eastAsia="Arial" w:hAnsi="Arial"/>
          <w:sz w:val="14"/>
          <w:szCs w:val="14"/>
          <w:color w:val="auto"/>
        </w:rPr>
        <w:t>. Data shown in Figure b represent the mean of duplicate determinations (error bars show the standard deviation) from a single study. Data are representative of at least two independent studies, each performed in duplicate. Data shown in Figure c represent the mean of two independent studies, each performed in duplicate (error bars show the standard deviation).</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Reduced susceptibility of RAS(ON) inhibitors to adaptive resistance mechanisms, such as RTK activation</w:t>
      </w:r>
    </w:p>
    <w:p>
      <w:pPr>
        <w:spacing w:after="0" w:line="122" w:lineRule="exact"/>
        <w:rPr>
          <w:sz w:val="20"/>
          <w:szCs w:val="20"/>
          <w:color w:val="auto"/>
        </w:rPr>
      </w:pPr>
    </w:p>
    <w:p>
      <w:pPr>
        <w:ind w:left="200" w:right="40"/>
        <w:spacing w:after="0" w:line="269" w:lineRule="auto"/>
        <w:rPr>
          <w:sz w:val="20"/>
          <w:szCs w:val="20"/>
          <w:color w:val="auto"/>
        </w:rPr>
      </w:pPr>
      <w:r>
        <w:rPr>
          <w:rFonts w:ascii="Arial" w:cs="Arial" w:eastAsia="Arial" w:hAnsi="Arial"/>
          <w:sz w:val="16"/>
          <w:szCs w:val="16"/>
          <w:color w:val="auto"/>
        </w:rPr>
        <w:t>In tumor cells that are addicted to high levels of RAS activation, we believe that selective inhibitors of RAS(ON) will suppress cell growth and survival and be less susceptible to adaptive resistance mechanisms recognized for RAS(OFF) inhibitors, specifically the KRAS</w:t>
      </w:r>
      <w:r>
        <w:rPr>
          <w:rFonts w:ascii="Arial" w:cs="Arial" w:eastAsia="Arial" w:hAnsi="Arial"/>
          <w:sz w:val="10"/>
          <w:szCs w:val="10"/>
          <w:color w:val="auto"/>
        </w:rPr>
        <w:t>G12C</w:t>
      </w:r>
      <w:r>
        <w:rPr>
          <w:rFonts w:ascii="Arial" w:cs="Arial" w:eastAsia="Arial" w:hAnsi="Arial"/>
          <w:sz w:val="16"/>
          <w:szCs w:val="16"/>
          <w:color w:val="auto"/>
        </w:rPr>
        <w:t>(OFF) inhibitors that are currently in early clinical development. KRAS</w:t>
      </w:r>
      <w:r>
        <w:rPr>
          <w:rFonts w:ascii="Arial" w:cs="Arial" w:eastAsia="Arial" w:hAnsi="Arial"/>
          <w:sz w:val="10"/>
          <w:szCs w:val="10"/>
          <w:color w:val="auto"/>
        </w:rPr>
        <w:t>G12C</w:t>
      </w:r>
      <w:r>
        <w:rPr>
          <w:rFonts w:ascii="Arial" w:cs="Arial" w:eastAsia="Arial" w:hAnsi="Arial"/>
          <w:sz w:val="16"/>
          <w:szCs w:val="16"/>
          <w:color w:val="auto"/>
        </w:rPr>
        <w:t>(OFF) inhibitors are susceptible to any cellular perturbations that reduce the intracellular pool of KRAS(OFF). Central to the differentiated profile of KRAS</w:t>
      </w:r>
      <w:r>
        <w:rPr>
          <w:rFonts w:ascii="Arial" w:cs="Arial" w:eastAsia="Arial" w:hAnsi="Arial"/>
          <w:sz w:val="10"/>
          <w:szCs w:val="10"/>
          <w:color w:val="auto"/>
        </w:rPr>
        <w:t>G12C</w:t>
      </w:r>
      <w:r>
        <w:rPr>
          <w:rFonts w:ascii="Arial" w:cs="Arial" w:eastAsia="Arial" w:hAnsi="Arial"/>
          <w:sz w:val="16"/>
          <w:szCs w:val="16"/>
          <w:color w:val="auto"/>
        </w:rPr>
        <w:t>(ON) inhibitors is their relative insensitivity to cellular mechanisms that activate KRAS</w:t>
      </w:r>
      <w:r>
        <w:rPr>
          <w:rFonts w:ascii="Arial" w:cs="Arial" w:eastAsia="Arial" w:hAnsi="Arial"/>
          <w:sz w:val="10"/>
          <w:szCs w:val="10"/>
          <w:color w:val="auto"/>
        </w:rPr>
        <w:t>G12C</w:t>
      </w:r>
      <w:r>
        <w:rPr>
          <w:rFonts w:ascii="Arial" w:cs="Arial" w:eastAsia="Arial" w:hAnsi="Arial"/>
          <w:sz w:val="16"/>
          <w:szCs w:val="16"/>
          <w:color w:val="auto"/>
        </w:rPr>
        <w:t xml:space="preserve"> and thereby increase the pool of KRAS</w:t>
      </w:r>
      <w:r>
        <w:rPr>
          <w:rFonts w:ascii="Arial" w:cs="Arial" w:eastAsia="Arial" w:hAnsi="Arial"/>
          <w:sz w:val="10"/>
          <w:szCs w:val="10"/>
          <w:color w:val="auto"/>
        </w:rPr>
        <w:t>G12C</w:t>
      </w:r>
      <w:r>
        <w:rPr>
          <w:rFonts w:ascii="Arial" w:cs="Arial" w:eastAsia="Arial" w:hAnsi="Arial"/>
          <w:sz w:val="16"/>
          <w:szCs w:val="16"/>
          <w:color w:val="auto"/>
        </w:rPr>
        <w:t>(ON) and decrease the pool of KRAS(OFF). We have demonstrated that the addition of growth factors to cells in order to directly activate RTKs (and hence increase the RAS(ON) pool) reduces the cellular potency of KRAS</w:t>
      </w:r>
      <w:r>
        <w:rPr>
          <w:rFonts w:ascii="Arial" w:cs="Arial" w:eastAsia="Arial" w:hAnsi="Arial"/>
          <w:sz w:val="10"/>
          <w:szCs w:val="10"/>
          <w:color w:val="auto"/>
        </w:rPr>
        <w:t>G12C</w:t>
      </w:r>
      <w:r>
        <w:rPr>
          <w:rFonts w:ascii="Arial" w:cs="Arial" w:eastAsia="Arial" w:hAnsi="Arial"/>
          <w:sz w:val="16"/>
          <w:szCs w:val="16"/>
          <w:color w:val="auto"/>
        </w:rPr>
        <w:t>(OFF) inhibitors but has much less effect on cellular potency of KRAS</w:t>
      </w:r>
      <w:r>
        <w:rPr>
          <w:rFonts w:ascii="Arial" w:cs="Arial" w:eastAsia="Arial" w:hAnsi="Arial"/>
          <w:sz w:val="10"/>
          <w:szCs w:val="10"/>
          <w:color w:val="auto"/>
        </w:rPr>
        <w:t>G12C</w:t>
      </w:r>
      <w:r>
        <w:rPr>
          <w:rFonts w:ascii="Arial" w:cs="Arial" w:eastAsia="Arial" w:hAnsi="Arial"/>
          <w:sz w:val="16"/>
          <w:szCs w:val="16"/>
          <w:color w:val="auto"/>
        </w:rPr>
        <w:t>(ON) inhibitors (Figure 25). These findings corroborate a previous published report that KRAS</w:t>
      </w:r>
      <w:r>
        <w:rPr>
          <w:rFonts w:ascii="Arial" w:cs="Arial" w:eastAsia="Arial" w:hAnsi="Arial"/>
          <w:sz w:val="10"/>
          <w:szCs w:val="10"/>
          <w:color w:val="auto"/>
        </w:rPr>
        <w:t>G12C</w:t>
      </w:r>
      <w:r>
        <w:rPr>
          <w:rFonts w:ascii="Arial" w:cs="Arial" w:eastAsia="Arial" w:hAnsi="Arial"/>
          <w:sz w:val="16"/>
          <w:szCs w:val="16"/>
          <w:color w:val="auto"/>
        </w:rPr>
        <w:t xml:space="preserve"> target engagement by a representative KRAS</w:t>
      </w:r>
      <w:r>
        <w:rPr>
          <w:rFonts w:ascii="Arial" w:cs="Arial" w:eastAsia="Arial" w:hAnsi="Arial"/>
          <w:sz w:val="10"/>
          <w:szCs w:val="10"/>
          <w:color w:val="auto"/>
        </w:rPr>
        <w:t>G12C</w:t>
      </w:r>
      <w:r>
        <w:rPr>
          <w:rFonts w:ascii="Arial" w:cs="Arial" w:eastAsia="Arial" w:hAnsi="Arial"/>
          <w:sz w:val="16"/>
          <w:szCs w:val="16"/>
          <w:color w:val="auto"/>
        </w:rPr>
        <w:t>(OFF) inhibitor is significantly reduced by growth factor administration, consistent with the relative depletion of the therapeutic target.</w:t>
      </w:r>
    </w:p>
    <w:p>
      <w:pPr>
        <w:spacing w:after="0" w:line="32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24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620"/>
        <w:spacing w:after="0" w:line="264" w:lineRule="auto"/>
        <w:rPr>
          <w:sz w:val="20"/>
          <w:szCs w:val="20"/>
          <w:color w:val="auto"/>
        </w:rPr>
      </w:pPr>
      <w:r>
        <w:rPr>
          <w:rFonts w:ascii="Arial" w:cs="Arial" w:eastAsia="Arial" w:hAnsi="Arial"/>
          <w:sz w:val="18"/>
          <w:szCs w:val="18"/>
          <w:b w:val="1"/>
          <w:bCs w:val="1"/>
          <w:color w:val="auto"/>
        </w:rPr>
        <w:t>Figure 25</w:t>
      </w:r>
      <w:r>
        <w:rPr>
          <w:rFonts w:ascii="Arial" w:cs="Arial" w:eastAsia="Arial" w:hAnsi="Arial"/>
          <w:sz w:val="18"/>
          <w:szCs w:val="18"/>
          <w:color w:val="auto"/>
        </w:rPr>
        <w:t>: Differential susceptibility of KRAS</w:t>
      </w:r>
      <w:r>
        <w:rPr>
          <w:rFonts w:ascii="Arial" w:cs="Arial" w:eastAsia="Arial" w:hAnsi="Arial"/>
          <w:sz w:val="11"/>
          <w:szCs w:val="11"/>
          <w:color w:val="auto"/>
        </w:rPr>
        <w:t>G12C</w:t>
      </w:r>
      <w:r>
        <w:rPr>
          <w:rFonts w:ascii="Arial" w:cs="Arial" w:eastAsia="Arial" w:hAnsi="Arial"/>
          <w:sz w:val="18"/>
          <w:szCs w:val="18"/>
          <w:color w:val="auto"/>
        </w:rPr>
        <w:t>(ON) and KRAS</w:t>
      </w:r>
      <w:r>
        <w:rPr>
          <w:rFonts w:ascii="Arial" w:cs="Arial" w:eastAsia="Arial" w:hAnsi="Arial"/>
          <w:sz w:val="11"/>
          <w:szCs w:val="11"/>
          <w:color w:val="auto"/>
        </w:rPr>
        <w:t>G12C</w:t>
      </w:r>
      <w:r>
        <w:rPr>
          <w:rFonts w:ascii="Arial" w:cs="Arial" w:eastAsia="Arial" w:hAnsi="Arial"/>
          <w:sz w:val="18"/>
          <w:szCs w:val="18"/>
          <w:color w:val="auto"/>
        </w:rPr>
        <w:t>(OFF) inhibitors to the effects of RTK activation, via growth factor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challenge, on inhibition of RAS pathway and cell proliferation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57150</wp:posOffset>
            </wp:positionV>
            <wp:extent cx="3087370" cy="23495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087370"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right="100"/>
        <w:spacing w:after="0" w:line="197" w:lineRule="auto"/>
        <w:rPr>
          <w:sz w:val="20"/>
          <w:szCs w:val="20"/>
          <w:color w:val="auto"/>
        </w:rPr>
      </w:pPr>
      <w:r>
        <w:rPr>
          <w:rFonts w:ascii="Arial" w:cs="Arial" w:eastAsia="Arial" w:hAnsi="Arial"/>
          <w:sz w:val="13"/>
          <w:szCs w:val="13"/>
          <w:color w:val="auto"/>
        </w:rPr>
        <w:t>RAS pathway activity and cell proliferation in NSCLC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cancer cells were monitored in 2D cell cultures using levels of ERK1/2 phosphorylation at Thr202/Tyr204 after 4 hours of compound incubation (</w:t>
      </w:r>
      <w:r>
        <w:rPr>
          <w:rFonts w:ascii="Arial" w:cs="Arial" w:eastAsia="Arial" w:hAnsi="Arial"/>
          <w:sz w:val="13"/>
          <w:szCs w:val="13"/>
          <w:b w:val="1"/>
          <w:bCs w:val="1"/>
          <w:color w:val="auto"/>
        </w:rPr>
        <w:t>a</w:t>
      </w:r>
      <w:r>
        <w:rPr>
          <w:rFonts w:ascii="Arial" w:cs="Arial" w:eastAsia="Arial" w:hAnsi="Arial"/>
          <w:sz w:val="13"/>
          <w:szCs w:val="13"/>
          <w:color w:val="auto"/>
        </w:rPr>
        <w:t xml:space="preserve"> and </w:t>
      </w:r>
      <w:r>
        <w:rPr>
          <w:rFonts w:ascii="Arial" w:cs="Arial" w:eastAsia="Arial" w:hAnsi="Arial"/>
          <w:sz w:val="13"/>
          <w:szCs w:val="13"/>
          <w:b w:val="1"/>
          <w:bCs w:val="1"/>
          <w:color w:val="auto"/>
        </w:rPr>
        <w:t>b</w:t>
      </w:r>
      <w:r>
        <w:rPr>
          <w:rFonts w:ascii="Arial" w:cs="Arial" w:eastAsia="Arial" w:hAnsi="Arial"/>
          <w:sz w:val="13"/>
          <w:szCs w:val="13"/>
          <w:color w:val="auto"/>
        </w:rPr>
        <w:t xml:space="preserve">) and in 3D cell cultures using CellTiter-Glo (CTG) after 5 days of compound incubation </w:t>
      </w:r>
      <w:r>
        <w:rPr>
          <w:rFonts w:ascii="Arial" w:cs="Arial" w:eastAsia="Arial" w:hAnsi="Arial"/>
          <w:sz w:val="13"/>
          <w:szCs w:val="13"/>
          <w:b w:val="1"/>
          <w:bCs w:val="1"/>
          <w:color w:val="auto"/>
        </w:rPr>
        <w:t>(c</w:t>
      </w:r>
      <w:r>
        <w:rPr>
          <w:rFonts w:ascii="Arial" w:cs="Arial" w:eastAsia="Arial" w:hAnsi="Arial"/>
          <w:sz w:val="13"/>
          <w:szCs w:val="13"/>
          <w:color w:val="auto"/>
        </w:rPr>
        <w:t xml:space="preserve"> and </w:t>
      </w:r>
      <w:r>
        <w:rPr>
          <w:rFonts w:ascii="Arial" w:cs="Arial" w:eastAsia="Arial" w:hAnsi="Arial"/>
          <w:sz w:val="13"/>
          <w:szCs w:val="13"/>
          <w:b w:val="1"/>
          <w:bCs w:val="1"/>
          <w:color w:val="auto"/>
        </w:rPr>
        <w:t>d).</w:t>
      </w:r>
      <w:r>
        <w:rPr>
          <w:rFonts w:ascii="Arial" w:cs="Arial" w:eastAsia="Arial" w:hAnsi="Arial"/>
          <w:sz w:val="13"/>
          <w:szCs w:val="13"/>
          <w:color w:val="auto"/>
        </w:rPr>
        <w:t xml:space="preserve"> The effects of activation of EGFR and MET receptor, by addition of growth factor ligands human EGF (hEGF) and human HGF (hHGF) (at their EC</w:t>
      </w:r>
      <w:r>
        <w:rPr>
          <w:rFonts w:ascii="Arial" w:cs="Arial" w:eastAsia="Arial" w:hAnsi="Arial"/>
          <w:sz w:val="11"/>
          <w:szCs w:val="11"/>
          <w:color w:val="auto"/>
        </w:rPr>
        <w:t>95</w:t>
      </w:r>
      <w:r>
        <w:rPr>
          <w:rFonts w:ascii="Arial" w:cs="Arial" w:eastAsia="Arial" w:hAnsi="Arial"/>
          <w:sz w:val="13"/>
          <w:szCs w:val="13"/>
          <w:color w:val="auto"/>
        </w:rPr>
        <w:t xml:space="preserve"> concentrations) respectively, on the inhibitory potency of the</w:t>
      </w:r>
    </w:p>
    <w:p>
      <w:pPr>
        <w:spacing w:after="0" w:line="2" w:lineRule="exact"/>
        <w:rPr>
          <w:sz w:val="20"/>
          <w:szCs w:val="20"/>
          <w:color w:val="auto"/>
        </w:rPr>
      </w:pPr>
    </w:p>
    <w:p>
      <w:pPr>
        <w:ind w:left="200" w:right="100"/>
        <w:spacing w:after="0" w:line="191" w:lineRule="auto"/>
        <w:rPr>
          <w:sz w:val="20"/>
          <w:szCs w:val="20"/>
          <w:color w:val="auto"/>
        </w:rPr>
      </w:pPr>
      <w:r>
        <w:rPr>
          <w:rFonts w:ascii="Arial" w:cs="Arial" w:eastAsia="Arial" w:hAnsi="Arial"/>
          <w:sz w:val="14"/>
          <w:szCs w:val="14"/>
          <w:color w:val="auto"/>
        </w:rPr>
        <w:t>KRAS</w:t>
      </w:r>
      <w:r>
        <w:rPr>
          <w:rFonts w:ascii="Arial" w:cs="Arial" w:eastAsia="Arial" w:hAnsi="Arial"/>
          <w:sz w:val="22"/>
          <w:szCs w:val="22"/>
          <w:color w:val="auto"/>
          <w:vertAlign w:val="superscript"/>
        </w:rPr>
        <w:t>G12C</w:t>
      </w:r>
      <w:r>
        <w:rPr>
          <w:rFonts w:ascii="Arial" w:cs="Arial" w:eastAsia="Arial" w:hAnsi="Arial"/>
          <w:sz w:val="14"/>
          <w:szCs w:val="14"/>
          <w:color w:val="auto"/>
        </w:rPr>
        <w:t>(ON) inhibitor RM-010 (</w:t>
      </w:r>
      <w:r>
        <w:rPr>
          <w:rFonts w:ascii="Arial" w:cs="Arial" w:eastAsia="Arial" w:hAnsi="Arial"/>
          <w:sz w:val="14"/>
          <w:szCs w:val="14"/>
          <w:b w:val="1"/>
          <w:bCs w:val="1"/>
          <w:color w:val="auto"/>
        </w:rPr>
        <w:t>a</w:t>
      </w:r>
      <w:r>
        <w:rPr>
          <w:rFonts w:ascii="Arial" w:cs="Arial" w:eastAsia="Arial" w:hAnsi="Arial"/>
          <w:sz w:val="14"/>
          <w:szCs w:val="14"/>
          <w:color w:val="auto"/>
        </w:rPr>
        <w:t xml:space="preserve"> and </w:t>
      </w:r>
      <w:r>
        <w:rPr>
          <w:rFonts w:ascii="Arial" w:cs="Arial" w:eastAsia="Arial" w:hAnsi="Arial"/>
          <w:sz w:val="14"/>
          <w:szCs w:val="14"/>
          <w:b w:val="1"/>
          <w:bCs w:val="1"/>
          <w:color w:val="auto"/>
        </w:rPr>
        <w:t>c</w:t>
      </w:r>
      <w:r>
        <w:rPr>
          <w:rFonts w:ascii="Arial" w:cs="Arial" w:eastAsia="Arial" w:hAnsi="Arial"/>
          <w:sz w:val="14"/>
          <w:szCs w:val="14"/>
          <w:color w:val="auto"/>
        </w:rPr>
        <w:t>) and KRAS</w:t>
      </w:r>
      <w:r>
        <w:rPr>
          <w:rFonts w:ascii="Arial" w:cs="Arial" w:eastAsia="Arial" w:hAnsi="Arial"/>
          <w:sz w:val="22"/>
          <w:szCs w:val="22"/>
          <w:color w:val="auto"/>
          <w:vertAlign w:val="superscript"/>
        </w:rPr>
        <w:t>G12C</w:t>
      </w:r>
      <w:r>
        <w:rPr>
          <w:rFonts w:ascii="Arial" w:cs="Arial" w:eastAsia="Arial" w:hAnsi="Arial"/>
          <w:sz w:val="14"/>
          <w:szCs w:val="14"/>
          <w:color w:val="auto"/>
        </w:rPr>
        <w:t>(OFF) inhibitor, MRTX1257 (</w:t>
      </w:r>
      <w:r>
        <w:rPr>
          <w:rFonts w:ascii="Arial" w:cs="Arial" w:eastAsia="Arial" w:hAnsi="Arial"/>
          <w:sz w:val="14"/>
          <w:szCs w:val="14"/>
          <w:b w:val="1"/>
          <w:bCs w:val="1"/>
          <w:color w:val="auto"/>
        </w:rPr>
        <w:t>b</w:t>
      </w:r>
      <w:r>
        <w:rPr>
          <w:rFonts w:ascii="Arial" w:cs="Arial" w:eastAsia="Arial" w:hAnsi="Arial"/>
          <w:sz w:val="14"/>
          <w:szCs w:val="14"/>
          <w:color w:val="auto"/>
        </w:rPr>
        <w:t xml:space="preserve"> and </w:t>
      </w:r>
      <w:r>
        <w:rPr>
          <w:rFonts w:ascii="Arial" w:cs="Arial" w:eastAsia="Arial" w:hAnsi="Arial"/>
          <w:sz w:val="14"/>
          <w:szCs w:val="14"/>
          <w:b w:val="1"/>
          <w:bCs w:val="1"/>
          <w:color w:val="auto"/>
        </w:rPr>
        <w:t>d</w:t>
      </w:r>
      <w:r>
        <w:rPr>
          <w:rFonts w:ascii="Arial" w:cs="Arial" w:eastAsia="Arial" w:hAnsi="Arial"/>
          <w:sz w:val="14"/>
          <w:szCs w:val="14"/>
          <w:color w:val="auto"/>
        </w:rPr>
        <w:t>) is shown. Data shown in Figures a, b, c and d represent the mean of two independent studies, each performed in duplicate (error bars show the standard deviation).</w:t>
      </w:r>
    </w:p>
    <w:p>
      <w:pPr>
        <w:spacing w:after="0" w:line="8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 xml:space="preserve">Furthermore, using long-term proliferation studies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to monitor cell proliferation over time, and by extension the durability of inhibitor effect, we have shown that the KRAS</w:t>
      </w:r>
      <w:r>
        <w:rPr>
          <w:rFonts w:ascii="Arial" w:cs="Arial" w:eastAsia="Arial" w:hAnsi="Arial"/>
          <w:sz w:val="11"/>
          <w:szCs w:val="11"/>
          <w:color w:val="auto"/>
        </w:rPr>
        <w:t>G12C</w:t>
      </w:r>
      <w:r>
        <w:rPr>
          <w:rFonts w:ascii="Arial" w:cs="Arial" w:eastAsia="Arial" w:hAnsi="Arial"/>
          <w:sz w:val="18"/>
          <w:szCs w:val="18"/>
          <w:color w:val="auto"/>
        </w:rPr>
        <w:t>(ON) inhibitors produce more durable growth inhibition compared to KRAS</w:t>
      </w:r>
      <w:r>
        <w:rPr>
          <w:rFonts w:ascii="Arial" w:cs="Arial" w:eastAsia="Arial" w:hAnsi="Arial"/>
          <w:sz w:val="11"/>
          <w:szCs w:val="11"/>
          <w:color w:val="auto"/>
        </w:rPr>
        <w:t>G12C</w:t>
      </w:r>
      <w:r>
        <w:rPr>
          <w:rFonts w:ascii="Arial" w:cs="Arial" w:eastAsia="Arial" w:hAnsi="Arial"/>
          <w:sz w:val="18"/>
          <w:szCs w:val="18"/>
          <w:color w:val="auto"/>
        </w:rPr>
        <w:t>(OFF) inhibitors (Figure 26). These data highlight the relative insensitivity of KRAS</w:t>
      </w:r>
      <w:r>
        <w:rPr>
          <w:rFonts w:ascii="Arial" w:cs="Arial" w:eastAsia="Arial" w:hAnsi="Arial"/>
          <w:sz w:val="11"/>
          <w:szCs w:val="11"/>
          <w:color w:val="auto"/>
        </w:rPr>
        <w:t>G12C</w:t>
      </w:r>
      <w:r>
        <w:rPr>
          <w:rFonts w:ascii="Arial" w:cs="Arial" w:eastAsia="Arial" w:hAnsi="Arial"/>
          <w:sz w:val="18"/>
          <w:szCs w:val="18"/>
          <w:color w:val="auto"/>
        </w:rPr>
        <w:t xml:space="preserve">(ON) inhibitors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to activation of adaptive resistance mechanisms, such as RTK activation, which can be exploited by a tumor cell in response to suppression of the RAS signaling pathway. We believe these findings may be clinically relevant since the durability of response to RAS signaling pathway inhibitors is generally accepted to be a key factor impacting anti-tumor activity.</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26</w:t>
      </w:r>
      <w:r>
        <w:rPr>
          <w:rFonts w:ascii="Arial" w:cs="Arial" w:eastAsia="Arial" w:hAnsi="Arial"/>
          <w:sz w:val="18"/>
          <w:szCs w:val="18"/>
          <w:color w:val="auto"/>
        </w:rPr>
        <w:t>: Effects of tri-complex KRAS</w:t>
      </w:r>
      <w:r>
        <w:rPr>
          <w:rFonts w:ascii="Arial" w:cs="Arial" w:eastAsia="Arial" w:hAnsi="Arial"/>
          <w:sz w:val="11"/>
          <w:szCs w:val="11"/>
          <w:color w:val="auto"/>
        </w:rPr>
        <w:t>G12C</w:t>
      </w:r>
      <w:r>
        <w:rPr>
          <w:rFonts w:ascii="Arial" w:cs="Arial" w:eastAsia="Arial" w:hAnsi="Arial"/>
          <w:sz w:val="18"/>
          <w:szCs w:val="18"/>
          <w:color w:val="auto"/>
        </w:rPr>
        <w:t>(ON) inhibitor or KRAS</w:t>
      </w:r>
      <w:r>
        <w:rPr>
          <w:rFonts w:ascii="Arial" w:cs="Arial" w:eastAsia="Arial" w:hAnsi="Arial"/>
          <w:sz w:val="11"/>
          <w:szCs w:val="11"/>
          <w:color w:val="auto"/>
        </w:rPr>
        <w:t>G12C</w:t>
      </w:r>
      <w:r>
        <w:rPr>
          <w:rFonts w:ascii="Arial" w:cs="Arial" w:eastAsia="Arial" w:hAnsi="Arial"/>
          <w:sz w:val="18"/>
          <w:szCs w:val="18"/>
          <w:color w:val="auto"/>
        </w:rPr>
        <w:t>(OFF) inhibitors on long term cell growth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p>
    <w:p>
      <w:pPr>
        <w:spacing w:after="0" w:line="117"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8890</wp:posOffset>
            </wp:positionV>
            <wp:extent cx="2984500" cy="1560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98450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right="180"/>
        <w:spacing w:after="0" w:line="181" w:lineRule="auto"/>
        <w:rPr>
          <w:sz w:val="20"/>
          <w:szCs w:val="20"/>
          <w:color w:val="auto"/>
        </w:rPr>
      </w:pPr>
      <w:r>
        <w:rPr>
          <w:rFonts w:ascii="Arial" w:cs="Arial" w:eastAsia="Arial" w:hAnsi="Arial"/>
          <w:sz w:val="13"/>
          <w:szCs w:val="13"/>
          <w:color w:val="auto"/>
        </w:rPr>
        <w:t>NSCLC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cancer cells were maintained in 2D cell culture and cell proliferation (expressed as % confluence) monitored over time using the Incucyte imaging platform. Cells were incubated in the absence (control, black) or presence of KRAS</w:t>
      </w:r>
      <w:r>
        <w:rPr>
          <w:rFonts w:ascii="Arial" w:cs="Arial" w:eastAsia="Arial" w:hAnsi="Arial"/>
          <w:sz w:val="21"/>
          <w:szCs w:val="21"/>
          <w:color w:val="auto"/>
          <w:vertAlign w:val="superscript"/>
        </w:rPr>
        <w:t>G12C</w:t>
      </w:r>
      <w:r>
        <w:rPr>
          <w:rFonts w:ascii="Arial" w:cs="Arial" w:eastAsia="Arial" w:hAnsi="Arial"/>
          <w:sz w:val="13"/>
          <w:szCs w:val="13"/>
          <w:color w:val="auto"/>
        </w:rPr>
        <w:t>(OFF) (purple) or KRAS</w:t>
      </w:r>
      <w:r>
        <w:rPr>
          <w:rFonts w:ascii="Arial" w:cs="Arial" w:eastAsia="Arial" w:hAnsi="Arial"/>
          <w:sz w:val="21"/>
          <w:szCs w:val="21"/>
          <w:color w:val="auto"/>
          <w:vertAlign w:val="superscript"/>
        </w:rPr>
        <w:t>G12C</w:t>
      </w:r>
      <w:r>
        <w:rPr>
          <w:rFonts w:ascii="Arial" w:cs="Arial" w:eastAsia="Arial" w:hAnsi="Arial"/>
          <w:sz w:val="13"/>
          <w:szCs w:val="13"/>
          <w:color w:val="auto"/>
        </w:rPr>
        <w:t>(ON) (green) inhibitors at equi-efficacious concentrations, that is concentrations that produced 75% inhibition of proliferation in short-term growth studies. Under control conditions cells</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80"/>
          </w:cols>
          <w:pgMar w:left="24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3" w:lineRule="exact"/>
        <w:rPr>
          <w:sz w:val="20"/>
          <w:szCs w:val="20"/>
          <w:color w:val="auto"/>
        </w:rPr>
      </w:pPr>
    </w:p>
    <w:p>
      <w:pPr>
        <w:jc w:val="both"/>
        <w:ind w:left="200" w:right="200"/>
        <w:spacing w:after="0" w:line="181" w:lineRule="auto"/>
        <w:rPr>
          <w:sz w:val="20"/>
          <w:szCs w:val="20"/>
          <w:color w:val="auto"/>
        </w:rPr>
      </w:pPr>
      <w:r>
        <w:rPr>
          <w:rFonts w:ascii="Arial" w:cs="Arial" w:eastAsia="Arial" w:hAnsi="Arial"/>
          <w:sz w:val="13"/>
          <w:szCs w:val="13"/>
          <w:color w:val="auto"/>
        </w:rPr>
        <w:t>reached 100% confluence within ~ 10 days. Addition of the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(OFF) inhibitor tool compound, Mirati-11, inhibited cell growth, evident as an ~ 2-fold delay in the time to reach confluence (~ 20 days). In contrast, a representative KRAS </w:t>
      </w:r>
      <w:r>
        <w:rPr>
          <w:rFonts w:ascii="Arial" w:cs="Arial" w:eastAsia="Arial" w:hAnsi="Arial"/>
          <w:sz w:val="21"/>
          <w:szCs w:val="21"/>
          <w:color w:val="auto"/>
          <w:vertAlign w:val="superscript"/>
        </w:rPr>
        <w:t>G12C</w:t>
      </w:r>
      <w:r>
        <w:rPr>
          <w:rFonts w:ascii="Arial" w:cs="Arial" w:eastAsia="Arial" w:hAnsi="Arial"/>
          <w:sz w:val="13"/>
          <w:szCs w:val="13"/>
          <w:color w:val="auto"/>
        </w:rPr>
        <w:t>(ON) inhibitor (RM-007) caused a more sustained suppression of cell proliferation and confluence was not achieved during the time course of the experiment (~ 35 days). Data are from a single experiment, similar data have been obtained in another independent study.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Combination strategy for KRAS</w:t>
      </w:r>
      <w:r>
        <w:rPr>
          <w:rFonts w:ascii="Arial" w:cs="Arial" w:eastAsia="Arial" w:hAnsi="Arial"/>
          <w:sz w:val="11"/>
          <w:szCs w:val="11"/>
          <w:i w:val="1"/>
          <w:iCs w:val="1"/>
          <w:color w:val="auto"/>
        </w:rPr>
        <w:t>G12C</w:t>
      </w:r>
      <w:r>
        <w:rPr>
          <w:rFonts w:ascii="Arial" w:cs="Arial" w:eastAsia="Arial" w:hAnsi="Arial"/>
          <w:sz w:val="18"/>
          <w:szCs w:val="18"/>
          <w:i w:val="1"/>
          <w:iCs w:val="1"/>
          <w:color w:val="auto"/>
        </w:rPr>
        <w:t>(ON) inhibitors</w:t>
      </w:r>
    </w:p>
    <w:p>
      <w:pPr>
        <w:spacing w:after="0" w:line="122"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 xml:space="preserve">The use of dual and even triple combination regimens to overcome adaptive resistance mechanisms to inhibitors of the RAS signaling pathway is well established based on clinical observations. We and others have demonstrated that robust combination benefit can be conferred in human cancer cell line xenograft models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by combining a SHP2 inhibitor with a KRAS</w:t>
      </w:r>
      <w:r>
        <w:rPr>
          <w:rFonts w:ascii="Arial" w:cs="Arial" w:eastAsia="Arial" w:hAnsi="Arial"/>
          <w:sz w:val="11"/>
          <w:szCs w:val="11"/>
          <w:color w:val="auto"/>
        </w:rPr>
        <w:t>G12C</w:t>
      </w:r>
      <w:r>
        <w:rPr>
          <w:rFonts w:ascii="Arial" w:cs="Arial" w:eastAsia="Arial" w:hAnsi="Arial"/>
          <w:sz w:val="18"/>
          <w:szCs w:val="18"/>
          <w:color w:val="auto"/>
        </w:rPr>
        <w:t xml:space="preserve">(OFF) inhibitor. Using the long-term proliferation model, we observed robust combination benefit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from combining a SHP2 inhibitor and a KRAS</w:t>
      </w:r>
      <w:r>
        <w:rPr>
          <w:rFonts w:ascii="Arial" w:cs="Arial" w:eastAsia="Arial" w:hAnsi="Arial"/>
          <w:sz w:val="11"/>
          <w:szCs w:val="11"/>
          <w:color w:val="auto"/>
        </w:rPr>
        <w:t>G12C</w:t>
      </w:r>
      <w:r>
        <w:rPr>
          <w:rFonts w:ascii="Arial" w:cs="Arial" w:eastAsia="Arial" w:hAnsi="Arial"/>
          <w:sz w:val="18"/>
          <w:szCs w:val="18"/>
          <w:color w:val="auto"/>
        </w:rPr>
        <w:t>(ON) inhibitor. While the molecular mechanism(s) underlying this combinatorial benefit has not been fully established, the combination of SHP2 inhibition and KRAS</w:t>
      </w:r>
      <w:r>
        <w:rPr>
          <w:rFonts w:ascii="Arial" w:cs="Arial" w:eastAsia="Arial" w:hAnsi="Arial"/>
          <w:sz w:val="11"/>
          <w:szCs w:val="11"/>
          <w:color w:val="auto"/>
        </w:rPr>
        <w:t>G12C</w:t>
      </w:r>
      <w:r>
        <w:rPr>
          <w:rFonts w:ascii="Arial" w:cs="Arial" w:eastAsia="Arial" w:hAnsi="Arial"/>
          <w:sz w:val="18"/>
          <w:szCs w:val="18"/>
          <w:color w:val="auto"/>
        </w:rPr>
        <w:t>(ON) inhibitor does demonstrably increase apoptosis, or programmed cell death, in a KRAS</w:t>
      </w:r>
      <w:r>
        <w:rPr>
          <w:rFonts w:ascii="Arial" w:cs="Arial" w:eastAsia="Arial" w:hAnsi="Arial"/>
          <w:sz w:val="11"/>
          <w:szCs w:val="11"/>
          <w:color w:val="auto"/>
        </w:rPr>
        <w:t>G12C</w:t>
      </w:r>
      <w:r>
        <w:rPr>
          <w:rFonts w:ascii="Arial" w:cs="Arial" w:eastAsia="Arial" w:hAnsi="Arial"/>
          <w:sz w:val="18"/>
          <w:szCs w:val="18"/>
          <w:color w:val="auto"/>
        </w:rPr>
        <w:t xml:space="preserve"> cell line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Combination benefit was also observed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for a SHP2 inhibitor and a KRAS</w:t>
      </w:r>
      <w:r>
        <w:rPr>
          <w:rFonts w:ascii="Arial" w:cs="Arial" w:eastAsia="Arial" w:hAnsi="Arial"/>
          <w:sz w:val="11"/>
          <w:szCs w:val="11"/>
          <w:color w:val="auto"/>
        </w:rPr>
        <w:t>G12C</w:t>
      </w:r>
      <w:r>
        <w:rPr>
          <w:rFonts w:ascii="Arial" w:cs="Arial" w:eastAsia="Arial" w:hAnsi="Arial"/>
          <w:sz w:val="18"/>
          <w:szCs w:val="18"/>
          <w:color w:val="auto"/>
        </w:rPr>
        <w:t>(ON) inhibitor (Figure 27).</w:t>
      </w:r>
    </w:p>
    <w:p>
      <w:pPr>
        <w:spacing w:after="0" w:line="79"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color w:val="auto"/>
        </w:rPr>
        <w:t xml:space="preserve">Figure 27: </w:t>
      </w:r>
      <w:r>
        <w:rPr>
          <w:rFonts w:ascii="Arial" w:cs="Arial" w:eastAsia="Arial" w:hAnsi="Arial"/>
          <w:sz w:val="18"/>
          <w:szCs w:val="18"/>
          <w:color w:val="auto"/>
        </w:rPr>
        <w:t>Combination benefit for tri-complex KRAS</w:t>
      </w:r>
      <w:r>
        <w:rPr>
          <w:rFonts w:ascii="Arial" w:cs="Arial" w:eastAsia="Arial" w:hAnsi="Arial"/>
          <w:sz w:val="11"/>
          <w:szCs w:val="11"/>
          <w:color w:val="auto"/>
        </w:rPr>
        <w:t>G12C</w:t>
      </w:r>
      <w:r>
        <w:rPr>
          <w:rFonts w:ascii="Arial" w:cs="Arial" w:eastAsia="Arial" w:hAnsi="Arial"/>
          <w:sz w:val="18"/>
          <w:szCs w:val="18"/>
          <w:color w:val="auto"/>
        </w:rPr>
        <w:t>(ON) inhibitor and SHP2 inhibitor in preclinical xenograft model of tumors harboring</w:t>
      </w:r>
      <w:r>
        <w:rPr>
          <w:rFonts w:ascii="Arial" w:cs="Arial" w:eastAsia="Arial" w:hAnsi="Arial"/>
          <w:sz w:val="18"/>
          <w:szCs w:val="18"/>
          <w:b w:val="1"/>
          <w:bCs w:val="1"/>
          <w:color w:val="auto"/>
        </w:rPr>
        <w:t xml:space="preserve"> </w:t>
      </w:r>
      <w:r>
        <w:rPr>
          <w:rFonts w:ascii="Arial" w:cs="Arial" w:eastAsia="Arial" w:hAnsi="Arial"/>
          <w:sz w:val="18"/>
          <w:szCs w:val="18"/>
          <w:color w:val="auto"/>
        </w:rPr>
        <w:t>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spacing w:after="0" w:line="5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86360</wp:posOffset>
            </wp:positionV>
            <wp:extent cx="2546985" cy="18783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546985" cy="1878330"/>
                    </a:xfrm>
                    <a:prstGeom prst="rect">
                      <a:avLst/>
                    </a:prstGeom>
                    <a:noFill/>
                  </pic:spPr>
                </pic:pic>
              </a:graphicData>
            </a:graphic>
          </wp:anchor>
        </w:drawing>
      </w:r>
    </w:p>
    <w:p>
      <w:pPr>
        <w:spacing w:after="0" w:line="119" w:lineRule="exact"/>
        <w:rPr>
          <w:sz w:val="20"/>
          <w:szCs w:val="20"/>
          <w:color w:val="auto"/>
        </w:rPr>
      </w:pPr>
    </w:p>
    <w:p>
      <w:pPr>
        <w:ind w:left="200"/>
        <w:spacing w:after="0"/>
        <w:tabs>
          <w:tab w:leader="none" w:pos="59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63500</wp:posOffset>
            </wp:positionV>
            <wp:extent cx="2426970" cy="14833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426970" cy="148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0"/>
        <w:spacing w:after="0" w:line="182" w:lineRule="auto"/>
        <w:rPr>
          <w:sz w:val="20"/>
          <w:szCs w:val="20"/>
          <w:color w:val="auto"/>
        </w:rPr>
      </w:pPr>
      <w:r>
        <w:rPr>
          <w:rFonts w:ascii="Arial" w:cs="Arial" w:eastAsia="Arial" w:hAnsi="Arial"/>
          <w:sz w:val="13"/>
          <w:szCs w:val="13"/>
          <w:color w:val="auto"/>
        </w:rPr>
        <w:t>Anti-tumor activity of RM-011 (60 mg/kg, intravenous, once weekly; iv qw) and SHP2 inhibitor (RMC-4550) (30 mg/kg, oral, daily; po qd) as single agents or in combination in NSCLC CDX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xenograft model in mice. Data represent tumor volume over time (a) or waterfall plot of individual end of study responses, with tumor volume expressed as a</w:t>
      </w:r>
    </w:p>
    <w:p>
      <w:pPr>
        <w:spacing w:after="0" w:line="1" w:lineRule="exact"/>
        <w:rPr>
          <w:sz w:val="20"/>
          <w:szCs w:val="20"/>
          <w:color w:val="auto"/>
        </w:rPr>
      </w:pPr>
    </w:p>
    <w:p>
      <w:pPr>
        <w:jc w:val="both"/>
        <w:ind w:left="200" w:right="60"/>
        <w:spacing w:after="0" w:line="300" w:lineRule="auto"/>
        <w:rPr>
          <w:sz w:val="20"/>
          <w:szCs w:val="20"/>
          <w:color w:val="auto"/>
        </w:rPr>
      </w:pPr>
      <w:r>
        <w:rPr>
          <w:rFonts w:ascii="Arial" w:cs="Arial" w:eastAsia="Arial" w:hAnsi="Arial"/>
          <w:sz w:val="12"/>
          <w:szCs w:val="12"/>
          <w:color w:val="auto"/>
        </w:rPr>
        <w:t>percentage of initial tumor volume at time of study start (truncated at 300%) (b). Number of mice per group = 10. In (a) data represent mean, errors bars represent standard error of the mean. In (b) each animal is represented as a separate bar. Numbers indicate number of regressions (defined as &gt; 10% reduction in tumor volume from starting volume) in each group.</w:t>
      </w:r>
    </w:p>
    <w:p>
      <w:pPr>
        <w:spacing w:after="0" w:line="46" w:lineRule="exact"/>
        <w:rPr>
          <w:sz w:val="20"/>
          <w:szCs w:val="20"/>
          <w:color w:val="auto"/>
        </w:rPr>
      </w:pPr>
    </w:p>
    <w:p>
      <w:pPr>
        <w:jc w:val="both"/>
        <w:ind w:left="200" w:right="240"/>
        <w:spacing w:after="0" w:line="283" w:lineRule="auto"/>
        <w:rPr>
          <w:sz w:val="20"/>
          <w:szCs w:val="20"/>
          <w:color w:val="auto"/>
        </w:rPr>
      </w:pPr>
      <w:r>
        <w:rPr>
          <w:rFonts w:ascii="Arial" w:cs="Arial" w:eastAsia="Arial" w:hAnsi="Arial"/>
          <w:sz w:val="16"/>
          <w:szCs w:val="16"/>
          <w:color w:val="auto"/>
        </w:rPr>
        <w:t>Another rational combination partner for a KRAS</w:t>
      </w:r>
      <w:r>
        <w:rPr>
          <w:rFonts w:ascii="Arial" w:cs="Arial" w:eastAsia="Arial" w:hAnsi="Arial"/>
          <w:sz w:val="10"/>
          <w:szCs w:val="10"/>
          <w:color w:val="auto"/>
        </w:rPr>
        <w:t>G12C</w:t>
      </w:r>
      <w:r>
        <w:rPr>
          <w:rFonts w:ascii="Arial" w:cs="Arial" w:eastAsia="Arial" w:hAnsi="Arial"/>
          <w:sz w:val="16"/>
          <w:szCs w:val="16"/>
          <w:color w:val="auto"/>
        </w:rPr>
        <w:t xml:space="preserve">(ON) inhibitor is a MEK inhibitor. In the long-term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proliferation model, dramatic combination benefit was demonstrated for a MEK inhibitor (trametinib) and a KRAS</w:t>
      </w:r>
      <w:r>
        <w:rPr>
          <w:rFonts w:ascii="Arial" w:cs="Arial" w:eastAsia="Arial" w:hAnsi="Arial"/>
          <w:sz w:val="10"/>
          <w:szCs w:val="10"/>
          <w:color w:val="auto"/>
        </w:rPr>
        <w:t>G12C</w:t>
      </w:r>
      <w:r>
        <w:rPr>
          <w:rFonts w:ascii="Arial" w:cs="Arial" w:eastAsia="Arial" w:hAnsi="Arial"/>
          <w:sz w:val="16"/>
          <w:szCs w:val="16"/>
          <w:color w:val="auto"/>
        </w:rPr>
        <w:t>(ON) inhibitor (Figure 28). Complete and sustained inhibition of cell growth and substantial cell death were observed. These effects are in contrast to the relatively rapid escape observed with the combination of a KRAS</w:t>
      </w:r>
      <w:r>
        <w:rPr>
          <w:rFonts w:ascii="Arial" w:cs="Arial" w:eastAsia="Arial" w:hAnsi="Arial"/>
          <w:sz w:val="10"/>
          <w:szCs w:val="10"/>
          <w:color w:val="auto"/>
        </w:rPr>
        <w:t>G12C</w:t>
      </w:r>
      <w:r>
        <w:rPr>
          <w:rFonts w:ascii="Arial" w:cs="Arial" w:eastAsia="Arial" w:hAnsi="Arial"/>
          <w:sz w:val="16"/>
          <w:szCs w:val="16"/>
          <w:color w:val="auto"/>
        </w:rPr>
        <w:t>(OFF) inhibitor and trametinib, in which cells reached full confluence within 20 days.</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80"/>
          </w:cols>
          <w:pgMar w:left="240" w:top="459" w:right="47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40"/>
        <w:spacing w:after="0" w:line="264" w:lineRule="auto"/>
        <w:rPr>
          <w:sz w:val="20"/>
          <w:szCs w:val="20"/>
          <w:color w:val="auto"/>
        </w:rPr>
      </w:pPr>
      <w:r>
        <w:rPr>
          <w:rFonts w:ascii="Arial" w:cs="Arial" w:eastAsia="Arial" w:hAnsi="Arial"/>
          <w:sz w:val="18"/>
          <w:szCs w:val="18"/>
          <w:b w:val="1"/>
          <w:bCs w:val="1"/>
          <w:color w:val="auto"/>
        </w:rPr>
        <w:t>Figure 28</w:t>
      </w:r>
      <w:r>
        <w:rPr>
          <w:rFonts w:ascii="Arial" w:cs="Arial" w:eastAsia="Arial" w:hAnsi="Arial"/>
          <w:sz w:val="18"/>
          <w:szCs w:val="18"/>
          <w:color w:val="auto"/>
        </w:rPr>
        <w:t>: Effects of tri-complex KRAS</w:t>
      </w:r>
      <w:r>
        <w:rPr>
          <w:rFonts w:ascii="Arial" w:cs="Arial" w:eastAsia="Arial" w:hAnsi="Arial"/>
          <w:sz w:val="11"/>
          <w:szCs w:val="11"/>
          <w:color w:val="auto"/>
        </w:rPr>
        <w:t>G12C</w:t>
      </w:r>
      <w:r>
        <w:rPr>
          <w:rFonts w:ascii="Arial" w:cs="Arial" w:eastAsia="Arial" w:hAnsi="Arial"/>
          <w:sz w:val="18"/>
          <w:szCs w:val="18"/>
          <w:color w:val="auto"/>
        </w:rPr>
        <w:t>(ON) inhibitor or KRAS</w:t>
      </w:r>
      <w:r>
        <w:rPr>
          <w:rFonts w:ascii="Arial" w:cs="Arial" w:eastAsia="Arial" w:hAnsi="Arial"/>
          <w:sz w:val="11"/>
          <w:szCs w:val="11"/>
          <w:color w:val="auto"/>
        </w:rPr>
        <w:t>G12C</w:t>
      </w:r>
      <w:r>
        <w:rPr>
          <w:rFonts w:ascii="Arial" w:cs="Arial" w:eastAsia="Arial" w:hAnsi="Arial"/>
          <w:sz w:val="18"/>
          <w:szCs w:val="18"/>
          <w:color w:val="auto"/>
        </w:rPr>
        <w:t>(OFF) inhibitor alone and in combination with MEK inhibitor, trametinib,</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on long term cell growth </w:t>
      </w:r>
      <w:r>
        <w:rPr>
          <w:rFonts w:ascii="Arial" w:cs="Arial" w:eastAsia="Arial" w:hAnsi="Arial"/>
          <w:sz w:val="18"/>
          <w:szCs w:val="18"/>
          <w:i w:val="1"/>
          <w:iCs w:val="1"/>
          <w:color w:val="auto"/>
        </w:rPr>
        <w:t>in vitro</w:t>
      </w:r>
      <w:r>
        <w:rPr>
          <w:rFonts w:ascii="Arial" w:cs="Arial" w:eastAsia="Arial" w:hAnsi="Arial"/>
          <w:sz w:val="18"/>
          <w:szCs w:val="18"/>
          <w:color w:val="auto"/>
        </w:rPr>
        <w:t>.</w:t>
      </w:r>
    </w:p>
    <w:p>
      <w:pPr>
        <w:spacing w:after="0" w:line="7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86360</wp:posOffset>
            </wp:positionV>
            <wp:extent cx="3404870" cy="12522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04870" cy="125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00"/>
        <w:spacing w:after="0" w:line="182" w:lineRule="auto"/>
        <w:rPr>
          <w:sz w:val="20"/>
          <w:szCs w:val="20"/>
          <w:color w:val="auto"/>
        </w:rPr>
      </w:pPr>
      <w:r>
        <w:rPr>
          <w:rFonts w:ascii="Arial" w:cs="Arial" w:eastAsia="Arial" w:hAnsi="Arial"/>
          <w:sz w:val="13"/>
          <w:szCs w:val="13"/>
          <w:color w:val="auto"/>
        </w:rPr>
        <w:t>NSCLC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cancer cells were maintained in 2D cell culture and cell proliferation (expressed as % confluence) monitored over time using the Incucyte imaging platform. Cells were incubated in the absence (control, black) or presence of an EC</w:t>
      </w:r>
      <w:r>
        <w:rPr>
          <w:rFonts w:ascii="Arial" w:cs="Arial" w:eastAsia="Arial" w:hAnsi="Arial"/>
          <w:sz w:val="21"/>
          <w:szCs w:val="21"/>
          <w:color w:val="auto"/>
          <w:vertAlign w:val="subscript"/>
        </w:rPr>
        <w:t>50</w:t>
      </w:r>
      <w:r>
        <w:rPr>
          <w:rFonts w:ascii="Arial" w:cs="Arial" w:eastAsia="Arial" w:hAnsi="Arial"/>
          <w:sz w:val="13"/>
          <w:szCs w:val="13"/>
          <w:color w:val="auto"/>
        </w:rPr>
        <w:t xml:space="preserve"> concentration of test articles. </w:t>
      </w:r>
      <w:r>
        <w:rPr>
          <w:rFonts w:ascii="Arial" w:cs="Arial" w:eastAsia="Arial" w:hAnsi="Arial"/>
          <w:sz w:val="13"/>
          <w:szCs w:val="13"/>
          <w:b w:val="1"/>
          <w:bCs w:val="1"/>
          <w:color w:val="auto"/>
        </w:rPr>
        <w:t>(a)</w:t>
      </w:r>
      <w:r>
        <w:rPr>
          <w:rFonts w:ascii="Arial" w:cs="Arial" w:eastAsia="Arial" w:hAnsi="Arial"/>
          <w:sz w:val="13"/>
          <w:szCs w:val="13"/>
          <w:color w:val="auto"/>
        </w:rPr>
        <w:t xml:space="preserve"> Addition of KRAS</w:t>
      </w:r>
      <w:r>
        <w:rPr>
          <w:rFonts w:ascii="Arial" w:cs="Arial" w:eastAsia="Arial" w:hAnsi="Arial"/>
          <w:sz w:val="21"/>
          <w:szCs w:val="21"/>
          <w:color w:val="auto"/>
          <w:vertAlign w:val="superscript"/>
        </w:rPr>
        <w:t>G12C</w:t>
      </w:r>
      <w:r>
        <w:rPr>
          <w:rFonts w:ascii="Arial" w:cs="Arial" w:eastAsia="Arial" w:hAnsi="Arial"/>
          <w:sz w:val="13"/>
          <w:szCs w:val="13"/>
          <w:color w:val="auto"/>
        </w:rPr>
        <w:t>(ON) inhibitor (RM-007, dotted green line) produced a modest delay in the time for cells to reach 50% confluence, but the simultaneous addition of an EC</w:t>
      </w:r>
      <w:r>
        <w:rPr>
          <w:rFonts w:ascii="Arial" w:cs="Arial" w:eastAsia="Arial" w:hAnsi="Arial"/>
          <w:sz w:val="21"/>
          <w:szCs w:val="21"/>
          <w:color w:val="auto"/>
          <w:vertAlign w:val="subscript"/>
        </w:rPr>
        <w:t>50</w:t>
      </w:r>
      <w:r>
        <w:rPr>
          <w:rFonts w:ascii="Arial" w:cs="Arial" w:eastAsia="Arial" w:hAnsi="Arial"/>
          <w:sz w:val="13"/>
          <w:szCs w:val="13"/>
          <w:color w:val="auto"/>
        </w:rPr>
        <w:t xml:space="preserve"> concentration of the MEK inhibitor trametinib (solid green line) caused complete inhibition of cell growth and no viable cells were apparent during the time course of the experiment (~ 35 days). </w:t>
      </w:r>
      <w:r>
        <w:rPr>
          <w:rFonts w:ascii="Arial" w:cs="Arial" w:eastAsia="Arial" w:hAnsi="Arial"/>
          <w:sz w:val="13"/>
          <w:szCs w:val="13"/>
          <w:b w:val="1"/>
          <w:bCs w:val="1"/>
          <w:color w:val="auto"/>
        </w:rPr>
        <w:t>(b)</w:t>
      </w:r>
      <w:r>
        <w:rPr>
          <w:rFonts w:ascii="Arial" w:cs="Arial" w:eastAsia="Arial" w:hAnsi="Arial"/>
          <w:sz w:val="13"/>
          <w:szCs w:val="13"/>
          <w:color w:val="auto"/>
        </w:rPr>
        <w:t xml:space="preserve"> Addition of a KRAS</w:t>
      </w:r>
      <w:r>
        <w:rPr>
          <w:rFonts w:ascii="Arial" w:cs="Arial" w:eastAsia="Arial" w:hAnsi="Arial"/>
          <w:sz w:val="21"/>
          <w:szCs w:val="21"/>
          <w:color w:val="auto"/>
          <w:vertAlign w:val="superscript"/>
        </w:rPr>
        <w:t>G12C</w:t>
      </w:r>
      <w:r>
        <w:rPr>
          <w:rFonts w:ascii="Arial" w:cs="Arial" w:eastAsia="Arial" w:hAnsi="Arial"/>
          <w:sz w:val="13"/>
          <w:szCs w:val="13"/>
          <w:color w:val="auto"/>
        </w:rPr>
        <w:t>(OFF) inhibitor (Mirati-11, orange dotted line) produced a similar modest delay in the time for cells to reach 50% confluence and although the simultaneous addition of trametinib (solid orange line) caused a slight delay in cell proliferation, indicative of an initial combinatorial benefit, the cells escaped relatively quickly and approached full confluence within ~20 days. Data are from a single experiment, similar data have been obtained in another independent study.</w:t>
      </w:r>
    </w:p>
    <w:p>
      <w:pPr>
        <w:spacing w:after="0" w:line="99"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These results can be interpreted within the framework of what is known regarding the mechanism of action of the respective compounds and their effects on RAS signaling pathway activity. Hyperactivation of RTKs accompanied by reactivation of RAS is a well-established response to MEK (or ERK) inhibition, reflecting relief of endogenous inhibitory feedback loops in the presence of the downstream inhibitor. Consistent with this hypothesis, others have shown that MEK inhibition reduces KRAS</w:t>
      </w:r>
      <w:r>
        <w:rPr>
          <w:rFonts w:ascii="Arial" w:cs="Arial" w:eastAsia="Arial" w:hAnsi="Arial"/>
          <w:sz w:val="11"/>
          <w:szCs w:val="11"/>
          <w:color w:val="auto"/>
        </w:rPr>
        <w:t>G12C</w:t>
      </w:r>
      <w:r>
        <w:rPr>
          <w:rFonts w:ascii="Arial" w:cs="Arial" w:eastAsia="Arial" w:hAnsi="Arial"/>
          <w:sz w:val="18"/>
          <w:szCs w:val="18"/>
          <w:color w:val="auto"/>
        </w:rPr>
        <w:t xml:space="preserve"> target engagement by a representative KRAS</w:t>
      </w:r>
      <w:r>
        <w:rPr>
          <w:rFonts w:ascii="Arial" w:cs="Arial" w:eastAsia="Arial" w:hAnsi="Arial"/>
          <w:sz w:val="11"/>
          <w:szCs w:val="11"/>
          <w:color w:val="auto"/>
        </w:rPr>
        <w:t>G12C</w:t>
      </w:r>
      <w:r>
        <w:rPr>
          <w:rFonts w:ascii="Arial" w:cs="Arial" w:eastAsia="Arial" w:hAnsi="Arial"/>
          <w:sz w:val="18"/>
          <w:szCs w:val="18"/>
          <w:color w:val="auto"/>
        </w:rPr>
        <w:t>(OFF) inhibitor. In contrast, MEK inhibitor-induced activation of RAS does not antagonize the activity of a compound that inhibits KRAS</w:t>
      </w:r>
      <w:r>
        <w:rPr>
          <w:rFonts w:ascii="Arial" w:cs="Arial" w:eastAsia="Arial" w:hAnsi="Arial"/>
          <w:sz w:val="11"/>
          <w:szCs w:val="11"/>
          <w:color w:val="auto"/>
        </w:rPr>
        <w:t>G12C</w:t>
      </w:r>
      <w:r>
        <w:rPr>
          <w:rFonts w:ascii="Arial" w:cs="Arial" w:eastAsia="Arial" w:hAnsi="Arial"/>
          <w:sz w:val="18"/>
          <w:szCs w:val="18"/>
          <w:color w:val="auto"/>
        </w:rPr>
        <w:t>(ON) directly; rather, in this context the complementary mechanisms of the two agents can drive maximal pathway inhibition, which manifests as cell death.</w:t>
      </w:r>
    </w:p>
    <w:p>
      <w:pPr>
        <w:spacing w:after="0" w:line="83" w:lineRule="exact"/>
        <w:rPr>
          <w:sz w:val="20"/>
          <w:szCs w:val="20"/>
          <w:color w:val="auto"/>
        </w:rPr>
      </w:pPr>
    </w:p>
    <w:p>
      <w:pPr>
        <w:ind w:left="200" w:right="320"/>
        <w:spacing w:after="0" w:line="260" w:lineRule="auto"/>
        <w:rPr>
          <w:sz w:val="20"/>
          <w:szCs w:val="20"/>
          <w:color w:val="auto"/>
        </w:rPr>
      </w:pPr>
      <w:r>
        <w:rPr>
          <w:rFonts w:ascii="Arial" w:cs="Arial" w:eastAsia="Arial" w:hAnsi="Arial"/>
          <w:sz w:val="18"/>
          <w:szCs w:val="18"/>
          <w:color w:val="auto"/>
        </w:rPr>
        <w:t>We also observed combination benefit for a KRAS</w:t>
      </w:r>
      <w:r>
        <w:rPr>
          <w:rFonts w:ascii="Arial" w:cs="Arial" w:eastAsia="Arial" w:hAnsi="Arial"/>
          <w:sz w:val="11"/>
          <w:szCs w:val="11"/>
          <w:color w:val="auto"/>
        </w:rPr>
        <w:t>G12C</w:t>
      </w:r>
      <w:r>
        <w:rPr>
          <w:rFonts w:ascii="Arial" w:cs="Arial" w:eastAsia="Arial" w:hAnsi="Arial"/>
          <w:sz w:val="18"/>
          <w:szCs w:val="18"/>
          <w:color w:val="auto"/>
        </w:rPr>
        <w:t xml:space="preserve">(ON) inhibitor and a MEK inhibitor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 preclinical xenograft model of tumors harboring KRAS</w:t>
      </w:r>
      <w:r>
        <w:rPr>
          <w:rFonts w:ascii="Arial" w:cs="Arial" w:eastAsia="Arial" w:hAnsi="Arial"/>
          <w:sz w:val="11"/>
          <w:szCs w:val="11"/>
          <w:color w:val="auto"/>
        </w:rPr>
        <w:t>G12C</w:t>
      </w:r>
      <w:r>
        <w:rPr>
          <w:rFonts w:ascii="Arial" w:cs="Arial" w:eastAsia="Arial" w:hAnsi="Arial"/>
          <w:sz w:val="18"/>
          <w:szCs w:val="18"/>
          <w:color w:val="auto"/>
        </w:rPr>
        <w:t xml:space="preserve"> mutations (Figure 29).</w:t>
      </w:r>
    </w:p>
    <w:p>
      <w:pPr>
        <w:spacing w:after="0" w:line="12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240" w:top="459" w:right="5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220"/>
        <w:spacing w:after="0" w:line="252" w:lineRule="auto"/>
        <w:rPr>
          <w:sz w:val="20"/>
          <w:szCs w:val="20"/>
          <w:color w:val="auto"/>
        </w:rPr>
      </w:pPr>
      <w:r>
        <w:rPr>
          <w:rFonts w:ascii="Arial" w:cs="Arial" w:eastAsia="Arial" w:hAnsi="Arial"/>
          <w:sz w:val="18"/>
          <w:szCs w:val="18"/>
          <w:b w:val="1"/>
          <w:bCs w:val="1"/>
          <w:color w:val="auto"/>
        </w:rPr>
        <w:t>Figure 29</w:t>
      </w:r>
      <w:r>
        <w:rPr>
          <w:rFonts w:ascii="Arial" w:cs="Arial" w:eastAsia="Arial" w:hAnsi="Arial"/>
          <w:sz w:val="18"/>
          <w:szCs w:val="18"/>
          <w:color w:val="auto"/>
        </w:rPr>
        <w:t>: Combination benefit for tri-complex KRAS</w:t>
      </w:r>
      <w:r>
        <w:rPr>
          <w:rFonts w:ascii="Arial" w:cs="Arial" w:eastAsia="Arial" w:hAnsi="Arial"/>
          <w:sz w:val="11"/>
          <w:szCs w:val="11"/>
          <w:color w:val="auto"/>
        </w:rPr>
        <w:t>G12C</w:t>
      </w:r>
      <w:r>
        <w:rPr>
          <w:rFonts w:ascii="Arial" w:cs="Arial" w:eastAsia="Arial" w:hAnsi="Arial"/>
          <w:sz w:val="18"/>
          <w:szCs w:val="18"/>
          <w:color w:val="auto"/>
        </w:rPr>
        <w:t>(ON) inhibitor and MEK inhibitor in preclinical xenograft model of tumors harboring</w:t>
      </w:r>
      <w:r>
        <w:rPr>
          <w:rFonts w:ascii="Arial" w:cs="Arial" w:eastAsia="Arial" w:hAnsi="Arial"/>
          <w:sz w:val="18"/>
          <w:szCs w:val="18"/>
          <w:b w:val="1"/>
          <w:bCs w:val="1"/>
          <w:color w:val="auto"/>
        </w:rPr>
        <w:t xml:space="preserve"> </w:t>
      </w:r>
      <w:r>
        <w:rPr>
          <w:rFonts w:ascii="Arial" w:cs="Arial" w:eastAsia="Arial" w:hAnsi="Arial"/>
          <w:sz w:val="18"/>
          <w:szCs w:val="18"/>
          <w:color w:val="auto"/>
        </w:rPr>
        <w:t>KRAS</w:t>
      </w:r>
      <w:r>
        <w:rPr>
          <w:rFonts w:ascii="Arial" w:cs="Arial" w:eastAsia="Arial" w:hAnsi="Arial"/>
          <w:sz w:val="11"/>
          <w:szCs w:val="11"/>
          <w:color w:val="auto"/>
        </w:rPr>
        <w:t>G12C</w:t>
      </w:r>
      <w:r>
        <w:rPr>
          <w:rFonts w:ascii="Arial" w:cs="Arial" w:eastAsia="Arial" w:hAnsi="Arial"/>
          <w:sz w:val="18"/>
          <w:szCs w:val="18"/>
          <w:color w:val="auto"/>
        </w:rPr>
        <w:t xml:space="preserve"> mutations.</w:t>
      </w:r>
    </w:p>
    <w:p>
      <w:pPr>
        <w:ind w:left="5320"/>
        <w:spacing w:after="0" w:line="185" w:lineRule="auto"/>
        <w:rPr>
          <w:sz w:val="20"/>
          <w:szCs w:val="20"/>
          <w:color w:val="auto"/>
        </w:rPr>
      </w:pPr>
      <w:r>
        <w:rPr>
          <w:rFonts w:ascii="Arial" w:cs="Arial" w:eastAsia="Arial" w:hAnsi="Arial"/>
          <w:sz w:val="35"/>
          <w:szCs w:val="35"/>
          <w:b w:val="1"/>
          <w:bCs w:val="1"/>
          <w:color w:val="auto"/>
          <w:vertAlign w:val="subscript"/>
        </w:rPr>
        <w:t>KRAS</w:t>
      </w:r>
      <w:r>
        <w:rPr>
          <w:rFonts w:ascii="Arial" w:cs="Arial" w:eastAsia="Arial" w:hAnsi="Arial"/>
          <w:sz w:val="11"/>
          <w:szCs w:val="11"/>
          <w:b w:val="1"/>
          <w:bCs w:val="1"/>
          <w:color w:val="auto"/>
        </w:rPr>
        <w:t>G12C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121920</wp:posOffset>
            </wp:positionV>
            <wp:extent cx="2504440" cy="17665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2504440" cy="1766570"/>
                    </a:xfrm>
                    <a:prstGeom prst="rect">
                      <a:avLst/>
                    </a:prstGeom>
                    <a:noFill/>
                  </pic:spPr>
                </pic:pic>
              </a:graphicData>
            </a:graphic>
          </wp:anchor>
        </w:drawing>
      </w:r>
    </w:p>
    <w:p>
      <w:pPr>
        <w:spacing w:after="0" w:line="175" w:lineRule="exact"/>
        <w:rPr>
          <w:sz w:val="20"/>
          <w:szCs w:val="20"/>
          <w:color w:val="auto"/>
        </w:rPr>
      </w:pPr>
    </w:p>
    <w:p>
      <w:pPr>
        <w:ind w:left="200"/>
        <w:spacing w:after="0"/>
        <w:tabs>
          <w:tab w:leader="none" w:pos="59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12065</wp:posOffset>
            </wp:positionV>
            <wp:extent cx="2400935" cy="146621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400935" cy="1466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right="40"/>
        <w:spacing w:after="0" w:line="182" w:lineRule="auto"/>
        <w:rPr>
          <w:sz w:val="20"/>
          <w:szCs w:val="20"/>
          <w:color w:val="auto"/>
        </w:rPr>
      </w:pPr>
      <w:r>
        <w:rPr>
          <w:rFonts w:ascii="Arial" w:cs="Arial" w:eastAsia="Arial" w:hAnsi="Arial"/>
          <w:sz w:val="13"/>
          <w:szCs w:val="13"/>
          <w:color w:val="auto"/>
        </w:rPr>
        <w:t>Anti-tumor activity of RM-015 (50 mg/kg, intravenous, twice weekly; iv biw) and MEK inhibitor (cobimetinib) (2.5 mg/kg, oral, daily; po qd) as single agents or in combination in NSCLC CDX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xenograft model in mice. Data represent tumor volume over time (a) or waterfall plot of individual end of study responses, with tumor volume expressed as a</w:t>
      </w:r>
    </w:p>
    <w:p>
      <w:pPr>
        <w:spacing w:after="0" w:line="1" w:lineRule="exact"/>
        <w:rPr>
          <w:sz w:val="20"/>
          <w:szCs w:val="20"/>
          <w:color w:val="auto"/>
        </w:rPr>
      </w:pPr>
    </w:p>
    <w:p>
      <w:pPr>
        <w:jc w:val="both"/>
        <w:ind w:left="200" w:right="100"/>
        <w:spacing w:after="0" w:line="300" w:lineRule="auto"/>
        <w:rPr>
          <w:sz w:val="20"/>
          <w:szCs w:val="20"/>
          <w:color w:val="auto"/>
        </w:rPr>
      </w:pPr>
      <w:r>
        <w:rPr>
          <w:rFonts w:ascii="Arial" w:cs="Arial" w:eastAsia="Arial" w:hAnsi="Arial"/>
          <w:sz w:val="12"/>
          <w:szCs w:val="12"/>
          <w:color w:val="auto"/>
        </w:rPr>
        <w:t>percentage of initial tumor volume at time of study start (truncated at 300%) (b). Number of mice per group = 10. In (a) data represent mean, errors bars represent standard error of the mean. In (b) each animal is represented as a separate bar. Numbers indicate number of regressions (defined as &gt; 10% reduction in tumor volume from starting volume) in each group.</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Drug discovery, optimization and development strategy</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Initially, we intend to prioritize four mutant RAS(ON) targets in our drug discovery efforts—KRAS</w:t>
      </w:r>
      <w:r>
        <w:rPr>
          <w:rFonts w:ascii="Arial" w:cs="Arial" w:eastAsia="Arial" w:hAnsi="Arial"/>
          <w:sz w:val="11"/>
          <w:szCs w:val="11"/>
          <w:color w:val="auto"/>
        </w:rPr>
        <w:t>G12C</w:t>
      </w:r>
      <w:r>
        <w:rPr>
          <w:rFonts w:ascii="Arial" w:cs="Arial" w:eastAsia="Arial" w:hAnsi="Arial"/>
          <w:sz w:val="18"/>
          <w:szCs w:val="18"/>
          <w:color w:val="auto"/>
        </w:rPr>
        <w:t>, KRAS</w:t>
      </w:r>
      <w:r>
        <w:rPr>
          <w:rFonts w:ascii="Arial" w:cs="Arial" w:eastAsia="Arial" w:hAnsi="Arial"/>
          <w:sz w:val="11"/>
          <w:szCs w:val="11"/>
          <w:color w:val="auto"/>
        </w:rPr>
        <w:t>G13C</w:t>
      </w:r>
      <w:r>
        <w:rPr>
          <w:rFonts w:ascii="Arial" w:cs="Arial" w:eastAsia="Arial" w:hAnsi="Arial"/>
          <w:sz w:val="18"/>
          <w:szCs w:val="18"/>
          <w:color w:val="auto"/>
        </w:rPr>
        <w:t>, KRAS</w:t>
      </w:r>
      <w:r>
        <w:rPr>
          <w:rFonts w:ascii="Arial" w:cs="Arial" w:eastAsia="Arial" w:hAnsi="Arial"/>
          <w:sz w:val="11"/>
          <w:szCs w:val="11"/>
          <w:color w:val="auto"/>
        </w:rPr>
        <w:t>G12D</w:t>
      </w:r>
      <w:r>
        <w:rPr>
          <w:rFonts w:ascii="Arial" w:cs="Arial" w:eastAsia="Arial" w:hAnsi="Arial"/>
          <w:sz w:val="18"/>
          <w:szCs w:val="18"/>
          <w:color w:val="auto"/>
        </w:rPr>
        <w:t>, and NRAS</w:t>
      </w:r>
      <w:r>
        <w:rPr>
          <w:rFonts w:ascii="Arial" w:cs="Arial" w:eastAsia="Arial" w:hAnsi="Arial"/>
          <w:sz w:val="11"/>
          <w:szCs w:val="11"/>
          <w:color w:val="auto"/>
        </w:rPr>
        <w:t>G12C</w:t>
      </w:r>
      <w:r>
        <w:rPr>
          <w:rFonts w:ascii="Arial" w:cs="Arial" w:eastAsia="Arial" w:hAnsi="Arial"/>
          <w:sz w:val="18"/>
          <w:szCs w:val="18"/>
          <w:color w:val="auto"/>
        </w:rPr>
        <w:t>.</w:t>
      </w:r>
    </w:p>
    <w:p>
      <w:pPr>
        <w:ind w:left="200"/>
        <w:spacing w:after="0"/>
        <w:rPr>
          <w:sz w:val="20"/>
          <w:szCs w:val="20"/>
          <w:color w:val="auto"/>
        </w:rPr>
      </w:pPr>
      <w:r>
        <w:rPr>
          <w:rFonts w:ascii="Arial" w:cs="Arial" w:eastAsia="Arial" w:hAnsi="Arial"/>
          <w:sz w:val="18"/>
          <w:szCs w:val="18"/>
          <w:color w:val="auto"/>
        </w:rPr>
        <w:t>Our current RAS(ON) drug discovery programs are in either a lead generation or lead optimization stage.</w:t>
      </w:r>
    </w:p>
    <w:p>
      <w:pPr>
        <w:spacing w:after="0" w:line="104"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 xml:space="preserve">Similarly to “Rule of 5” drug discovery programs in the lead generation stage, in the lead generation stage for our RAS(ON) targets, we prosecute iterative cycles of compound design, synthesis and testing in various assays to identify specific chemical features that contribute to desired characteristics, such as potent and durable inhibition of the target, selectivity for the target of interest, physicochemical properties (for example, solubility) that support formulation,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ADME (absorption, distribution, metabolism and excretion), intrinsic chemical stability, and tolerability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The lead optimization stage for our RAS(ON) targets involves further iterative cycles of compound design, synthesis and testing toward the goal of bringing these features together in individual compounds to meet development candidate profiles. As compounds advance through this process, they undergo progressive scrutiny through extensive preclinical tests both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culminating in development candidate selection followed by IND-enabling studies conducted in accordance with regulatory guidelines.</w:t>
      </w:r>
    </w:p>
    <w:p>
      <w:pPr>
        <w:spacing w:after="0" w:line="79"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 xml:space="preserve">These iterative design-make-test cycles can be more challenging for complex “Beyond Rule of 5” small molecules such as our tri-complex inhibitors, and we have developed tools, processes and know-how to support practical drug discovery of these types of molecules. As for conventional “Rule of 5” drug discovery programs, our compounds produced during lead generation or optimization stages are expected to have a diverse range of properties. Some of these compounds will not meet our candidate profile and will be rejected while others will fulfill some of the characteristics of our candidate profile, and the features of such compounds will be retained where possible. To date approximately 2,000 different test compounds have been produced and characterized in various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assays, with a subset of these characterized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rodents. The compounds reported in Figures 20, 21, 27 and 29 are examples of tri-complex KRAS(ON) inhibitors that have demonstrated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anti-tumor activity in xenograft models of human cancers in mice and were generally well-tolerated as indicated by either minimal or no body</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240" w:top="459" w:right="43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 xml:space="preserve">weight loss and an absence of observable gross abnormalities in these studies. We have also identified compounds with unfavorable properties such as low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potency for KRAS</w:t>
      </w:r>
      <w:r>
        <w:rPr>
          <w:rFonts w:ascii="Arial" w:cs="Arial" w:eastAsia="Arial" w:hAnsi="Arial"/>
          <w:sz w:val="11"/>
          <w:szCs w:val="11"/>
          <w:color w:val="auto"/>
        </w:rPr>
        <w:t>G12C</w:t>
      </w:r>
      <w:r>
        <w:rPr>
          <w:rFonts w:ascii="Arial" w:cs="Arial" w:eastAsia="Arial" w:hAnsi="Arial"/>
          <w:sz w:val="18"/>
          <w:szCs w:val="18"/>
          <w:color w:val="auto"/>
        </w:rPr>
        <w:t>(ON), cross-reactivity with one or more well-known safety targets, low solubility, poor ADME properties, including lack of oral bioavailability, and poor tolerability. Adverse effects have been observed following administration of high doses of some compounds to rodents by one or more routes of administration. As these effects were seen with only certain compounds and did not extend across all studies, doses or routes of administration, we do not believe there is a generalized liability of the tri-complex platform or chemical scaffolds underlying our RAS(ON) inhibitor programs.</w:t>
      </w:r>
    </w:p>
    <w:p>
      <w:pPr>
        <w:spacing w:after="0" w:line="102" w:lineRule="exact"/>
        <w:rPr>
          <w:sz w:val="20"/>
          <w:szCs w:val="20"/>
          <w:color w:val="auto"/>
        </w:rPr>
      </w:pPr>
    </w:p>
    <w:p>
      <w:pPr>
        <w:ind w:left="200" w:right="280"/>
        <w:spacing w:after="0" w:line="299" w:lineRule="auto"/>
        <w:rPr>
          <w:sz w:val="20"/>
          <w:szCs w:val="20"/>
          <w:color w:val="auto"/>
        </w:rPr>
      </w:pPr>
      <w:r>
        <w:rPr>
          <w:rFonts w:ascii="Arial" w:cs="Arial" w:eastAsia="Arial" w:hAnsi="Arial"/>
          <w:sz w:val="16"/>
          <w:szCs w:val="16"/>
          <w:color w:val="auto"/>
        </w:rPr>
        <w:t>We believe our multiparameter optimization efforts will yield candidates that meet our development candidate profiles to be advanced into IND-enabling studies and clinical studies as appropriate and we expect to nominate our first RAS(ON) development candidate in 2020.</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SOS1 program</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SOS1 protein is responsible for stimulating the conversion of RAS from the inactive GDP-bound form (RAS(OFF)) to the active GTP-bound form (RAS(ON)) in response to growth factor receptor signaling. SOS1 directly activates RAS proteins by promoting the release of the bound GDP and thereby facilitating the binding of GTP, which is present within a cell in great excess to GDP, to generate RAS(ON). SOS1 itself is activated by RAS through the binding of RAS(ON) to an allosteric site on the SOS1 protein (Figure 30). As a result, there is a positive feedback loop between SOS1 and RAS that increases RAS signaling. The activation of RAS by SOS1 is “processive”; that is, once a single molecule of SOS1 is activated it can sequentially activate multiple RAS molecules. As a result, the potential for amplification of RAS signals by SOS1 is considerable. Therefore, we believe that inhibition of SOS1 may represent a viable approach for targeting RAS-driven tumors.</w:t>
      </w:r>
    </w:p>
    <w:p>
      <w:pPr>
        <w:spacing w:after="0" w:line="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86360</wp:posOffset>
            </wp:positionV>
            <wp:extent cx="4742180" cy="3215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742180" cy="321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40"/>
          </w:cols>
          <w:pgMar w:left="240" w:top="460" w:right="5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00"/>
        <w:spacing w:after="0" w:line="275" w:lineRule="auto"/>
        <w:rPr>
          <w:sz w:val="20"/>
          <w:szCs w:val="20"/>
          <w:color w:val="auto"/>
        </w:rPr>
      </w:pPr>
      <w:r>
        <w:rPr>
          <w:rFonts w:ascii="Arial" w:cs="Arial" w:eastAsia="Arial" w:hAnsi="Arial"/>
          <w:sz w:val="16"/>
          <w:szCs w:val="16"/>
          <w:color w:val="auto"/>
        </w:rPr>
        <w:t xml:space="preserve">We have designed and synthesized a number of potent and selective inhibitors of SOS1. The current focus of our discovery program is to improve the potency and drug-like properties of compounds in this series. We are investigating the potential utility of SOS1 inhibitors alone and in combination with our other proprietary inhibitors of RAS signaling, such as our SHP2 inhibitors and mutant-selective RAS(ON) inhibitors, in a wide range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models of genetically-defined cancers that are addicted to the RAS signaling pathway.</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4EBP1/mTORC1 program</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Overview</w:t>
      </w:r>
    </w:p>
    <w:p>
      <w:pPr>
        <w:spacing w:after="0" w:line="122"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mTORC1 is a critical regulator of metabolism, growth and proliferation within cells, including cancer cells. The abnormal activation of mTORC1, and subsequent inactivation of the tumor suppressor 4EBP1, is a mechanism that is frequently harnessed by cancer cells to gain a growth and proliferation advantage over normal cells. Our preclinical development candidate, RMC-5552, selectively and deeply inhibits mTORC1, thereby preventing phosphorylation and inactivation of 4EBP1, a downstream protein in the mTOR signaling pathway that normally suppresses expression of certain oncogenes such as C-MYC. Approximately two-thirds of breast cancers contain oncogenic mutations that hyper-activate mTORC1. We advanced RMC-5552 into IND-enabling development in June 2019.</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Preclinical studies</w:t>
      </w:r>
    </w:p>
    <w:p>
      <w:pPr>
        <w:spacing w:after="0" w:line="122" w:lineRule="exact"/>
        <w:rPr>
          <w:sz w:val="20"/>
          <w:szCs w:val="20"/>
          <w:color w:val="auto"/>
        </w:rPr>
      </w:pPr>
    </w:p>
    <w:p>
      <w:pPr>
        <w:ind w:left="200" w:right="320"/>
        <w:spacing w:after="0" w:line="364" w:lineRule="auto"/>
        <w:rPr>
          <w:sz w:val="20"/>
          <w:szCs w:val="20"/>
          <w:color w:val="auto"/>
        </w:rPr>
      </w:pPr>
      <w:r>
        <w:rPr>
          <w:rFonts w:ascii="Arial" w:cs="Arial" w:eastAsia="Arial" w:hAnsi="Arial"/>
          <w:sz w:val="18"/>
          <w:szCs w:val="18"/>
          <w:color w:val="auto"/>
        </w:rPr>
        <w:t xml:space="preserve">RMC-5552 is a potent and selective inhibitor of mTORC1, that exhibits selectivity over mTORC2 and a broad panel of kinases (Figure 31). </w:t>
      </w:r>
      <w:r>
        <w:rPr>
          <w:rFonts w:ascii="Arial" w:cs="Arial" w:eastAsia="Arial" w:hAnsi="Arial"/>
          <w:sz w:val="18"/>
          <w:szCs w:val="18"/>
          <w:b w:val="1"/>
          <w:bCs w:val="1"/>
          <w:color w:val="auto"/>
        </w:rPr>
        <w:t>Figure 31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 vitro</w:t>
      </w:r>
      <w:r>
        <w:rPr>
          <w:rFonts w:ascii="Arial" w:cs="Arial" w:eastAsia="Arial" w:hAnsi="Arial"/>
          <w:sz w:val="18"/>
          <w:szCs w:val="18"/>
          <w:b w:val="1"/>
          <w:bCs w:val="1"/>
          <w:color w:val="auto"/>
        </w:rPr>
        <w:t xml:space="preserve"> </w:t>
      </w:r>
      <w:r>
        <w:rPr>
          <w:rFonts w:ascii="Arial" w:cs="Arial" w:eastAsia="Arial" w:hAnsi="Arial"/>
          <w:sz w:val="18"/>
          <w:szCs w:val="18"/>
          <w:color w:val="auto"/>
        </w:rPr>
        <w:t>profile of RMC-5552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2540</wp:posOffset>
            </wp:positionV>
            <wp:extent cx="699770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7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42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RMC-5552</w:t>
            </w:r>
          </w:p>
        </w:tc>
      </w:tr>
      <w:tr>
        <w:trPr>
          <w:trHeight w:val="196"/>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Inhibition of mTORC1: pS6K</w:t>
            </w:r>
          </w:p>
        </w:tc>
        <w:tc>
          <w:tcPr>
            <w:tcW w:w="4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0.14 nM</w:t>
            </w:r>
          </w:p>
        </w:tc>
      </w:tr>
      <w:tr>
        <w:trPr>
          <w:trHeight w:val="203"/>
        </w:trPr>
        <w:tc>
          <w:tcPr>
            <w:tcW w:w="6440" w:type="dxa"/>
            <w:vAlign w:val="bottom"/>
            <w:gridSpan w:val="2"/>
          </w:tcPr>
          <w:p>
            <w:pPr>
              <w:spacing w:after="0" w:line="202" w:lineRule="exact"/>
              <w:rPr>
                <w:sz w:val="20"/>
                <w:szCs w:val="20"/>
                <w:color w:val="auto"/>
              </w:rPr>
            </w:pPr>
            <w:r>
              <w:rPr>
                <w:rFonts w:ascii="Arial" w:cs="Arial" w:eastAsia="Arial" w:hAnsi="Arial"/>
                <w:sz w:val="18"/>
                <w:szCs w:val="18"/>
                <w:color w:val="auto"/>
              </w:rPr>
              <w:t>Inhibition of mTORC1: p4EBP1</w:t>
            </w:r>
            <w:r>
              <w:rPr>
                <w:rFonts w:ascii="Arial" w:cs="Arial" w:eastAsia="Arial" w:hAnsi="Arial"/>
                <w:sz w:val="11"/>
                <w:szCs w:val="11"/>
                <w:color w:val="auto"/>
              </w:rPr>
              <w:t>1</w:t>
            </w:r>
          </w:p>
        </w:tc>
        <w:tc>
          <w:tcPr>
            <w:tcW w:w="4600" w:type="dxa"/>
            <w:vAlign w:val="bottom"/>
          </w:tcPr>
          <w:p>
            <w:pPr>
              <w:jc w:val="right"/>
              <w:spacing w:after="0" w:line="202" w:lineRule="exact"/>
              <w:rPr>
                <w:sz w:val="20"/>
                <w:szCs w:val="20"/>
                <w:color w:val="auto"/>
              </w:rPr>
            </w:pPr>
            <w:r>
              <w:rPr>
                <w:rFonts w:ascii="Arial" w:cs="Arial" w:eastAsia="Arial" w:hAnsi="Arial"/>
                <w:sz w:val="18"/>
                <w:szCs w:val="18"/>
                <w:color w:val="auto"/>
              </w:rPr>
              <w:t>0.48 nM</w:t>
            </w:r>
          </w:p>
        </w:tc>
      </w:tr>
      <w:tr>
        <w:trPr>
          <w:trHeight w:val="203"/>
        </w:trPr>
        <w:tc>
          <w:tcPr>
            <w:tcW w:w="20" w:type="dxa"/>
            <w:vAlign w:val="bottom"/>
          </w:tcPr>
          <w:p>
            <w:pPr>
              <w:spacing w:after="0"/>
              <w:rPr>
                <w:sz w:val="17"/>
                <w:szCs w:val="17"/>
                <w:color w:val="auto"/>
              </w:rPr>
            </w:pPr>
          </w:p>
        </w:tc>
        <w:tc>
          <w:tcPr>
            <w:tcW w:w="6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Selectivity over mTORC2: pAKT</w:t>
            </w:r>
            <w:r>
              <w:rPr>
                <w:rFonts w:ascii="Arial" w:cs="Arial" w:eastAsia="Arial" w:hAnsi="Arial"/>
                <w:sz w:val="11"/>
                <w:szCs w:val="11"/>
                <w:color w:val="auto"/>
              </w:rPr>
              <w:t>2</w:t>
            </w:r>
          </w:p>
        </w:tc>
        <w:tc>
          <w:tcPr>
            <w:tcW w:w="4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40X</w:t>
            </w:r>
          </w:p>
        </w:tc>
      </w:tr>
      <w:tr>
        <w:trPr>
          <w:trHeight w:val="203"/>
        </w:trPr>
        <w:tc>
          <w:tcPr>
            <w:tcW w:w="644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Selectivity over kinases: e.g., PI3K</w:t>
            </w:r>
            <w:r>
              <w:rPr>
                <w:rFonts w:ascii="Arial" w:cs="Arial" w:eastAsia="Arial" w:hAnsi="Arial"/>
                <w:sz w:val="11"/>
                <w:szCs w:val="11"/>
                <w:color w:val="auto"/>
              </w:rPr>
              <w:t>2</w:t>
            </w:r>
          </w:p>
        </w:tc>
        <w:tc>
          <w:tcPr>
            <w:tcW w:w="4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53X</w:t>
            </w:r>
          </w:p>
        </w:tc>
      </w:tr>
    </w:tbl>
    <w:p>
      <w:pPr>
        <w:spacing w:after="0" w:line="39" w:lineRule="exact"/>
        <w:rPr>
          <w:sz w:val="20"/>
          <w:szCs w:val="20"/>
          <w:color w:val="auto"/>
        </w:rPr>
      </w:pPr>
    </w:p>
    <w:p>
      <w:pPr>
        <w:ind w:left="200" w:right="60"/>
        <w:spacing w:after="0" w:line="221" w:lineRule="auto"/>
        <w:rPr>
          <w:sz w:val="20"/>
          <w:szCs w:val="20"/>
          <w:color w:val="auto"/>
        </w:rPr>
      </w:pPr>
      <w:r>
        <w:rPr>
          <w:rFonts w:ascii="Arial" w:cs="Arial" w:eastAsia="Arial" w:hAnsi="Arial"/>
          <w:sz w:val="13"/>
          <w:szCs w:val="13"/>
          <w:i w:val="1"/>
          <w:iCs w:val="1"/>
          <w:color w:val="auto"/>
        </w:rPr>
        <w:t xml:space="preserve">In vitro </w:t>
      </w:r>
      <w:r>
        <w:rPr>
          <w:rFonts w:ascii="Arial" w:cs="Arial" w:eastAsia="Arial" w:hAnsi="Arial"/>
          <w:sz w:val="13"/>
          <w:szCs w:val="13"/>
          <w:color w:val="auto"/>
        </w:rPr>
        <w:t>potency for RMC-5552 to inhibit phosphorylation of mTORC1 (pS6K and p4EBP1) and mTORC2 (pAKT) substrates was determined in MDA-MB-468 cells. Data represent mean</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of at least two independent determinations. Selectivity over mTORC2 represents ratio of potency values for inhibition of AKT phosphorylation to inhibition of 4EBP1 phosphorylation. Selectivity over other kinases e.g. PI3K, represents ratio of potency values for inhibition of PI3K-alpha to mTORC1 in a biochemical, synthetic peptide phosphorylation assay. </w:t>
      </w:r>
      <w:r>
        <w:rPr>
          <w:rFonts w:ascii="Arial" w:cs="Arial" w:eastAsia="Arial" w:hAnsi="Arial"/>
          <w:sz w:val="21"/>
          <w:szCs w:val="21"/>
          <w:color w:val="auto"/>
          <w:vertAlign w:val="superscript"/>
        </w:rPr>
        <w:t>1</w:t>
      </w:r>
      <w:r>
        <w:rPr>
          <w:rFonts w:ascii="Arial" w:cs="Arial" w:eastAsia="Arial" w:hAnsi="Arial"/>
          <w:sz w:val="13"/>
          <w:szCs w:val="13"/>
          <w:color w:val="auto"/>
        </w:rPr>
        <w:t xml:space="preserve"> Rapamycin is not considered an inhibitor of 4EBP1 phosphorylation. </w:t>
      </w:r>
      <w:r>
        <w:rPr>
          <w:rFonts w:ascii="Arial" w:cs="Arial" w:eastAsia="Arial" w:hAnsi="Arial"/>
          <w:sz w:val="21"/>
          <w:szCs w:val="21"/>
          <w:color w:val="auto"/>
          <w:vertAlign w:val="superscript"/>
        </w:rPr>
        <w:t>2</w:t>
      </w:r>
      <w:r>
        <w:rPr>
          <w:rFonts w:ascii="Arial" w:cs="Arial" w:eastAsia="Arial" w:hAnsi="Arial"/>
          <w:sz w:val="13"/>
          <w:szCs w:val="13"/>
          <w:color w:val="auto"/>
        </w:rPr>
        <w:t xml:space="preserve"> Active site inhibitors are not considered selective over mTORC2 or other kinases.</w:t>
      </w:r>
    </w:p>
    <w:p>
      <w:pPr>
        <w:ind w:left="200" w:right="100"/>
        <w:spacing w:after="0" w:line="236" w:lineRule="auto"/>
        <w:rPr>
          <w:sz w:val="20"/>
          <w:szCs w:val="20"/>
          <w:color w:val="auto"/>
        </w:rPr>
      </w:pPr>
      <w:r>
        <w:rPr>
          <w:rFonts w:ascii="Arial" w:cs="Arial" w:eastAsia="Arial" w:hAnsi="Arial"/>
          <w:sz w:val="18"/>
          <w:szCs w:val="18"/>
          <w:color w:val="auto"/>
        </w:rPr>
        <w:t>In a xenograft model of human breast cancer in which an activating mutation in PIK3CA drives hyperactivation of the mTOR pathway, RMC-5552 inhibited tumor 4EBP1 phosphorylation at 48 hours-post intraperitoneal administration of a 3 mg/kg or 10 mg/kg dose by 71% and 63%, respectively. RMC-5552 induced significant regression of tumors when administered weekly via intraperitoneal injection at doses that were well tolerated (Figure 32). Inhibition of tumor growth was also seen in models of ovarian, liver, bladder and head and neck cancers that collectively bear activating mutations in the mTOR signaling pathway, are addicted to production of oncogenic proteins, and/or are dependent on inactivation or loss of 4EBP1.</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32</w:t>
      </w:r>
      <w:r>
        <w:rPr>
          <w:rFonts w:ascii="Arial" w:cs="Arial" w:eastAsia="Arial" w:hAnsi="Arial"/>
          <w:sz w:val="18"/>
          <w:szCs w:val="18"/>
          <w:color w:val="auto"/>
        </w:rPr>
        <w:t>: RMC-5552 drives tumor regressions in a preclinical xenograft model of breast cancer tumors harboring PIK3CA mutations.</w:t>
      </w:r>
    </w:p>
    <w:p>
      <w:pPr>
        <w:spacing w:after="0" w:line="117"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PIK3CA</w:t>
      </w:r>
      <w:r>
        <w:rPr>
          <w:rFonts w:ascii="Arial" w:cs="Arial" w:eastAsia="Arial" w:hAnsi="Arial"/>
          <w:sz w:val="11"/>
          <w:szCs w:val="11"/>
          <w:b w:val="1"/>
          <w:bCs w:val="1"/>
          <w:color w:val="auto"/>
        </w:rPr>
        <w:t>E545K</w:t>
      </w:r>
      <w:r>
        <w:rPr>
          <w:rFonts w:ascii="Arial" w:cs="Arial" w:eastAsia="Arial" w:hAnsi="Arial"/>
          <w:sz w:val="18"/>
          <w:szCs w:val="18"/>
          <w:b w:val="1"/>
          <w:bCs w:val="1"/>
          <w:color w:val="auto"/>
        </w:rPr>
        <w:t>, ER</w:t>
      </w:r>
      <w:r>
        <w:rPr>
          <w:rFonts w:ascii="Arial" w:cs="Arial" w:eastAsia="Arial" w:hAnsi="Arial"/>
          <w:sz w:val="11"/>
          <w:szCs w:val="11"/>
          <w:b w:val="1"/>
          <w:bCs w:val="1"/>
          <w:color w:val="auto"/>
        </w:rPr>
        <w:t>+</w:t>
      </w:r>
      <w:r>
        <w:rPr>
          <w:rFonts w:ascii="Arial" w:cs="Arial" w:eastAsia="Arial" w:hAnsi="Arial"/>
          <w:sz w:val="18"/>
          <w:szCs w:val="18"/>
          <w:b w:val="1"/>
          <w:bCs w:val="1"/>
          <w:color w:val="auto"/>
        </w:rPr>
        <w:t>/HER2</w:t>
      </w:r>
      <w:r>
        <w:rPr>
          <w:rFonts w:ascii="Arial" w:cs="Arial" w:eastAsia="Arial" w:hAnsi="Arial"/>
          <w:sz w:val="11"/>
          <w:szCs w:val="11"/>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8890</wp:posOffset>
            </wp:positionV>
            <wp:extent cx="4433570" cy="20669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43357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0" w:right="60"/>
        <w:spacing w:after="0" w:line="182" w:lineRule="auto"/>
        <w:rPr>
          <w:sz w:val="20"/>
          <w:szCs w:val="20"/>
          <w:color w:val="auto"/>
        </w:rPr>
      </w:pPr>
      <w:r>
        <w:rPr>
          <w:rFonts w:ascii="Arial" w:cs="Arial" w:eastAsia="Arial" w:hAnsi="Arial"/>
          <w:sz w:val="13"/>
          <w:szCs w:val="13"/>
          <w:color w:val="auto"/>
        </w:rPr>
        <w:t>Once weekly intraperitoneal administration of RMC-5552 (3 mg/kg, 10 mg/kg or 30 mg/kg ip qw) produces a dose-dependent inhibition of tumor growth in breast cancer MCF-7 ER-positive (ER</w:t>
      </w:r>
      <w:r>
        <w:rPr>
          <w:rFonts w:ascii="Arial" w:cs="Arial" w:eastAsia="Arial" w:hAnsi="Arial"/>
          <w:sz w:val="21"/>
          <w:szCs w:val="21"/>
          <w:color w:val="auto"/>
          <w:vertAlign w:val="superscript"/>
        </w:rPr>
        <w:t>+</w:t>
      </w:r>
      <w:r>
        <w:rPr>
          <w:rFonts w:ascii="Arial" w:cs="Arial" w:eastAsia="Arial" w:hAnsi="Arial"/>
          <w:sz w:val="13"/>
          <w:szCs w:val="13"/>
          <w:color w:val="auto"/>
        </w:rPr>
        <w:t>), HER2-negative (HER2-), PIK3CA</w:t>
      </w:r>
      <w:r>
        <w:rPr>
          <w:rFonts w:ascii="Arial" w:cs="Arial" w:eastAsia="Arial" w:hAnsi="Arial"/>
          <w:sz w:val="21"/>
          <w:szCs w:val="21"/>
          <w:color w:val="auto"/>
          <w:vertAlign w:val="superscript"/>
        </w:rPr>
        <w:t>E545K</w:t>
      </w:r>
      <w:r>
        <w:rPr>
          <w:rFonts w:ascii="Arial" w:cs="Arial" w:eastAsia="Arial" w:hAnsi="Arial"/>
          <w:sz w:val="13"/>
          <w:szCs w:val="13"/>
          <w:color w:val="auto"/>
        </w:rPr>
        <w:t xml:space="preserve"> cancer cell line-derived xenograft model in mice. Data represent tumor volume over time (a) and waterfall plots of individual</w:t>
      </w:r>
    </w:p>
    <w:p>
      <w:pPr>
        <w:spacing w:after="0" w:line="1" w:lineRule="exact"/>
        <w:rPr>
          <w:sz w:val="20"/>
          <w:szCs w:val="20"/>
          <w:color w:val="auto"/>
        </w:rPr>
      </w:pPr>
    </w:p>
    <w:p>
      <w:pPr>
        <w:ind w:left="200" w:right="80"/>
        <w:spacing w:after="0" w:line="228" w:lineRule="auto"/>
        <w:rPr>
          <w:sz w:val="20"/>
          <w:szCs w:val="20"/>
          <w:color w:val="auto"/>
        </w:rPr>
      </w:pPr>
      <w:r>
        <w:rPr>
          <w:rFonts w:ascii="Arial" w:cs="Arial" w:eastAsia="Arial" w:hAnsi="Arial"/>
          <w:sz w:val="14"/>
          <w:szCs w:val="14"/>
          <w:color w:val="auto"/>
        </w:rPr>
        <w:t>end of study responses with tumor volume expressed as a percentage of initial tumor volume at time of study start (truncated at 400%) (b). Number of mice per group = 12. In (a) data represent mean, errors bars represent standard error of the mean. In (b) each animal is represented as a separate bar. Numbers indicate number of regressions (defined as &gt; 10% reduction in tumor volume from starting volume) in each group. Dotted line in panel (</w:t>
      </w:r>
      <w:r>
        <w:rPr>
          <w:rFonts w:ascii="Arial" w:cs="Arial" w:eastAsia="Arial" w:hAnsi="Arial"/>
          <w:sz w:val="14"/>
          <w:szCs w:val="14"/>
          <w:b w:val="1"/>
          <w:bCs w:val="1"/>
          <w:color w:val="auto"/>
        </w:rPr>
        <w:t>b)</w:t>
      </w:r>
      <w:r>
        <w:rPr>
          <w:rFonts w:ascii="Arial" w:cs="Arial" w:eastAsia="Arial" w:hAnsi="Arial"/>
          <w:sz w:val="14"/>
          <w:szCs w:val="14"/>
          <w:color w:val="auto"/>
        </w:rPr>
        <w:t xml:space="preserve"> references 50% reduction in tumor volume.</w:t>
      </w:r>
    </w:p>
    <w:p>
      <w:pPr>
        <w:spacing w:after="0" w:line="99"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also tested RMC-5552 in the U87 cell line representing a human brain cancer, glioblastoma multiforme (Figure 33). In this model the tumors were implanted directly into the brains of immunodeficient mice to more accurately mimic the human disease. RMC-5552 was tested at two different doses, both of which were given once weekly via intraperitoneal injection. Because of the technical difficulties associated with measuring the size of tumors growing within the cranium, the main outcome measure for this experiment was duration of survival. RMC-5552 was well tolerated and prolonged survival at all doses tested.</w:t>
      </w:r>
    </w:p>
    <w:p>
      <w:pPr>
        <w:spacing w:after="0" w:line="14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240" w:top="459"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Figure 33</w:t>
      </w:r>
      <w:r>
        <w:rPr>
          <w:rFonts w:ascii="Arial" w:cs="Arial" w:eastAsia="Arial" w:hAnsi="Arial"/>
          <w:sz w:val="18"/>
          <w:szCs w:val="18"/>
          <w:color w:val="auto"/>
        </w:rPr>
        <w:t>: RMC-5552 prolongs survival in a preclinical xenograft model of glioblastoma multiforme harboring PTEN</w:t>
      </w:r>
      <w:r>
        <w:rPr>
          <w:rFonts w:ascii="Arial" w:cs="Arial" w:eastAsia="Arial" w:hAnsi="Arial"/>
          <w:sz w:val="11"/>
          <w:szCs w:val="11"/>
          <w:color w:val="auto"/>
        </w:rPr>
        <w:t>LOF</w:t>
      </w:r>
      <w:r>
        <w:rPr>
          <w:rFonts w:ascii="Arial" w:cs="Arial" w:eastAsia="Arial" w:hAnsi="Arial"/>
          <w:sz w:val="18"/>
          <w:szCs w:val="18"/>
          <w:color w:val="auto"/>
        </w:rPr>
        <w:t>.</w:t>
      </w:r>
    </w:p>
    <w:p>
      <w:pPr>
        <w:spacing w:after="0" w:line="11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PTEN</w:t>
      </w:r>
      <w:r>
        <w:rPr>
          <w:rFonts w:ascii="Arial" w:cs="Arial" w:eastAsia="Arial" w:hAnsi="Arial"/>
          <w:sz w:val="11"/>
          <w:szCs w:val="11"/>
          <w:b w:val="1"/>
          <w:bCs w:val="1"/>
          <w:color w:val="auto"/>
        </w:rPr>
        <w:t>LOF</w:t>
      </w:r>
      <w:r>
        <w:rPr>
          <w:rFonts w:ascii="Arial" w:cs="Arial" w:eastAsia="Arial" w:hAnsi="Arial"/>
          <w:sz w:val="18"/>
          <w:szCs w:val="18"/>
          <w:b w:val="1"/>
          <w:bCs w:val="1"/>
          <w:color w:val="auto"/>
        </w:rPr>
        <w:t xml:space="preserve"> orthotopic glioblastoma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86360</wp:posOffset>
            </wp:positionV>
            <wp:extent cx="3919220" cy="21266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91922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00" w:right="20"/>
        <w:spacing w:after="0" w:line="200" w:lineRule="auto"/>
        <w:rPr>
          <w:sz w:val="20"/>
          <w:szCs w:val="20"/>
          <w:color w:val="auto"/>
        </w:rPr>
      </w:pPr>
      <w:r>
        <w:rPr>
          <w:rFonts w:ascii="Arial" w:cs="Arial" w:eastAsia="Arial" w:hAnsi="Arial"/>
          <w:sz w:val="14"/>
          <w:szCs w:val="14"/>
          <w:color w:val="auto"/>
        </w:rPr>
        <w:t>Anti-tumor activity of RMC-5552 (3 mg/kg and 10 mg/kg once weekly intraperitoneal administration, ip qw), in a U87MG-Luc (PTEN</w:t>
      </w:r>
      <w:r>
        <w:rPr>
          <w:rFonts w:ascii="Arial" w:cs="Arial" w:eastAsia="Arial" w:hAnsi="Arial"/>
          <w:sz w:val="22"/>
          <w:szCs w:val="22"/>
          <w:color w:val="auto"/>
          <w:vertAlign w:val="superscript"/>
        </w:rPr>
        <w:t>LOF</w:t>
      </w:r>
      <w:r>
        <w:rPr>
          <w:rFonts w:ascii="Arial" w:cs="Arial" w:eastAsia="Arial" w:hAnsi="Arial"/>
          <w:sz w:val="14"/>
          <w:szCs w:val="14"/>
          <w:color w:val="auto"/>
        </w:rPr>
        <w:t>) orthotopic glioblastoma model in mice. Data represent Kaplan–Meier curves showing percentage of animals meeting the survival endpoint in each treatment group for the duration of the study, number of animals per group = 10. RMC-5552 (3 mg/kg and 10 mg/kg (ip, qw) is statistically significantly different from control (***p&lt;0.0001, Log-rank test).</w:t>
      </w:r>
    </w:p>
    <w:p>
      <w:pPr>
        <w:spacing w:after="0" w:line="99"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As described earlier in this prospectus RAS-addicted cancer cells can develop adaptive resistance to RAS pathway inhibitors and lose sensitivity to treatment by hijacking other cell signaling circuitry to circumvent the inhibition. In some cases this may involve activation of the mTOR signaling cascade. We have observed combination benefit for an mTORC1 inhibitor with KRAS</w:t>
      </w:r>
      <w:r>
        <w:rPr>
          <w:rFonts w:ascii="Arial" w:cs="Arial" w:eastAsia="Arial" w:hAnsi="Arial"/>
          <w:sz w:val="11"/>
          <w:szCs w:val="11"/>
          <w:color w:val="auto"/>
        </w:rPr>
        <w:t>G12C</w:t>
      </w:r>
      <w:r>
        <w:rPr>
          <w:rFonts w:ascii="Arial" w:cs="Arial" w:eastAsia="Arial" w:hAnsi="Arial"/>
          <w:sz w:val="18"/>
          <w:szCs w:val="18"/>
          <w:color w:val="auto"/>
        </w:rPr>
        <w:t xml:space="preserve"> inhibitors in preclinical models of NSCLC and CRC cancers harboring KRAS</w:t>
      </w:r>
      <w:r>
        <w:rPr>
          <w:rFonts w:ascii="Arial" w:cs="Arial" w:eastAsia="Arial" w:hAnsi="Arial"/>
          <w:sz w:val="11"/>
          <w:szCs w:val="11"/>
          <w:color w:val="auto"/>
        </w:rPr>
        <w:t>G12C</w:t>
      </w:r>
      <w:r>
        <w:rPr>
          <w:rFonts w:ascii="Arial" w:cs="Arial" w:eastAsia="Arial" w:hAnsi="Arial"/>
          <w:sz w:val="18"/>
          <w:szCs w:val="18"/>
          <w:color w:val="auto"/>
        </w:rPr>
        <w:t xml:space="preserve"> mutations (Figure 34). These preclinical data support evaluation of our RAS(ON) inhibitors in combination with RMC-5552. Based on the strength of our preclinical studies, we advanced RMC-5552 into IND-enabling development in June 2019. We expect to be ready to submit an IND for RMC-5552 in 2020.</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240" w:top="459" w:right="5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0" w:right="840"/>
        <w:spacing w:after="0" w:line="264" w:lineRule="auto"/>
        <w:rPr>
          <w:sz w:val="20"/>
          <w:szCs w:val="20"/>
          <w:color w:val="auto"/>
        </w:rPr>
      </w:pPr>
      <w:r>
        <w:rPr>
          <w:rFonts w:ascii="Arial" w:cs="Arial" w:eastAsia="Arial" w:hAnsi="Arial"/>
          <w:sz w:val="18"/>
          <w:szCs w:val="18"/>
          <w:b w:val="1"/>
          <w:bCs w:val="1"/>
          <w:color w:val="auto"/>
        </w:rPr>
        <w:t>Figure 34</w:t>
      </w:r>
      <w:r>
        <w:rPr>
          <w:rFonts w:ascii="Arial" w:cs="Arial" w:eastAsia="Arial" w:hAnsi="Arial"/>
          <w:sz w:val="18"/>
          <w:szCs w:val="18"/>
          <w:color w:val="auto"/>
        </w:rPr>
        <w:t>. Combination benefit for mTORC1 inhibitor with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inhibitors in preclinical models of cancers harboring KRAS</w:t>
      </w:r>
      <w:r>
        <w:rPr>
          <w:rFonts w:ascii="Arial" w:cs="Arial" w:eastAsia="Arial" w:hAnsi="Arial"/>
          <w:sz w:val="11"/>
          <w:szCs w:val="11"/>
          <w:color w:val="auto"/>
        </w:rPr>
        <w:t>G12C</w:t>
      </w:r>
      <w:r>
        <w:rPr>
          <w:rFonts w:ascii="Arial" w:cs="Arial" w:eastAsia="Arial" w:hAnsi="Arial"/>
          <w:sz w:val="18"/>
          <w:szCs w:val="18"/>
          <w:b w:val="1"/>
          <w:bCs w:val="1"/>
          <w:color w:val="auto"/>
        </w:rPr>
        <w:t xml:space="preserve"> </w:t>
      </w:r>
      <w:r>
        <w:rPr>
          <w:rFonts w:ascii="Arial" w:cs="Arial" w:eastAsia="Arial" w:hAnsi="Arial"/>
          <w:sz w:val="18"/>
          <w:szCs w:val="18"/>
          <w:color w:val="auto"/>
        </w:rPr>
        <w:t>mutations.</w:t>
      </w:r>
    </w:p>
    <w:p>
      <w:pPr>
        <w:spacing w:after="0" w:line="71"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4700" w:type="dxa"/>
            <w:vAlign w:val="bottom"/>
          </w:tcPr>
          <w:p>
            <w:pPr>
              <w:ind w:left="2100"/>
              <w:spacing w:after="0"/>
              <w:rPr>
                <w:sz w:val="20"/>
                <w:szCs w:val="20"/>
                <w:color w:val="auto"/>
              </w:rPr>
            </w:pPr>
            <w:r>
              <w:rPr>
                <w:rFonts w:ascii="Arial" w:cs="Arial" w:eastAsia="Arial" w:hAnsi="Arial"/>
                <w:sz w:val="18"/>
                <w:szCs w:val="18"/>
                <w:b w:val="1"/>
                <w:bCs w:val="1"/>
                <w:color w:val="auto"/>
              </w:rPr>
              <w:t>NSCLC KRAS</w:t>
            </w:r>
            <w:r>
              <w:rPr>
                <w:rFonts w:ascii="Arial" w:cs="Arial" w:eastAsia="Arial" w:hAnsi="Arial"/>
                <w:sz w:val="11"/>
                <w:szCs w:val="11"/>
                <w:b w:val="1"/>
                <w:bCs w:val="1"/>
                <w:color w:val="auto"/>
              </w:rPr>
              <w:t>G12C</w:t>
            </w:r>
          </w:p>
        </w:tc>
        <w:tc>
          <w:tcPr>
            <w:tcW w:w="4340" w:type="dxa"/>
            <w:vAlign w:val="bottom"/>
          </w:tcPr>
          <w:p>
            <w:pPr>
              <w:ind w:left="3120"/>
              <w:spacing w:after="0"/>
              <w:rPr>
                <w:sz w:val="20"/>
                <w:szCs w:val="20"/>
                <w:color w:val="auto"/>
              </w:rPr>
            </w:pPr>
            <w:r>
              <w:rPr>
                <w:rFonts w:ascii="Arial" w:cs="Arial" w:eastAsia="Arial" w:hAnsi="Arial"/>
                <w:sz w:val="18"/>
                <w:szCs w:val="18"/>
                <w:b w:val="1"/>
                <w:bCs w:val="1"/>
                <w:color w:val="auto"/>
                <w:w w:val="96"/>
              </w:rPr>
              <w:t>CRC KRAS</w:t>
            </w:r>
            <w:r>
              <w:rPr>
                <w:rFonts w:ascii="Arial" w:cs="Arial" w:eastAsia="Arial" w:hAnsi="Arial"/>
                <w:sz w:val="11"/>
                <w:szCs w:val="11"/>
                <w:b w:val="1"/>
                <w:bCs w:val="1"/>
                <w:color w:val="auto"/>
                <w:w w:val="96"/>
              </w:rPr>
              <w:t>G12C</w:t>
            </w:r>
          </w:p>
        </w:tc>
      </w:tr>
      <w:tr>
        <w:trPr>
          <w:trHeight w:val="351"/>
        </w:trPr>
        <w:tc>
          <w:tcPr>
            <w:tcW w:w="4700" w:type="dxa"/>
            <w:vAlign w:val="bottom"/>
          </w:tcPr>
          <w:p>
            <w:pPr>
              <w:spacing w:after="0"/>
              <w:rPr>
                <w:sz w:val="20"/>
                <w:szCs w:val="20"/>
                <w:color w:val="auto"/>
              </w:rPr>
            </w:pPr>
            <w:r>
              <w:rPr>
                <w:rFonts w:ascii="Arial" w:cs="Arial" w:eastAsia="Arial" w:hAnsi="Arial"/>
                <w:sz w:val="18"/>
                <w:szCs w:val="18"/>
                <w:color w:val="auto"/>
              </w:rPr>
              <w:t>(a)</w:t>
            </w:r>
          </w:p>
        </w:tc>
        <w:tc>
          <w:tcPr>
            <w:tcW w:w="4340" w:type="dxa"/>
            <w:vAlign w:val="bottom"/>
          </w:tcPr>
          <w:p>
            <w:pPr>
              <w:ind w:left="1160"/>
              <w:spacing w:after="0"/>
              <w:rPr>
                <w:sz w:val="20"/>
                <w:szCs w:val="20"/>
                <w:color w:val="auto"/>
              </w:rPr>
            </w:pPr>
            <w:r>
              <w:rPr>
                <w:rFonts w:ascii="Arial" w:cs="Arial" w:eastAsia="Arial" w:hAnsi="Arial"/>
                <w:sz w:val="18"/>
                <w:szCs w:val="18"/>
                <w:color w:val="auto"/>
              </w:rPr>
              <w:t>(b)</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751205</wp:posOffset>
            </wp:positionH>
            <wp:positionV relativeFrom="paragraph">
              <wp:posOffset>69850</wp:posOffset>
            </wp:positionV>
            <wp:extent cx="5917565" cy="22726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91756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0"/>
        <w:spacing w:after="0" w:line="182" w:lineRule="auto"/>
        <w:rPr>
          <w:sz w:val="20"/>
          <w:szCs w:val="20"/>
          <w:color w:val="auto"/>
        </w:rPr>
      </w:pPr>
      <w:r>
        <w:rPr>
          <w:rFonts w:ascii="Arial" w:cs="Arial" w:eastAsia="Arial" w:hAnsi="Arial"/>
          <w:sz w:val="13"/>
          <w:szCs w:val="13"/>
          <w:color w:val="auto"/>
        </w:rPr>
        <w:t>Combination benefit between an mTORC1 inhibitor and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inhibitor was explored in NSCLC (a) and CRC (b) cancer cells harboring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mutations. (a) Anti-tumor activity of mTORC1 inhibitor (RM-006 at 10 mg/kg, intravenous, once weekly; iv qw) and KRAS</w:t>
      </w:r>
      <w:r>
        <w:rPr>
          <w:rFonts w:ascii="Arial" w:cs="Arial" w:eastAsia="Arial" w:hAnsi="Arial"/>
          <w:sz w:val="21"/>
          <w:szCs w:val="21"/>
          <w:color w:val="auto"/>
          <w:vertAlign w:val="superscript"/>
        </w:rPr>
        <w:t>G12C</w:t>
      </w:r>
      <w:r>
        <w:rPr>
          <w:rFonts w:ascii="Arial" w:cs="Arial" w:eastAsia="Arial" w:hAnsi="Arial"/>
          <w:sz w:val="13"/>
          <w:szCs w:val="13"/>
          <w:color w:val="auto"/>
        </w:rPr>
        <w:t>(OFF) inhibitor AMG-510 (5 mg/kg, oral, daily; po qd) as single agents or in combination in NSCLC CDX NCI-H358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xenograft model in mice. Data represent waterfall plot of individual end of study responses, with tumor volume expressed as a percentage of initial tumor volume at time of study start (truncated at 450%). Number of mice per group = 10. Each animal is represented as a separate bar. Numbers indicate number of regressions (defined as &gt; 10% reduction in tumor volume from starting volume) in each group.</w:t>
      </w:r>
    </w:p>
    <w:p>
      <w:pPr>
        <w:spacing w:after="0" w:line="21" w:lineRule="exact"/>
        <w:rPr>
          <w:sz w:val="20"/>
          <w:szCs w:val="20"/>
          <w:color w:val="auto"/>
        </w:rPr>
      </w:pPr>
    </w:p>
    <w:p>
      <w:pPr>
        <w:ind w:left="200" w:right="20" w:firstLine="4"/>
        <w:spacing w:after="0" w:line="182" w:lineRule="auto"/>
        <w:tabs>
          <w:tab w:leader="none" w:pos="358" w:val="left"/>
        </w:tabs>
        <w:numPr>
          <w:ilvl w:val="0"/>
          <w:numId w:val="91"/>
        </w:numPr>
        <w:rPr>
          <w:rFonts w:ascii="Arial" w:cs="Arial" w:eastAsia="Arial" w:hAnsi="Arial"/>
          <w:sz w:val="13"/>
          <w:szCs w:val="13"/>
          <w:color w:val="auto"/>
        </w:rPr>
      </w:pPr>
      <w:r>
        <w:rPr>
          <w:rFonts w:ascii="Arial" w:cs="Arial" w:eastAsia="Arial" w:hAnsi="Arial"/>
          <w:sz w:val="13"/>
          <w:szCs w:val="13"/>
          <w:color w:val="auto"/>
        </w:rPr>
        <w:t>CRC SW837 KRAS</w:t>
      </w:r>
      <w:r>
        <w:rPr>
          <w:rFonts w:ascii="Arial" w:cs="Arial" w:eastAsia="Arial" w:hAnsi="Arial"/>
          <w:sz w:val="21"/>
          <w:szCs w:val="21"/>
          <w:color w:val="auto"/>
          <w:vertAlign w:val="superscript"/>
        </w:rPr>
        <w:t>G12C</w:t>
      </w:r>
      <w:r>
        <w:rPr>
          <w:rFonts w:ascii="Arial" w:cs="Arial" w:eastAsia="Arial" w:hAnsi="Arial"/>
          <w:sz w:val="13"/>
          <w:szCs w:val="13"/>
          <w:color w:val="auto"/>
        </w:rPr>
        <w:t xml:space="preserve"> cancer cells were maintained in 2D cell culture and cell proliferation (expressed as % confluence) monitored over time using the Incucyte imaging platform. Cells were incubated in the absence (control, black) or presence of an mTORC1 inhibitor (RM-006, 10 nM) or KRAS</w:t>
      </w:r>
      <w:r>
        <w:rPr>
          <w:rFonts w:ascii="Arial" w:cs="Arial" w:eastAsia="Arial" w:hAnsi="Arial"/>
          <w:sz w:val="21"/>
          <w:szCs w:val="21"/>
          <w:color w:val="auto"/>
          <w:vertAlign w:val="superscript"/>
        </w:rPr>
        <w:t>G12C</w:t>
      </w:r>
      <w:r>
        <w:rPr>
          <w:rFonts w:ascii="Arial" w:cs="Arial" w:eastAsia="Arial" w:hAnsi="Arial"/>
          <w:sz w:val="13"/>
          <w:szCs w:val="13"/>
          <w:color w:val="auto"/>
        </w:rPr>
        <w:t>(ON) inhibitor (RM-015, 1 µM). Incubation with the mTORC1 inhibitor (red) or KRAS</w:t>
      </w:r>
      <w:r>
        <w:rPr>
          <w:rFonts w:ascii="Arial" w:cs="Arial" w:eastAsia="Arial" w:hAnsi="Arial"/>
          <w:sz w:val="21"/>
          <w:szCs w:val="21"/>
          <w:color w:val="auto"/>
          <w:vertAlign w:val="superscript"/>
        </w:rPr>
        <w:t>G12C</w:t>
      </w:r>
      <w:r>
        <w:rPr>
          <w:rFonts w:ascii="Arial" w:cs="Arial" w:eastAsia="Arial" w:hAnsi="Arial"/>
          <w:sz w:val="13"/>
          <w:szCs w:val="13"/>
          <w:color w:val="auto"/>
        </w:rPr>
        <w:t>(ON) inhibitor (blue) alone delayed the time for the cells to reach 50 % confluence. However, the simultaneous addition of the two inhibitors caused complete inhibition of cell growth and no viable cells were apparent during the time course of the experiment (~ 35 days). Data are from a single experiment, similar data have been obtained in another independent study. RM-006 is a proprietary mTORC1 inhibitor tool compound.</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Commercial plan</w:t>
      </w:r>
    </w:p>
    <w:p>
      <w:pPr>
        <w:spacing w:after="0" w:line="13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We intend to retain significant development and commercialization rights to our product candidates and, if marketing approval is obtained, to commercialize our product candidates on our own, or potentially with a partner, in the United States and other regions. Our most advanced product candidate, RMC-4630, is the subject of a global collaboration with Sanofi. Unless otherwise delegated to us by the joint commercialization committee, Sanofi has the sole right and responsibility for all aspects of the commercialization of SHP2 inhibitors in the world for any and all uses, at its expense, subject to our right to elect to co-promote SHP2 inhibitors in the United States. In the United States, we will share equally with Sanofi the profits and losses applicable to commercialization of SHP2 inhibitor products. Sanofi is responsible for manufacturing SHP2 inhibitors for commercial supply and is expected to lead commercialization efforts through a joint commercialization committee representing the partners. We currently have no sales, marketing or commercial product distribution capabilities. We intend to build the necessary infrastructure and capabilities over time for the United States, and potentially other regions, following further advancement of our product candidates. Clinical data, the size of the addressable patient population, the size of the commercial infrastructure and manufacturing needs, and the status of our pipeline, may all influence or alter our commercialization plans.</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20"/>
          </w:cols>
          <w:pgMar w:left="240" w:top="459" w:right="43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Collaboration agreement with Sanofi</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we granted Sanofi a worldwide, exclusive, sublicensable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107"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Under the Sanofi Agreement, we have primary responsibility for performing preclinical research on SHP2 inhibitors, pursuant to an initial research plan and budget directed toward the identification, validation and optimization of SHP2 inhibitors for 2018-2020. The research plan and budget beyond 2020 will be determined by a joint research and development committee, over which Sanofi has final decision-making power subject to certain exceptions. We have primary responsibility for early clinical development of RMC-4630 pursuant to an initial development plan. The joint research and development committee is responsible for preparing development plans for other SHP2 inhibitors approved by such committee for development, if any. Sanofi is responsible for 80% of all internal and external research costs and expenses incurred under the research plan for 2019 and 2020, and for all other internal and external costs and expenses incurred to perform activities under the research and development plans. We are responsible for 20% of all internal and external research costs incurred under the research plan for 2019 and 2020, in which our share of these costs is estimated to be approximately $2 million in total, representing less than three percent of the anticipated overall budget for the SHP2 program in 2019 and 2020. Sanofi is responsible for all costs under the development plan, and since our SHP2 program is in clinical development, the costs under the development plan are expected to be significantly greater than the costs under the research plan. We are responsible for the manufacture of SHP2 inhibitors for Phase 1 and non-registrational Phase 2 clinical trials at Sanofi’s cost,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 Once we have completed all clinical trials for a product candidate that are assigned to us under a development plan, all regulatory approvals for such product candidate are automatically assigned to Sanofi. Unless otherwise delegated to us by the joint commercialization committee, Sanofi also has the sole right and responsibility for all aspects of the commercialization of SHP2 inhibitors in the world for any and all uses, at its expense, subject to our right to elect to co-promote SHP2 inhibitors in the United States. Sanofi is obligated to use commercially reasonable efforts to seek marketing approval for at least one SHP2 inhibitor product candidate in certain major market countries. Sanofi agrees to provide us, and we agree to provide Sanofi, with research, development and commercialization updates through the joint committees.</w:t>
      </w:r>
    </w:p>
    <w:p>
      <w:pPr>
        <w:spacing w:after="0" w:line="106"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During the term of the Sanofi Agreement, we may not, alone or with any affiliate or third party, conduct certain research activities with respect to, or develop or commercialize, any product that contains a SHP2 inhibitor outside of the Sanofi Agreement.</w:t>
      </w:r>
    </w:p>
    <w:p>
      <w:pPr>
        <w:spacing w:after="0" w:line="101" w:lineRule="exact"/>
        <w:rPr>
          <w:sz w:val="20"/>
          <w:szCs w:val="20"/>
          <w:color w:val="auto"/>
        </w:rPr>
      </w:pPr>
    </w:p>
    <w:p>
      <w:pPr>
        <w:ind w:left="200" w:right="580"/>
        <w:spacing w:after="0" w:line="275" w:lineRule="auto"/>
        <w:rPr>
          <w:sz w:val="20"/>
          <w:szCs w:val="20"/>
          <w:color w:val="auto"/>
        </w:rPr>
      </w:pPr>
      <w:r>
        <w:rPr>
          <w:rFonts w:ascii="Arial" w:cs="Arial" w:eastAsia="Arial" w:hAnsi="Arial"/>
          <w:sz w:val="16"/>
          <w:szCs w:val="16"/>
          <w:color w:val="auto"/>
        </w:rPr>
        <w:t>Pursuant to the Sanofi Agreement, we received an upfront payment of $50 million from Sanofi in July 2018. Upon the achievement of specified development and regulatory milestones, Sanofi will be obligated to pay us up to $520 million in the aggregate, including up to $235 million upon the achievement of specified development milestones and up to $285 million upon achievement of certain marketing approval milestones. In the United States, we will share equally with Sanofi the profits and losses applicable to commercialization of</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SHP2 inhibitor products, pursuant to a profit/loss share agreement that the parties will negotiate based on key terms agreed in the Sanofi Agreement. On a product-by-product basis, Sanofi will also be required to pay us tiered royalties on annual net sales of each product outside the United States ranging from high single digit to mid-teen percentages. The royalty payments are subject to reduction under specified conditions set forth in the Sanofi Agreement. Subject to certain exceptions, the royalties are payable on a product-by-product and country-by-country basis until the latest of the expiration of all valid claims covering such product in such country contained in the patents licensed to Sanofi under the Sanofi Agreement and the expiration of regulatory exclusivity for such product in such country.</w:t>
      </w:r>
    </w:p>
    <w:p>
      <w:pPr>
        <w:spacing w:after="0" w:line="102"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Unless terminated earlier, the Sanofi Agreement will continue in effect until the later of the expiration of all of Sanofi’s milestone and royalty payment obligations and the expiration of the profit/loss share agreement. Upon expiration of the Sanofi Agreement, the licenses granted to Sanofi thereunder shall become fully paid-up, royalty-free, perpetual and irrevocable. Sanofi may terminate the Sanofi Agreement in its entirety or on a country-by-country or product-by-product basis for any reason or for significant safety concerns, upon prior notice to us within certain specified time periods. Sanofi may terminate the Sanofi Agreement in its entirety upon our change of control, with prior notice. Either party may terminate the Sanofi Agreement if an undisputed material breach by the other party is not cured within a defined period of time, or immediately upon notice for insolvency-related events of the other party. We may terminate the Sanofi Agreement after a certain number of years if Sanofi develops a competing program without commencing a registrational clinical trial for a SHP2 inhibitor product candidate, and subject to certain other conditions. We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us. If the Sanofi Agreement is terminated, in its entirety or with respect to a product, other than by us for Sanofi’s material breach or insolvency, we may be required to pay Sanofi royalties on worldwide net sales of reverted products up to mid-single digit percentages based on the development and regulatory status of such reverted products, in each case subject to reductions in accordance with the terms of the Sanofi Agreement.</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Acquisition of Warp Drive</w:t>
      </w:r>
    </w:p>
    <w:p>
      <w:pPr>
        <w:spacing w:after="0" w:line="134"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In October 2018, we entered into an Agreement and Plan of Merger pursuant to which we acquired all outstanding shares of Warp Drive. In connection with the acquisition, we issued 6,797,915 shares of our Series B preferred stock and provided $0.9 million in other consideration, for total consideration valued at $69.0 million. The Agreement and Plan of Merger contained representations, warranties and covenants by, among and for the benefit of the parties, as well as mutual indemnification obligations.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Manufacturing</w:t>
      </w:r>
    </w:p>
    <w:p>
      <w:pPr>
        <w:spacing w:after="0" w:line="13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We rely on and will continue to rely on our contract manufacturing organizations, or CMOs, for both drug substance and drug product. Currently, all of our manufacturing is outsourced to well-established third-party manufacturers. We have entered into contracts with CMOs for production of RMC-4630 and RMC-5552 drug substance and drug product for our clinical trials and IND-enabling development studies, respectively, and plan to enter into additional contracts with these or other manufacturers for additional supply.</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71" w:lineRule="auto"/>
        <w:rPr>
          <w:sz w:val="20"/>
          <w:szCs w:val="20"/>
          <w:color w:val="auto"/>
        </w:rPr>
      </w:pPr>
      <w:r>
        <w:rPr>
          <w:rFonts w:ascii="Arial" w:cs="Arial" w:eastAsia="Arial" w:hAnsi="Arial"/>
          <w:sz w:val="16"/>
          <w:szCs w:val="16"/>
          <w:color w:val="auto"/>
        </w:rPr>
        <w:t>Our outsourced approach to manufacturing relies on CMOs to first develop manufacturing processes that are compliant with current Good Manufacturing Practice, or cGMP, then produce material for preclinical and clinical studies. Our agreements with CMOs may obligate them to develop and qualify upstream and downstream processes, develop drug product process, validate (and in some cases develop) suitable analytical methods for test and release as well as stability testing, produce drug substance for preclinical testing, produce cGMP-compliant drug substance, or produce cGMP-compliant drug product. We, and Sanofi, conduct audits of CMOs prior to initiation of activities under these agreements and monitor operations to ensure compliance with the mutually agreed process descriptions and to cGMP regulations.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Competition</w:t>
      </w:r>
    </w:p>
    <w:p>
      <w:pPr>
        <w:spacing w:after="0" w:line="134" w:lineRule="exact"/>
        <w:rPr>
          <w:sz w:val="20"/>
          <w:szCs w:val="20"/>
          <w:color w:val="auto"/>
        </w:rPr>
      </w:pPr>
    </w:p>
    <w:p>
      <w:pPr>
        <w:ind w:left="200" w:right="620"/>
        <w:spacing w:after="0" w:line="275" w:lineRule="auto"/>
        <w:rPr>
          <w:sz w:val="20"/>
          <w:szCs w:val="20"/>
          <w:color w:val="auto"/>
        </w:rPr>
      </w:pPr>
      <w:r>
        <w:rPr>
          <w:rFonts w:ascii="Arial" w:cs="Arial" w:eastAsia="Arial" w:hAnsi="Arial"/>
          <w:sz w:val="16"/>
          <w:szCs w:val="16"/>
          <w:color w:val="auto"/>
        </w:rPr>
        <w:t>The biotechnology and pharmaceutical industries, and the oncology sector, are characterized by rapid evolution of technologies, fierce competition and strong defense of intellectual property rights. While we believe that our discovery programs, technology, knowledge, experience, and scientific resources provide us with competitive advantages, we face competition from major pharmaceutical and biotechnology companies, academic institutions, governmental agencies and public and private research institutions, among others.</w:t>
      </w:r>
    </w:p>
    <w:p>
      <w:pPr>
        <w:spacing w:after="0" w:line="75"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and convenience of our products and the ease of use and effectiveness of any complementary diagnostics and/or companion diagnostics.</w:t>
      </w:r>
    </w:p>
    <w:p>
      <w:pPr>
        <w:spacing w:after="0" w:line="101"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There is a large number of companies developing or marketing treatments for cancer, including many major pharmaceutical and biotechnology companies. These treatments consist of small molecule drug products, biologics, cell-based therapies and traditional chemotherapy. There are also several programs in development targeting SHP2, including those clinical programs run by Novartis AG and Jacobio Pharmaceuticals Co. Ltd. There are several RAS pathway mutations programs, including those directed at KRAS</w:t>
      </w:r>
      <w:r>
        <w:rPr>
          <w:rFonts w:ascii="Arial" w:cs="Arial" w:eastAsia="Arial" w:hAnsi="Arial"/>
          <w:sz w:val="11"/>
          <w:szCs w:val="11"/>
          <w:color w:val="auto"/>
        </w:rPr>
        <w:t>G12C</w:t>
      </w:r>
      <w:r>
        <w:rPr>
          <w:rFonts w:ascii="Arial" w:cs="Arial" w:eastAsia="Arial" w:hAnsi="Arial"/>
          <w:sz w:val="18"/>
          <w:szCs w:val="18"/>
          <w:color w:val="auto"/>
        </w:rPr>
        <w:t>(OFF) and KRAS</w:t>
      </w:r>
      <w:r>
        <w:rPr>
          <w:rFonts w:ascii="Arial" w:cs="Arial" w:eastAsia="Arial" w:hAnsi="Arial"/>
          <w:sz w:val="11"/>
          <w:szCs w:val="11"/>
          <w:color w:val="auto"/>
        </w:rPr>
        <w:t>G12D</w:t>
      </w:r>
      <w:r>
        <w:rPr>
          <w:rFonts w:ascii="Arial" w:cs="Arial" w:eastAsia="Arial" w:hAnsi="Arial"/>
          <w:sz w:val="18"/>
          <w:szCs w:val="18"/>
          <w:color w:val="auto"/>
        </w:rPr>
        <w:t>(OFF) mutations, including clinical programs directed at KRAS</w:t>
      </w:r>
      <w:r>
        <w:rPr>
          <w:rFonts w:ascii="Arial" w:cs="Arial" w:eastAsia="Arial" w:hAnsi="Arial"/>
          <w:sz w:val="11"/>
          <w:szCs w:val="11"/>
          <w:color w:val="auto"/>
        </w:rPr>
        <w:t>G12C</w:t>
      </w:r>
      <w:r>
        <w:rPr>
          <w:rFonts w:ascii="Arial" w:cs="Arial" w:eastAsia="Arial" w:hAnsi="Arial"/>
          <w:sz w:val="18"/>
          <w:szCs w:val="18"/>
          <w:color w:val="auto"/>
        </w:rPr>
        <w:t>(OFF) being conducted by, Amgen Inc., Mirati Therapeutics, Inc., Johnson &amp; Johnson, AstraZeneca plc and Eli Lilly &amp; Co. Other clinical programs directed at mutant RAS are being conducted by Merck &amp; Co./Moderna Therapeutics, Boehringer Ingelheim and Gilead Sciences, Inc. Smaller and other early stage companies may also prove to be significant competitors. In addition, academic research departments and public and private research institutions may be conducting research on compounds that could prove to be competitive.</w:t>
      </w:r>
    </w:p>
    <w:p>
      <w:pPr>
        <w:spacing w:after="0" w:line="107" w:lineRule="exact"/>
        <w:rPr>
          <w:sz w:val="20"/>
          <w:szCs w:val="20"/>
          <w:color w:val="auto"/>
        </w:rPr>
      </w:pPr>
    </w:p>
    <w:p>
      <w:pPr>
        <w:ind w:left="200" w:right="420"/>
        <w:spacing w:after="0" w:line="237" w:lineRule="auto"/>
        <w:rPr>
          <w:sz w:val="20"/>
          <w:szCs w:val="20"/>
          <w:color w:val="auto"/>
        </w:rPr>
      </w:pPr>
      <w:r>
        <w:rPr>
          <w:rFonts w:ascii="Arial" w:cs="Arial" w:eastAsia="Arial" w:hAnsi="Arial"/>
          <w:sz w:val="18"/>
          <w:szCs w:val="18"/>
          <w:color w:val="auto"/>
        </w:rPr>
        <w:t>The availability of coverage and reimbursement from government and other third-party payors will also significantly affect the pricing and competitiveness of our products. Our competitors also may obtain U.S. Food and Drug Administration, or the FDA, or other regulatory approval for their products more rapidly than we may obtain approval for ours, which could result in our competitors establishing a strong market position before we are able to enter the market.</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240" w:top="460"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Intellectual property</w:t>
      </w:r>
    </w:p>
    <w:p>
      <w:pPr>
        <w:spacing w:after="0" w:line="134" w:lineRule="exact"/>
        <w:rPr>
          <w:sz w:val="20"/>
          <w:szCs w:val="20"/>
          <w:color w:val="auto"/>
        </w:rPr>
      </w:pPr>
    </w:p>
    <w:p>
      <w:pPr>
        <w:jc w:val="both"/>
        <w:ind w:left="200" w:right="60"/>
        <w:spacing w:after="0" w:line="237" w:lineRule="auto"/>
        <w:rPr>
          <w:sz w:val="20"/>
          <w:szCs w:val="20"/>
          <w:color w:val="auto"/>
        </w:rPr>
      </w:pPr>
      <w:r>
        <w:rPr>
          <w:rFonts w:ascii="Arial" w:cs="Arial" w:eastAsia="Arial" w:hAnsi="Arial"/>
          <w:sz w:val="18"/>
          <w:szCs w:val="18"/>
          <w:color w:val="auto"/>
        </w:rPr>
        <w:t>Our success depends in part on our ability and the ability of our collaborators to obtain and maintain proprietary protection for our technology, programs, and know-how related to our business, defend and enforce our intellectual property rights, in particular, our patent rights, preserve the confidentiality of our trade secrets, and operate without infringing valid and enforceable intellectual property rights of others. We endeavor to establish, maintain and enforce intellectual property rights that protect our business interests.</w:t>
      </w:r>
    </w:p>
    <w:p>
      <w:pPr>
        <w:spacing w:after="0" w:line="101" w:lineRule="exact"/>
        <w:rPr>
          <w:sz w:val="20"/>
          <w:szCs w:val="20"/>
          <w:color w:val="auto"/>
        </w:rPr>
      </w:pPr>
    </w:p>
    <w:p>
      <w:pPr>
        <w:ind w:left="200" w:right="140"/>
        <w:spacing w:after="0" w:line="235" w:lineRule="auto"/>
        <w:rPr>
          <w:sz w:val="20"/>
          <w:szCs w:val="20"/>
          <w:color w:val="auto"/>
        </w:rPr>
      </w:pPr>
      <w:r>
        <w:rPr>
          <w:rFonts w:ascii="Arial" w:cs="Arial" w:eastAsia="Arial" w:hAnsi="Arial"/>
          <w:sz w:val="18"/>
          <w:szCs w:val="18"/>
          <w:color w:val="auto"/>
        </w:rPr>
        <w:t>The term of individual patents depends upon the legal term of patents in the countries in which they are obtained. In most countries in which we file, including the United States, the patent term is generally 20 years from the earliest date of filing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In the United States, the term of a patent may also be eligible for patent term adjustment for delays within the United States Patent and Trademark Office, or USPTO. In addition, for patents that cover an FDA-approved drug, the Drug Price Competition and Patent Term Restoration Act of 1984, or the Hatch-Waxman Act, may permit a patent term extension of up to five years beyond the expiration of the patent. While the length of such patent term extension is related to the length of time the drug is under regulatory review, patent term extension cannot extend the remaining term of a patent beyond a total of 14 years from the date of product approval, only one patent per approved drug may be extended and only those claims covering the approved drug product, a method for using it or a method for manufacturing it may be extended. Similar provisions are available in Europe and certain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issued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107" w:lineRule="exact"/>
        <w:rPr>
          <w:sz w:val="20"/>
          <w:szCs w:val="20"/>
          <w:color w:val="auto"/>
        </w:rPr>
      </w:pPr>
    </w:p>
    <w:p>
      <w:pPr>
        <w:ind w:left="200"/>
        <w:spacing w:after="0" w:line="266" w:lineRule="auto"/>
        <w:rPr>
          <w:sz w:val="20"/>
          <w:szCs w:val="20"/>
          <w:color w:val="auto"/>
        </w:rPr>
      </w:pPr>
      <w:r>
        <w:rPr>
          <w:rFonts w:ascii="Arial" w:cs="Arial" w:eastAsia="Arial" w:hAnsi="Arial"/>
          <w:sz w:val="16"/>
          <w:szCs w:val="16"/>
          <w:color w:val="auto"/>
        </w:rPr>
        <w:t>We also rely on trade secrets, know-how, and confidential information relating to our programs to develop and maintain our proprietary position, and seek to protect and maintain the confidentiality of such items to protect aspects of our business that are not amenable to, or that we do not presently consider appropriate for, patent protection. Our trade secrets include, for example, certain program specific syntheses, manufacturing schema, formulations, biomarkers, patient selection strategies, and certain aspects of our proprietary tri-complex technology platform. It is our policy to require our employees, consultants, contractors, outside scientific collaborators, sponsored researchers and other advisors to execute confidentiality agreements prior to the commencement of employment or consulting relationships with us, and for employees, contractors and consultants to enter into invention assignment agreements with us. These agreements generally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be self-executing or otherwise provide meaningful protection or adequate remedies for our trade secrets or other proprietary information, including in the event of unauthorized use or disclosure of such information. We also seek to preserve the integrity and confidentiality of our trade secrets and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For</w:t>
      </w: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more information regarding the risks related to intellectual property, please see “Risk Factors—Risks related to intellectual property.”</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program-specific patent portfolio</w:t>
      </w:r>
    </w:p>
    <w:p>
      <w:pPr>
        <w:spacing w:after="0" w:line="124" w:lineRule="exact"/>
        <w:rPr>
          <w:sz w:val="20"/>
          <w:szCs w:val="20"/>
          <w:color w:val="auto"/>
        </w:rPr>
      </w:pPr>
    </w:p>
    <w:p>
      <w:pPr>
        <w:ind w:left="200" w:right="360"/>
        <w:spacing w:after="0" w:line="238" w:lineRule="auto"/>
        <w:rPr>
          <w:sz w:val="20"/>
          <w:szCs w:val="20"/>
          <w:color w:val="auto"/>
        </w:rPr>
      </w:pPr>
      <w:r>
        <w:rPr>
          <w:rFonts w:ascii="Arial" w:cs="Arial" w:eastAsia="Arial" w:hAnsi="Arial"/>
          <w:sz w:val="18"/>
          <w:szCs w:val="18"/>
          <w:color w:val="auto"/>
        </w:rPr>
        <w:t>Our patent portfolio is directed to small molecules, platform methodologies, and related technology. We seek patent protection for product candidates, development programs, and related alternatives by filing and prosecuting patent applications in the United States and other countries, as appropriate.</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own and co-own patent applications related to our SHP2 development program. As of September 30, 2019, our patent portfolio related to this program consists of ownership or co-ownership rights to three pending U.S. non-provisional patent applications, six pending applications under the Patent Cooperation Treaty, or PCT, and approximately 57 pending patent applications in other jurisdictions, including without limitation major markets such as Brazil, Canada, China, Europe, Japan, Mexico and South Korea, within eight total patent families that include patent applications covering compositions of matter or methods of using our clinical candidate, RMC-4630, alone or in combination with certain other therapeutic agents. The single co-owned patent family is co-owned with The University of California, San Francisco, or UCSF. Any patents issuing from these patent applications would have nominal expiration dates ranging from 2037 to 2039, without accounting for any applicable patent term adjustments or extensions. All but the single UCSF co-owned family is exclusively licensed to our SHP2 collaborator, Sanofi, under the Sanofi Agreement.</w:t>
      </w:r>
    </w:p>
    <w:p>
      <w:pPr>
        <w:spacing w:after="0" w:line="10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own or exclusively license patents and patent applications related to our 4EBP1/mTORC1 development program. As of September 30, 2019, our patent portfolio related to this program consists of ownership or the exclusive license of rights to one issued U.S. patent, two pending U.S. non-provisional patent applications, three pending PCT applications and nine pending patent applications in other jurisdictions, including without limitation major markets such as Canada, China, Europe, Japan and Mexico, within four total patent families that include filings covering compositions of matter or methods of using our development candidate, RMC-5552, alone or in combination with certain other therapeutic agents. The single exclusively licensed patent family is licensed from UCSF. The issued patent has, and any patents issuing from these patent applications would have, nominal expiration dates ranging from 2035 to 2039, without accounting for any applicable patent term adjustments or extensions.</w:t>
      </w:r>
    </w:p>
    <w:p>
      <w:pPr>
        <w:spacing w:after="0" w:line="100"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We own patents and patent applications related to our RAS tri-complex inhibitors and related platform technology. As of September 30, 2019, our patent portfolio related to this program consists of ownership rights to four issued U.S. patents, four pending U.S. non-provisional patent applications, two pending PCT applications and approximately nine pending patent applications in other jurisdictions, including without limitation major markets such as Canada, Europe and Japan, within six total patent families that include filings covering compositions of matter, methods of using those compositions alone or in combination with certain other therapeutic agents, or aspects pertaining to our tri-complex approach to RAS inhibition. The issued patents have, and any patents issuing from these patent applications would have, nominal expiration dates ranging from 2031 to 2038, without accounting for any applicable patent term adjustments or extensions.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Government regulation</w:t>
      </w:r>
    </w:p>
    <w:p>
      <w:pPr>
        <w:spacing w:after="0" w:line="13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storage, recordkeeping, approval, labeling, marketing and promotion, distribution, post-approval monitoring and reporting, sampling, and import and export of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 drug regulation</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In the United States, the FDA regulates drugs under the Federal Food, Drug, and Cosmetic Act, or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420" w:right="160" w:hanging="216"/>
        <w:spacing w:after="0" w:line="239" w:lineRule="auto"/>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where all supporting safety and toxicity studies are performed in accordance with the FDA’s Good Laboratory Practice, or GLP, regulations;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manufacture of clinical drug supply in accordance with FDA’s current Good Manufacturing Practice, or cGMP, regulations, when required;</w:t>
      </w:r>
    </w:p>
    <w:p>
      <w:pPr>
        <w:spacing w:after="0" w:line="140" w:lineRule="exact"/>
        <w:rPr>
          <w:rFonts w:ascii="Arial" w:cs="Arial" w:eastAsia="Arial" w:hAnsi="Arial"/>
          <w:sz w:val="16"/>
          <w:szCs w:val="16"/>
          <w:color w:val="auto"/>
        </w:rPr>
      </w:pPr>
    </w:p>
    <w:p>
      <w:pPr>
        <w:ind w:left="420" w:right="120" w:hanging="216"/>
        <w:spacing w:after="0" w:line="239" w:lineRule="auto"/>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studies may begin and must be updated annually or when significant changes are made;</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representing each clinical site before a clinical study may be initiated;</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regulations to establish the safety and efficacy of the product candidate for each proposed indication;</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preparation of and submission to the FDA of a NDA;</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420" w:right="240" w:hanging="216"/>
        <w:spacing w:after="0" w:line="238" w:lineRule="auto"/>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facility(ies) where the product is manufactured to assess compliance with current good manufacturing practice, or cGMP, regulations, and of selected clinical investigation sites to assess compliance with GCP; and</w:t>
      </w:r>
    </w:p>
    <w:p>
      <w:pPr>
        <w:spacing w:after="0" w:line="113" w:lineRule="exact"/>
        <w:rPr>
          <w:rFonts w:ascii="Arial" w:cs="Arial" w:eastAsia="Arial" w:hAnsi="Arial"/>
          <w:sz w:val="18"/>
          <w:szCs w:val="18"/>
          <w:color w:val="auto"/>
        </w:rPr>
      </w:pPr>
    </w:p>
    <w:p>
      <w:pPr>
        <w:ind w:left="420" w:hanging="216"/>
        <w:spacing w:after="0"/>
        <w:tabs>
          <w:tab w:leader="none" w:pos="4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FDA review and approval of an NDA to permit commercial marketing of the product for its particular labeled uses in the United States.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Preclinical and clinical studies</w:t>
      </w:r>
    </w:p>
    <w:p>
      <w:pPr>
        <w:spacing w:after="0" w:line="124"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The preclinical and clinical testing and approval process can take many years and the actual time required to obtain approval, if any, may vary substantially based upon the type, complexity and novelty of the product or condition being treated.</w:t>
      </w:r>
    </w:p>
    <w:p>
      <w:pPr>
        <w:spacing w:after="0" w:line="83" w:lineRule="exact"/>
        <w:rPr>
          <w:sz w:val="20"/>
          <w:szCs w:val="20"/>
          <w:color w:val="auto"/>
        </w:rPr>
      </w:pPr>
    </w:p>
    <w:p>
      <w:pPr>
        <w:ind w:left="200"/>
        <w:spacing w:after="0" w:line="243" w:lineRule="auto"/>
        <w:rPr>
          <w:sz w:val="20"/>
          <w:szCs w:val="20"/>
          <w:color w:val="auto"/>
        </w:rPr>
      </w:pPr>
      <w:r>
        <w:rPr>
          <w:rFonts w:ascii="Arial" w:cs="Arial" w:eastAsia="Arial" w:hAnsi="Arial"/>
          <w:sz w:val="18"/>
          <w:szCs w:val="18"/>
          <w:color w:val="auto"/>
        </w:rPr>
        <w:t>Preclinical tests include laboratory (</w:t>
      </w:r>
      <w:r>
        <w:rPr>
          <w:rFonts w:ascii="Arial" w:cs="Arial" w:eastAsia="Arial" w:hAnsi="Arial"/>
          <w:sz w:val="18"/>
          <w:szCs w:val="18"/>
          <w:i w:val="1"/>
          <w:iCs w:val="1"/>
          <w:color w:val="auto"/>
        </w:rPr>
        <w:t>in vitro</w:t>
      </w:r>
      <w:r>
        <w:rPr>
          <w:rFonts w:ascii="Arial" w:cs="Arial" w:eastAsia="Arial" w:hAnsi="Arial"/>
          <w:sz w:val="18"/>
          <w:szCs w:val="18"/>
          <w:color w:val="auto"/>
        </w:rPr>
        <w:t>) evaluation of product chemistry, formulation and toxicity, as well as animal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 studies to assess the characteristics and potential safety and efficacy of the product. The conduct of preclinical tests that provide safety and toxicological information must comply with federal regulations and requirements, including GLP. The results of preclinical testing are submitted to the FDA as part of an IND along with other information, including information about product chemistry, manufacturing and</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00"/>
        <w:spacing w:after="0" w:line="239" w:lineRule="auto"/>
        <w:rPr>
          <w:sz w:val="20"/>
          <w:szCs w:val="20"/>
          <w:color w:val="auto"/>
        </w:rPr>
      </w:pPr>
      <w:r>
        <w:rPr>
          <w:rFonts w:ascii="Arial" w:cs="Arial" w:eastAsia="Arial" w:hAnsi="Arial"/>
          <w:sz w:val="18"/>
          <w:szCs w:val="18"/>
          <w:color w:val="auto"/>
        </w:rPr>
        <w:t>controls (CMC) and any available human data or literature to support use of the product in humans. Long-term preclinical tests, such as animal tests of reproductive toxicity and carcinogenicity, may continue after the IND is submitted.</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studies. In such a case, the IND may be placed on clinical hold and the IND sponsor and the FDA must resolve any outstanding concerns or questions before clinical studies can begin.</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preclinical studies suggesting a significant risk for human subjects, as well as IND annual reports on the progress of the investigations conducted under the IND.</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Clinical studies involve the administration of the investigational new drug to human subjects under the supervision of qualified investigators in accordance with GCPs, which include the requirement that all research subjects provide their informed consent for participation in each clinical study.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Additionally, approval must also be obtained from each clinical study site’s IRB before a study may be initiated at the site, and the IRB must monitor the study until completed. Sponsors of clinical trials generally must register and report ongoing clinical studies and clinical study results to public registries, including the website maintained by the U.S. National Institutes of Health, ClinicalTrials.gov.</w:t>
      </w:r>
    </w:p>
    <w:p>
      <w:pPr>
        <w:spacing w:after="0" w:line="100"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For purposes of NDA approval, human clinical trials are typically divided into three or four phases. Although the phases are usually conducted sequentially, they may overlap or be combined.</w:t>
      </w:r>
    </w:p>
    <w:p>
      <w:pPr>
        <w:spacing w:after="0" w:line="96" w:lineRule="exact"/>
        <w:rPr>
          <w:sz w:val="20"/>
          <w:szCs w:val="20"/>
          <w:color w:val="auto"/>
        </w:rPr>
      </w:pPr>
    </w:p>
    <w:p>
      <w:pPr>
        <w:ind w:left="420" w:right="200" w:hanging="216"/>
        <w:spacing w:after="0" w:line="247" w:lineRule="auto"/>
        <w:tabs>
          <w:tab w:leader="none" w:pos="42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initially introduced into healthy human subjects or into patients with the target disease or condition. These studies</w:t>
      </w:r>
      <w:r>
        <w:rPr>
          <w:rFonts w:ascii="Arial" w:cs="Arial" w:eastAsia="Arial" w:hAnsi="Arial"/>
          <w:sz w:val="18"/>
          <w:szCs w:val="18"/>
          <w:i w:val="1"/>
          <w:iCs w:val="1"/>
          <w:color w:val="auto"/>
        </w:rPr>
        <w:t xml:space="preserve"> </w:t>
      </w:r>
      <w:r>
        <w:rPr>
          <w:rFonts w:ascii="Arial" w:cs="Arial" w:eastAsia="Arial" w:hAnsi="Arial"/>
          <w:sz w:val="18"/>
          <w:szCs w:val="18"/>
          <w:color w:val="auto"/>
        </w:rPr>
        <w:t>are designed to evaluate the safety, dosage tolerance, metabolism and pharmacologic actions of the drug in humans, the side effects associated with increasing doses, and if possible, to gain early evidence on effectiveness.</w:t>
      </w:r>
    </w:p>
    <w:p>
      <w:pPr>
        <w:spacing w:after="0" w:line="90" w:lineRule="exact"/>
        <w:rPr>
          <w:rFonts w:ascii="Arial" w:cs="Arial" w:eastAsia="Arial" w:hAnsi="Arial"/>
          <w:sz w:val="18"/>
          <w:szCs w:val="18"/>
          <w:color w:val="auto"/>
        </w:rPr>
      </w:pPr>
    </w:p>
    <w:p>
      <w:pPr>
        <w:ind w:left="420" w:right="180" w:hanging="216"/>
        <w:spacing w:after="0" w:line="247" w:lineRule="auto"/>
        <w:tabs>
          <w:tab w:leader="none" w:pos="42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is administered to a limited patient population to evaluate tolerance and optimal dose, identify possible adverse side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and safety risks, and preliminarily evaluate efficacy. Multiple Phase 2 trials may be conducted to obtain additional data prior to beginning Phase 3 trials.</w:t>
      </w:r>
    </w:p>
    <w:p>
      <w:pPr>
        <w:spacing w:after="0" w:line="90" w:lineRule="exact"/>
        <w:rPr>
          <w:rFonts w:ascii="Arial" w:cs="Arial" w:eastAsia="Arial" w:hAnsi="Arial"/>
          <w:sz w:val="18"/>
          <w:szCs w:val="18"/>
          <w:color w:val="auto"/>
        </w:rPr>
      </w:pPr>
    </w:p>
    <w:p>
      <w:pPr>
        <w:ind w:left="420" w:right="200" w:hanging="216"/>
        <w:spacing w:after="0" w:line="247" w:lineRule="auto"/>
        <w:tabs>
          <w:tab w:leader="none" w:pos="42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drug is administered to an expanded patient population, generally at geographically dispersed clinical study sites to</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 enough data to statistically evaluate dosage, clinical effectiveness and safety, to establish the overall benefit-risk relationship of the investigational product and to provide an adequate basis for product approval.</w:t>
      </w:r>
    </w:p>
    <w:p>
      <w:pPr>
        <w:spacing w:after="0" w:line="90" w:lineRule="exact"/>
        <w:rPr>
          <w:rFonts w:ascii="Arial" w:cs="Arial" w:eastAsia="Arial" w:hAnsi="Arial"/>
          <w:sz w:val="18"/>
          <w:szCs w:val="18"/>
          <w:color w:val="auto"/>
        </w:rPr>
      </w:pPr>
    </w:p>
    <w:p>
      <w:pPr>
        <w:ind w:left="420" w:right="100" w:hanging="216"/>
        <w:spacing w:after="0" w:line="247" w:lineRule="auto"/>
        <w:tabs>
          <w:tab w:leader="none" w:pos="420" w:val="left"/>
        </w:tabs>
        <w:numPr>
          <w:ilvl w:val="0"/>
          <w:numId w:val="93"/>
        </w:numPr>
        <w:rPr>
          <w:rFonts w:ascii="Arial" w:cs="Arial" w:eastAsia="Arial" w:hAnsi="Arial"/>
          <w:sz w:val="18"/>
          <w:szCs w:val="18"/>
          <w:color w:val="auto"/>
        </w:rPr>
      </w:pPr>
      <w:r>
        <w:rPr>
          <w:rFonts w:ascii="Arial" w:cs="Arial" w:eastAsia="Arial" w:hAnsi="Arial"/>
          <w:sz w:val="18"/>
          <w:szCs w:val="18"/>
          <w:i w:val="1"/>
          <w:iCs w:val="1"/>
          <w:color w:val="auto"/>
        </w:rPr>
        <w:t>Phase 4</w:t>
      </w:r>
      <w:r>
        <w:rPr>
          <w:rFonts w:ascii="Arial" w:cs="Arial" w:eastAsia="Arial" w:hAnsi="Arial"/>
          <w:sz w:val="18"/>
          <w:szCs w:val="18"/>
          <w:color w:val="auto"/>
        </w:rPr>
        <w:t>. In some cases, the FDA may condition approval of an NDA for a product candidate on the sponsor’s agreement to conduct</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clinical studies after approval. In other cases, a sponsor may voluntarily conduct additional clinical studies after approval to gain more information about the drug. Such post-approval studies are typically referred to as Phase 4 clinical studies.</w:t>
      </w:r>
    </w:p>
    <w:p>
      <w:pPr>
        <w:spacing w:after="0" w:line="95"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The FDA, the IRB or the clinical study sponsor may suspend or terminate a clinical study at any time on various grounds, including a finding that the research subjects are being exposed to an unacceptable health risk. The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sponsor may also suspend or terminate a clinical study based on evolving business objectives and/or competitive climate.</w:t>
      </w:r>
    </w:p>
    <w:p>
      <w:pPr>
        <w:spacing w:after="0" w:line="86"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 xml:space="preserve">Concurrent with clinical trials, companies may complete additional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and develop additional information about the characteristics of the product candidate. Companies must also finalize a process for manufacturing the product in commercially applicable quantities in accordance with cGMP requirements. The manufacturing process must be capable of consistently producing quality batches of the product and, among other things, must use validated methods for testing the product against specifications to confirm its identity, strength, quality and purity. Additionally, appropriate packaging must be selected and tested and stability studies must be conducted to demonstrate that the product does not undergo unacceptable deterioration over its shelf life.</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Submission of an NDA to the FDA</w:t>
      </w:r>
    </w:p>
    <w:p>
      <w:pPr>
        <w:spacing w:after="0" w:line="122" w:lineRule="exact"/>
        <w:rPr>
          <w:sz w:val="20"/>
          <w:szCs w:val="20"/>
          <w:color w:val="auto"/>
        </w:rPr>
      </w:pPr>
    </w:p>
    <w:p>
      <w:pPr>
        <w:ind w:left="200" w:right="500"/>
        <w:spacing w:after="0" w:line="237"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and testing are submitted to the FDA in the form of an NDA requesting approval to market the product for one or more indications. The submission of an NDA requires payment of a substantial application user fee to the FDA, unless a waiver or exemption applies.</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An NDA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product to the satisfaction of the FDA.</w:t>
      </w:r>
    </w:p>
    <w:p>
      <w:pPr>
        <w:spacing w:after="0" w:line="102"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application for filing. In this event, the application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applicable Prescription Drug User Fee Act, or PDUFA, performance goals, the FDA endeavors to review applications subject to standard review within ten to twelve months, and to review applications subject to priority review within six to eight months, depending on whether the drug is a new molecular entity.</w:t>
      </w:r>
    </w:p>
    <w:p>
      <w:pPr>
        <w:spacing w:after="0" w:line="101" w:lineRule="exact"/>
        <w:rPr>
          <w:sz w:val="20"/>
          <w:szCs w:val="20"/>
          <w:color w:val="auto"/>
        </w:rPr>
      </w:pPr>
    </w:p>
    <w:p>
      <w:pPr>
        <w:ind w:left="200" w:right="120"/>
        <w:spacing w:after="0" w:line="299" w:lineRule="auto"/>
        <w:rPr>
          <w:sz w:val="20"/>
          <w:szCs w:val="20"/>
          <w:color w:val="auto"/>
        </w:rPr>
      </w:pPr>
      <w:r>
        <w:rPr>
          <w:rFonts w:ascii="Arial" w:cs="Arial" w:eastAsia="Arial" w:hAnsi="Arial"/>
          <w:sz w:val="16"/>
          <w:szCs w:val="16"/>
          <w:color w:val="auto"/>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55"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the FDA will typically inspect one or more clinical sites to assure that relevant study data was obtained in compliance with GCP requirements.</w:t>
      </w:r>
    </w:p>
    <w:p>
      <w:pPr>
        <w:spacing w:after="0" w:line="101"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After the FDA evaluates the NDA and conducts inspections of manufacturing facilities, it may issue an approval letter or a complete response letter. A complete response letter indicates that the review cycle of the application is complete and the application is not ready for approval. A complete response letter generally</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80"/>
          </w:cols>
          <w:pgMar w:left="240" w:top="460"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outlines the deficiencies in the submission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application, the FDA will issue an approval letter. An approval letter authorizes commercial marketing of the drug with specific prescribing information for specific indications.</w:t>
      </w:r>
    </w:p>
    <w:p>
      <w:pPr>
        <w:spacing w:after="0" w:line="103"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As a condition of NDA approval, the FDA may require a Risk Evaluation and Mitigation Strategy, or REMS, program to help ensure that the benefits of the drug outweigh its risks. If the FDA determines a REMS program is necessary during review of the application, the drug sponsor must agree to the REMS plan at the time of approval. A REMS program may be required to include various elements, such as a medication guide or patient package insert, a communication plan to educate healthcare providers of the drug’s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w:t>
      </w:r>
    </w:p>
    <w:p>
      <w:pPr>
        <w:spacing w:after="0" w:line="7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Further, product approval may require substantial post-approval testing and surveillance to monitor the drug’s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22"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one or more of which may be available for our current or future products.</w:t>
      </w:r>
    </w:p>
    <w:p>
      <w:pPr>
        <w:spacing w:after="0" w:line="101"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New drug products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an NDA is submitted, the product may be eligible for priority review. A fast track product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00"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After an NDA is submitted for a product, including a product with a fast track designation and/or breakthrough therapy designation, the NDA may be eligible for priority review. A product is eligible for priority review if it has the potential to provide a significant improvement in the treatment, diagnosis or prevention of a serious disease or condition compared to marketed products. Depending on whether a drug contains a new molecular entity, priority review designation means the FDA’s goal is to take an action on the marketing application within six to eight months of the 60-day filing date, compared with ten to twelve months under standard review.</w:t>
      </w:r>
    </w:p>
    <w:p>
      <w:pPr>
        <w:spacing w:after="0" w:line="103"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Orphan drug designation</w:t>
      </w:r>
    </w:p>
    <w:p>
      <w:pPr>
        <w:spacing w:after="0" w:line="122"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We intend to pursue orphan drug designation with respect to oncology indications, as appropriate, with the potential to obtain orphan drug exclusivity for our products, if approved.</w:t>
      </w:r>
    </w:p>
    <w:p>
      <w:pPr>
        <w:spacing w:after="0" w:line="10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01"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Orphan drug exclusivity does not prevent the FDA from approving a different drug for the same disease or condition, or the same drug for a different disease or condition. Among the other benefits of orphan drug designation are tax credits for certain research and a waiver of the application user fee.</w:t>
      </w:r>
    </w:p>
    <w:p>
      <w:pPr>
        <w:spacing w:after="0" w:line="102" w:lineRule="exact"/>
        <w:rPr>
          <w:sz w:val="20"/>
          <w:szCs w:val="20"/>
          <w:color w:val="auto"/>
        </w:rPr>
      </w:pPr>
    </w:p>
    <w:p>
      <w:pPr>
        <w:ind w:left="200" w:right="360"/>
        <w:spacing w:after="0" w:line="237"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Pediatric information and pediatric exclusivity</w:t>
      </w:r>
    </w:p>
    <w:p>
      <w:pPr>
        <w:spacing w:after="0" w:line="122"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Under the Pediatric Research Equity Act, or PREA, certain NDAs and certain supplements to an NDA must contain data to assess the safety and efficacy of the drug for the claimed indications in all relevant pediatric</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or FDASIA, amended the FDCA to require that a sponsor who is planning to submit a marketing application for a drug that includes a new active ingredient, new indication, new dosage form, new dosing regimen or new route of administration submit an initial Pediatric Study Plan, or iPSP, within 60 days of an end-of-Phase 2 meeting or, if there is no such meeting, as early as practicable before the initiation of a Phase 3 or Phase 2/3 study. The iPSP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preclinical studies, early phase clinical trials and/or other clinical development programs.</w:t>
      </w:r>
    </w:p>
    <w:p>
      <w:pPr>
        <w:spacing w:after="0" w:line="107" w:lineRule="exact"/>
        <w:rPr>
          <w:sz w:val="20"/>
          <w:szCs w:val="20"/>
          <w:color w:val="auto"/>
        </w:rPr>
      </w:pPr>
    </w:p>
    <w:p>
      <w:pPr>
        <w:ind w:left="200" w:right="60"/>
        <w:spacing w:after="0" w:line="281" w:lineRule="auto"/>
        <w:rPr>
          <w:sz w:val="20"/>
          <w:szCs w:val="20"/>
          <w:color w:val="auto"/>
        </w:rPr>
      </w:pPr>
      <w:r>
        <w:rPr>
          <w:rFonts w:ascii="Arial" w:cs="Arial" w:eastAsia="Arial" w:hAnsi="Arial"/>
          <w:sz w:val="16"/>
          <w:szCs w:val="16"/>
          <w:color w:val="auto"/>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Post-approval requirements</w:t>
      </w:r>
    </w:p>
    <w:p>
      <w:pPr>
        <w:spacing w:after="0" w:line="122" w:lineRule="exact"/>
        <w:rPr>
          <w:sz w:val="20"/>
          <w:szCs w:val="20"/>
          <w:color w:val="auto"/>
        </w:rPr>
      </w:pPr>
    </w:p>
    <w:p>
      <w:pPr>
        <w:ind w:left="200" w:right="240"/>
        <w:spacing w:after="0" w:line="236" w:lineRule="auto"/>
        <w:rPr>
          <w:sz w:val="20"/>
          <w:szCs w:val="20"/>
          <w:color w:val="auto"/>
        </w:rPr>
      </w:pPr>
      <w:r>
        <w:rPr>
          <w:rFonts w:ascii="Arial" w:cs="Arial" w:eastAsia="Arial" w:hAnsi="Arial"/>
          <w:sz w:val="18"/>
          <w:szCs w:val="18"/>
          <w:color w:val="auto"/>
        </w:rPr>
        <w:t>Once an NDA is approved, a product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00"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cGMPs.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07" w:lineRule="exact"/>
        <w:rPr>
          <w:sz w:val="20"/>
          <w:szCs w:val="20"/>
          <w:color w:val="auto"/>
        </w:rPr>
      </w:pPr>
    </w:p>
    <w:p>
      <w:pPr>
        <w:jc w:val="both"/>
        <w:ind w:left="200" w:right="500"/>
        <w:spacing w:after="0" w:line="238" w:lineRule="auto"/>
        <w:rPr>
          <w:sz w:val="20"/>
          <w:szCs w:val="20"/>
          <w:color w:val="auto"/>
        </w:rPr>
      </w:pPr>
      <w:r>
        <w:rPr>
          <w:rFonts w:ascii="Arial" w:cs="Arial" w:eastAsia="Arial" w:hAnsi="Arial"/>
          <w:sz w:val="18"/>
          <w:szCs w:val="18"/>
          <w:color w:val="auto"/>
        </w:rPr>
        <w:t>The FDA may withdraw approval of a product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114" w:lineRule="exact"/>
        <w:rPr>
          <w:sz w:val="20"/>
          <w:szCs w:val="20"/>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a product, complete withdrawal of the product from the market or product recalls;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fines, warning or untitled letters or holds on post-approval clinical studies;</w:t>
      </w:r>
    </w:p>
    <w:p>
      <w:pPr>
        <w:spacing w:after="0" w:line="117" w:lineRule="exact"/>
        <w:rPr>
          <w:rFonts w:ascii="Arial" w:cs="Arial" w:eastAsia="Arial" w:hAnsi="Arial"/>
          <w:sz w:val="18"/>
          <w:szCs w:val="18"/>
          <w:color w:val="auto"/>
        </w:rPr>
      </w:pPr>
    </w:p>
    <w:p>
      <w:pPr>
        <w:ind w:left="420" w:right="480" w:hanging="216"/>
        <w:spacing w:after="0" w:line="239" w:lineRule="auto"/>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 or</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0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2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In addition to regulations in the United States, we could become subject to a variety of foreign regulations regarding development, approval, commercial sales and distribution of our products if we seek to market our product candidates in other jurisdictions.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consumer fraud, pricing reporting, data privacy and security, and transparency laws and regulations as well as similar foreign laws in jurisdictions outside the U.S.</w:t>
      </w:r>
    </w:p>
    <w:p>
      <w:pPr>
        <w:spacing w:after="0" w:line="101"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For example, 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240" w:top="459" w:right="5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other federal healthcare programs. A person or entity does not need to have actual knowledge of this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civil False Claims Act and the civil monetary penalties statute. The federal civil and criminal false claims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 The federal Health Insurance Portability and Accountability Act of 1996, or HIPAA, created additional federal civil and criminal statutes that prohibit, among other things, knowingly and willfully executing a scheme to defraud any healthcare benefit program. Similar to the U.S. federal Anti-Kickback Statute, a person or entity does not need to have actual knowledge of the healthcare fraud statute implemented under HIPAA or specific intent to violate it in order to have committed a violation. 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and applicable manufacturers and applicable group purchasing organizations to report annually to CMS ownership and investment interests held by physicians and their immediate family members.</w:t>
      </w:r>
    </w:p>
    <w:p>
      <w:pPr>
        <w:spacing w:after="0" w:line="107"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HIPAA, thus complicating compliance efforts. Violation of any of such laws or any other governmental regulations that apply may result in penalties, including, without limitation, civil and criminal penalties, damages, fines, additional reporting obligation, the curtailment or restructuring of operations, exclusion from participation in governmental healthcare programs and individual imprisonment.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Data privacy and security laws</w:t>
      </w:r>
    </w:p>
    <w:p>
      <w:pPr>
        <w:spacing w:after="0" w:line="124"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or PHI, than HIPAA and state laws may differ from each other, which may complicate compliance efforts. Entities that are found to be in violation of HIPAA as the result of a breach of unsecured PHI, a complaint about privacy practices or an audit by the Department of Health and Human Services, or HHS, may be subject to significant civil, criminal and administrative fines and penalties and/or additional reporting and oversight obligations if required to enter into a resolution agreement and corrective action plan with HHS to settle allegations of HIPAA non-compliance. In addition, California enacted the California Consumer Privacy Act, or CCPA, which creates individual privacy rights for California consumers and increases the privacy and security obligations of entities handling certain personal data. The CCPA went into</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60"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effect on January 1, 2020, and the California Attorney General may bring enforcement actions for violations beginning July 1, 2020. The CCPA has been amended from time to time, and it remains unclear what, if any, further modifications will be made to this legislation or how it will be interpreted.</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European Union member states, the United Kingdom, Switzerland and other jurisdictions have also adopted data protection laws and regulations, which impose significant compliance obligations. In the European Economic Area, or EEA, and the United Kingdom, the collection and use of personal data, including clinical trial data, is governed by the provisions of the General Data Protection Regulation, or GDPR. The GDPR became effective on May 25, 2018, repealing its predecessor directive and increasing responsibility and liability of pharmaceutical companies in relation to the processing of personal data of EU data subjects.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including health data from clinical trials and adverse event reporting. In particular, the GDPR includes obligations and restrictions concerning the consent of the individuals to whom the personal data relates, the information provided to such individuals, the transfer of personal data out of the EEA or the United Kingdom, security breach notifications, security and confidentiality of the personal data and imposition of substantial potential fines for breaches of the data protection obligations. European data protection authorities may interpret the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and clinical support for the use of a product to each payor separately and can be a time-consuming process, with no assurance that coverage and adequate reimbursement will be applied consistently or obtained in the first instance.</w:t>
      </w:r>
    </w:p>
    <w:p>
      <w:pPr>
        <w:spacing w:after="0" w:line="10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more and more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01"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24" w:lineRule="exact"/>
        <w:rPr>
          <w:sz w:val="20"/>
          <w:szCs w:val="20"/>
          <w:color w:val="auto"/>
        </w:rPr>
      </w:pPr>
    </w:p>
    <w:p>
      <w:pPr>
        <w:ind w:left="200" w:right="60"/>
        <w:spacing w:after="0" w:line="268" w:lineRule="auto"/>
        <w:rPr>
          <w:sz w:val="20"/>
          <w:szCs w:val="20"/>
          <w:color w:val="auto"/>
        </w:rPr>
      </w:pPr>
      <w:r>
        <w:rPr>
          <w:rFonts w:ascii="Arial" w:cs="Arial" w:eastAsia="Arial" w:hAnsi="Arial"/>
          <w:sz w:val="16"/>
          <w:szCs w:val="16"/>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or collectively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expanded eligibility criteria for Medicaid programs; created a new Patient-Centered Outcomes Research Institute to oversee, identify priorities in, and conduct comparative clinical effectiveness research, along with funding for such research; and established a Center for Medicare Innovation at CMS to test innovative payment and service delivery models to lower Medicare and Medicaid spending, potentially including prescription drug spending.</w:t>
      </w:r>
    </w:p>
    <w:p>
      <w:pPr>
        <w:spacing w:after="0" w:line="282"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 in 2017, Congress enacted the Tax Cuts and Jobs Act, which eliminated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or the Texas District Court Judge, ruled that the individual mandate is a critical and inseverable feature of the ACA, and therefore, because it was repealed as part of the Tax Cuts and Jobs Act, the remaining provisions of the ACA are invalid as well. While the Texas U.S. District Court Judge, as well as the Trump Administration and CMS, have stated that the ruling will have no immediate effect, and on December 30, 2018 the Texas District Court Judge issued an order staying the judgment pending appeal, it is unclear how this decision, subsequent appeals, and other efforts to repeal and replace the ACA will impact the ACA.</w:t>
      </w:r>
    </w:p>
    <w:p>
      <w:pPr>
        <w:spacing w:after="0" w:line="10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Other legislative changes have been proposed and adopted since the ACA was enacted, including aggregate reductions of Medicare payments to providers of 2% per fiscal year and reduced payments to several types of Medicare providers, which will remain in effect through 2027 absent additional congressional action.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Individual states in the United States have also become increasingly active in implementing regulations designed to control pharmaceutical product pricing, including price or patient reimbursement constraints, discounts, restrictions on certain product access and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60" w:right="4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Employees</w:t>
      </w:r>
    </w:p>
    <w:p>
      <w:pPr>
        <w:spacing w:after="0" w:line="134"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As of September 30, 2019, we had 90 full-time employees. 50 of our employees have M.D. or Ph.D. degrees. Within our workforce, 74 employees are engaged in research and development and 16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Facilities</w:t>
      </w:r>
    </w:p>
    <w:p>
      <w:pPr>
        <w:spacing w:after="0" w:line="134" w:lineRule="exact"/>
        <w:rPr>
          <w:sz w:val="20"/>
          <w:szCs w:val="20"/>
          <w:color w:val="auto"/>
        </w:rPr>
      </w:pPr>
    </w:p>
    <w:p>
      <w:pPr>
        <w:jc w:val="both"/>
        <w:ind w:left="200" w:right="260"/>
        <w:spacing w:after="0" w:line="238" w:lineRule="auto"/>
        <w:rPr>
          <w:sz w:val="20"/>
          <w:szCs w:val="20"/>
          <w:color w:val="auto"/>
        </w:rPr>
      </w:pPr>
      <w:r>
        <w:rPr>
          <w:rFonts w:ascii="Arial" w:cs="Arial" w:eastAsia="Arial" w:hAnsi="Arial"/>
          <w:sz w:val="18"/>
          <w:szCs w:val="18"/>
          <w:color w:val="auto"/>
        </w:rPr>
        <w:t>Our corporate headquarters is located in Redwood City, California, where we lease and occupy approximately 42,000 square feet of office and laboratory space. The current term of our Redwood City lease expires in April 2023, with an option to extend the term through January 2028.</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sublease approximately 3,000 square feet of additional laboratory space in Redwood City, California from OncoMed Pharmaceuticals, Inc.</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 a month-to-month basis.</w:t>
      </w:r>
    </w:p>
    <w:p>
      <w:pPr>
        <w:spacing w:after="0" w:line="104" w:lineRule="exact"/>
        <w:rPr>
          <w:sz w:val="20"/>
          <w:szCs w:val="20"/>
          <w:color w:val="auto"/>
        </w:rPr>
      </w:pPr>
    </w:p>
    <w:p>
      <w:pPr>
        <w:ind w:left="200" w:right="140"/>
        <w:spacing w:after="0" w:line="281" w:lineRule="auto"/>
        <w:rPr>
          <w:sz w:val="20"/>
          <w:szCs w:val="20"/>
          <w:color w:val="auto"/>
        </w:rPr>
      </w:pPr>
      <w:r>
        <w:rPr>
          <w:rFonts w:ascii="Arial" w:cs="Arial" w:eastAsia="Arial" w:hAnsi="Arial"/>
          <w:sz w:val="16"/>
          <w:szCs w:val="16"/>
          <w:color w:val="auto"/>
        </w:rPr>
        <w:t>We also lease approximately 22,000 square feet of office and laboratory space in Cambridge, Massachusetts. The current term of our Cambridge lease expires in February 2023, with an option to extend the term through February 2028, subject to certain conditions. We have subleased this office and laboratory space to Casma Therapeutics, Inc. The current term of this sublease expires in February 2023.</w:t>
      </w:r>
    </w:p>
    <w:p>
      <w:pPr>
        <w:spacing w:after="0" w:line="70" w:lineRule="exact"/>
        <w:rPr>
          <w:sz w:val="20"/>
          <w:szCs w:val="20"/>
          <w:color w:val="auto"/>
        </w:rPr>
      </w:pPr>
    </w:p>
    <w:p>
      <w:pPr>
        <w:jc w:val="both"/>
        <w:ind w:left="200" w:right="400"/>
        <w:spacing w:after="0" w:line="238" w:lineRule="auto"/>
        <w:rPr>
          <w:sz w:val="20"/>
          <w:szCs w:val="20"/>
          <w:color w:val="auto"/>
        </w:rPr>
      </w:pPr>
      <w:r>
        <w:rPr>
          <w:rFonts w:ascii="Arial" w:cs="Arial" w:eastAsia="Arial" w:hAnsi="Arial"/>
          <w:sz w:val="18"/>
          <w:szCs w:val="18"/>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Legal proceedings</w:t>
      </w:r>
    </w:p>
    <w:p>
      <w:pPr>
        <w:spacing w:after="0" w:line="134"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00"/>
          </w:cols>
          <w:pgMar w:left="240" w:top="460"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Management</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officers and directors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regarding our executive officers and directors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Age</w:t>
            </w:r>
          </w:p>
        </w:tc>
        <w:tc>
          <w:tcPr>
            <w:tcW w:w="6180" w:type="dxa"/>
            <w:vAlign w:val="bottom"/>
          </w:tcPr>
          <w:p>
            <w:pPr>
              <w:ind w:left="120"/>
              <w:spacing w:after="0"/>
              <w:rPr>
                <w:sz w:val="20"/>
                <w:szCs w:val="20"/>
                <w:color w:val="auto"/>
              </w:rPr>
            </w:pPr>
            <w:r>
              <w:rPr>
                <w:rFonts w:ascii="Arial" w:cs="Arial" w:eastAsia="Arial" w:hAnsi="Arial"/>
                <w:sz w:val="18"/>
                <w:szCs w:val="18"/>
                <w:b w:val="1"/>
                <w:bCs w:val="1"/>
                <w:color w:val="auto"/>
              </w:rPr>
              <w:t>Position(s)</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92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618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Executive Officers and Employee Director</w:t>
            </w:r>
          </w:p>
        </w:tc>
        <w:tc>
          <w:tcPr>
            <w:tcW w:w="92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940" w:type="dxa"/>
            <w:vAlign w:val="bottom"/>
            <w:gridSpan w:val="2"/>
          </w:tcPr>
          <w:p>
            <w:pPr>
              <w:spacing w:after="0"/>
              <w:rPr>
                <w:sz w:val="20"/>
                <w:szCs w:val="20"/>
                <w:color w:val="auto"/>
              </w:rPr>
            </w:pPr>
            <w:r>
              <w:rPr>
                <w:rFonts w:ascii="Arial" w:cs="Arial" w:eastAsia="Arial" w:hAnsi="Arial"/>
                <w:sz w:val="18"/>
                <w:szCs w:val="18"/>
                <w:color w:val="auto"/>
              </w:rPr>
              <w:t>Mark A. Goldsmith, M.D., Ph.D.</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618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43"/>
        </w:trPr>
        <w:tc>
          <w:tcPr>
            <w:tcW w:w="39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 Kelsey, M.D., FRCP, FRCPath</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58</w:t>
            </w:r>
          </w:p>
        </w:tc>
        <w:tc>
          <w:tcPr>
            <w:tcW w:w="6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President, Research and Development</w:t>
            </w:r>
          </w:p>
        </w:tc>
        <w:tc>
          <w:tcPr>
            <w:tcW w:w="0" w:type="dxa"/>
            <w:vAlign w:val="bottom"/>
          </w:tcPr>
          <w:p>
            <w:pPr>
              <w:spacing w:after="0"/>
              <w:rPr>
                <w:sz w:val="1"/>
                <w:szCs w:val="1"/>
                <w:color w:val="auto"/>
              </w:rPr>
            </w:pPr>
          </w:p>
        </w:tc>
      </w:tr>
      <w:tr>
        <w:trPr>
          <w:trHeight w:val="268"/>
        </w:trPr>
        <w:tc>
          <w:tcPr>
            <w:tcW w:w="3940" w:type="dxa"/>
            <w:vAlign w:val="bottom"/>
            <w:gridSpan w:val="2"/>
          </w:tcPr>
          <w:p>
            <w:pPr>
              <w:spacing w:after="0"/>
              <w:rPr>
                <w:sz w:val="20"/>
                <w:szCs w:val="20"/>
                <w:color w:val="auto"/>
              </w:rPr>
            </w:pPr>
            <w:r>
              <w:rPr>
                <w:rFonts w:ascii="Arial" w:cs="Arial" w:eastAsia="Arial" w:hAnsi="Arial"/>
                <w:sz w:val="18"/>
                <w:szCs w:val="18"/>
                <w:color w:val="auto"/>
              </w:rPr>
              <w:t>Margaret Horn, J.D.</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6180" w:type="dxa"/>
            <w:vAlign w:val="bottom"/>
          </w:tcPr>
          <w:p>
            <w:pPr>
              <w:ind w:left="120"/>
              <w:spacing w:after="0"/>
              <w:rPr>
                <w:sz w:val="20"/>
                <w:szCs w:val="20"/>
                <w:color w:val="auto"/>
              </w:rPr>
            </w:pPr>
            <w:r>
              <w:rPr>
                <w:rFonts w:ascii="Arial" w:cs="Arial" w:eastAsia="Arial" w:hAnsi="Arial"/>
                <w:sz w:val="18"/>
                <w:szCs w:val="18"/>
                <w:color w:val="auto"/>
              </w:rPr>
              <w:t>Chief Operating Officer and General Counsel</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Key Employees</w:t>
            </w:r>
          </w:p>
        </w:tc>
        <w:tc>
          <w:tcPr>
            <w:tcW w:w="92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940" w:type="dxa"/>
            <w:vAlign w:val="bottom"/>
            <w:gridSpan w:val="2"/>
          </w:tcPr>
          <w:p>
            <w:pPr>
              <w:spacing w:after="0"/>
              <w:rPr>
                <w:sz w:val="20"/>
                <w:szCs w:val="20"/>
                <w:color w:val="auto"/>
              </w:rPr>
            </w:pPr>
            <w:r>
              <w:rPr>
                <w:rFonts w:ascii="Arial" w:cs="Arial" w:eastAsia="Arial" w:hAnsi="Arial"/>
                <w:sz w:val="18"/>
                <w:szCs w:val="18"/>
                <w:color w:val="auto"/>
              </w:rPr>
              <w:t>Jack Anders</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43</w:t>
            </w:r>
          </w:p>
        </w:tc>
        <w:tc>
          <w:tcPr>
            <w:tcW w:w="6180" w:type="dxa"/>
            <w:vAlign w:val="bottom"/>
          </w:tcPr>
          <w:p>
            <w:pPr>
              <w:ind w:left="120"/>
              <w:spacing w:after="0"/>
              <w:rPr>
                <w:sz w:val="20"/>
                <w:szCs w:val="20"/>
                <w:color w:val="auto"/>
              </w:rPr>
            </w:pPr>
            <w:r>
              <w:rPr>
                <w:rFonts w:ascii="Arial" w:cs="Arial" w:eastAsia="Arial" w:hAnsi="Arial"/>
                <w:sz w:val="18"/>
                <w:szCs w:val="18"/>
                <w:color w:val="auto"/>
              </w:rPr>
              <w:t>Vice President, Finance and Principal Accounting Officer</w:t>
            </w:r>
          </w:p>
        </w:tc>
        <w:tc>
          <w:tcPr>
            <w:tcW w:w="0" w:type="dxa"/>
            <w:vAlign w:val="bottom"/>
          </w:tcPr>
          <w:p>
            <w:pPr>
              <w:spacing w:after="0"/>
              <w:rPr>
                <w:sz w:val="1"/>
                <w:szCs w:val="1"/>
                <w:color w:val="auto"/>
              </w:rPr>
            </w:pPr>
          </w:p>
        </w:tc>
      </w:tr>
      <w:tr>
        <w:trPr>
          <w:trHeight w:val="97"/>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9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Non-Employee Directors</w:t>
            </w:r>
          </w:p>
        </w:tc>
        <w:tc>
          <w:tcPr>
            <w:tcW w:w="920" w:type="dxa"/>
            <w:vAlign w:val="bottom"/>
            <w:shd w:val="clear" w:color="auto" w:fill="CCEEFF"/>
          </w:tcPr>
          <w:p>
            <w:pPr>
              <w:spacing w:after="0"/>
              <w:rPr>
                <w:sz w:val="17"/>
                <w:szCs w:val="17"/>
                <w:color w:val="auto"/>
              </w:rPr>
            </w:pPr>
          </w:p>
        </w:tc>
        <w:tc>
          <w:tcPr>
            <w:tcW w:w="6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8"/>
        </w:trPr>
        <w:tc>
          <w:tcPr>
            <w:tcW w:w="3940" w:type="dxa"/>
            <w:vAlign w:val="bottom"/>
            <w:gridSpan w:val="2"/>
          </w:tcPr>
          <w:p>
            <w:pPr>
              <w:spacing w:after="0"/>
              <w:rPr>
                <w:sz w:val="20"/>
                <w:szCs w:val="20"/>
                <w:color w:val="auto"/>
              </w:rPr>
            </w:pPr>
            <w:r>
              <w:rPr>
                <w:rFonts w:ascii="Arial" w:cs="Arial" w:eastAsia="Arial" w:hAnsi="Arial"/>
                <w:sz w:val="18"/>
                <w:szCs w:val="18"/>
                <w:color w:val="auto"/>
              </w:rPr>
              <w:t>Elizabeth McKee Anderson(2)</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62</w:t>
            </w:r>
          </w:p>
        </w:tc>
        <w:tc>
          <w:tcPr>
            <w:tcW w:w="61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
        </w:trPr>
        <w:tc>
          <w:tcPr>
            <w:tcW w:w="39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Alexis Borisy(2)(3)</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47</w:t>
            </w:r>
          </w:p>
        </w:tc>
        <w:tc>
          <w:tcPr>
            <w:tcW w:w="6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8"/>
        </w:trPr>
        <w:tc>
          <w:tcPr>
            <w:tcW w:w="3940" w:type="dxa"/>
            <w:vAlign w:val="bottom"/>
            <w:gridSpan w:val="2"/>
          </w:tcPr>
          <w:p>
            <w:pPr>
              <w:spacing w:after="0"/>
              <w:rPr>
                <w:sz w:val="20"/>
                <w:szCs w:val="20"/>
                <w:color w:val="auto"/>
              </w:rPr>
            </w:pPr>
            <w:r>
              <w:rPr>
                <w:rFonts w:ascii="Arial" w:cs="Arial" w:eastAsia="Arial" w:hAnsi="Arial"/>
                <w:sz w:val="18"/>
                <w:szCs w:val="18"/>
                <w:color w:val="auto"/>
              </w:rPr>
              <w:t>Neil Exter(1)</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61</w:t>
            </w:r>
          </w:p>
        </w:tc>
        <w:tc>
          <w:tcPr>
            <w:tcW w:w="61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
        </w:trPr>
        <w:tc>
          <w:tcPr>
            <w:tcW w:w="39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Larry Lasky, Ph.D.(3)</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68</w:t>
            </w:r>
          </w:p>
        </w:tc>
        <w:tc>
          <w:tcPr>
            <w:tcW w:w="6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8"/>
        </w:trPr>
        <w:tc>
          <w:tcPr>
            <w:tcW w:w="3940" w:type="dxa"/>
            <w:vAlign w:val="bottom"/>
            <w:gridSpan w:val="2"/>
          </w:tcPr>
          <w:p>
            <w:pPr>
              <w:spacing w:after="0"/>
              <w:rPr>
                <w:sz w:val="20"/>
                <w:szCs w:val="20"/>
                <w:color w:val="auto"/>
              </w:rPr>
            </w:pPr>
            <w:r>
              <w:rPr>
                <w:rFonts w:ascii="Arial" w:cs="Arial" w:eastAsia="Arial" w:hAnsi="Arial"/>
                <w:sz w:val="18"/>
                <w:szCs w:val="18"/>
                <w:color w:val="auto"/>
              </w:rPr>
              <w:t>Vincent A. Miller, M.D.(2)(3)</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57</w:t>
            </w:r>
          </w:p>
        </w:tc>
        <w:tc>
          <w:tcPr>
            <w:tcW w:w="61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43"/>
        </w:trPr>
        <w:tc>
          <w:tcPr>
            <w:tcW w:w="39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6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Thilo Schroeder, Ph.D.(1)</w:t>
            </w:r>
          </w:p>
        </w:tc>
        <w:tc>
          <w:tcPr>
            <w:tcW w:w="9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38</w:t>
            </w:r>
          </w:p>
        </w:tc>
        <w:tc>
          <w:tcPr>
            <w:tcW w:w="618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69"/>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Barbara Weber, M.D.(1)</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63</w:t>
            </w:r>
          </w:p>
        </w:tc>
        <w:tc>
          <w:tcPr>
            <w:tcW w:w="61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20" w:hanging="316"/>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officers and employee director</w:t>
      </w:r>
    </w:p>
    <w:p>
      <w:pPr>
        <w:spacing w:after="0" w:line="114" w:lineRule="exact"/>
        <w:rPr>
          <w:sz w:val="20"/>
          <w:szCs w:val="20"/>
          <w:color w:val="auto"/>
        </w:rPr>
      </w:pPr>
    </w:p>
    <w:p>
      <w:pPr>
        <w:ind w:left="200" w:right="40"/>
        <w:spacing w:after="0" w:line="266" w:lineRule="auto"/>
        <w:rPr>
          <w:sz w:val="20"/>
          <w:szCs w:val="20"/>
          <w:color w:val="auto"/>
        </w:rPr>
      </w:pPr>
      <w:r>
        <w:rPr>
          <w:rFonts w:ascii="Arial" w:cs="Arial" w:eastAsia="Arial" w:hAnsi="Arial"/>
          <w:sz w:val="16"/>
          <w:szCs w:val="16"/>
          <w:b w:val="1"/>
          <w:bCs w:val="1"/>
          <w:i w:val="1"/>
          <w:iCs w:val="1"/>
          <w:color w:val="auto"/>
        </w:rPr>
        <w:t xml:space="preserve">Mark A. Goldsmith, M.D., Ph.D. </w:t>
      </w:r>
      <w:r>
        <w:rPr>
          <w:rFonts w:ascii="Arial" w:cs="Arial" w:eastAsia="Arial" w:hAnsi="Arial"/>
          <w:sz w:val="16"/>
          <w:szCs w:val="16"/>
          <w:color w:val="auto"/>
        </w:rPr>
        <w:t>has served as a member of our board of directors and as our President and Chief Executive Officer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November 2014. Since 2009, Dr. Goldsmith has served as a member of the board of directors of Constellation Pharmaceuticals, Inc., a biopharmaceutical company, where he also served as President and Chief Executive Officer from 2009 to 2012, as Chairman from 2012 to June 2016 and from March 2017 to present, and as Interim Executive Chairman from June 2016 to March 2017. Dr. Goldsmith was previously a Partner with Third Rock Ventures, a life sciences venture capital firm, from 2013 to 2015, and a Venture Partner with Third Rock from 2012 to 2013. Dr. Goldsmith served as President and Chief Executive Officer and as a member of the board of directors of Global Blood Therapeutics, a biopharmaceutical company, from 2012 to 2014. Dr. Goldsmith also served as President and Chief Executive Officer of Nurix, Inc., a drug discovery company, from 2012 to 2014. Before entering the private sector, Dr. Goldsmith led a medical research laboratory at the Gladstone Institute of Virology and Immunology, practiced medicine on the faculty of the School of Medicine of the University of California, San Francisco and the San Francisco General Hospital, and was a consultant to leading pharmaceutical and biotechnology companies.</w:t>
      </w:r>
    </w:p>
    <w:p>
      <w:pPr>
        <w:spacing w:after="0" w:line="7"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Dr. Goldsmith received an A.B. from Princeton University in Biology and an M.D. and Ph.D. in Microbiology and Immunology from the School of Medicine of the University of California, San Francisco. We believe that Dr. Goldsmith’s role as our President and Chief Executive Officer together with his extensive experience as an executive and director of several</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240" w:top="460" w:right="41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companies in the biopharmaceutical and biotechnology industry, his extensive knowledge of our company, his experience as a venture capital investor in the life sciences industry and his educational background provide him with the qualifications and skills necessary to serve as a member of our board of directors.</w:t>
      </w:r>
    </w:p>
    <w:p>
      <w:pPr>
        <w:spacing w:after="0" w:line="80" w:lineRule="exact"/>
        <w:rPr>
          <w:sz w:val="20"/>
          <w:szCs w:val="20"/>
          <w:color w:val="auto"/>
        </w:rPr>
      </w:pPr>
    </w:p>
    <w:p>
      <w:pPr>
        <w:ind w:left="200" w:right="340"/>
        <w:spacing w:after="0"/>
        <w:rPr>
          <w:sz w:val="20"/>
          <w:szCs w:val="20"/>
          <w:color w:val="auto"/>
        </w:rPr>
      </w:pPr>
      <w:r>
        <w:rPr>
          <w:rFonts w:ascii="Arial" w:cs="Arial" w:eastAsia="Arial" w:hAnsi="Arial"/>
          <w:sz w:val="18"/>
          <w:szCs w:val="18"/>
          <w:b w:val="1"/>
          <w:bCs w:val="1"/>
          <w:i w:val="1"/>
          <w:iCs w:val="1"/>
          <w:color w:val="auto"/>
        </w:rPr>
        <w:t xml:space="preserve">Steve Kelsey, M.D., FRCP, FRCPath </w:t>
      </w:r>
      <w:r>
        <w:rPr>
          <w:rFonts w:ascii="Arial" w:cs="Arial" w:eastAsia="Arial" w:hAnsi="Arial"/>
          <w:sz w:val="18"/>
          <w:szCs w:val="18"/>
          <w:color w:val="auto"/>
        </w:rPr>
        <w:t>has served as our President, Research and Development since March 2017. Previously, Dr. Kelsey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President of Onkaido Therapeutics, a Moderna venture biopharmaceutical company, from 2014 to March 2017. Dr. Kelsey also served as Senior Vice President, New Projects at Medivation, a biopharmaceutical company, from 2013 to 2014. From 2009 to 2013, Dr. Kelsey served as Executive Vice President, Research and Development, and Chief Medical Officer at Geron Corporation, a biopharmaceutical company. Dr. Kelsey received a B.S.c in Pharmacology, an M.B. Ch.B. in Medicine and an M.D. from the University of Birmingham, U.K.</w:t>
      </w:r>
    </w:p>
    <w:p>
      <w:pPr>
        <w:spacing w:after="0" w:line="82" w:lineRule="exact"/>
        <w:rPr>
          <w:sz w:val="20"/>
          <w:szCs w:val="20"/>
          <w:color w:val="auto"/>
        </w:rPr>
      </w:pPr>
    </w:p>
    <w:p>
      <w:pPr>
        <w:ind w:left="200" w:right="80"/>
        <w:spacing w:after="0" w:line="244" w:lineRule="auto"/>
        <w:rPr>
          <w:sz w:val="20"/>
          <w:szCs w:val="20"/>
          <w:color w:val="auto"/>
        </w:rPr>
      </w:pPr>
      <w:r>
        <w:rPr>
          <w:rFonts w:ascii="Arial" w:cs="Arial" w:eastAsia="Arial" w:hAnsi="Arial"/>
          <w:sz w:val="18"/>
          <w:szCs w:val="18"/>
          <w:b w:val="1"/>
          <w:bCs w:val="1"/>
          <w:i w:val="1"/>
          <w:iCs w:val="1"/>
          <w:color w:val="auto"/>
        </w:rPr>
        <w:t xml:space="preserve">Margaret Horn, J.D. </w:t>
      </w:r>
      <w:r>
        <w:rPr>
          <w:rFonts w:ascii="Arial" w:cs="Arial" w:eastAsia="Arial" w:hAnsi="Arial"/>
          <w:sz w:val="18"/>
          <w:szCs w:val="18"/>
          <w:color w:val="auto"/>
        </w:rPr>
        <w:t>has served as our Chief Operating Officer since October 2018 and our General Counsel since December 2014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previously served as our Executive Vice President from December 2014 to October 2018. Prior to joining us, Ms. Horn served as Chief Operating Officer at ProLynx LLC from 2010 to December 2014. Ms. Horn received a B.S. in Pharmacy from the University of the Sciences in Philadelphia and a J.D. from Villanova University Charles Widger School of Law.</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Key employees</w:t>
      </w:r>
    </w:p>
    <w:p>
      <w:pPr>
        <w:spacing w:after="0" w:line="114" w:lineRule="exact"/>
        <w:rPr>
          <w:sz w:val="20"/>
          <w:szCs w:val="20"/>
          <w:color w:val="auto"/>
        </w:rPr>
      </w:pPr>
    </w:p>
    <w:p>
      <w:pPr>
        <w:ind w:left="200" w:right="180"/>
        <w:spacing w:after="0" w:line="294" w:lineRule="auto"/>
        <w:rPr>
          <w:sz w:val="20"/>
          <w:szCs w:val="20"/>
          <w:color w:val="auto"/>
        </w:rPr>
      </w:pPr>
      <w:r>
        <w:rPr>
          <w:rFonts w:ascii="Arial" w:cs="Arial" w:eastAsia="Arial" w:hAnsi="Arial"/>
          <w:sz w:val="16"/>
          <w:szCs w:val="16"/>
          <w:b w:val="1"/>
          <w:bCs w:val="1"/>
          <w:i w:val="1"/>
          <w:iCs w:val="1"/>
          <w:color w:val="auto"/>
        </w:rPr>
        <w:t xml:space="preserve">Jack Anders </w:t>
      </w:r>
      <w:r>
        <w:rPr>
          <w:rFonts w:ascii="Arial" w:cs="Arial" w:eastAsia="Arial" w:hAnsi="Arial"/>
          <w:sz w:val="16"/>
          <w:szCs w:val="16"/>
          <w:color w:val="auto"/>
        </w:rPr>
        <w:t>has served as our Vice President, Finance since August 2018. Prior to joining us, Mr. Anders served in various roles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Depomed, Inc. from 2006 to July 2018, including most recently as Vice President, Finance from 2013 to 2018. Mr. Anders received a B.A. in Economics with an emphasis in Accounting from the University of California, Los Angeles and is a former certified public accountant.</w:t>
      </w:r>
    </w:p>
    <w:p>
      <w:pPr>
        <w:spacing w:after="0" w:line="13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Non-employee directors</w:t>
      </w:r>
    </w:p>
    <w:p>
      <w:pPr>
        <w:spacing w:after="0" w:line="114"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b w:val="1"/>
          <w:bCs w:val="1"/>
          <w:i w:val="1"/>
          <w:iCs w:val="1"/>
          <w:color w:val="auto"/>
        </w:rPr>
        <w:t xml:space="preserve">Elizabeth McKee Anderson </w:t>
      </w:r>
      <w:r>
        <w:rPr>
          <w:rFonts w:ascii="Arial" w:cs="Arial" w:eastAsia="Arial" w:hAnsi="Arial"/>
          <w:sz w:val="16"/>
          <w:szCs w:val="16"/>
          <w:color w:val="auto"/>
        </w:rPr>
        <w:t>has served as member of our board of directors since March 2015. Ms. Anderson has served as a member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of directors of BioMarin Pharmaceutical, a biotechnology company, since July 2019. Since November 2018, Ms. Anderson has served as a member of the board of directors of Insmed Incorporated, a biopharmaceutical company. Ms. Anderson has also served as a member of the board of directors of Huntsworth PLC, a healthcare communications group, since January 2018 and Bavarian Nordic A/S, a biotechnology company, since April 2017. Ms. Anderson previously served in various roles at Janssen Pharmaceuticals, Inc., a Johnson &amp; Johnson company focusing on pharmaceuticals, from 2003 to 2014, most recently as Worldwide Vice President, Commercial Leader, Infectious Diseases and Vaccines, from 2012 to 2014 and Worldwide Vice President, Global Strategic Marketing and Market Access, Vaccines from 2009 to 2012. Prior to that, Ms. Anderson served as Vice President and General Manager for Wyeth Lederle Vaccines, a pharmaceutical company. Ms. Anderson received a B.Eng. in Engineering and Technical Management from Rutgers, The State University of New Jersey-New Brunswick and an M.B.A. in Finance from Loyola University of Maryland. We believe that Ms. Anderson’s extensive experience in biotechnology and pharmaceutical companies and in serving on the boards of directors of biopharmaceutical and life sciences companies provides her with the qualifications and skills necessary to serve as a member of our board of directors.</w:t>
      </w:r>
    </w:p>
    <w:p>
      <w:pPr>
        <w:spacing w:after="0" w:line="262" w:lineRule="exact"/>
        <w:rPr>
          <w:sz w:val="20"/>
          <w:szCs w:val="20"/>
          <w:color w:val="auto"/>
        </w:rPr>
      </w:pPr>
    </w:p>
    <w:p>
      <w:pPr>
        <w:ind w:left="200" w:right="100"/>
        <w:spacing w:after="0" w:line="241" w:lineRule="auto"/>
        <w:rPr>
          <w:sz w:val="20"/>
          <w:szCs w:val="20"/>
          <w:color w:val="auto"/>
        </w:rPr>
      </w:pPr>
      <w:r>
        <w:rPr>
          <w:rFonts w:ascii="Arial" w:cs="Arial" w:eastAsia="Arial" w:hAnsi="Arial"/>
          <w:sz w:val="18"/>
          <w:szCs w:val="18"/>
          <w:b w:val="1"/>
          <w:bCs w:val="1"/>
          <w:i w:val="1"/>
          <w:iCs w:val="1"/>
          <w:color w:val="auto"/>
        </w:rPr>
        <w:t xml:space="preserve">Alexis Borisy </w:t>
      </w:r>
      <w:r>
        <w:rPr>
          <w:rFonts w:ascii="Arial" w:cs="Arial" w:eastAsia="Arial" w:hAnsi="Arial"/>
          <w:sz w:val="18"/>
          <w:szCs w:val="18"/>
          <w:color w:val="auto"/>
        </w:rPr>
        <w:t>has served as a member of our board of directors since November 2014. Mr. Borisy currently serves as the Chairman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of EQRx, Inc., a biotechnology company. From 2010 to June 2019, Mr. Borisy was a Partner at Third Rock Ventures. Since June 2015, Mr. Borisy has served as a member of the board of directors of Magenta Therapeutics, Inc., a biopharmaceutical company. Mr. Borisy co-founded Blueprint Medicines Corporation, a biopharmaceutical company, and served as its Interim Chief Executive Officer from 2013 to 2014 and has served as a member of its board of directors since 2011. Mr. Borisy</w:t>
      </w:r>
    </w:p>
    <w:p>
      <w:pPr>
        <w:spacing w:after="0" w:line="1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70" w:lineRule="auto"/>
        <w:rPr>
          <w:sz w:val="20"/>
          <w:szCs w:val="20"/>
          <w:color w:val="auto"/>
        </w:rPr>
      </w:pPr>
      <w:r>
        <w:rPr>
          <w:rFonts w:ascii="Arial" w:cs="Arial" w:eastAsia="Arial" w:hAnsi="Arial"/>
          <w:sz w:val="16"/>
          <w:szCs w:val="16"/>
          <w:color w:val="auto"/>
        </w:rPr>
        <w:t>co-founded Foundation Medicine, Inc., or Foundation Medicine, a biotechnology company, where he served as its Interim Chief Executive Officer from 2009 to 2011 and served as a member of its board of directors from 2009 to July 2018, including as Chairman from 2011 to February 2017. Mr. Borisy previously served as a member of the board of directors of Editas Medicine, Inc., a pharmaceutical company, from 2013 to March 2018.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57"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b w:val="1"/>
          <w:bCs w:val="1"/>
          <w:i w:val="1"/>
          <w:iCs w:val="1"/>
          <w:color w:val="auto"/>
        </w:rPr>
        <w:t xml:space="preserve">Neil Exter </w:t>
      </w:r>
      <w:r>
        <w:rPr>
          <w:rFonts w:ascii="Arial" w:cs="Arial" w:eastAsia="Arial" w:hAnsi="Arial"/>
          <w:sz w:val="18"/>
          <w:szCs w:val="18"/>
          <w:color w:val="auto"/>
        </w:rPr>
        <w:t>has served as a member of our board of directors during his current term since July 2019. Mr. Exter previously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our board of directors from November 2014 to March 2016. Mr. Exter has been a Partner at Third Rock Ventures since 2007. Prior to joining Third Rock Ventures, Mr. Exter was Chief Business Officer of Alantos Pharmaceuticals from 2006 until its acquisition by Amgen in 2007. Previously, he served as Vice President of Business Development for Millennium Pharmaceuticals from 2002 to 2006. Mr. Exter previously served as a member of the boards of directors of CytomX Therapeutics, a biopharmaceutical company, from December 2010 to December 2017, and Rhythm Pharmaceuticals, a biopharmaceutical company, from 2014 to June 2019. He is a member of the Research Committee of Children’s Hospital Boston, the investment committee of the Innovation Research Fund at Partners Healthcare, and the board of directors of the New England Venture Capital Association. Mr. Exter received a B.S. from Cornell University, an M.S. from Stanford University, and an M.B.A. as a Baker Scholar from Harvard Business School. We believe that Mr. Exter’s extensive experience as a venture capital investor in, and director of, several biotechnology companies, provides him with the qualifications and skills necessary to serve as a member of our board of directors.</w:t>
      </w:r>
    </w:p>
    <w:p>
      <w:pPr>
        <w:spacing w:after="0" w:line="88"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b w:val="1"/>
          <w:bCs w:val="1"/>
          <w:i w:val="1"/>
          <w:iCs w:val="1"/>
          <w:color w:val="auto"/>
        </w:rPr>
        <w:t xml:space="preserve">Larry Lasky, Ph.D. </w:t>
      </w:r>
      <w:r>
        <w:rPr>
          <w:rFonts w:ascii="Arial" w:cs="Arial" w:eastAsia="Arial" w:hAnsi="Arial"/>
          <w:sz w:val="18"/>
          <w:szCs w:val="18"/>
          <w:color w:val="auto"/>
        </w:rPr>
        <w:t>has served as a member of our board of directors since December 2016. Since May 2014, Dr. Lasky has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at The Column Group, a healthcare venture capital firm. Dr. Lasky served as a member of the board of directors of OncoMed Pharmaceuticals, Inc., a biopharmaceutical company, from 2004 to June 2018. From 2007 to May 2014, Dr. Lasky was a Partner of U.S. Venture Partners, a venture capital firm, focusing on investments in biotechnology companies. From 2002 to 2007, Dr. Lasky was a General Partner of Latterell Venture Partners, a healthcare venture capital firm that he co-founded. From 1982 to 2002, Dr. Lasky was a leading scientist at Genentech, where he attained the position of Genentech Fellow. Dr. Lasky received a B.A. in Music and Molecular Biology and a Ph.D. in Molecular Biology from the University of California, Los Angeles. We believe that Dr. Lasky’s scientific expertise in biotechnology, and his extensive experience as a venture capital investor in, and director of, biotechnology companies, provide him with the qualifications and skills necessary to serve as a member of our board of directors.</w:t>
      </w:r>
    </w:p>
    <w:p>
      <w:pPr>
        <w:spacing w:after="0" w:line="8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b w:val="1"/>
          <w:bCs w:val="1"/>
          <w:i w:val="1"/>
          <w:iCs w:val="1"/>
          <w:color w:val="auto"/>
        </w:rPr>
        <w:t xml:space="preserve">Vincent A. Miller, M.D. </w:t>
      </w:r>
      <w:r>
        <w:rPr>
          <w:rFonts w:ascii="Arial" w:cs="Arial" w:eastAsia="Arial" w:hAnsi="Arial"/>
          <w:sz w:val="18"/>
          <w:szCs w:val="18"/>
          <w:color w:val="auto"/>
        </w:rPr>
        <w:t>has served as a member of our board of directors since September 2017. Since April 2019, Dr. Miller has served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 Advisor to Foundation Medicines. Previously, Dr. Miller served as Foundation Medicine’s Senior Vice President, Clinical Development from 2011 to 2013 and served as Foundation Medicine’s Chief Medical Officer from 2013 to April 2019. From 1991 to 2011, Dr. Miller served as an Attending Physician at Memorial Sloan-Kettering Cancer Center. Since 2011, Dr. Miller has served as a Consulting Physician, at Memorial Sloan-Kettering Cancer Center. Dr. Miller received a B.A. from the University of Pennsylvania in Mathematics and an M.D. from the University of Medicine and Dentistry of New Jersey in Newark. We believe that Dr. Miller’s experience in the biotechnology industry, his extensive experience practicing medicine and his educational background provide him with the qualifications and skills necessary to serve as a member of our board of directors.</w:t>
      </w:r>
    </w:p>
    <w:p>
      <w:pPr>
        <w:spacing w:after="0" w:line="87" w:lineRule="exact"/>
        <w:rPr>
          <w:sz w:val="20"/>
          <w:szCs w:val="20"/>
          <w:color w:val="auto"/>
        </w:rPr>
      </w:pPr>
    </w:p>
    <w:p>
      <w:pPr>
        <w:ind w:left="200" w:right="120"/>
        <w:spacing w:after="0" w:line="262" w:lineRule="auto"/>
        <w:rPr>
          <w:sz w:val="20"/>
          <w:szCs w:val="20"/>
          <w:color w:val="auto"/>
        </w:rPr>
      </w:pPr>
      <w:r>
        <w:rPr>
          <w:rFonts w:ascii="Arial" w:cs="Arial" w:eastAsia="Arial" w:hAnsi="Arial"/>
          <w:sz w:val="18"/>
          <w:szCs w:val="18"/>
          <w:b w:val="1"/>
          <w:bCs w:val="1"/>
          <w:i w:val="1"/>
          <w:iCs w:val="1"/>
          <w:color w:val="auto"/>
        </w:rPr>
        <w:t xml:space="preserve">Thilo Schroeder, Ph.D. </w:t>
      </w:r>
      <w:r>
        <w:rPr>
          <w:rFonts w:ascii="Arial" w:cs="Arial" w:eastAsia="Arial" w:hAnsi="Arial"/>
          <w:sz w:val="18"/>
          <w:szCs w:val="18"/>
          <w:color w:val="auto"/>
        </w:rPr>
        <w:t>has served as a member of our board of directors since March 2018. Since 2012, Dr. Schroeder has been a Partner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Nextech Invest Ltd., or Nextech, a venture capital fund focused on investing</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in oncology companies. Since January 2018, Dr. Schroeder has served as a member of the board of directors of IDEAYA Biosciences, Inc., an oncology-focused biotechnology company. He also serves as a member of the board of directors of ImaginAB, Inc., an immune-oncology imaging company. Dr. Schroeder also served as a member of the board of directors of Blueprint Medicines Corp., a biopharmaceutical company, from 2014 to May 2015. Prior to joining Nextech in 2012, Dr. Schroeder worked in research specializing on the development of Designed Ankyrin Repeat Proteins (DARPins) as specific protein inhibitors from 2007 to 2012. Dr. Schroeder received a B.S. in Biology from the Technical University of Darmstadt in Germany, an M.S. in Biotechnology from the École de Supérieure de Biotechnologie de Strasbourg in France, and a Ph.D. in Biochemistry from the University of Zurich in Switzerland. We believe that Dr. Schroeder’s educational background, his experience as a board member of biotechnology and pharmaceutical companies, and his experience as an investor in life sciences companies provide him with the qualifications and skills necessary to serve as a member of our board of directors.</w:t>
      </w:r>
    </w:p>
    <w:p>
      <w:pPr>
        <w:spacing w:after="0" w:line="62"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b w:val="1"/>
          <w:bCs w:val="1"/>
          <w:i w:val="1"/>
          <w:iCs w:val="1"/>
          <w:color w:val="auto"/>
        </w:rPr>
        <w:t xml:space="preserve">Barbara Weber, M.D. </w:t>
      </w:r>
      <w:r>
        <w:rPr>
          <w:rFonts w:ascii="Arial" w:cs="Arial" w:eastAsia="Arial" w:hAnsi="Arial"/>
          <w:sz w:val="18"/>
          <w:szCs w:val="18"/>
          <w:color w:val="auto"/>
        </w:rPr>
        <w:t>has served as a member of our board of directors since April 2018. Since September 2017, Dr. Weber has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President and Chief Executive Officer of Tango Therapeutics, Inc., a biotechnology company. Dr. Weber has been a Venture Partner at Third Rock Ventures since March 2015 and from April 2015 to September 2017 she served as Interim Chief Executive Officer at Neon Therapeutics, Inc., a biotechnology company. From 2009 to February 2015, Dr. Weber served as Senior Vice President, Oncology Translation Medicine at Novartis. Dr. Weber received a B.S. in Chemistry from the University of Washington and an M.D. from the University of Washington School of Medicine and was a resident in internal medicine at Yale University. We believe that Dr. Weber’s experience as an officer and director of other biotechnology companies and her educational background provide her with the qualifications and skills necessary to serve as a member of our board of directors.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composition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24" w:lineRule="exact"/>
        <w:rPr>
          <w:sz w:val="20"/>
          <w:szCs w:val="20"/>
          <w:color w:val="auto"/>
        </w:rPr>
      </w:pPr>
    </w:p>
    <w:p>
      <w:pPr>
        <w:ind w:left="200" w:right="180"/>
        <w:spacing w:after="0" w:line="235" w:lineRule="auto"/>
        <w:rPr>
          <w:sz w:val="20"/>
          <w:szCs w:val="20"/>
          <w:color w:val="auto"/>
        </w:rPr>
      </w:pPr>
      <w:r>
        <w:rPr>
          <w:rFonts w:ascii="Arial" w:cs="Arial" w:eastAsia="Arial" w:hAnsi="Arial"/>
          <w:sz w:val="18"/>
          <w:szCs w:val="18"/>
          <w:color w:val="auto"/>
        </w:rPr>
        <w:t>Our board of directors currently consists of eight members. Our board of directors has determined that all of our directors, other than Dr. Goldsmith, qualify as “independent” directors in accordance with the Nasdaq Global Market listing requirements. Dr. Goldsmith is not considered independent because he is an employee of Revolution Medicines, Inc. The Nasdaq Global Market’s independence definition includes a series of objective tests, such as that the director is not, and has not been for at least three years, one of our employees and that neither the director nor any of his or her family members has engaged in various types of business dealings with us. In addition, as required by the Nasdaq Global Market rules, our board of directors has made a subjective determination as to each independent director that no relationship exists that, in the opinion of our board of directors, would interfere with the exercise of independent judgment in carrying out the responsibilities of a director. In making these determinations, our board of directors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2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In accordance with our amended and restated certificate of incorporation to be in effect immediately prior to the consummation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00"/>
          </w:cols>
          <w:pgMar w:left="240" w:top="460"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Effective upon the consummation of this offering, we expect that our directors will be divided among the three classes as follows:</w:t>
      </w:r>
    </w:p>
    <w:p>
      <w:pPr>
        <w:spacing w:after="0" w:line="117" w:lineRule="exact"/>
        <w:rPr>
          <w:sz w:val="20"/>
          <w:szCs w:val="20"/>
          <w:color w:val="auto"/>
        </w:rPr>
      </w:pPr>
    </w:p>
    <w:p>
      <w:pPr>
        <w:ind w:left="420" w:right="120" w:hanging="216"/>
        <w:spacing w:after="0" w:line="239" w:lineRule="auto"/>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Class I directors will be Dr. Lasky, Mr. Exter and Ms. Anderson, and their terms will expire at the annual meeting of stockholders to be held in 2021;</w:t>
      </w:r>
    </w:p>
    <w:p>
      <w:pPr>
        <w:spacing w:after="0" w:line="114" w:lineRule="exact"/>
        <w:rPr>
          <w:rFonts w:ascii="Arial" w:cs="Arial" w:eastAsia="Arial" w:hAnsi="Arial"/>
          <w:sz w:val="18"/>
          <w:szCs w:val="18"/>
          <w:color w:val="auto"/>
        </w:rPr>
      </w:pPr>
    </w:p>
    <w:p>
      <w:pPr>
        <w:ind w:left="420" w:right="340" w:hanging="216"/>
        <w:spacing w:after="0" w:line="239" w:lineRule="auto"/>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Class II directors will be Dr. Schroeder and Dr. Miller, and their terms will expire at the annual meeting of stockholders to be held in 2022; and</w:t>
      </w:r>
    </w:p>
    <w:p>
      <w:pPr>
        <w:spacing w:after="0" w:line="114" w:lineRule="exact"/>
        <w:rPr>
          <w:rFonts w:ascii="Arial" w:cs="Arial" w:eastAsia="Arial" w:hAnsi="Arial"/>
          <w:sz w:val="18"/>
          <w:szCs w:val="18"/>
          <w:color w:val="auto"/>
        </w:rPr>
      </w:pPr>
    </w:p>
    <w:p>
      <w:pPr>
        <w:ind w:left="420" w:right="140" w:hanging="216"/>
        <w:spacing w:after="0" w:line="239" w:lineRule="auto"/>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Class III directors will be Dr. Weber, Mr. Borisy and Dr. Goldsmith, and their terms will expire at the annual meeting of stockholders to be held in 2023.</w:t>
      </w:r>
    </w:p>
    <w:p>
      <w:pPr>
        <w:spacing w:after="0" w:line="101" w:lineRule="exact"/>
        <w:rPr>
          <w:sz w:val="20"/>
          <w:szCs w:val="20"/>
          <w:color w:val="auto"/>
        </w:rPr>
      </w:pPr>
    </w:p>
    <w:p>
      <w:pPr>
        <w:ind w:left="200" w:right="20"/>
        <w:spacing w:after="0" w:line="275" w:lineRule="auto"/>
        <w:rPr>
          <w:sz w:val="20"/>
          <w:szCs w:val="20"/>
          <w:color w:val="auto"/>
        </w:rPr>
      </w:pPr>
      <w:r>
        <w:rPr>
          <w:rFonts w:ascii="Arial" w:cs="Arial" w:eastAsia="Arial" w:hAnsi="Arial"/>
          <w:sz w:val="16"/>
          <w:szCs w:val="16"/>
          <w:color w:val="auto"/>
        </w:rPr>
        <w:t>Our amended and restated certificate of incorporation will provide that the authorized number of directors may be changed only by resolution of the board of directors. Any additional directorships resulting from an increase in the number of directors will be distributed among the three classes so that, as nearly as possible, each class will consist of one-third of the directors. The division of our board of directors into three classes with staggered three-year terms may delay or prevent a change of our management or a change in control of our company.</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arrangements</w:t>
      </w:r>
    </w:p>
    <w:p>
      <w:pPr>
        <w:spacing w:after="0" w:line="124"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In June 2019, we entered into an Amended and Restated Voting Agreement, or the Voting Agreement, with certain holders of our capital stock, including certain members of, and affiliates of, our board of directors and certain of our executive officers.</w:t>
      </w:r>
    </w:p>
    <w:p>
      <w:pPr>
        <w:spacing w:after="0" w:line="101"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Pursuant to the Voting Agreement, each of Third Rock Ventures, The Column Group and Nextech has the right to designate one member to be elected to our board of directors. The Voting Agreement will terminate by its terms in connection with the closing of this offering and none of our stockholders will have any continuing rights regarding the election or designation of members of our board of directors following this offering.</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Leadership structure of the board</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Our amended and restated bylaws and corporate governance guidelines to be in place immediately prior to the consummation of this offering provide our board of directors with flexibility to combine or separate the positions of chair of the board of directors and Chief Executive Officer and to implement a lead director in accordance with its determination that utilizing one or the other structure would be in the best interests of our company. Dr. Goldsmith currently serves as the chair of the board of directors and Mr. Borisy currently serves as the lead independent director of the board. In his role as lead independent director, Mr. Borisy presides over the executive sessions of the board of directors and acts as a liaison between management and the board of directors.</w:t>
      </w:r>
    </w:p>
    <w:p>
      <w:pPr>
        <w:spacing w:after="0" w:line="102"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Our board of directors has concluded that our current leadership structure is appropriate at this time. However, our board of directors will continue to periodically review our leadership structure and may make such changes in the future as it deems appropriate.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Role of board in risk oversight process</w:t>
      </w:r>
    </w:p>
    <w:p>
      <w:pPr>
        <w:spacing w:after="0" w:line="134"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60"/>
          </w:cols>
          <w:pgMar w:left="240" w:top="460" w:right="49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60"/>
        <w:spacing w:after="0" w:line="299" w:lineRule="auto"/>
        <w:rPr>
          <w:sz w:val="20"/>
          <w:szCs w:val="20"/>
          <w:color w:val="auto"/>
        </w:rPr>
      </w:pPr>
      <w:r>
        <w:rPr>
          <w:rFonts w:ascii="Arial" w:cs="Arial" w:eastAsia="Arial" w:hAnsi="Arial"/>
          <w:sz w:val="16"/>
          <w:szCs w:val="16"/>
          <w:color w:val="auto"/>
        </w:rPr>
        <w:t>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55"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While our board of directors is responsible for monitoring and assessing strategic risk exposure, our audit committee is responsible for overseeing our major financial risk exposures and the steps our management has taken to monitor and control these exposures. The audit committee also monitors compliance with legal and regulatory requirements and considers and approves or disapproves any related person transactions. Our nominating and corporate governance committee monitors the effectiveness of our corporate governance guidelines. Our compensation committee assesses and monitors whether any of our compensation policies and programs has the potential to encourage excessive risk-taking.</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committees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Our audit committee oversees our corporate accounting and financial reporting process. Among other matters, the audit committee:</w:t>
      </w:r>
    </w:p>
    <w:p>
      <w:pPr>
        <w:spacing w:after="0" w:line="117" w:lineRule="exact"/>
        <w:rPr>
          <w:sz w:val="20"/>
          <w:szCs w:val="20"/>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appoints our independent registered public accounting firm;</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evaluates the independent registered public accounting firm’s qualifications, independence and performance;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determines the terms of engagement of the independent registered public accounting firm;</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reviews and approves the scope of the annual audit and the audit fee;</w:t>
      </w:r>
    </w:p>
    <w:p>
      <w:pPr>
        <w:spacing w:after="0" w:line="117" w:lineRule="exact"/>
        <w:rPr>
          <w:rFonts w:ascii="Arial" w:cs="Arial" w:eastAsia="Arial" w:hAnsi="Arial"/>
          <w:sz w:val="18"/>
          <w:szCs w:val="18"/>
          <w:color w:val="auto"/>
        </w:rPr>
      </w:pPr>
    </w:p>
    <w:p>
      <w:pPr>
        <w:ind w:left="420" w:right="240" w:hanging="216"/>
        <w:spacing w:after="0" w:line="239" w:lineRule="auto"/>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discusses with management and the independent registered public accounting firm the results of the annual audit and the review of our quarterly financial statements;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approves the retention of the independent registered public accounting firm to perform any proposed permissible non-audit services;</w:t>
      </w:r>
    </w:p>
    <w:p>
      <w:pPr>
        <w:spacing w:after="0" w:line="117" w:lineRule="exact"/>
        <w:rPr>
          <w:rFonts w:ascii="Arial" w:cs="Arial" w:eastAsia="Arial" w:hAnsi="Arial"/>
          <w:sz w:val="18"/>
          <w:szCs w:val="18"/>
          <w:color w:val="auto"/>
        </w:rPr>
      </w:pPr>
    </w:p>
    <w:p>
      <w:pPr>
        <w:ind w:left="420" w:right="640" w:hanging="216"/>
        <w:spacing w:after="0" w:line="239" w:lineRule="auto"/>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monitors the rotation of partners of the independent registered public accounting firm on our engagement team in accordance with requirements established by the SEC;</w:t>
      </w:r>
    </w:p>
    <w:p>
      <w:pPr>
        <w:spacing w:after="0" w:line="114" w:lineRule="exact"/>
        <w:rPr>
          <w:rFonts w:ascii="Arial" w:cs="Arial" w:eastAsia="Arial" w:hAnsi="Arial"/>
          <w:sz w:val="18"/>
          <w:szCs w:val="18"/>
          <w:color w:val="auto"/>
        </w:rPr>
      </w:pPr>
    </w:p>
    <w:p>
      <w:pPr>
        <w:ind w:left="420" w:right="420" w:hanging="216"/>
        <w:spacing w:after="0" w:line="239" w:lineRule="auto"/>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is responsible for reviewing our audited consolidated financial statements and our management’s discussion and analysis of financial condition and results of operations to be included in our annual and quarterly reports to be filed with the SEC;</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reviews our critical accounting policies and estimates;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reviews all related party transactions on an ongoing basis;</w:t>
      </w:r>
    </w:p>
    <w:p>
      <w:pPr>
        <w:spacing w:after="0" w:line="117" w:lineRule="exact"/>
        <w:rPr>
          <w:rFonts w:ascii="Arial" w:cs="Arial" w:eastAsia="Arial" w:hAnsi="Arial"/>
          <w:sz w:val="18"/>
          <w:szCs w:val="18"/>
          <w:color w:val="auto"/>
        </w:rPr>
      </w:pPr>
    </w:p>
    <w:p>
      <w:pPr>
        <w:ind w:left="420" w:right="380" w:hanging="216"/>
        <w:spacing w:after="0" w:line="239" w:lineRule="auto"/>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establishes procedures for the receipt, retention and treatment of complaints received by us regarding accounting, internal controls or auditing matters;</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periodically reviews and assesses treasury functions including cash management process;</w:t>
      </w:r>
    </w:p>
    <w:p>
      <w:pPr>
        <w:spacing w:after="0" w:line="117" w:lineRule="exact"/>
        <w:rPr>
          <w:rFonts w:ascii="Arial" w:cs="Arial" w:eastAsia="Arial" w:hAnsi="Arial"/>
          <w:sz w:val="18"/>
          <w:szCs w:val="18"/>
          <w:color w:val="auto"/>
        </w:rPr>
      </w:pPr>
    </w:p>
    <w:p>
      <w:pPr>
        <w:jc w:val="center"/>
        <w:ind w:left="5560" w:right="400" w:hanging="5356"/>
        <w:spacing w:after="0" w:line="411" w:lineRule="auto"/>
        <w:tabs>
          <w:tab w:leader="none" w:pos="412"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discusses on a periodic basis, or as appropriate, with management, our policies and procedures with respect to risk assessment; and 176</w:t>
      </w:r>
    </w:p>
    <w:p>
      <w:pPr>
        <w:sectPr>
          <w:pgSz w:w="11900" w:h="16838" w:orient="portrait"/>
          <w:cols w:equalWidth="0" w:num="1">
            <w:col w:w="11140"/>
          </w:cols>
          <w:pgMar w:left="240" w:top="460" w:right="5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820" w:hanging="216"/>
        <w:spacing w:after="0" w:line="239" w:lineRule="auto"/>
        <w:tabs>
          <w:tab w:leader="none" w:pos="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investigates any matters received, and reports to the Board periodically, with respect to ethics issues, complaints and associated investigations;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reviews the audit committee charter and the committee’s performance at least annually.</w:t>
      </w:r>
    </w:p>
    <w:p>
      <w:pPr>
        <w:spacing w:after="0" w:line="104"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The current members of our audit committee are Dr. Weber, Dr. Schroeder and Mr. Exter. Dr. Weber serves as the chair of the committee. All members of our audit committee meet the requirements for financial literacy under the applicable rules and regulations of the SEC and the Nasdaq Global Market. Our board of directors has determined that Dr. Weber is an audit committee financial expert as defined under the applicable rules of the SEC and has the requisite financial sophistication as defined under the applicable rules and regulations of the Nasdaq Global Market. Under the rules of the SEC, members of the audit committee must also meet heightened independence standards. Our board of directors has determined that Dr. Weber and Dr. Schroeder are “independent” for audit committee purposes as that term is defined in the applicable rules of the SEC and The Nasdaq Global Market. Mr. Exter will not meet the heightened independence criteria set forth in such rules if Third Rock Ventures, L.P. continues to own more than ten percent of our capital stock after this offering, but in such event applicable exemptions under the Nasdaq rules would permit him to continue to serve on the committee for a transition period following the consummation of this offering. The audit committee operates under a written charter that satisfies the applicable standards of the SEC and the Nasdaq Global Market.</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24"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Our compensation committee oversees policies relating to compensation and benefits of our officers and employees. Among other things, the compensation committee:</w:t>
      </w:r>
    </w:p>
    <w:p>
      <w:pPr>
        <w:spacing w:after="0" w:line="114" w:lineRule="exact"/>
        <w:rPr>
          <w:sz w:val="20"/>
          <w:szCs w:val="20"/>
          <w:color w:val="auto"/>
        </w:rPr>
      </w:pPr>
    </w:p>
    <w:p>
      <w:pPr>
        <w:ind w:left="420" w:hanging="216"/>
        <w:spacing w:after="0"/>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reviews and recommends corporate goals and objectives relevant to compensation of our executive officers;</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evaluates the performance of our executive officers (other than our Chief Executive Officer), including in light of those goals and objectives, and approves the compensation of these officers based on such evaluations;</w:t>
      </w:r>
    </w:p>
    <w:p>
      <w:pPr>
        <w:spacing w:after="0" w:line="114" w:lineRule="exact"/>
        <w:rPr>
          <w:rFonts w:ascii="Arial" w:cs="Arial" w:eastAsia="Arial" w:hAnsi="Arial"/>
          <w:sz w:val="18"/>
          <w:szCs w:val="18"/>
          <w:color w:val="auto"/>
        </w:rPr>
      </w:pPr>
    </w:p>
    <w:p>
      <w:pPr>
        <w:ind w:left="420" w:right="440" w:hanging="216"/>
        <w:spacing w:after="0" w:line="239" w:lineRule="auto"/>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reviews and approves or makes recommendations to our board of directors regarding the issuance of stock options and other awards under our stock plans to our executive officers, other than our Chief Executive Officer;</w:t>
      </w:r>
    </w:p>
    <w:p>
      <w:pPr>
        <w:spacing w:after="0" w:line="114" w:lineRule="exact"/>
        <w:rPr>
          <w:rFonts w:ascii="Arial" w:cs="Arial" w:eastAsia="Arial" w:hAnsi="Arial"/>
          <w:sz w:val="18"/>
          <w:szCs w:val="18"/>
          <w:color w:val="auto"/>
        </w:rPr>
      </w:pPr>
    </w:p>
    <w:p>
      <w:pPr>
        <w:ind w:left="420" w:right="440" w:hanging="216"/>
        <w:spacing w:after="0" w:line="299" w:lineRule="auto"/>
        <w:tabs>
          <w:tab w:leader="none" w:pos="4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reviews the performance of our Chief Executive Officer and makes recommendations to our board of directors with respect to his compensation and our board of directors retains the authority to make compensation decisions relative to our Chief Executive Officer;</w:t>
      </w:r>
    </w:p>
    <w:p>
      <w:pPr>
        <w:spacing w:after="0" w:line="68" w:lineRule="exact"/>
        <w:rPr>
          <w:rFonts w:ascii="Arial" w:cs="Arial" w:eastAsia="Arial" w:hAnsi="Arial"/>
          <w:sz w:val="16"/>
          <w:szCs w:val="16"/>
          <w:color w:val="auto"/>
        </w:rPr>
      </w:pPr>
    </w:p>
    <w:p>
      <w:pPr>
        <w:ind w:left="420" w:hanging="216"/>
        <w:spacing w:after="0"/>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evaluates compliance with applicable compensation rules, regulations and guidelines and other law, as applicable; and</w:t>
      </w:r>
    </w:p>
    <w:p>
      <w:pPr>
        <w:spacing w:after="0" w:line="117" w:lineRule="exact"/>
        <w:rPr>
          <w:rFonts w:ascii="Arial" w:cs="Arial" w:eastAsia="Arial" w:hAnsi="Arial"/>
          <w:sz w:val="18"/>
          <w:szCs w:val="18"/>
          <w:color w:val="auto"/>
        </w:rPr>
      </w:pPr>
    </w:p>
    <w:p>
      <w:pPr>
        <w:ind w:left="420" w:right="700" w:hanging="216"/>
        <w:spacing w:after="0" w:line="239" w:lineRule="auto"/>
        <w:tabs>
          <w:tab w:leader="none" w:pos="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periodically reviews the performance of the compensation committee and its members, including compliance by the compensation committee.</w:t>
      </w:r>
    </w:p>
    <w:p>
      <w:pPr>
        <w:spacing w:after="0" w:line="101" w:lineRule="exact"/>
        <w:rPr>
          <w:sz w:val="20"/>
          <w:szCs w:val="20"/>
          <w:color w:val="auto"/>
        </w:rPr>
      </w:pPr>
    </w:p>
    <w:p>
      <w:pPr>
        <w:ind w:left="200" w:right="20"/>
        <w:spacing w:after="0" w:line="275" w:lineRule="auto"/>
        <w:rPr>
          <w:sz w:val="20"/>
          <w:szCs w:val="20"/>
          <w:color w:val="auto"/>
        </w:rPr>
      </w:pPr>
      <w:r>
        <w:rPr>
          <w:rFonts w:ascii="Arial" w:cs="Arial" w:eastAsia="Arial" w:hAnsi="Arial"/>
          <w:sz w:val="16"/>
          <w:szCs w:val="16"/>
          <w:color w:val="auto"/>
        </w:rPr>
        <w:t>The current members of our compensation committee are Ms. Anderson, Mr. Borisy and Dr. Miller. Ms. Anderson serves as the chair of the committee. Each of the members of our compensation committee is independent under the applicable rules and regulations of the Nasdaq Global Market and is a “non-employee director” as defined in Rule 16b-3 promulgated under the Exchange Act. The compensation committee operates under a written charter that satisfies the applicable standards of the SEC and the Nasdaq Global Market.</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24" w:lineRule="exact"/>
        <w:rPr>
          <w:sz w:val="20"/>
          <w:szCs w:val="20"/>
          <w:color w:val="auto"/>
        </w:rPr>
      </w:pPr>
    </w:p>
    <w:p>
      <w:pPr>
        <w:ind w:left="200" w:right="700"/>
        <w:spacing w:after="0" w:line="239" w:lineRule="auto"/>
        <w:rPr>
          <w:sz w:val="20"/>
          <w:szCs w:val="20"/>
          <w:color w:val="auto"/>
        </w:rPr>
      </w:pPr>
      <w:r>
        <w:rPr>
          <w:rFonts w:ascii="Arial" w:cs="Arial" w:eastAsia="Arial" w:hAnsi="Arial"/>
          <w:sz w:val="18"/>
          <w:szCs w:val="18"/>
          <w:color w:val="auto"/>
        </w:rPr>
        <w:t>The nominating and corporate governance committee is responsible for making recommendations to our board of directors regarding candidates for directorships and the size and composition of our board of directors. In</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00"/>
          </w:cols>
          <w:pgMar w:left="24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addition, the nominating and corporate governance committee is responsible for overseeing our corporate governance policies and reporting and making recommendations to our board of directors concerning governance matters. The current members of our nominating and corporate governance committee are Mr. Borisy, Dr. Lasky and Dr. Miller. Mr. Borisy serves as the chair of the committee. Each of the members of our nominating and corporate governance committee is an independent director under the applicable rules and regulations of the Nasdaq Global Market relating to nominating and corporate governance committee independence. The nominating and corporate governance committee operates under a written charter that satisfies the applicable standards of the SEC and the Nasdaq Global Market.</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Compensation committee interlocks and insider participation</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During the year ended December 31, 2019, our compensation committee consisted of Ms. Anderson, Mr. Borisy and Dr. Miller. None of the members of our compensation committee during 2019 nor any of the current members of our compensation committee has at any time been one of our officers or employees. None of our executive officers currently serves, or in the past fiscal year has served, as a member of the board of directors or compensation committee of any entity that has one or more executive officers on our board of directors or compensation committee. For a description of transactions between us and members of our compensation committee and affiliates of such members, please see “Certain relationships and related party transactions.”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Board diversity</w:t>
      </w:r>
    </w:p>
    <w:p>
      <w:pPr>
        <w:spacing w:after="0" w:line="134" w:lineRule="exact"/>
        <w:rPr>
          <w:sz w:val="20"/>
          <w:szCs w:val="20"/>
          <w:color w:val="auto"/>
        </w:rPr>
      </w:pPr>
    </w:p>
    <w:p>
      <w:pPr>
        <w:ind w:left="200" w:right="160"/>
        <w:spacing w:after="0" w:line="273" w:lineRule="auto"/>
        <w:rPr>
          <w:sz w:val="20"/>
          <w:szCs w:val="20"/>
          <w:color w:val="auto"/>
        </w:rPr>
      </w:pPr>
      <w:r>
        <w:rPr>
          <w:rFonts w:ascii="Arial" w:cs="Arial" w:eastAsia="Arial" w:hAnsi="Arial"/>
          <w:sz w:val="16"/>
          <w:szCs w:val="16"/>
          <w:color w:val="auto"/>
        </w:rPr>
        <w:t>Upon consummation of this offering, our nominating and corporate governance committee will be responsible for reviewing with the board of directors, on an annual basis, the appropriate characteristics, skills and experience required for the board of directors as a whole and its individual members. In evaluating the suitability of individual candidates (both new candidates and current members), the nominating and corporate governance committee, in recommending candidates for election, and the board of directors, in approving (and, in the case of vacancies, appointing) such candidates, may take into account many factors, including but not limited to the following:</w:t>
      </w:r>
    </w:p>
    <w:p>
      <w:pPr>
        <w:spacing w:after="0" w:line="88" w:lineRule="exact"/>
        <w:rPr>
          <w:sz w:val="20"/>
          <w:szCs w:val="20"/>
          <w:color w:val="auto"/>
        </w:rPr>
      </w:pPr>
    </w:p>
    <w:p>
      <w:pPr>
        <w:ind w:left="420" w:hanging="216"/>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personal and professional integrity;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ethics and values;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experience as a board member of other companies, including service on the board of directors of another publicly held company;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experience in the life sciences industry;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experience as a board member or executive officer of another publicly held company;</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diversity of expertise and experience in substantive matters pertaining to our business relative to other board members;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conflicts of interest;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business judgment.</w:t>
      </w:r>
    </w:p>
    <w:p>
      <w:pPr>
        <w:spacing w:after="0" w:line="104"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Currently, our board of directors evaluates, and following the consummation of this offering will evaluate, each individual in the context of the board of directors as a whole, with the objective of assembling a group that can best exercise oversight of management and the business and effectively represent stockholder interests through the exercise of sound business judgment using its diversity and depth of experience in these various areas.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20"/>
          </w:cols>
          <w:pgMar w:left="240" w:top="460"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Code of business conduct and ethics</w:t>
      </w:r>
    </w:p>
    <w:p>
      <w:pPr>
        <w:spacing w:after="0" w:line="134"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Our board of directors has adopted a code of business conduct and ethics that will apply to all of our employees, officers and directors, including those officers responsible for financial reporting. Following the consummation of this offering, the code of business conduct and ethics will be available on our website. We expect that any amendments to the code, or any waivers of its requirements, will be disclosed on our website or in public filings.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Limitation of liability and indemnification matters</w:t>
      </w:r>
    </w:p>
    <w:p>
      <w:pPr>
        <w:spacing w:after="0" w:line="134"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Our amended and restated certificate of incorporation, which will become effective immediately prior to the consummation of this offering, will contain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w:t>
      </w:r>
    </w:p>
    <w:p>
      <w:pPr>
        <w:spacing w:after="0" w:line="114" w:lineRule="exact"/>
        <w:rPr>
          <w:sz w:val="20"/>
          <w:szCs w:val="20"/>
          <w:color w:val="auto"/>
        </w:rPr>
      </w:pPr>
    </w:p>
    <w:p>
      <w:pPr>
        <w:ind w:left="420" w:hanging="216"/>
        <w:spacing w:after="0"/>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17" w:lineRule="exact"/>
        <w:rPr>
          <w:rFonts w:ascii="Arial" w:cs="Arial" w:eastAsia="Arial" w:hAnsi="Arial"/>
          <w:sz w:val="18"/>
          <w:szCs w:val="18"/>
          <w:color w:val="auto"/>
        </w:rPr>
      </w:pPr>
    </w:p>
    <w:p>
      <w:pPr>
        <w:ind w:left="420" w:right="700" w:hanging="216"/>
        <w:spacing w:after="0" w:line="239" w:lineRule="auto"/>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04" w:lineRule="exact"/>
        <w:rPr>
          <w:sz w:val="20"/>
          <w:szCs w:val="20"/>
          <w:color w:val="auto"/>
        </w:rPr>
      </w:pPr>
    </w:p>
    <w:p>
      <w:pPr>
        <w:ind w:left="200" w:right="160"/>
        <w:spacing w:after="0" w:line="268" w:lineRule="auto"/>
        <w:rPr>
          <w:sz w:val="20"/>
          <w:szCs w:val="20"/>
          <w:color w:val="auto"/>
        </w:rPr>
      </w:pPr>
      <w:r>
        <w:rPr>
          <w:rFonts w:ascii="Arial" w:cs="Arial" w:eastAsia="Arial" w:hAnsi="Arial"/>
          <w:sz w:val="16"/>
          <w:szCs w:val="16"/>
          <w:color w:val="auto"/>
        </w:rPr>
        <w:t>Each of our amended and restated certificate of incorporation and amended and restated bylaws, which will become effective immediately prior to the consummation of this offering, will provide that we are required to indemnify our directors and officers, in each case to the fullest extent permitted by Delaware law. Our amended and restated bylaws will also obligate us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79"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limitation of liability and indemnification provisions that will be included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20"/>
          </w:cols>
          <w:pgMar w:left="240" w:top="460"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Executive and director compensation</w:t>
      </w:r>
    </w:p>
    <w:p>
      <w:pPr>
        <w:spacing w:after="0" w:line="158" w:lineRule="exact"/>
        <w:rPr>
          <w:sz w:val="20"/>
          <w:szCs w:val="20"/>
          <w:color w:val="auto"/>
        </w:rPr>
      </w:pPr>
    </w:p>
    <w:p>
      <w:pPr>
        <w:ind w:left="200" w:right="500"/>
        <w:spacing w:after="0" w:line="239" w:lineRule="auto"/>
        <w:rPr>
          <w:sz w:val="20"/>
          <w:szCs w:val="20"/>
          <w:color w:val="auto"/>
        </w:rPr>
      </w:pPr>
      <w:r>
        <w:rPr>
          <w:rFonts w:ascii="Arial" w:cs="Arial" w:eastAsia="Arial" w:hAnsi="Arial"/>
          <w:sz w:val="18"/>
          <w:szCs w:val="18"/>
          <w:color w:val="auto"/>
        </w:rPr>
        <w:t>This section discusses the material components of the executive compensation program for our executive officers who are named in the “2019 summary compensation table” below. In 2019, our “named executive officers” and their positions were as follows:</w:t>
      </w:r>
    </w:p>
    <w:p>
      <w:pPr>
        <w:spacing w:after="0" w:line="110" w:lineRule="exact"/>
        <w:rPr>
          <w:sz w:val="20"/>
          <w:szCs w:val="20"/>
          <w:color w:val="auto"/>
        </w:rPr>
      </w:pPr>
    </w:p>
    <w:p>
      <w:pPr>
        <w:ind w:left="420" w:hanging="216"/>
        <w:spacing w:after="0"/>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Mark A. Goldsmith, M.D., Ph.D., our President and Chief Executive Officer;</w:t>
      </w:r>
    </w:p>
    <w:p>
      <w:pPr>
        <w:ind w:left="420" w:hanging="216"/>
        <w:spacing w:after="0" w:line="234" w:lineRule="auto"/>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Steve Kelsey, M.D., our President, Research and Development; and</w:t>
      </w:r>
    </w:p>
    <w:p>
      <w:pPr>
        <w:ind w:left="420" w:hanging="216"/>
        <w:spacing w:after="0"/>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Margaret Horn, J.D., our Chief Operating Officer and General Counsel.</w:t>
      </w:r>
    </w:p>
    <w:p>
      <w:pPr>
        <w:spacing w:after="0" w:line="10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following the completion of this offering may differ materially from the currently planned programs summarized in this discussion. As an “emerging growth company” as defined in the JOBS Act, we are not required to include a Compensation Discussion and Analysis section and have elected to comply with the scaled disclosure requirements applicable to emerging growth companies.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2019 summary compensation table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following table sets forth all of the compensation awarded to or earned by or paid to our named executive officers during 2018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86995</wp:posOffset>
            </wp:positionV>
            <wp:extent cx="699770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61"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700" w:type="dxa"/>
            <w:vAlign w:val="bottom"/>
          </w:tcPr>
          <w:p>
            <w:pPr>
              <w:jc w:val="right"/>
              <w:ind w:right="332"/>
              <w:spacing w:after="0"/>
              <w:rPr>
                <w:sz w:val="20"/>
                <w:szCs w:val="20"/>
                <w:color w:val="auto"/>
              </w:rPr>
            </w:pPr>
            <w:r>
              <w:rPr>
                <w:rFonts w:ascii="Arial" w:cs="Arial" w:eastAsia="Arial" w:hAnsi="Arial"/>
                <w:sz w:val="18"/>
                <w:szCs w:val="18"/>
                <w:b w:val="1"/>
                <w:bCs w:val="1"/>
                <w:color w:val="auto"/>
              </w:rPr>
              <w:t>Non-equity</w:t>
            </w: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jc w:val="right"/>
              <w:ind w:right="192"/>
              <w:spacing w:after="0" w:line="202" w:lineRule="exact"/>
              <w:rPr>
                <w:sz w:val="20"/>
                <w:szCs w:val="20"/>
                <w:color w:val="auto"/>
              </w:rPr>
            </w:pPr>
            <w:r>
              <w:rPr>
                <w:rFonts w:ascii="Arial" w:cs="Arial" w:eastAsia="Arial" w:hAnsi="Arial"/>
                <w:sz w:val="18"/>
                <w:szCs w:val="18"/>
                <w:b w:val="1"/>
                <w:bCs w:val="1"/>
                <w:color w:val="auto"/>
              </w:rPr>
              <w:t>Option</w:t>
            </w:r>
          </w:p>
        </w:tc>
        <w:tc>
          <w:tcPr>
            <w:tcW w:w="1700" w:type="dxa"/>
            <w:vAlign w:val="bottom"/>
          </w:tcPr>
          <w:p>
            <w:pPr>
              <w:jc w:val="right"/>
              <w:ind w:right="212"/>
              <w:spacing w:after="0" w:line="202" w:lineRule="exact"/>
              <w:rPr>
                <w:sz w:val="20"/>
                <w:szCs w:val="20"/>
                <w:color w:val="auto"/>
              </w:rPr>
            </w:pPr>
            <w:r>
              <w:rPr>
                <w:rFonts w:ascii="Arial" w:cs="Arial" w:eastAsia="Arial" w:hAnsi="Arial"/>
                <w:sz w:val="18"/>
                <w:szCs w:val="18"/>
                <w:b w:val="1"/>
                <w:bCs w:val="1"/>
                <w:color w:val="auto"/>
              </w:rPr>
              <w:t>incentive plan</w:t>
            </w:r>
          </w:p>
        </w:tc>
        <w:tc>
          <w:tcPr>
            <w:tcW w:w="400" w:type="dxa"/>
            <w:vAlign w:val="bottom"/>
          </w:tcPr>
          <w:p>
            <w:pPr>
              <w:spacing w:after="0"/>
              <w:rPr>
                <w:sz w:val="17"/>
                <w:szCs w:val="17"/>
                <w:color w:val="auto"/>
              </w:rPr>
            </w:pPr>
          </w:p>
        </w:tc>
        <w:tc>
          <w:tcPr>
            <w:tcW w:w="1300" w:type="dxa"/>
            <w:vAlign w:val="bottom"/>
          </w:tcPr>
          <w:p>
            <w:pPr>
              <w:jc w:val="right"/>
              <w:ind w:right="372"/>
              <w:spacing w:after="0" w:line="202" w:lineRule="exact"/>
              <w:rPr>
                <w:sz w:val="20"/>
                <w:szCs w:val="20"/>
                <w:color w:val="auto"/>
              </w:rPr>
            </w:pPr>
            <w:r>
              <w:rPr>
                <w:rFonts w:ascii="Arial" w:cs="Arial" w:eastAsia="Arial" w:hAnsi="Arial"/>
                <w:sz w:val="18"/>
                <w:szCs w:val="18"/>
                <w:b w:val="1"/>
                <w:bCs w:val="1"/>
                <w:color w:val="auto"/>
              </w:rPr>
              <w:t>All other</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700" w:type="dxa"/>
            <w:vAlign w:val="bottom"/>
          </w:tcPr>
          <w:p>
            <w:pPr>
              <w:ind w:left="180"/>
              <w:spacing w:after="0"/>
              <w:rPr>
                <w:sz w:val="20"/>
                <w:szCs w:val="20"/>
                <w:color w:val="auto"/>
              </w:rPr>
            </w:pPr>
            <w:r>
              <w:rPr>
                <w:rFonts w:ascii="Arial" w:cs="Arial" w:eastAsia="Arial" w:hAnsi="Arial"/>
                <w:sz w:val="18"/>
                <w:szCs w:val="18"/>
                <w:b w:val="1"/>
                <w:bCs w:val="1"/>
                <w:color w:val="auto"/>
              </w:rPr>
              <w:t>Year</w:t>
            </w:r>
          </w:p>
        </w:tc>
        <w:tc>
          <w:tcPr>
            <w:tcW w:w="940" w:type="dxa"/>
            <w:vAlign w:val="bottom"/>
          </w:tcPr>
          <w:p>
            <w:pPr>
              <w:jc w:val="right"/>
              <w:ind w:right="132"/>
              <w:spacing w:after="0"/>
              <w:rPr>
                <w:sz w:val="20"/>
                <w:szCs w:val="20"/>
                <w:color w:val="auto"/>
              </w:rPr>
            </w:pPr>
            <w:r>
              <w:rPr>
                <w:rFonts w:ascii="Arial" w:cs="Arial" w:eastAsia="Arial" w:hAnsi="Arial"/>
                <w:sz w:val="18"/>
                <w:szCs w:val="18"/>
                <w:b w:val="1"/>
                <w:bCs w:val="1"/>
                <w:color w:val="auto"/>
              </w:rPr>
              <w:t>Salary</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Bonus</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awards(1)</w:t>
            </w:r>
          </w:p>
        </w:tc>
        <w:tc>
          <w:tcPr>
            <w:tcW w:w="1700" w:type="dxa"/>
            <w:vAlign w:val="bottom"/>
          </w:tcPr>
          <w:p>
            <w:pPr>
              <w:jc w:val="right"/>
              <w:ind w:right="92"/>
              <w:spacing w:after="0"/>
              <w:rPr>
                <w:sz w:val="20"/>
                <w:szCs w:val="20"/>
                <w:color w:val="auto"/>
              </w:rPr>
            </w:pPr>
            <w:r>
              <w:rPr>
                <w:rFonts w:ascii="Arial" w:cs="Arial" w:eastAsia="Arial" w:hAnsi="Arial"/>
                <w:sz w:val="18"/>
                <w:szCs w:val="18"/>
                <w:b w:val="1"/>
                <w:bCs w:val="1"/>
                <w:color w:val="auto"/>
              </w:rPr>
              <w:t>compensation(2)</w:t>
            </w:r>
          </w:p>
        </w:tc>
        <w:tc>
          <w:tcPr>
            <w:tcW w:w="1700" w:type="dxa"/>
            <w:vAlign w:val="bottom"/>
            <w:gridSpan w:val="2"/>
          </w:tcPr>
          <w:p>
            <w:pPr>
              <w:jc w:val="right"/>
              <w:ind w:right="32"/>
              <w:spacing w:after="0"/>
              <w:rPr>
                <w:sz w:val="20"/>
                <w:szCs w:val="20"/>
                <w:color w:val="auto"/>
              </w:rPr>
            </w:pPr>
            <w:r>
              <w:rPr>
                <w:rFonts w:ascii="Arial" w:cs="Arial" w:eastAsia="Arial" w:hAnsi="Arial"/>
                <w:sz w:val="18"/>
                <w:szCs w:val="18"/>
                <w:b w:val="1"/>
                <w:bCs w:val="1"/>
                <w:color w:val="auto"/>
              </w:rPr>
              <w:t>compensation(3)</w:t>
            </w:r>
          </w:p>
        </w:tc>
        <w:tc>
          <w:tcPr>
            <w:tcW w:w="1060" w:type="dxa"/>
            <w:vAlign w:val="bottom"/>
            <w:gridSpan w:val="2"/>
          </w:tcPr>
          <w:p>
            <w:pPr>
              <w:ind w:left="340"/>
              <w:spacing w:after="0"/>
              <w:rPr>
                <w:sz w:val="20"/>
                <w:szCs w:val="20"/>
                <w:color w:val="auto"/>
              </w:rPr>
            </w:pPr>
            <w:r>
              <w:rPr>
                <w:rFonts w:ascii="Arial" w:cs="Arial" w:eastAsia="Arial" w:hAnsi="Arial"/>
                <w:sz w:val="18"/>
                <w:szCs w:val="18"/>
                <w:b w:val="1"/>
                <w:bCs w:val="1"/>
                <w:color w:val="auto"/>
              </w:rPr>
              <w:t>Total</w:t>
            </w:r>
          </w:p>
        </w:tc>
      </w:tr>
      <w:tr>
        <w:trPr>
          <w:trHeight w:val="196"/>
        </w:trPr>
        <w:tc>
          <w:tcPr>
            <w:tcW w:w="20" w:type="dxa"/>
            <w:vAlign w:val="bottom"/>
          </w:tcPr>
          <w:p>
            <w:pPr>
              <w:spacing w:after="0"/>
              <w:rPr>
                <w:sz w:val="17"/>
                <w:szCs w:val="17"/>
                <w:color w:val="auto"/>
              </w:rPr>
            </w:pPr>
          </w:p>
        </w:tc>
        <w:tc>
          <w:tcPr>
            <w:tcW w:w="3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Mark A. Goldsmith, M.D., Ph.D.</w:t>
            </w:r>
          </w:p>
        </w:tc>
        <w:tc>
          <w:tcPr>
            <w:tcW w:w="700" w:type="dxa"/>
            <w:vAlign w:val="bottom"/>
            <w:tcBorders>
              <w:top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2019</w:t>
            </w:r>
          </w:p>
        </w:tc>
        <w:tc>
          <w:tcPr>
            <w:tcW w:w="94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$504,300</w:t>
            </w:r>
          </w:p>
        </w:tc>
        <w:tc>
          <w:tcPr>
            <w:tcW w:w="1760" w:type="dxa"/>
            <w:vAlign w:val="bottom"/>
            <w:tcBorders>
              <w:top w:val="single" w:sz="8" w:color="auto"/>
            </w:tcBorders>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 $3,808,974</w:t>
            </w:r>
          </w:p>
        </w:tc>
        <w:tc>
          <w:tcPr>
            <w:tcW w:w="1700" w:type="dxa"/>
            <w:vAlign w:val="bottom"/>
            <w:tcBorders>
              <w:top w:val="single" w:sz="8" w:color="auto"/>
            </w:tcBorders>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w:t>
            </w:r>
          </w:p>
        </w:tc>
        <w:tc>
          <w:tcPr>
            <w:tcW w:w="130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2,000</w:t>
            </w:r>
          </w:p>
        </w:tc>
        <w:tc>
          <w:tcPr>
            <w:tcW w:w="10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$4,315,274</w:t>
            </w:r>
          </w:p>
        </w:tc>
        <w:tc>
          <w:tcPr>
            <w:tcW w:w="60" w:type="dxa"/>
            <w:vAlign w:val="bottom"/>
            <w:tcBorders>
              <w:top w:val="single" w:sz="8" w:color="auto"/>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w w:val="98"/>
              </w:rPr>
              <w:t>President and Chief Executive Officer</w:t>
            </w:r>
          </w:p>
        </w:tc>
        <w:tc>
          <w:tcPr>
            <w:tcW w:w="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2018</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489,567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582,915</w:t>
            </w:r>
          </w:p>
        </w:tc>
        <w:tc>
          <w:tcPr>
            <w:tcW w:w="17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232,500</w:t>
            </w: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1,304,982</w:t>
            </w:r>
          </w:p>
        </w:tc>
        <w:tc>
          <w:tcPr>
            <w:tcW w:w="60" w:type="dxa"/>
            <w:vAlign w:val="bottom"/>
            <w:shd w:val="clear" w:color="auto" w:fill="CCEEFF"/>
          </w:tcPr>
          <w:p>
            <w:pPr>
              <w:spacing w:after="0"/>
              <w:rPr>
                <w:sz w:val="18"/>
                <w:szCs w:val="18"/>
                <w:color w:val="auto"/>
              </w:rPr>
            </w:pPr>
          </w:p>
        </w:tc>
      </w:tr>
      <w:tr>
        <w:trPr>
          <w:trHeight w:val="255"/>
        </w:trPr>
        <w:tc>
          <w:tcPr>
            <w:tcW w:w="3180" w:type="dxa"/>
            <w:vAlign w:val="bottom"/>
            <w:gridSpan w:val="2"/>
          </w:tcPr>
          <w:p>
            <w:pPr>
              <w:spacing w:after="0"/>
              <w:rPr>
                <w:sz w:val="20"/>
                <w:szCs w:val="20"/>
                <w:color w:val="auto"/>
              </w:rPr>
            </w:pPr>
            <w:r>
              <w:rPr>
                <w:rFonts w:ascii="Arial" w:cs="Arial" w:eastAsia="Arial" w:hAnsi="Arial"/>
                <w:sz w:val="18"/>
                <w:szCs w:val="18"/>
                <w:color w:val="auto"/>
              </w:rPr>
              <w:t>Steve Kelsey, M.D.</w:t>
            </w:r>
          </w:p>
        </w:tc>
        <w:tc>
          <w:tcPr>
            <w:tcW w:w="700" w:type="dxa"/>
            <w:vAlign w:val="bottom"/>
          </w:tcPr>
          <w:p>
            <w:pPr>
              <w:ind w:left="200"/>
              <w:spacing w:after="0"/>
              <w:rPr>
                <w:sz w:val="20"/>
                <w:szCs w:val="20"/>
                <w:color w:val="auto"/>
              </w:rPr>
            </w:pPr>
            <w:r>
              <w:rPr>
                <w:rFonts w:ascii="Arial" w:cs="Arial" w:eastAsia="Arial" w:hAnsi="Arial"/>
                <w:sz w:val="18"/>
                <w:szCs w:val="18"/>
                <w:color w:val="auto"/>
              </w:rPr>
              <w:t>2019</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424,350</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1,298,253</w:t>
            </w:r>
          </w:p>
        </w:tc>
        <w:tc>
          <w:tcPr>
            <w:tcW w:w="1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2,000</w:t>
            </w:r>
          </w:p>
        </w:tc>
        <w:tc>
          <w:tcPr>
            <w:tcW w:w="1000" w:type="dxa"/>
            <w:vAlign w:val="bottom"/>
          </w:tcPr>
          <w:p>
            <w:pPr>
              <w:jc w:val="right"/>
              <w:spacing w:after="0"/>
              <w:rPr>
                <w:sz w:val="20"/>
                <w:szCs w:val="20"/>
                <w:color w:val="auto"/>
              </w:rPr>
            </w:pPr>
            <w:r>
              <w:rPr>
                <w:rFonts w:ascii="Arial" w:cs="Arial" w:eastAsia="Arial" w:hAnsi="Arial"/>
                <w:sz w:val="18"/>
                <w:szCs w:val="18"/>
                <w:color w:val="auto"/>
              </w:rPr>
              <w:t>1,724,603</w:t>
            </w:r>
          </w:p>
        </w:tc>
        <w:tc>
          <w:tcPr>
            <w:tcW w:w="60" w:type="dxa"/>
            <w:vAlign w:val="bottom"/>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3160" w:type="dxa"/>
            <w:vAlign w:val="bottom"/>
          </w:tcPr>
          <w:p>
            <w:pPr>
              <w:ind w:left="200"/>
              <w:spacing w:after="0" w:line="202" w:lineRule="exact"/>
              <w:rPr>
                <w:sz w:val="20"/>
                <w:szCs w:val="20"/>
                <w:color w:val="auto"/>
              </w:rPr>
            </w:pPr>
            <w:r>
              <w:rPr>
                <w:rFonts w:ascii="Arial" w:cs="Arial" w:eastAsia="Arial" w:hAnsi="Arial"/>
                <w:sz w:val="18"/>
                <w:szCs w:val="18"/>
                <w:i w:val="1"/>
                <w:iCs w:val="1"/>
                <w:color w:val="auto"/>
              </w:rPr>
              <w:t>President, Research and</w:t>
            </w:r>
          </w:p>
        </w:tc>
        <w:tc>
          <w:tcPr>
            <w:tcW w:w="700" w:type="dxa"/>
            <w:vAlign w:val="bottom"/>
          </w:tcPr>
          <w:p>
            <w:pPr>
              <w:ind w:left="200"/>
              <w:spacing w:after="0" w:line="202" w:lineRule="exact"/>
              <w:rPr>
                <w:sz w:val="20"/>
                <w:szCs w:val="20"/>
                <w:color w:val="auto"/>
              </w:rPr>
            </w:pPr>
            <w:r>
              <w:rPr>
                <w:rFonts w:ascii="Arial" w:cs="Arial" w:eastAsia="Arial" w:hAnsi="Arial"/>
                <w:sz w:val="18"/>
                <w:szCs w:val="18"/>
                <w:color w:val="auto"/>
              </w:rPr>
              <w:t>2018</w:t>
            </w:r>
          </w:p>
        </w:tc>
        <w:tc>
          <w:tcPr>
            <w:tcW w:w="9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405,000</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81,934</w:t>
            </w:r>
          </w:p>
        </w:tc>
        <w:tc>
          <w:tcPr>
            <w:tcW w:w="17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152,150</w:t>
            </w:r>
          </w:p>
        </w:tc>
        <w:tc>
          <w:tcPr>
            <w:tcW w:w="400" w:type="dxa"/>
            <w:vAlign w:val="bottom"/>
          </w:tcPr>
          <w:p>
            <w:pPr>
              <w:spacing w:after="0"/>
              <w:rPr>
                <w:sz w:val="17"/>
                <w:szCs w:val="17"/>
                <w:color w:val="auto"/>
              </w:rPr>
            </w:pPr>
          </w:p>
        </w:tc>
        <w:tc>
          <w:tcPr>
            <w:tcW w:w="130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639,084</w:t>
            </w:r>
          </w:p>
        </w:tc>
        <w:tc>
          <w:tcPr>
            <w:tcW w:w="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3160" w:type="dxa"/>
            <w:vAlign w:val="bottom"/>
          </w:tcPr>
          <w:p>
            <w:pPr>
              <w:ind w:left="200"/>
              <w:spacing w:after="0"/>
              <w:rPr>
                <w:sz w:val="20"/>
                <w:szCs w:val="20"/>
                <w:color w:val="auto"/>
              </w:rPr>
            </w:pPr>
            <w:r>
              <w:rPr>
                <w:rFonts w:ascii="Arial" w:cs="Arial" w:eastAsia="Arial" w:hAnsi="Arial"/>
                <w:sz w:val="18"/>
                <w:szCs w:val="18"/>
                <w:i w:val="1"/>
                <w:iCs w:val="1"/>
                <w:color w:val="auto"/>
              </w:rPr>
              <w:t>Development</w:t>
            </w: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70"/>
        </w:trPr>
        <w:tc>
          <w:tcPr>
            <w:tcW w:w="3180" w:type="dxa"/>
            <w:vAlign w:val="bottom"/>
            <w:gridSpan w:val="2"/>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Margaret Horn, J.D.</w:t>
            </w:r>
          </w:p>
        </w:tc>
        <w:tc>
          <w:tcPr>
            <w:tcW w:w="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2019</w:t>
            </w: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384,375</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1,662,587</w:t>
            </w:r>
          </w:p>
        </w:tc>
        <w:tc>
          <w:tcPr>
            <w:tcW w:w="17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2,000</w:t>
            </w: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2,048,962</w:t>
            </w:r>
          </w:p>
        </w:tc>
        <w:tc>
          <w:tcPr>
            <w:tcW w:w="60" w:type="dxa"/>
            <w:vAlign w:val="bottom"/>
            <w:shd w:val="clear" w:color="auto" w:fill="CCEEFF"/>
          </w:tcPr>
          <w:p>
            <w:pPr>
              <w:spacing w:after="0"/>
              <w:rPr>
                <w:sz w:val="17"/>
                <w:szCs w:val="17"/>
                <w:color w:val="auto"/>
              </w:rPr>
            </w:pPr>
          </w:p>
        </w:tc>
      </w:tr>
      <w:tr>
        <w:trPr>
          <w:trHeight w:val="188"/>
        </w:trPr>
        <w:tc>
          <w:tcPr>
            <w:tcW w:w="20" w:type="dxa"/>
            <w:vAlign w:val="bottom"/>
          </w:tcPr>
          <w:p>
            <w:pPr>
              <w:spacing w:after="0"/>
              <w:rPr>
                <w:sz w:val="16"/>
                <w:szCs w:val="16"/>
                <w:color w:val="auto"/>
              </w:rPr>
            </w:pPr>
          </w:p>
        </w:tc>
        <w:tc>
          <w:tcPr>
            <w:tcW w:w="3160" w:type="dxa"/>
            <w:vAlign w:val="bottom"/>
            <w:shd w:val="clear" w:color="auto" w:fill="CCEEFF"/>
          </w:tcPr>
          <w:p>
            <w:pPr>
              <w:ind w:left="200"/>
              <w:spacing w:after="0" w:line="188" w:lineRule="exact"/>
              <w:rPr>
                <w:sz w:val="20"/>
                <w:szCs w:val="20"/>
                <w:color w:val="auto"/>
              </w:rPr>
            </w:pPr>
            <w:r>
              <w:rPr>
                <w:rFonts w:ascii="Arial" w:cs="Arial" w:eastAsia="Arial" w:hAnsi="Arial"/>
                <w:sz w:val="18"/>
                <w:szCs w:val="18"/>
                <w:i w:val="1"/>
                <w:iCs w:val="1"/>
                <w:color w:val="auto"/>
              </w:rPr>
              <w:t>Chief Operating Officer and General</w:t>
            </w:r>
          </w:p>
        </w:tc>
        <w:tc>
          <w:tcPr>
            <w:tcW w:w="700" w:type="dxa"/>
            <w:vAlign w:val="bottom"/>
            <w:shd w:val="clear" w:color="auto" w:fill="CCEEFF"/>
          </w:tcPr>
          <w:p>
            <w:pPr>
              <w:ind w:left="200"/>
              <w:spacing w:after="0" w:line="188" w:lineRule="exact"/>
              <w:rPr>
                <w:sz w:val="20"/>
                <w:szCs w:val="20"/>
                <w:color w:val="auto"/>
              </w:rPr>
            </w:pPr>
            <w:r>
              <w:rPr>
                <w:rFonts w:ascii="Arial" w:cs="Arial" w:eastAsia="Arial" w:hAnsi="Arial"/>
                <w:sz w:val="18"/>
                <w:szCs w:val="18"/>
                <w:color w:val="auto"/>
              </w:rPr>
              <w:t>2018</w:t>
            </w:r>
          </w:p>
        </w:tc>
        <w:tc>
          <w:tcPr>
            <w:tcW w:w="940" w:type="dxa"/>
            <w:vAlign w:val="bottom"/>
            <w:shd w:val="clear" w:color="auto" w:fill="CCEEFF"/>
          </w:tcPr>
          <w:p>
            <w:pPr>
              <w:jc w:val="right"/>
              <w:ind w:right="12"/>
              <w:spacing w:after="0" w:line="188" w:lineRule="exact"/>
              <w:rPr>
                <w:sz w:val="20"/>
                <w:szCs w:val="20"/>
                <w:color w:val="auto"/>
              </w:rPr>
            </w:pPr>
            <w:r>
              <w:rPr>
                <w:rFonts w:ascii="Arial" w:cs="Arial" w:eastAsia="Arial" w:hAnsi="Arial"/>
                <w:sz w:val="18"/>
                <w:szCs w:val="18"/>
                <w:color w:val="auto"/>
              </w:rPr>
              <w:t>347,500</w:t>
            </w:r>
          </w:p>
        </w:tc>
        <w:tc>
          <w:tcPr>
            <w:tcW w:w="72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2"/>
              <w:spacing w:after="0" w:line="188" w:lineRule="exact"/>
              <w:rPr>
                <w:sz w:val="20"/>
                <w:szCs w:val="20"/>
                <w:color w:val="auto"/>
              </w:rPr>
            </w:pPr>
            <w:r>
              <w:rPr>
                <w:rFonts w:ascii="Arial" w:cs="Arial" w:eastAsia="Arial" w:hAnsi="Arial"/>
                <w:sz w:val="18"/>
                <w:szCs w:val="18"/>
                <w:color w:val="auto"/>
              </w:rPr>
              <w:t>31,323</w:t>
            </w:r>
          </w:p>
        </w:tc>
        <w:tc>
          <w:tcPr>
            <w:tcW w:w="1700" w:type="dxa"/>
            <w:vAlign w:val="bottom"/>
            <w:shd w:val="clear" w:color="auto" w:fill="CCEEFF"/>
          </w:tcPr>
          <w:p>
            <w:pPr>
              <w:jc w:val="right"/>
              <w:ind w:right="92"/>
              <w:spacing w:after="0" w:line="188" w:lineRule="exact"/>
              <w:rPr>
                <w:sz w:val="20"/>
                <w:szCs w:val="20"/>
                <w:color w:val="auto"/>
              </w:rPr>
            </w:pPr>
            <w:r>
              <w:rPr>
                <w:rFonts w:ascii="Arial" w:cs="Arial" w:eastAsia="Arial" w:hAnsi="Arial"/>
                <w:sz w:val="18"/>
                <w:szCs w:val="18"/>
                <w:color w:val="auto"/>
              </w:rPr>
              <w:t>140,000</w:t>
            </w: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2"/>
              <w:spacing w:after="0" w:line="188"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8" w:lineRule="exact"/>
              <w:rPr>
                <w:sz w:val="20"/>
                <w:szCs w:val="20"/>
                <w:color w:val="auto"/>
              </w:rPr>
            </w:pPr>
            <w:r>
              <w:rPr>
                <w:rFonts w:ascii="Arial" w:cs="Arial" w:eastAsia="Arial" w:hAnsi="Arial"/>
                <w:sz w:val="18"/>
                <w:szCs w:val="18"/>
                <w:color w:val="auto"/>
              </w:rPr>
              <w:t>518,823</w:t>
            </w:r>
          </w:p>
        </w:tc>
        <w:tc>
          <w:tcPr>
            <w:tcW w:w="60" w:type="dxa"/>
            <w:vAlign w:val="bottom"/>
            <w:shd w:val="clear" w:color="auto" w:fill="CCEEFF"/>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316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Counsel</w:t>
            </w:r>
          </w:p>
        </w:tc>
        <w:tc>
          <w:tcPr>
            <w:tcW w:w="7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right="200" w:hanging="316"/>
        <w:spacing w:after="0" w:line="228" w:lineRule="auto"/>
        <w:tabs>
          <w:tab w:leader="none" w:pos="5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Amounts reported represent the aggregate grant date fair value of stock options granted to our named executive officers computed in accordance with FASB ASC Topic 718. Assumptions used in the calculation of these amounts are included in Note 10 to our consolidated financial statements included in this prospectus. Our named executive officers will only realize compensation to the extent the trading price of our common stock is greater than the exercise price of such stock options.</w:t>
      </w:r>
    </w:p>
    <w:p>
      <w:pPr>
        <w:spacing w:after="0" w:line="54" w:lineRule="exact"/>
        <w:rPr>
          <w:rFonts w:ascii="Arial" w:cs="Arial" w:eastAsia="Arial" w:hAnsi="Arial"/>
          <w:sz w:val="14"/>
          <w:szCs w:val="14"/>
          <w:color w:val="auto"/>
        </w:rPr>
      </w:pPr>
    </w:p>
    <w:p>
      <w:pPr>
        <w:ind w:left="520" w:right="20" w:hanging="316"/>
        <w:spacing w:after="0" w:line="228" w:lineRule="auto"/>
        <w:tabs>
          <w:tab w:leader="none" w:pos="5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The annual performance-based cash bonus earned by our named executive officers for 2019 performance have not yet been determined. It is anticipated that such bonuses will be determined later in the first quarter of 2020, at which time the Company will disclose the amounts of such bonuses. Please see the description of the annual bonus program under “2019 bonuses” below.</w:t>
      </w:r>
    </w:p>
    <w:p>
      <w:pPr>
        <w:spacing w:after="0" w:line="54" w:lineRule="exact"/>
        <w:rPr>
          <w:rFonts w:ascii="Arial" w:cs="Arial" w:eastAsia="Arial" w:hAnsi="Arial"/>
          <w:sz w:val="14"/>
          <w:szCs w:val="14"/>
          <w:color w:val="auto"/>
        </w:rPr>
      </w:pPr>
    </w:p>
    <w:p>
      <w:pPr>
        <w:ind w:left="520" w:hanging="316"/>
        <w:spacing w:after="0"/>
        <w:tabs>
          <w:tab w:leader="none" w:pos="52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Represents Company matching contributions under our 401(k) plan.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Narrative to the summary compensation table</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salaries</w:t>
      </w:r>
    </w:p>
    <w:p>
      <w:pPr>
        <w:spacing w:after="0" w:line="124" w:lineRule="exact"/>
        <w:rPr>
          <w:sz w:val="20"/>
          <w:szCs w:val="20"/>
          <w:color w:val="auto"/>
        </w:rPr>
      </w:pPr>
    </w:p>
    <w:p>
      <w:pPr>
        <w:jc w:val="both"/>
        <w:ind w:left="200" w:right="20"/>
        <w:spacing w:after="0" w:line="238" w:lineRule="auto"/>
        <w:rPr>
          <w:sz w:val="20"/>
          <w:szCs w:val="20"/>
          <w:color w:val="auto"/>
        </w:rPr>
      </w:pPr>
      <w:r>
        <w:rPr>
          <w:rFonts w:ascii="Arial" w:cs="Arial" w:eastAsia="Arial" w:hAnsi="Arial"/>
          <w:sz w:val="18"/>
          <w:szCs w:val="18"/>
          <w:color w:val="auto"/>
        </w:rPr>
        <w:t>Our named executive officers each receive a base salary to compensate them for services rendered to our company. The base salary payable to each named executive officer is intended to provide a fixed component of compensation reflecting the executive’s skill set, experience, role and responsibilities.</w:t>
      </w:r>
    </w:p>
    <w:p>
      <w:pPr>
        <w:spacing w:after="0" w:line="100"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For fiscal year 2019, Dr. Goldsmith’s annual base salary was $506,760, Dr. Kelsey’s annual base salary was $426,420, and Ms. Horn’s annual base salary was $386,250. The annual base salaries of our named executive officers were increased 3% from their respective levels in 2018, effective March 1, 2019.</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In connection with this offering, our board of directors approved increasing the annual base salaries of our named executive officers to the following amounts, in each case, effective as of the date of the effectiveness of the registration statement to which this prospectus relates: Dr. Goldsmith: $560,000; Dr. Kelsey: $469,000; and Ms. Horn: $469,000.</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bonuses</w:t>
      </w:r>
    </w:p>
    <w:p>
      <w:pPr>
        <w:spacing w:after="0" w:line="12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We maintain an annual performance-based cash bonus program in which each of our named executive officers participated in 2019. Each named executive officer’s target bonus is expressed as a percentage of base salary which can be achieved by meeting corporate goals at target level. The 2019 annual bonuses for Dr. Goldsmith, Dr. Kelsey and Ms. Horn are targeted at 45%, 35% and 35% of their respective base salaries, which levels remain unchanged from 2018.</w:t>
      </w:r>
    </w:p>
    <w:p>
      <w:pPr>
        <w:spacing w:after="0" w:line="10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For 2019, our named executive officers are eligible to earn annual cash bonuses based on the achievement of certain corporate performance objectives approved by the compensation committee and the board of directors as well as individual achievement, with corporate achievement weighted 90% and the individual achievement weighted 10%.</w:t>
      </w:r>
    </w:p>
    <w:p>
      <w:pPr>
        <w:spacing w:after="0" w:line="100"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board of directors has not yet determined the bonus payments with respect to 2019, but anticipates that such determinations will be made later in the first quarter of 2020.</w:t>
      </w:r>
    </w:p>
    <w:p>
      <w:pPr>
        <w:spacing w:after="0" w:line="101" w:lineRule="exact"/>
        <w:rPr>
          <w:sz w:val="20"/>
          <w:szCs w:val="20"/>
          <w:color w:val="auto"/>
        </w:rPr>
      </w:pPr>
    </w:p>
    <w:p>
      <w:pPr>
        <w:jc w:val="both"/>
        <w:ind w:left="200" w:right="200"/>
        <w:spacing w:after="0" w:line="238" w:lineRule="auto"/>
        <w:rPr>
          <w:sz w:val="20"/>
          <w:szCs w:val="20"/>
          <w:color w:val="auto"/>
        </w:rPr>
      </w:pPr>
      <w:r>
        <w:rPr>
          <w:rFonts w:ascii="Arial" w:cs="Arial" w:eastAsia="Arial" w:hAnsi="Arial"/>
          <w:sz w:val="18"/>
          <w:szCs w:val="18"/>
          <w:color w:val="auto"/>
        </w:rPr>
        <w:t>In connection with this offering, our board of directors approved increasing the annual target bonuses of our named executive officers to the following amounts as a percentage of base salary, in each case, effective as of the date of the effectiveness of the registration statement to which this prospectus relates: Dr. Goldsmith: 50%; Dr. Kelsey: 40%; and Ms. Horn: 40%.</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24"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We currently maintain the 2014 Equity Incentive Plan, pursuant to which we may grant equity awards to certain of our service providers. In connection with Ms. Horn’s promotion from Executive Vice President and General Counsel to Chief Operating Officer and General Counsel, our board approved, effective March 2019, the grant of an option to purchase 102,751 shares of our common stock, which vests as to 1/48</w:t>
      </w:r>
      <w:r>
        <w:rPr>
          <w:rFonts w:ascii="Arial" w:cs="Arial" w:eastAsia="Arial" w:hAnsi="Arial"/>
          <w:sz w:val="11"/>
          <w:szCs w:val="11"/>
          <w:color w:val="auto"/>
        </w:rPr>
        <w:t>th</w:t>
      </w:r>
      <w:r>
        <w:rPr>
          <w:rFonts w:ascii="Arial" w:cs="Arial" w:eastAsia="Arial" w:hAnsi="Arial"/>
          <w:sz w:val="18"/>
          <w:szCs w:val="18"/>
          <w:color w:val="auto"/>
        </w:rPr>
        <w:t xml:space="preserve"> of the shares subject to the option on each monthly anniversary of January 1, 2018, subject to Ms. Horn’s continued service on each applicable vesting date. Each option is exercisable immediately, in whole or in part, provided that shares acquired upon exercise of any unvested portion are subject to a right of repurchase by the Company.</w:t>
      </w:r>
    </w:p>
    <w:p>
      <w:pPr>
        <w:spacing w:after="0" w:line="102"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In March 2019, we granted to Dr. Goldsmith, Dr. Kelsey and Ms. Horn options to purchase 397,964, 123,301 and 123,302 shares of our common stock, respectively, each of which vests with respect to 1/48</w:t>
      </w:r>
      <w:r>
        <w:rPr>
          <w:rFonts w:ascii="Arial" w:cs="Arial" w:eastAsia="Arial" w:hAnsi="Arial"/>
          <w:sz w:val="11"/>
          <w:szCs w:val="11"/>
          <w:color w:val="auto"/>
        </w:rPr>
        <w:t>th</w:t>
      </w:r>
      <w:r>
        <w:rPr>
          <w:rFonts w:ascii="Arial" w:cs="Arial" w:eastAsia="Arial" w:hAnsi="Arial"/>
          <w:sz w:val="18"/>
          <w:szCs w:val="18"/>
          <w:color w:val="auto"/>
        </w:rPr>
        <w:t xml:space="preserve"> of the shares subject to the option on each monthly anniversary of March 13, 2019, subject to the executive’s continued service on each applicable vesting date. In addition, in August 2019, we granted to Dr. Goldsmith, Dr. Kelsey and Ms. Horn options to purchase 583,465, 206,740 and 224,800 shares of our common stock, respectively, each of which vests with respect to 1/48</w:t>
      </w:r>
      <w:r>
        <w:rPr>
          <w:rFonts w:ascii="Arial" w:cs="Arial" w:eastAsia="Arial" w:hAnsi="Arial"/>
          <w:sz w:val="11"/>
          <w:szCs w:val="11"/>
          <w:color w:val="auto"/>
        </w:rPr>
        <w:t>th</w:t>
      </w:r>
      <w:r>
        <w:rPr>
          <w:rFonts w:ascii="Arial" w:cs="Arial" w:eastAsia="Arial" w:hAnsi="Arial"/>
          <w:sz w:val="18"/>
          <w:szCs w:val="18"/>
          <w:color w:val="auto"/>
        </w:rPr>
        <w:t xml:space="preserve"> of the shares subject to the option on each monthly anniversary of August 9, 2019, subject to the executive’s continued service to the Company on each applicable vesting date.</w:t>
      </w:r>
    </w:p>
    <w:p>
      <w:pPr>
        <w:spacing w:after="0" w:line="102"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Each option is exercisable immediately, in whole or in part, provided that shares acquired upon exercise of any unvested portion are subject to a right of repurchase by the Company.</w:t>
      </w:r>
    </w:p>
    <w:p>
      <w:pPr>
        <w:spacing w:after="0" w:line="101"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We have adopted the 2020 Incentive Award Plan, or the 2020 Plan, in order to facilitate the grant of cash and equity incentives to directors, employees (including our named executive officers) and consultants of our company and certain of its affiliates and to enable us to obtain and retain services of these individuals, which is essential to our long-term success. The 2020 Plan will be effective on the day prior to the date the registration</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240" w:top="460"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statement relating to this offering becomes effective. For additional information about the 2020 Plan, please see the section titled “Equity compensation plans” below</w:t>
      </w:r>
      <w:r>
        <w:rPr>
          <w:rFonts w:ascii="Arial" w:cs="Arial" w:eastAsia="Arial" w:hAnsi="Arial"/>
          <w:sz w:val="18"/>
          <w:szCs w:val="18"/>
          <w:i w:val="1"/>
          <w:iCs w:val="1"/>
          <w:color w:val="auto"/>
        </w:rPr>
        <w:t>.</w:t>
      </w:r>
    </w:p>
    <w:p>
      <w:pPr>
        <w:spacing w:after="0" w:line="10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Effective as of the date of the effectiveness of the registration statement to which this prospectus relates, our board of directors approved the award of stock options under the 2020 Plan to our named executive officers to purchase shares of common stock in the following amounts: Dr. Goldsmith: 128,439 shares; Dr. Kelsey: 47,060 shares; and Ms. Horn: 47,060 shares. The stock options will have a per share exercise price equal to the initial public offering price set forth on the cover of this prospectus and will vest in 48 equal monthly installments following the effective date of the grant, subject to the continued employment of the applicable named executive officer.</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Other elements of compensation</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maintain a 401(k) retirement savings plan for our employees, including our named executive officers, who satisfy certain eligibility requirements. Our named executive officers are eligible to participate in the 401(k) plan on the same terms as other full-time employees. We introduced a discretionary company contribution match for 2019 equal to 50% of participant contributions, subject to a maximum company match of $2,000. We did not match contributions made by participants prior to 2019. We believe that providing a vehicle for tax-deferred retirement savings though our 401(k) plan adds to the overall desirability of our executive compensation package and further incentivizes our employees, including our named executive officers, in accordance with our compensation policies.</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Employee benefits and perquisites</w:t>
      </w:r>
    </w:p>
    <w:p>
      <w:pPr>
        <w:spacing w:after="0" w:line="12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All of our full-time employees, including our named executive officers, are eligible to participate in our health and welfare plans, including medical, dental and vision benefits, a cafeteria plan, short-term and long-term disability insurance, life insurance and pre-tax transit spending accounts. We do not currently provide any perquisites or other personal benefits to our named executive officers.</w:t>
      </w:r>
    </w:p>
    <w:p>
      <w:pPr>
        <w:spacing w:after="0" w:line="1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240" w:top="459" w:right="5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Outstanding equity awards as of December 31, 2019</w:t>
      </w:r>
    </w:p>
    <w:p>
      <w:pPr>
        <w:spacing w:after="0" w:line="134" w:lineRule="exact"/>
        <w:rPr>
          <w:sz w:val="20"/>
          <w:szCs w:val="20"/>
          <w:color w:val="auto"/>
        </w:rPr>
      </w:pPr>
    </w:p>
    <w:p>
      <w:pPr>
        <w:ind w:left="200" w:right="480"/>
        <w:spacing w:after="0" w:line="239" w:lineRule="auto"/>
        <w:rPr>
          <w:sz w:val="20"/>
          <w:szCs w:val="20"/>
          <w:color w:val="auto"/>
        </w:rPr>
      </w:pPr>
      <w:r>
        <w:rPr>
          <w:rFonts w:ascii="Arial" w:cs="Arial" w:eastAsia="Arial" w:hAnsi="Arial"/>
          <w:sz w:val="18"/>
          <w:szCs w:val="18"/>
          <w:color w:val="auto"/>
        </w:rPr>
        <w:t>The following table provides information about outstanding equity awards held by each of our named executive officers at December 31, 2019. All awards were granted under our 2014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gridSpan w:val="2"/>
          </w:tcPr>
          <w:p>
            <w:pPr>
              <w:ind w:left="440"/>
              <w:spacing w:after="0"/>
              <w:rPr>
                <w:sz w:val="20"/>
                <w:szCs w:val="20"/>
                <w:color w:val="auto"/>
              </w:rPr>
            </w:pPr>
            <w:r>
              <w:rPr>
                <w:rFonts w:ascii="Arial" w:cs="Arial" w:eastAsia="Arial" w:hAnsi="Arial"/>
                <w:sz w:val="14"/>
                <w:szCs w:val="14"/>
                <w:b w:val="1"/>
                <w:bCs w:val="1"/>
                <w:color w:val="auto"/>
              </w:rPr>
              <w:t>Option awards</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ind w:left="26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640" w:type="dxa"/>
            <w:vAlign w:val="bottom"/>
            <w:tcBorders>
              <w:top w:val="single" w:sz="8" w:color="auto"/>
            </w:tcBorders>
          </w:tcPr>
          <w:p>
            <w:pPr>
              <w:jc w:val="center"/>
              <w:ind w:right="52"/>
              <w:spacing w:after="0" w:line="125" w:lineRule="exact"/>
              <w:rPr>
                <w:sz w:val="20"/>
                <w:szCs w:val="20"/>
                <w:color w:val="auto"/>
              </w:rPr>
            </w:pPr>
            <w:r>
              <w:rPr>
                <w:rFonts w:ascii="Arial" w:cs="Arial" w:eastAsia="Arial" w:hAnsi="Arial"/>
                <w:sz w:val="14"/>
                <w:szCs w:val="14"/>
                <w:b w:val="1"/>
                <w:bCs w:val="1"/>
                <w:color w:val="auto"/>
                <w:w w:val="98"/>
              </w:rPr>
              <w:t>Number</w:t>
            </w:r>
          </w:p>
        </w:tc>
        <w:tc>
          <w:tcPr>
            <w:tcW w:w="7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0"/>
              </w:rPr>
              <w:t>of</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Market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7"/>
              </w:rPr>
              <w:t>shares</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7"/>
              </w:rPr>
              <w:t>or units</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4"/>
              </w:rPr>
              <w:t>Number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60" w:type="dxa"/>
            <w:vAlign w:val="bottom"/>
            <w:gridSpan w:val="2"/>
          </w:tcPr>
          <w:p>
            <w:pPr>
              <w:jc w:val="center"/>
              <w:ind w:left="32"/>
              <w:spacing w:after="0" w:line="149" w:lineRule="exact"/>
              <w:rPr>
                <w:sz w:val="20"/>
                <w:szCs w:val="20"/>
                <w:color w:val="auto"/>
              </w:rPr>
            </w:pPr>
            <w:r>
              <w:rPr>
                <w:rFonts w:ascii="Arial" w:cs="Arial" w:eastAsia="Arial" w:hAnsi="Arial"/>
                <w:sz w:val="14"/>
                <w:szCs w:val="14"/>
                <w:b w:val="1"/>
                <w:bCs w:val="1"/>
                <w:color w:val="auto"/>
                <w:w w:val="96"/>
              </w:rPr>
              <w:t>of stock</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4"/>
              </w:rPr>
              <w:t>securities</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of securities</w:t>
            </w: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3"/>
              </w:rPr>
              <w:t>that</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60" w:type="dxa"/>
            <w:vAlign w:val="bottom"/>
          </w:tcPr>
          <w:p>
            <w:pPr>
              <w:jc w:val="center"/>
              <w:ind w:right="72"/>
              <w:spacing w:after="0" w:line="149" w:lineRule="exact"/>
              <w:rPr>
                <w:sz w:val="20"/>
                <w:szCs w:val="20"/>
                <w:color w:val="auto"/>
              </w:rPr>
            </w:pPr>
            <w:r>
              <w:rPr>
                <w:rFonts w:ascii="Arial" w:cs="Arial" w:eastAsia="Arial" w:hAnsi="Arial"/>
                <w:sz w:val="14"/>
                <w:szCs w:val="14"/>
                <w:b w:val="1"/>
                <w:bCs w:val="1"/>
                <w:color w:val="auto"/>
                <w:w w:val="94"/>
              </w:rPr>
              <w:t>Vesting</w:t>
            </w:r>
          </w:p>
        </w:tc>
        <w:tc>
          <w:tcPr>
            <w:tcW w:w="120" w:type="dxa"/>
            <w:vAlign w:val="bottom"/>
          </w:tcPr>
          <w:p>
            <w:pPr>
              <w:spacing w:after="0"/>
              <w:rPr>
                <w:sz w:val="12"/>
                <w:szCs w:val="12"/>
                <w:color w:val="auto"/>
              </w:rPr>
            </w:pPr>
          </w:p>
        </w:tc>
        <w:tc>
          <w:tcPr>
            <w:tcW w:w="8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7"/>
              </w:rPr>
              <w:t>underlying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underlying</w:t>
            </w:r>
          </w:p>
        </w:tc>
        <w:tc>
          <w:tcPr>
            <w:tcW w:w="8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Option</w:t>
            </w:r>
          </w:p>
        </w:tc>
        <w:tc>
          <w:tcPr>
            <w:tcW w:w="7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7"/>
              </w:rPr>
              <w:t>Option</w:t>
            </w:r>
          </w:p>
        </w:tc>
        <w:tc>
          <w:tcPr>
            <w:tcW w:w="220" w:type="dxa"/>
            <w:vAlign w:val="bottom"/>
          </w:tcPr>
          <w:p>
            <w:pPr>
              <w:spacing w:after="0"/>
              <w:rPr>
                <w:sz w:val="12"/>
                <w:szCs w:val="12"/>
                <w:color w:val="auto"/>
              </w:rPr>
            </w:pPr>
          </w:p>
        </w:tc>
        <w:tc>
          <w:tcPr>
            <w:tcW w:w="6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rPr>
              <w:t>have</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have not</w:t>
            </w:r>
          </w:p>
        </w:tc>
        <w:tc>
          <w:tcPr>
            <w:tcW w:w="0" w:type="dxa"/>
            <w:vAlign w:val="bottom"/>
          </w:tcPr>
          <w:p>
            <w:pPr>
              <w:spacing w:after="0"/>
              <w:rPr>
                <w:sz w:val="1"/>
                <w:szCs w:val="1"/>
                <w:color w:val="auto"/>
              </w:rPr>
            </w:pPr>
          </w:p>
        </w:tc>
      </w:tr>
      <w:tr>
        <w:trPr>
          <w:trHeight w:val="149"/>
        </w:trPr>
        <w:tc>
          <w:tcPr>
            <w:tcW w:w="3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880" w:type="dxa"/>
            <w:vAlign w:val="bottom"/>
          </w:tcPr>
          <w:p>
            <w:pPr>
              <w:spacing w:after="0"/>
              <w:rPr>
                <w:sz w:val="12"/>
                <w:szCs w:val="12"/>
                <w:color w:val="auto"/>
              </w:rPr>
            </w:pPr>
          </w:p>
        </w:tc>
        <w:tc>
          <w:tcPr>
            <w:tcW w:w="146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5"/>
              </w:rPr>
              <w:t>commencement</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exercisable</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unexercisable</w:t>
            </w:r>
          </w:p>
        </w:tc>
        <w:tc>
          <w:tcPr>
            <w:tcW w:w="80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exercise</w:t>
            </w:r>
          </w:p>
        </w:tc>
        <w:tc>
          <w:tcPr>
            <w:tcW w:w="780" w:type="dxa"/>
            <w:vAlign w:val="bottom"/>
          </w:tcPr>
          <w:p>
            <w:pPr>
              <w:jc w:val="center"/>
              <w:ind w:left="32"/>
              <w:spacing w:after="0" w:line="149" w:lineRule="exact"/>
              <w:rPr>
                <w:sz w:val="20"/>
                <w:szCs w:val="20"/>
                <w:color w:val="auto"/>
              </w:rPr>
            </w:pPr>
            <w:r>
              <w:rPr>
                <w:rFonts w:ascii="Arial" w:cs="Arial" w:eastAsia="Arial" w:hAnsi="Arial"/>
                <w:sz w:val="14"/>
                <w:szCs w:val="14"/>
                <w:b w:val="1"/>
                <w:bCs w:val="1"/>
                <w:color w:val="auto"/>
                <w:w w:val="95"/>
              </w:rPr>
              <w:t>expiration</w:t>
            </w:r>
          </w:p>
        </w:tc>
        <w:tc>
          <w:tcPr>
            <w:tcW w:w="220" w:type="dxa"/>
            <w:vAlign w:val="bottom"/>
          </w:tcPr>
          <w:p>
            <w:pPr>
              <w:spacing w:after="0"/>
              <w:rPr>
                <w:sz w:val="12"/>
                <w:szCs w:val="12"/>
                <w:color w:val="auto"/>
              </w:rPr>
            </w:pPr>
          </w:p>
        </w:tc>
        <w:tc>
          <w:tcPr>
            <w:tcW w:w="640" w:type="dxa"/>
            <w:vAlign w:val="bottom"/>
          </w:tcPr>
          <w:p>
            <w:pPr>
              <w:jc w:val="center"/>
              <w:ind w:right="52"/>
              <w:spacing w:after="0" w:line="149" w:lineRule="exact"/>
              <w:rPr>
                <w:sz w:val="20"/>
                <w:szCs w:val="20"/>
                <w:color w:val="auto"/>
              </w:rPr>
            </w:pPr>
            <w:r>
              <w:rPr>
                <w:rFonts w:ascii="Arial" w:cs="Arial" w:eastAsia="Arial" w:hAnsi="Arial"/>
                <w:sz w:val="14"/>
                <w:szCs w:val="14"/>
                <w:b w:val="1"/>
                <w:bCs w:val="1"/>
                <w:color w:val="auto"/>
                <w:w w:val="91"/>
              </w:rPr>
              <w:t>not</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9"/>
              </w:rPr>
              <w:t>vested</w:t>
            </w:r>
          </w:p>
        </w:tc>
        <w:tc>
          <w:tcPr>
            <w:tcW w:w="0" w:type="dxa"/>
            <w:vAlign w:val="bottom"/>
          </w:tcPr>
          <w:p>
            <w:pPr>
              <w:spacing w:after="0"/>
              <w:rPr>
                <w:sz w:val="1"/>
                <w:szCs w:val="1"/>
                <w:color w:val="auto"/>
              </w:rPr>
            </w:pPr>
          </w:p>
        </w:tc>
      </w:tr>
      <w:tr>
        <w:trPr>
          <w:trHeight w:val="165"/>
        </w:trPr>
        <w:tc>
          <w:tcPr>
            <w:tcW w:w="33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Grant date</w:t>
            </w:r>
          </w:p>
        </w:tc>
        <w:tc>
          <w:tcPr>
            <w:tcW w:w="1460" w:type="dxa"/>
            <w:vAlign w:val="bottom"/>
          </w:tcPr>
          <w:p>
            <w:pPr>
              <w:jc w:val="center"/>
              <w:ind w:right="72"/>
              <w:spacing w:after="0"/>
              <w:rPr>
                <w:sz w:val="20"/>
                <w:szCs w:val="20"/>
                <w:color w:val="auto"/>
              </w:rPr>
            </w:pPr>
            <w:r>
              <w:rPr>
                <w:rFonts w:ascii="Arial" w:cs="Arial" w:eastAsia="Arial" w:hAnsi="Arial"/>
                <w:sz w:val="14"/>
                <w:szCs w:val="14"/>
                <w:b w:val="1"/>
                <w:bCs w:val="1"/>
                <w:color w:val="auto"/>
                <w:w w:val="97"/>
              </w:rPr>
              <w:t>date</w:t>
            </w:r>
          </w:p>
        </w:tc>
        <w:tc>
          <w:tcPr>
            <w:tcW w:w="120" w:type="dxa"/>
            <w:vAlign w:val="bottom"/>
          </w:tcPr>
          <w:p>
            <w:pPr>
              <w:spacing w:after="0"/>
              <w:rPr>
                <w:sz w:val="14"/>
                <w:szCs w:val="14"/>
                <w:color w:val="auto"/>
              </w:rPr>
            </w:pPr>
          </w:p>
        </w:tc>
        <w:tc>
          <w:tcPr>
            <w:tcW w:w="860" w:type="dxa"/>
            <w:vAlign w:val="bottom"/>
          </w:tcPr>
          <w:p>
            <w:pPr>
              <w:jc w:val="center"/>
              <w:ind w:right="52"/>
              <w:spacing w:after="0"/>
              <w:rPr>
                <w:sz w:val="20"/>
                <w:szCs w:val="20"/>
                <w:color w:val="auto"/>
              </w:rPr>
            </w:pPr>
            <w:r>
              <w:rPr>
                <w:rFonts w:ascii="Arial" w:cs="Arial" w:eastAsia="Arial" w:hAnsi="Arial"/>
                <w:sz w:val="14"/>
                <w:szCs w:val="14"/>
                <w:b w:val="1"/>
                <w:bCs w:val="1"/>
                <w:color w:val="auto"/>
                <w:w w:val="97"/>
              </w:rPr>
              <w:t>options(1)</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4"/>
              </w:rPr>
              <w:t>options(1)</w:t>
            </w:r>
          </w:p>
        </w:tc>
        <w:tc>
          <w:tcPr>
            <w:tcW w:w="800" w:type="dxa"/>
            <w:vAlign w:val="bottom"/>
            <w:gridSpan w:val="2"/>
          </w:tcPr>
          <w:p>
            <w:pPr>
              <w:ind w:left="140"/>
              <w:spacing w:after="0"/>
              <w:rPr>
                <w:sz w:val="20"/>
                <w:szCs w:val="20"/>
                <w:color w:val="auto"/>
              </w:rPr>
            </w:pPr>
            <w:r>
              <w:rPr>
                <w:rFonts w:ascii="Arial" w:cs="Arial" w:eastAsia="Arial" w:hAnsi="Arial"/>
                <w:sz w:val="14"/>
                <w:szCs w:val="14"/>
                <w:b w:val="1"/>
                <w:bCs w:val="1"/>
                <w:color w:val="auto"/>
              </w:rPr>
              <w:t>price ($)</w:t>
            </w:r>
          </w:p>
        </w:tc>
        <w:tc>
          <w:tcPr>
            <w:tcW w:w="780" w:type="dxa"/>
            <w:vAlign w:val="bottom"/>
          </w:tcPr>
          <w:p>
            <w:pPr>
              <w:jc w:val="center"/>
              <w:ind w:left="32"/>
              <w:spacing w:after="0"/>
              <w:rPr>
                <w:sz w:val="20"/>
                <w:szCs w:val="20"/>
                <w:color w:val="auto"/>
              </w:rPr>
            </w:pPr>
            <w:r>
              <w:rPr>
                <w:rFonts w:ascii="Arial" w:cs="Arial" w:eastAsia="Arial" w:hAnsi="Arial"/>
                <w:sz w:val="14"/>
                <w:szCs w:val="14"/>
                <w:b w:val="1"/>
                <w:bCs w:val="1"/>
                <w:color w:val="auto"/>
                <w:w w:val="97"/>
              </w:rPr>
              <w:t>date</w:t>
            </w:r>
          </w:p>
        </w:tc>
        <w:tc>
          <w:tcPr>
            <w:tcW w:w="220" w:type="dxa"/>
            <w:vAlign w:val="bottom"/>
          </w:tcPr>
          <w:p>
            <w:pPr>
              <w:spacing w:after="0"/>
              <w:rPr>
                <w:sz w:val="14"/>
                <w:szCs w:val="14"/>
                <w:color w:val="auto"/>
              </w:rPr>
            </w:pPr>
          </w:p>
        </w:tc>
        <w:tc>
          <w:tcPr>
            <w:tcW w:w="640" w:type="dxa"/>
            <w:vAlign w:val="bottom"/>
          </w:tcPr>
          <w:p>
            <w:pPr>
              <w:jc w:val="center"/>
              <w:ind w:right="52"/>
              <w:spacing w:after="0"/>
              <w:rPr>
                <w:sz w:val="20"/>
                <w:szCs w:val="20"/>
                <w:color w:val="auto"/>
              </w:rPr>
            </w:pPr>
            <w:r>
              <w:rPr>
                <w:rFonts w:ascii="Arial" w:cs="Arial" w:eastAsia="Arial" w:hAnsi="Arial"/>
                <w:sz w:val="14"/>
                <w:szCs w:val="14"/>
                <w:b w:val="1"/>
                <w:bCs w:val="1"/>
                <w:color w:val="auto"/>
                <w:w w:val="99"/>
              </w:rPr>
              <w:t>vested</w:t>
            </w:r>
          </w:p>
        </w:tc>
        <w:tc>
          <w:tcPr>
            <w:tcW w:w="780" w:type="dxa"/>
            <w:vAlign w:val="bottom"/>
          </w:tcPr>
          <w:p>
            <w:pPr>
              <w:jc w:val="center"/>
              <w:ind w:left="32"/>
              <w:spacing w:after="0"/>
              <w:rPr>
                <w:sz w:val="20"/>
                <w:szCs w:val="20"/>
                <w:color w:val="auto"/>
              </w:rPr>
            </w:pPr>
            <w:r>
              <w:rPr>
                <w:rFonts w:ascii="Arial" w:cs="Arial" w:eastAsia="Arial" w:hAnsi="Arial"/>
                <w:sz w:val="14"/>
                <w:szCs w:val="14"/>
                <w:b w:val="1"/>
                <w:bCs w:val="1"/>
                <w:color w:val="auto"/>
                <w:w w:val="93"/>
              </w:rPr>
              <w:t>($)(2)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3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Mark A. Goldsmith, M.D., Ph.D</w:t>
            </w:r>
          </w:p>
        </w:tc>
        <w:tc>
          <w:tcPr>
            <w:tcW w:w="8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3/21/2017</w:t>
            </w:r>
          </w:p>
        </w:tc>
        <w:tc>
          <w:tcPr>
            <w:tcW w:w="1460" w:type="dxa"/>
            <w:vAlign w:val="bottom"/>
            <w:tcBorders>
              <w:top w:val="single" w:sz="8" w:color="auto"/>
            </w:tcBorders>
            <w:shd w:val="clear" w:color="auto" w:fill="CCEEFF"/>
          </w:tcPr>
          <w:p>
            <w:pPr>
              <w:jc w:val="right"/>
              <w:ind w:right="32"/>
              <w:spacing w:after="0" w:line="155" w:lineRule="exact"/>
              <w:rPr>
                <w:sz w:val="20"/>
                <w:szCs w:val="20"/>
                <w:color w:val="auto"/>
              </w:rPr>
            </w:pPr>
            <w:r>
              <w:rPr>
                <w:rFonts w:ascii="Arial" w:cs="Arial" w:eastAsia="Arial" w:hAnsi="Arial"/>
                <w:sz w:val="14"/>
                <w:szCs w:val="14"/>
                <w:color w:val="auto"/>
              </w:rPr>
              <w:t>12/1/2016(3)</w:t>
            </w:r>
          </w:p>
        </w:tc>
        <w:tc>
          <w:tcPr>
            <w:tcW w:w="980" w:type="dxa"/>
            <w:vAlign w:val="bottom"/>
            <w:tcBorders>
              <w:top w:val="single" w:sz="8" w:color="auto"/>
            </w:tcBorders>
            <w:gridSpan w:val="2"/>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154,127</w:t>
            </w:r>
          </w:p>
        </w:tc>
        <w:tc>
          <w:tcPr>
            <w:tcW w:w="1120" w:type="dxa"/>
            <w:vAlign w:val="bottom"/>
            <w:tcBorders>
              <w:top w:val="single" w:sz="8" w:color="auto"/>
            </w:tcBorders>
            <w:shd w:val="clear" w:color="auto" w:fill="CCEEFF"/>
          </w:tcPr>
          <w:p>
            <w:pPr>
              <w:jc w:val="right"/>
              <w:ind w:right="32"/>
              <w:spacing w:after="0" w:line="155" w:lineRule="exact"/>
              <w:rPr>
                <w:sz w:val="20"/>
                <w:szCs w:val="20"/>
                <w:color w:val="auto"/>
              </w:rPr>
            </w:pPr>
            <w:r>
              <w:rPr>
                <w:rFonts w:ascii="Arial" w:cs="Arial" w:eastAsia="Arial" w:hAnsi="Arial"/>
                <w:sz w:val="14"/>
                <w:szCs w:val="14"/>
                <w:color w:val="auto"/>
              </w:rPr>
              <w:t>51,376</w:t>
            </w:r>
          </w:p>
        </w:tc>
        <w:tc>
          <w:tcPr>
            <w:tcW w:w="340" w:type="dxa"/>
            <w:vAlign w:val="bottom"/>
            <w:tcBorders>
              <w:top w:val="single" w:sz="8" w:color="auto"/>
            </w:tcBorders>
            <w:shd w:val="clear" w:color="auto" w:fill="CCEEFF"/>
          </w:tcPr>
          <w:p>
            <w:pPr>
              <w:ind w:left="120"/>
              <w:spacing w:after="0" w:line="155"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0.49</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3/20/2027</w:t>
            </w:r>
          </w:p>
        </w:tc>
        <w:tc>
          <w:tcPr>
            <w:tcW w:w="22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ind w:right="52"/>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gridSpan w:val="2"/>
            <w:shd w:val="clear" w:color="auto" w:fill="CCEEFF"/>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President and Chief</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2/12/2018</w:t>
            </w:r>
          </w:p>
        </w:tc>
        <w:tc>
          <w:tcPr>
            <w:tcW w:w="14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3/1/2018(3)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97,779</w:t>
            </w:r>
          </w:p>
        </w:tc>
        <w:tc>
          <w:tcPr>
            <w:tcW w:w="11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125,717</w:t>
            </w: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0.54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2/11/2028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Executive Officer</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4/20/2018</w:t>
            </w:r>
          </w:p>
        </w:tc>
        <w:tc>
          <w:tcPr>
            <w:tcW w:w="14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3/29/2018(3)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67,430</w:t>
            </w:r>
          </w:p>
        </w:tc>
        <w:tc>
          <w:tcPr>
            <w:tcW w:w="11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86,697</w:t>
            </w: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4/19/2028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3/13/2019</w:t>
            </w:r>
          </w:p>
        </w:tc>
        <w:tc>
          <w:tcPr>
            <w:tcW w:w="14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3/13/2019(3)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74,617</w:t>
            </w:r>
          </w:p>
        </w:tc>
        <w:tc>
          <w:tcPr>
            <w:tcW w:w="11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323,347</w:t>
            </w: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3/12/2029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8/9/2019</w:t>
            </w:r>
          </w:p>
        </w:tc>
        <w:tc>
          <w:tcPr>
            <w:tcW w:w="14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8/9/2019(3)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48,622</w:t>
            </w:r>
          </w:p>
        </w:tc>
        <w:tc>
          <w:tcPr>
            <w:tcW w:w="11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534,843</w:t>
            </w: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4.73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8/8/2029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340" w:type="dxa"/>
            <w:vAlign w:val="bottom"/>
            <w:gridSpan w:val="2"/>
          </w:tcPr>
          <w:p>
            <w:pPr>
              <w:spacing w:after="0"/>
              <w:rPr>
                <w:sz w:val="20"/>
                <w:szCs w:val="20"/>
                <w:color w:val="auto"/>
              </w:rPr>
            </w:pPr>
            <w:r>
              <w:rPr>
                <w:rFonts w:ascii="Arial" w:cs="Arial" w:eastAsia="Arial" w:hAnsi="Arial"/>
                <w:sz w:val="14"/>
                <w:szCs w:val="14"/>
                <w:color w:val="auto"/>
              </w:rPr>
              <w:t>Steve Kelsey, M.D.</w:t>
            </w:r>
          </w:p>
        </w:tc>
        <w:tc>
          <w:tcPr>
            <w:tcW w:w="880" w:type="dxa"/>
            <w:vAlign w:val="bottom"/>
          </w:tcPr>
          <w:p>
            <w:pPr>
              <w:jc w:val="right"/>
              <w:spacing w:after="0"/>
              <w:rPr>
                <w:sz w:val="20"/>
                <w:szCs w:val="20"/>
                <w:color w:val="auto"/>
              </w:rPr>
            </w:pPr>
            <w:r>
              <w:rPr>
                <w:rFonts w:ascii="Arial" w:cs="Arial" w:eastAsia="Arial" w:hAnsi="Arial"/>
                <w:sz w:val="14"/>
                <w:szCs w:val="14"/>
                <w:color w:val="auto"/>
              </w:rPr>
              <w:t>3/21/2017</w:t>
            </w: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3/20/2017(4)</w:t>
            </w:r>
          </w:p>
        </w:tc>
        <w:tc>
          <w:tcPr>
            <w:tcW w:w="120" w:type="dxa"/>
            <w:vAlign w:val="bottom"/>
          </w:tcPr>
          <w:p>
            <w:pPr>
              <w:spacing w:after="0"/>
              <w:rPr>
                <w:sz w:val="19"/>
                <w:szCs w:val="19"/>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0.00</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2"/>
              <w:spacing w:after="0"/>
              <w:rPr>
                <w:sz w:val="20"/>
                <w:szCs w:val="20"/>
                <w:color w:val="auto"/>
              </w:rPr>
            </w:pPr>
            <w:r>
              <w:rPr>
                <w:rFonts w:ascii="Arial" w:cs="Arial" w:eastAsia="Arial" w:hAnsi="Arial"/>
                <w:sz w:val="14"/>
                <w:szCs w:val="14"/>
                <w:color w:val="auto"/>
              </w:rPr>
              <w:t>64,220</w:t>
            </w:r>
          </w:p>
        </w:tc>
        <w:tc>
          <w:tcPr>
            <w:tcW w:w="780" w:type="dxa"/>
            <w:vAlign w:val="bottom"/>
          </w:tcPr>
          <w:p>
            <w:pPr>
              <w:jc w:val="right"/>
              <w:spacing w:after="0"/>
              <w:rPr>
                <w:sz w:val="20"/>
                <w:szCs w:val="20"/>
                <w:color w:val="auto"/>
              </w:rPr>
            </w:pPr>
            <w:r>
              <w:rPr>
                <w:rFonts w:ascii="Arial" w:cs="Arial" w:eastAsia="Arial" w:hAnsi="Arial"/>
                <w:sz w:val="14"/>
                <w:szCs w:val="14"/>
                <w:color w:val="auto"/>
              </w:rPr>
              <w:t>963,300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ind w:left="200"/>
              <w:spacing w:after="0" w:line="149" w:lineRule="exact"/>
              <w:rPr>
                <w:sz w:val="20"/>
                <w:szCs w:val="20"/>
                <w:color w:val="auto"/>
              </w:rPr>
            </w:pPr>
            <w:r>
              <w:rPr>
                <w:rFonts w:ascii="Arial" w:cs="Arial" w:eastAsia="Arial" w:hAnsi="Arial"/>
                <w:sz w:val="14"/>
                <w:szCs w:val="14"/>
                <w:color w:val="auto"/>
              </w:rPr>
              <w:t>President, Research and Development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2/12/2018</w:t>
            </w:r>
          </w:p>
        </w:tc>
        <w:tc>
          <w:tcPr>
            <w:tcW w:w="14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3/1/2018(4)</w:t>
            </w:r>
          </w:p>
        </w:tc>
        <w:tc>
          <w:tcPr>
            <w:tcW w:w="12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0.00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35,160</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527,400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3/13/2019</w:t>
            </w:r>
          </w:p>
        </w:tc>
        <w:tc>
          <w:tcPr>
            <w:tcW w:w="14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3/13/2019(3)</w:t>
            </w:r>
          </w:p>
        </w:tc>
        <w:tc>
          <w:tcPr>
            <w:tcW w:w="980" w:type="dxa"/>
            <w:vAlign w:val="bottom"/>
            <w:gridSpan w:val="2"/>
          </w:tcPr>
          <w:p>
            <w:pPr>
              <w:jc w:val="right"/>
              <w:ind w:right="52"/>
              <w:spacing w:after="0" w:line="149" w:lineRule="exact"/>
              <w:rPr>
                <w:sz w:val="20"/>
                <w:szCs w:val="20"/>
                <w:color w:val="auto"/>
              </w:rPr>
            </w:pPr>
            <w:r>
              <w:rPr>
                <w:rFonts w:ascii="Arial" w:cs="Arial" w:eastAsia="Arial" w:hAnsi="Arial"/>
                <w:sz w:val="14"/>
                <w:szCs w:val="14"/>
                <w:color w:val="auto"/>
              </w:rPr>
              <w:t>23,119</w:t>
            </w:r>
          </w:p>
        </w:tc>
        <w:tc>
          <w:tcPr>
            <w:tcW w:w="11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100,182</w:t>
            </w:r>
          </w:p>
        </w:tc>
        <w:tc>
          <w:tcPr>
            <w:tcW w:w="3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3/12/2029</w:t>
            </w:r>
          </w:p>
        </w:tc>
        <w:tc>
          <w:tcPr>
            <w:tcW w:w="220" w:type="dxa"/>
            <w:vAlign w:val="bottom"/>
          </w:tcPr>
          <w:p>
            <w:pPr>
              <w:spacing w:after="0"/>
              <w:rPr>
                <w:sz w:val="12"/>
                <w:szCs w:val="12"/>
                <w:color w:val="auto"/>
              </w:rPr>
            </w:pPr>
          </w:p>
        </w:tc>
        <w:tc>
          <w:tcPr>
            <w:tcW w:w="6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8/9/2019</w:t>
            </w:r>
          </w:p>
        </w:tc>
        <w:tc>
          <w:tcPr>
            <w:tcW w:w="1460" w:type="dxa"/>
            <w:vAlign w:val="bottom"/>
          </w:tcPr>
          <w:p>
            <w:pPr>
              <w:jc w:val="right"/>
              <w:ind w:right="32"/>
              <w:spacing w:after="0"/>
              <w:rPr>
                <w:sz w:val="20"/>
                <w:szCs w:val="20"/>
                <w:color w:val="auto"/>
              </w:rPr>
            </w:pPr>
            <w:r>
              <w:rPr>
                <w:rFonts w:ascii="Arial" w:cs="Arial" w:eastAsia="Arial" w:hAnsi="Arial"/>
                <w:sz w:val="14"/>
                <w:szCs w:val="14"/>
                <w:color w:val="auto"/>
              </w:rPr>
              <w:t>8/9/2019(3)</w:t>
            </w:r>
          </w:p>
        </w:tc>
        <w:tc>
          <w:tcPr>
            <w:tcW w:w="980" w:type="dxa"/>
            <w:vAlign w:val="bottom"/>
            <w:gridSpan w:val="2"/>
          </w:tcPr>
          <w:p>
            <w:pPr>
              <w:jc w:val="right"/>
              <w:ind w:right="52"/>
              <w:spacing w:after="0"/>
              <w:rPr>
                <w:sz w:val="20"/>
                <w:szCs w:val="20"/>
                <w:color w:val="auto"/>
              </w:rPr>
            </w:pPr>
            <w:r>
              <w:rPr>
                <w:rFonts w:ascii="Arial" w:cs="Arial" w:eastAsia="Arial" w:hAnsi="Arial"/>
                <w:sz w:val="14"/>
                <w:szCs w:val="14"/>
                <w:color w:val="auto"/>
              </w:rPr>
              <w:t>17,228</w:t>
            </w:r>
          </w:p>
        </w:tc>
        <w:tc>
          <w:tcPr>
            <w:tcW w:w="1120" w:type="dxa"/>
            <w:vAlign w:val="bottom"/>
          </w:tcPr>
          <w:p>
            <w:pPr>
              <w:jc w:val="right"/>
              <w:ind w:right="32"/>
              <w:spacing w:after="0"/>
              <w:rPr>
                <w:sz w:val="20"/>
                <w:szCs w:val="20"/>
                <w:color w:val="auto"/>
              </w:rPr>
            </w:pPr>
            <w:r>
              <w:rPr>
                <w:rFonts w:ascii="Arial" w:cs="Arial" w:eastAsia="Arial" w:hAnsi="Arial"/>
                <w:sz w:val="14"/>
                <w:szCs w:val="14"/>
                <w:color w:val="auto"/>
              </w:rPr>
              <w:t>189,512</w:t>
            </w:r>
          </w:p>
        </w:tc>
        <w:tc>
          <w:tcPr>
            <w:tcW w:w="340" w:type="dxa"/>
            <w:vAlign w:val="bottom"/>
          </w:tcPr>
          <w:p>
            <w:pPr>
              <w:ind w:left="12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52"/>
              <w:spacing w:after="0"/>
              <w:rPr>
                <w:sz w:val="20"/>
                <w:szCs w:val="20"/>
                <w:color w:val="auto"/>
              </w:rPr>
            </w:pPr>
            <w:r>
              <w:rPr>
                <w:rFonts w:ascii="Arial" w:cs="Arial" w:eastAsia="Arial" w:hAnsi="Arial"/>
                <w:sz w:val="14"/>
                <w:szCs w:val="14"/>
                <w:color w:val="auto"/>
              </w:rPr>
              <w:t>4.73</w:t>
            </w:r>
          </w:p>
        </w:tc>
        <w:tc>
          <w:tcPr>
            <w:tcW w:w="780" w:type="dxa"/>
            <w:vAlign w:val="bottom"/>
          </w:tcPr>
          <w:p>
            <w:pPr>
              <w:jc w:val="right"/>
              <w:spacing w:after="0"/>
              <w:rPr>
                <w:sz w:val="20"/>
                <w:szCs w:val="20"/>
                <w:color w:val="auto"/>
              </w:rPr>
            </w:pPr>
            <w:r>
              <w:rPr>
                <w:rFonts w:ascii="Arial" w:cs="Arial" w:eastAsia="Arial" w:hAnsi="Arial"/>
                <w:sz w:val="14"/>
                <w:szCs w:val="14"/>
                <w:color w:val="auto"/>
              </w:rPr>
              <w:t>8/8/2029</w:t>
            </w:r>
          </w:p>
        </w:tc>
        <w:tc>
          <w:tcPr>
            <w:tcW w:w="220" w:type="dxa"/>
            <w:vAlign w:val="bottom"/>
          </w:tcPr>
          <w:p>
            <w:pPr>
              <w:spacing w:after="0"/>
              <w:rPr>
                <w:sz w:val="14"/>
                <w:szCs w:val="14"/>
                <w:color w:val="auto"/>
              </w:rPr>
            </w:pPr>
          </w:p>
        </w:tc>
        <w:tc>
          <w:tcPr>
            <w:tcW w:w="6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3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vMerge w:val="continue"/>
          </w:tcPr>
          <w:p>
            <w:pPr>
              <w:spacing w:after="0"/>
              <w:rPr>
                <w:sz w:val="14"/>
                <w:szCs w:val="14"/>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4"/>
                <w:szCs w:val="14"/>
                <w:color w:val="auto"/>
              </w:rPr>
              <w:t>Margaret Horn, J.D.</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3/21/2017</w:t>
            </w:r>
          </w:p>
        </w:tc>
        <w:tc>
          <w:tcPr>
            <w:tcW w:w="14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3/20/2017(4)</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0.00</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color w:val="auto"/>
              </w:rPr>
              <w:t>5,138</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77,070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Chief Operating Officer</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6/7/2017</w:t>
            </w:r>
          </w:p>
        </w:tc>
        <w:tc>
          <w:tcPr>
            <w:tcW w:w="14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6/7/2017(4)</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0.00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11,560</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173,400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 General Counsel</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2/12/2018</w:t>
            </w:r>
          </w:p>
        </w:tc>
        <w:tc>
          <w:tcPr>
            <w:tcW w:w="14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3/1/2018(3)</w:t>
            </w: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13,441</w:t>
            </w: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0.54</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2/11/2028</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3/13/2019</w:t>
            </w:r>
          </w:p>
        </w:tc>
        <w:tc>
          <w:tcPr>
            <w:tcW w:w="14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1/1/2018(3)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49,234</w:t>
            </w:r>
          </w:p>
        </w:tc>
        <w:tc>
          <w:tcPr>
            <w:tcW w:w="11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53,517</w:t>
            </w: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3/12/2029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3/13/2019</w:t>
            </w:r>
          </w:p>
        </w:tc>
        <w:tc>
          <w:tcPr>
            <w:tcW w:w="14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3/13/2019(3)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23,119</w:t>
            </w:r>
          </w:p>
        </w:tc>
        <w:tc>
          <w:tcPr>
            <w:tcW w:w="11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100,183</w:t>
            </w: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4.09</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3/12/2029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8/9/2019</w:t>
            </w:r>
          </w:p>
        </w:tc>
        <w:tc>
          <w:tcPr>
            <w:tcW w:w="14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8/9/2019(3)</w:t>
            </w:r>
          </w:p>
        </w:tc>
        <w:tc>
          <w:tcPr>
            <w:tcW w:w="980" w:type="dxa"/>
            <w:vAlign w:val="bottom"/>
            <w:gridSpan w:val="2"/>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18,733</w:t>
            </w:r>
          </w:p>
        </w:tc>
        <w:tc>
          <w:tcPr>
            <w:tcW w:w="11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206,067</w:t>
            </w:r>
          </w:p>
        </w:tc>
        <w:tc>
          <w:tcPr>
            <w:tcW w:w="3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4.73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8/8/2029</w:t>
            </w:r>
          </w:p>
        </w:tc>
        <w:tc>
          <w:tcPr>
            <w:tcW w:w="22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right="140" w:hanging="316"/>
        <w:spacing w:after="0" w:line="231" w:lineRule="auto"/>
        <w:tabs>
          <w:tab w:leader="none" w:pos="5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Each stock option permits early exercise of the unvested portion of the award in exchange for restricted stock and was, therefore, fully exercisable as of December 31, 2019. The number of shares shown as exercisable and unexercisable reflect the number of shares vested and unvested, respectively, as of December 31, 2019.</w:t>
      </w:r>
    </w:p>
    <w:p>
      <w:pPr>
        <w:spacing w:after="0" w:line="54" w:lineRule="exact"/>
        <w:rPr>
          <w:rFonts w:ascii="Arial" w:cs="Arial" w:eastAsia="Arial" w:hAnsi="Arial"/>
          <w:sz w:val="14"/>
          <w:szCs w:val="14"/>
          <w:color w:val="auto"/>
        </w:rPr>
      </w:pPr>
    </w:p>
    <w:p>
      <w:pPr>
        <w:ind w:left="520" w:right="140" w:hanging="316"/>
        <w:spacing w:after="0" w:line="231" w:lineRule="auto"/>
        <w:tabs>
          <w:tab w:leader="none" w:pos="5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market value of our common stock is based upon the assumed initial public offering price of $15.00 per share, which is the midpoint of the range set forth on the cover of this prospectus.</w:t>
      </w:r>
    </w:p>
    <w:p>
      <w:pPr>
        <w:spacing w:after="0" w:line="29" w:lineRule="exact"/>
        <w:rPr>
          <w:rFonts w:ascii="Arial" w:cs="Arial" w:eastAsia="Arial" w:hAnsi="Arial"/>
          <w:sz w:val="14"/>
          <w:szCs w:val="14"/>
          <w:color w:val="auto"/>
        </w:rPr>
      </w:pPr>
    </w:p>
    <w:p>
      <w:pPr>
        <w:ind w:left="520" w:hanging="316"/>
        <w:spacing w:after="0"/>
        <w:tabs>
          <w:tab w:leader="none" w:pos="520" w:val="left"/>
        </w:tabs>
        <w:numPr>
          <w:ilvl w:val="0"/>
          <w:numId w:val="104"/>
        </w:numPr>
        <w:rPr>
          <w:rFonts w:ascii="Arial" w:cs="Arial" w:eastAsia="Arial" w:hAnsi="Arial"/>
          <w:sz w:val="13"/>
          <w:szCs w:val="13"/>
          <w:color w:val="auto"/>
        </w:rPr>
      </w:pPr>
      <w:r>
        <w:rPr>
          <w:rFonts w:ascii="Arial" w:cs="Arial" w:eastAsia="Arial" w:hAnsi="Arial"/>
          <w:sz w:val="13"/>
          <w:szCs w:val="13"/>
          <w:color w:val="auto"/>
        </w:rPr>
        <w:t>1/48</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of the shares originally subject to the option vest monthly measured from the vesting commencement date, subject to continued service on the applicable vesting date.</w:t>
      </w:r>
    </w:p>
    <w:p>
      <w:pPr>
        <w:ind w:left="520" w:right="120" w:hanging="316"/>
        <w:spacing w:after="0" w:line="228" w:lineRule="auto"/>
        <w:tabs>
          <w:tab w:leader="none" w:pos="52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Represents shares of restricted stock acquired upon exercise of an option prior to vesting. The shares of restricted stock are subject to repurchase by us at the original exercise price upon a termination of service prior to vesting. The unvested shares reported vest in equal monthly installments through the fourth anniversary of the vesting commencement date subject to continued service through each applicable vesting date.</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Executive compensation arrangements</w:t>
      </w:r>
    </w:p>
    <w:p>
      <w:pPr>
        <w:spacing w:after="0" w:line="116" w:lineRule="exact"/>
        <w:rPr>
          <w:sz w:val="20"/>
          <w:szCs w:val="20"/>
          <w:color w:val="auto"/>
        </w:rPr>
      </w:pPr>
    </w:p>
    <w:p>
      <w:pPr>
        <w:ind w:left="200" w:right="320"/>
        <w:spacing w:after="0" w:line="247" w:lineRule="auto"/>
        <w:rPr>
          <w:sz w:val="20"/>
          <w:szCs w:val="20"/>
          <w:color w:val="auto"/>
        </w:rPr>
      </w:pPr>
      <w:r>
        <w:rPr>
          <w:rFonts w:ascii="Arial" w:cs="Arial" w:eastAsia="Arial" w:hAnsi="Arial"/>
          <w:sz w:val="18"/>
          <w:szCs w:val="18"/>
          <w:i w:val="1"/>
          <w:iCs w:val="1"/>
          <w:color w:val="auto"/>
        </w:rPr>
        <w:t xml:space="preserve">Offer letters. </w:t>
      </w:r>
      <w:r>
        <w:rPr>
          <w:rFonts w:ascii="Arial" w:cs="Arial" w:eastAsia="Arial" w:hAnsi="Arial"/>
          <w:sz w:val="18"/>
          <w:szCs w:val="18"/>
          <w:color w:val="auto"/>
        </w:rPr>
        <w:t>We previously entered into offer letter agreements with each of our named executive officers in connection with his or 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with us. These agreements set forth the terms and conditions of employment of each named executive officer, including initial base salary, target bonus opportunity and equity grants and employee benefits eligibility.</w:t>
      </w:r>
    </w:p>
    <w:p>
      <w:pPr>
        <w:spacing w:after="0" w:line="77" w:lineRule="exact"/>
        <w:rPr>
          <w:sz w:val="20"/>
          <w:szCs w:val="20"/>
          <w:color w:val="auto"/>
        </w:rPr>
      </w:pPr>
    </w:p>
    <w:p>
      <w:pPr>
        <w:ind w:left="200" w:right="60"/>
        <w:spacing w:after="0" w:line="274" w:lineRule="auto"/>
        <w:rPr>
          <w:sz w:val="20"/>
          <w:szCs w:val="20"/>
          <w:color w:val="auto"/>
        </w:rPr>
      </w:pPr>
      <w:r>
        <w:rPr>
          <w:rFonts w:ascii="Arial" w:cs="Arial" w:eastAsia="Arial" w:hAnsi="Arial"/>
          <w:sz w:val="16"/>
          <w:szCs w:val="16"/>
          <w:i w:val="1"/>
          <w:iCs w:val="1"/>
          <w:color w:val="auto"/>
        </w:rPr>
        <w:t>Change in control separation benefits plan</w:t>
      </w:r>
      <w:r>
        <w:rPr>
          <w:rFonts w:ascii="Arial" w:cs="Arial" w:eastAsia="Arial" w:hAnsi="Arial"/>
          <w:sz w:val="16"/>
          <w:szCs w:val="16"/>
          <w:color w:val="auto"/>
        </w:rPr>
        <w:t>. In September 2017, our board of directors adopted a Change in Control Separation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Plan that provides severance benefits to employees of the Company, including our named executive officers, in the event of a termination by the Company without “cause” or a resignation for “good reason” (each as defined in the plan), in each case, within the period commencing three months prior to and ending 12 months following a change in control of the Company (such termination, a “qualifying termination”). In the event of a qualifying termination, our named executive officers would be eligible to receive (i) a cash lump sum payment equal to (A) 0.75x (or 1x, in the case of our Chief Executive Officer) his or her annual base salary plus (B) his or her annual target bonus, in each case, at the greater of the rate immediately in effect as of the qualifying termination or the change in control; (ii) payment or reimbursement</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40"/>
          </w:cols>
          <w:pgMar w:left="240" w:top="459" w:right="41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300"/>
        <w:spacing w:after="0" w:line="236" w:lineRule="auto"/>
        <w:rPr>
          <w:sz w:val="20"/>
          <w:szCs w:val="20"/>
          <w:color w:val="auto"/>
        </w:rPr>
      </w:pPr>
      <w:r>
        <w:rPr>
          <w:rFonts w:ascii="Arial" w:cs="Arial" w:eastAsia="Arial" w:hAnsi="Arial"/>
          <w:sz w:val="18"/>
          <w:szCs w:val="18"/>
          <w:color w:val="auto"/>
        </w:rPr>
        <w:t>of continued healthcare premiums pursuant to COBRA for up to the end of the ninth month (or the twelfth month, in the case of our Chief Executive Officer) following termination; and (iii) full accelerated vesting of any equity awards outstanding as of the date of the qualifying termination. All such severance benefits are subject to the participant signing a general release of all claims against the Company and its affiliates that becomes effective and irrevocable within 60 days after the termination of employment in a form reasonably acceptable to the Company.</w:t>
      </w:r>
    </w:p>
    <w:p>
      <w:pPr>
        <w:spacing w:after="0" w:line="103" w:lineRule="exact"/>
        <w:rPr>
          <w:sz w:val="20"/>
          <w:szCs w:val="20"/>
          <w:color w:val="auto"/>
        </w:rPr>
      </w:pPr>
    </w:p>
    <w:p>
      <w:pPr>
        <w:ind w:left="200" w:right="440"/>
        <w:spacing w:after="0" w:line="239" w:lineRule="auto"/>
        <w:rPr>
          <w:sz w:val="20"/>
          <w:szCs w:val="20"/>
          <w:color w:val="auto"/>
        </w:rPr>
      </w:pPr>
      <w:r>
        <w:rPr>
          <w:rFonts w:ascii="Arial" w:cs="Arial" w:eastAsia="Arial" w:hAnsi="Arial"/>
          <w:sz w:val="18"/>
          <w:szCs w:val="18"/>
          <w:color w:val="auto"/>
        </w:rPr>
        <w:t>In December 2019, our board of directors approved the amendment and restatement of the Change in Control Separation Benefits Plan, pursuant to which our named executive officers are no longer eligible to participate in the plan.</w:t>
      </w:r>
    </w:p>
    <w:p>
      <w:pPr>
        <w:spacing w:after="0" w:line="83" w:lineRule="exact"/>
        <w:rPr>
          <w:sz w:val="20"/>
          <w:szCs w:val="20"/>
          <w:color w:val="auto"/>
        </w:rPr>
      </w:pPr>
    </w:p>
    <w:p>
      <w:pPr>
        <w:ind w:left="200"/>
        <w:spacing w:after="0" w:line="322" w:lineRule="auto"/>
        <w:rPr>
          <w:sz w:val="20"/>
          <w:szCs w:val="20"/>
          <w:color w:val="auto"/>
        </w:rPr>
      </w:pPr>
      <w:r>
        <w:rPr>
          <w:rFonts w:ascii="Arial" w:cs="Arial" w:eastAsia="Arial" w:hAnsi="Arial"/>
          <w:sz w:val="16"/>
          <w:szCs w:val="16"/>
          <w:i w:val="1"/>
          <w:iCs w:val="1"/>
          <w:color w:val="auto"/>
        </w:rPr>
        <w:t>New employment agreements</w:t>
      </w:r>
      <w:r>
        <w:rPr>
          <w:rFonts w:ascii="Arial" w:cs="Arial" w:eastAsia="Arial" w:hAnsi="Arial"/>
          <w:sz w:val="16"/>
          <w:szCs w:val="16"/>
          <w:color w:val="auto"/>
        </w:rPr>
        <w:t>. In connection with this offering, we have entered into new employment agreements with our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which supersede in their entirety their original offer letters and the terms of the Change in Control Separation Benefits Plan.</w:t>
      </w:r>
    </w:p>
    <w:p>
      <w:pPr>
        <w:spacing w:after="0" w:line="38"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Pursuant to the terms of the new employment agreements, in the event the named executive officer is terminated without Cause or resigns for Good Reason (each, as defined in the employment agreements), in each case, other than during the period commencing three months prior to and ending 18 months following a change in control, the named executive officer will be eligible to receive: (i) a lump sum cash payment equal to 1x, in the case of our Chief Executive Officer or 0.75x, in the case of our other named executive officers, the sum of the executive’s annual base salary and target annual bonus; (ii) payment or reimbursement of COBRA premiums for 12 months, in the case of our Chief Executive Officer or nine months, in the case of our other named executive officers; and (iii) at the discretion of the board of directors or the compensation committee, 12 months’ accelerated vesting of equity awards, in the case of our Chief Executive Officer or 9 months’ accelerated vesting of equity awards, in the case of our other named executive officers.</w:t>
      </w:r>
    </w:p>
    <w:p>
      <w:pPr>
        <w:spacing w:after="0" w:line="100"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6"/>
          <w:szCs w:val="16"/>
          <w:color w:val="auto"/>
        </w:rPr>
        <w:t>In addition, in the event the named executive officer is terminated without Cause or resigns for Good Reason, in each case, during the period commencing three months prior to and ending 18 months following a change in control, the named executive officer will be eligible to receive:</w:t>
      </w:r>
    </w:p>
    <w:p>
      <w:pPr>
        <w:jc w:val="both"/>
        <w:ind w:left="200" w:firstLine="4"/>
        <w:spacing w:after="0" w:line="236" w:lineRule="auto"/>
        <w:tabs>
          <w:tab w:leader="none" w:pos="4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lump sum cash payment equal to 1.5x, in the case of our Chief Executive Officer, or 1x, in the case of our other named executive officers, the sum of the executive’s annual base salary and target annual bonus; (ii) payment or reimbursement of COBRA premiums for 18 months, in the case of our Chief Executive Officer, or 12 months, in the case of our other named executive officers; and (iii) full accelerated vesting of all equity awards. All severance payments and benefits under the employment agreements are subject to the executive’s execution of a release of claims against us.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Equity compensation plans</w:t>
      </w:r>
    </w:p>
    <w:p>
      <w:pPr>
        <w:spacing w:after="0" w:line="13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following summarizes the material terms of the 2020 Plan, in which our named executive officers will be eligible to participate following the consummation of this offering, our 2014 Equity Incentive Plan, or the 2014 Plan, under which we have previously made periodic grants of equity and equity-based awards to our named executive officers and other key employees and the employee stock purchase plan that we intend to adopt in connection with the consummation of this offering.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24" w:lineRule="exact"/>
        <w:rPr>
          <w:sz w:val="20"/>
          <w:szCs w:val="20"/>
          <w:color w:val="auto"/>
        </w:rPr>
      </w:pPr>
    </w:p>
    <w:p>
      <w:pPr>
        <w:ind w:left="200" w:right="240"/>
        <w:spacing w:after="0" w:line="237" w:lineRule="auto"/>
        <w:rPr>
          <w:sz w:val="20"/>
          <w:szCs w:val="20"/>
          <w:color w:val="auto"/>
        </w:rPr>
      </w:pPr>
      <w:r>
        <w:rPr>
          <w:rFonts w:ascii="Arial" w:cs="Arial" w:eastAsia="Arial" w:hAnsi="Arial"/>
          <w:sz w:val="18"/>
          <w:szCs w:val="18"/>
          <w:color w:val="auto"/>
        </w:rPr>
        <w:t>We have adopted the 2020 Plan, which will be effective on the day prior to the date the Company’s registration statement relating to this offering becomes effective. The principal purpose of the 2020 Plan is to attract, retain and motivate selected employees, consultants and directors through the granting of stock-based compensation awards and cash-based performance bonus awards. The material terms of the 2020 Plan are summarized below.</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right="80"/>
        <w:spacing w:after="0" w:line="267"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Under the 2020 Plan, 5,771,197 shares of our common stock will be initially reserved for issuance pursuant to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awards, including stock options, stock appreciation rights, or SARs, restricted stock awards, restricted stock unit awards, performance bonus awards, performance stock unit awards, dividend equivalents, or other stock or cash based awards. The number of shares initially reserved for issuance or transfer pursuant to awards under the 2020 Plan will be increased by (i) the number of shares represented by awards outstanding under our 2014 Plan (“2014 Plan Awards”) that become available for issuance under the counting provisions described below following the effective date and (ii) an annual increase on the first day of each fiscal year beginning in 2021 and ending in 2030, equal to the lesser of (A) 5% of the shares of stock outstanding on the last day of the immediately preceding fiscal year and</w:t>
      </w:r>
    </w:p>
    <w:p>
      <w:pPr>
        <w:spacing w:after="0" w:line="3" w:lineRule="exact"/>
        <w:rPr>
          <w:sz w:val="20"/>
          <w:szCs w:val="20"/>
          <w:color w:val="auto"/>
        </w:rPr>
      </w:pPr>
    </w:p>
    <w:p>
      <w:pPr>
        <w:ind w:left="200" w:right="60" w:firstLine="4"/>
        <w:spacing w:after="0" w:line="239" w:lineRule="auto"/>
        <w:tabs>
          <w:tab w:leader="none" w:pos="48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such smaller number of shares of stock as determined by our board of directors; provided, however, that no more than 46,173,732 shares of stock may be issued upon the exercise of incentive stock options.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counting provisions will be in effect for the share reserve under the 2020 Plan:</w:t>
      </w:r>
    </w:p>
    <w:p>
      <w:pPr>
        <w:spacing w:after="0" w:line="117" w:lineRule="exact"/>
        <w:rPr>
          <w:sz w:val="20"/>
          <w:szCs w:val="20"/>
          <w:color w:val="auto"/>
        </w:rPr>
      </w:pPr>
    </w:p>
    <w:p>
      <w:pPr>
        <w:ind w:left="420" w:hanging="216"/>
        <w:spacing w:after="0" w:line="275" w:lineRule="auto"/>
        <w:tabs>
          <w:tab w:leader="none" w:pos="4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the extent that an award (including a 2014 Plan Award) expires, lapses or is terminated, converted into an award in respect of shares of another entity in connection with a spin-off or other similar event, exchanged for cash, surrendered, repurchased, canceled, in any case, in a manner that results in the Company acquiring the underlying shares at a price not greater than the price paid by the participant or not issuing the underlying shares, such unused shares subject to the award at such time will be available for future grants under the 2020 Plan;</w:t>
      </w:r>
    </w:p>
    <w:p>
      <w:pPr>
        <w:spacing w:after="0" w:line="88" w:lineRule="exact"/>
        <w:rPr>
          <w:rFonts w:ascii="Arial" w:cs="Arial" w:eastAsia="Arial" w:hAnsi="Arial"/>
          <w:sz w:val="16"/>
          <w:szCs w:val="16"/>
          <w:color w:val="auto"/>
        </w:rPr>
      </w:pPr>
    </w:p>
    <w:p>
      <w:pPr>
        <w:ind w:left="420" w:right="400" w:hanging="216"/>
        <w:spacing w:after="0" w:line="299" w:lineRule="auto"/>
        <w:tabs>
          <w:tab w:leader="none" w:pos="4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to the extent shares are tendered or withheld to satisfy the grant, exercise price or tax withholding obligation with respect to any award under the 2020 Plan or 2014 Plan Award, such tendered or withheld shares will be available for future grants under the 2020 Plan;</w:t>
      </w:r>
    </w:p>
    <w:p>
      <w:pPr>
        <w:spacing w:after="0" w:line="68" w:lineRule="exact"/>
        <w:rPr>
          <w:rFonts w:ascii="Arial" w:cs="Arial" w:eastAsia="Arial" w:hAnsi="Arial"/>
          <w:sz w:val="16"/>
          <w:szCs w:val="16"/>
          <w:color w:val="auto"/>
        </w:rPr>
      </w:pPr>
    </w:p>
    <w:p>
      <w:pPr>
        <w:ind w:left="420" w:right="180" w:hanging="216"/>
        <w:spacing w:after="0" w:line="239" w:lineRule="auto"/>
        <w:tabs>
          <w:tab w:leader="none" w:pos="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the extent shares subject to stock appreciation rights are not issued in connection with the stock settlement of stock appreciation rights on exercise thereof, such shares will be available for future grants under the 2020 Plan;</w:t>
      </w:r>
    </w:p>
    <w:p>
      <w:pPr>
        <w:spacing w:after="0" w:line="114" w:lineRule="exact"/>
        <w:rPr>
          <w:rFonts w:ascii="Arial" w:cs="Arial" w:eastAsia="Arial" w:hAnsi="Arial"/>
          <w:sz w:val="18"/>
          <w:szCs w:val="18"/>
          <w:color w:val="auto"/>
        </w:rPr>
      </w:pPr>
    </w:p>
    <w:p>
      <w:pPr>
        <w:ind w:left="420" w:right="220" w:hanging="216"/>
        <w:spacing w:after="0" w:line="239" w:lineRule="auto"/>
        <w:tabs>
          <w:tab w:leader="none" w:pos="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payment of dividend equivalents in cash in conjunction with any outstanding awards or 2014 Plan Awards will not be counted against the shares available for issuance under the 2020 Plan; and</w:t>
      </w:r>
    </w:p>
    <w:p>
      <w:pPr>
        <w:spacing w:after="0" w:line="114" w:lineRule="exact"/>
        <w:rPr>
          <w:rFonts w:ascii="Arial" w:cs="Arial" w:eastAsia="Arial" w:hAnsi="Arial"/>
          <w:sz w:val="18"/>
          <w:szCs w:val="18"/>
          <w:color w:val="auto"/>
        </w:rPr>
      </w:pPr>
    </w:p>
    <w:p>
      <w:pPr>
        <w:ind w:left="420" w:right="320" w:hanging="216"/>
        <w:spacing w:after="0" w:line="239" w:lineRule="auto"/>
        <w:tabs>
          <w:tab w:leader="none" w:pos="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shares issued in assumption of, or in substitution for, any outstanding awards of any entity acquired in any form of combination by us or any of our subsidiaries will not be counted against the shares available for issuance under the 2020 Plan.</w:t>
      </w:r>
    </w:p>
    <w:p>
      <w:pPr>
        <w:spacing w:after="0" w:line="101"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In addition, the sum of the grant date fair value of all equity-based awards and the maximum that may become payable pursuant to all cash-based awards to any individual for services as a non-employee director during any calendar year may not exceed $1,000,000.</w:t>
      </w:r>
    </w:p>
    <w:p>
      <w:pPr>
        <w:spacing w:after="0" w:line="83" w:lineRule="exact"/>
        <w:rPr>
          <w:sz w:val="20"/>
          <w:szCs w:val="20"/>
          <w:color w:val="auto"/>
        </w:rPr>
      </w:pPr>
    </w:p>
    <w:p>
      <w:pPr>
        <w:ind w:left="200" w:right="60"/>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compensation committee of our board of directors is expected to administer the 2020 Plan unless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assumes authority for administration. The board of directors may delegate its powers to a committee, which, to the extent required to comply with Rule 16b-3, is intended to comprise “non-employee directors” for purposes of Rule 16b-3 under the Exchange Act. The 2020 Plan provides that the board or compensation committee may delegate its authority to grant awards other than to individuals subject to Section 16 of the Exchange Act or officers or directors to whom authority to grant awards has been delegated.</w:t>
      </w:r>
    </w:p>
    <w:p>
      <w:pPr>
        <w:spacing w:after="0" w:line="100" w:lineRule="exact"/>
        <w:rPr>
          <w:sz w:val="20"/>
          <w:szCs w:val="20"/>
          <w:color w:val="auto"/>
        </w:rPr>
      </w:pPr>
    </w:p>
    <w:p>
      <w:pPr>
        <w:ind w:left="200" w:right="460"/>
        <w:spacing w:after="0" w:line="238" w:lineRule="auto"/>
        <w:rPr>
          <w:sz w:val="20"/>
          <w:szCs w:val="20"/>
          <w:color w:val="auto"/>
        </w:rPr>
      </w:pPr>
      <w:r>
        <w:rPr>
          <w:rFonts w:ascii="Arial" w:cs="Arial" w:eastAsia="Arial" w:hAnsi="Arial"/>
          <w:sz w:val="18"/>
          <w:szCs w:val="18"/>
          <w:color w:val="auto"/>
        </w:rPr>
        <w:t>Subject to the terms and conditions of the 2020 Plan, the administrator has the authority to select the persons to whom awards are to be made, to determine the number of shares to be subject to awards and the terms and conditions of awards, and to make all other determinations and to take all other actions necessary or advisable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120"/>
        <w:spacing w:after="0" w:line="281" w:lineRule="auto"/>
        <w:rPr>
          <w:sz w:val="20"/>
          <w:szCs w:val="20"/>
          <w:color w:val="auto"/>
        </w:rPr>
      </w:pPr>
      <w:r>
        <w:rPr>
          <w:rFonts w:ascii="Arial" w:cs="Arial" w:eastAsia="Arial" w:hAnsi="Arial"/>
          <w:sz w:val="16"/>
          <w:szCs w:val="16"/>
          <w:color w:val="auto"/>
        </w:rPr>
        <w:t>for the administration of the 2020 Plan. The administrator is also authorized to adopt, amend or rescind rules relating to administration of the 2020 Plan. Our board of directors may at any time remove the compensation committee as the administrator and revest in itself the authority to administer the 2020 Plan. The full board of directors will administer the 2020 Plan with respect to awards to non-employee directors.</w:t>
      </w:r>
    </w:p>
    <w:p>
      <w:pPr>
        <w:spacing w:after="0" w:line="52" w:lineRule="exact"/>
        <w:rPr>
          <w:sz w:val="20"/>
          <w:szCs w:val="20"/>
          <w:color w:val="auto"/>
        </w:rPr>
      </w:pPr>
    </w:p>
    <w:p>
      <w:pPr>
        <w:ind w:left="200"/>
        <w:spacing w:after="0" w:line="24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Awards under the 2020 Plan may be granted to individuals who are then our officers, employees or consultants or are the officers,</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or consultants of certain of our subsidiaries. Such awards also may be granted to our directors. However, only employees of our company or certain of our subsidiaries may be granted incentive stock options, or ISOs.</w:t>
      </w:r>
    </w:p>
    <w:p>
      <w:pPr>
        <w:spacing w:after="0" w:line="77" w:lineRule="exact"/>
        <w:rPr>
          <w:sz w:val="20"/>
          <w:szCs w:val="20"/>
          <w:color w:val="auto"/>
        </w:rPr>
      </w:pPr>
    </w:p>
    <w:p>
      <w:pPr>
        <w:ind w:left="200" w:right="480"/>
        <w:spacing w:after="0" w:line="243"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The 2020 Plan provides that the administrator may grant or issue stock options, SARs, restricted stock, restricted stock units,</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bonus awards, performance stock units, other stock- or cash-based awards and dividend equivalents, or any combination thereof. Each award will be set forth in a separate agreement with the person receiving the award and will indicate the type, terms and conditions of the award.</w:t>
      </w:r>
    </w:p>
    <w:p>
      <w:pPr>
        <w:spacing w:after="0" w:line="94" w:lineRule="exact"/>
        <w:rPr>
          <w:sz w:val="20"/>
          <w:szCs w:val="20"/>
          <w:color w:val="auto"/>
        </w:rPr>
      </w:pPr>
    </w:p>
    <w:p>
      <w:pPr>
        <w:ind w:left="420" w:right="60" w:hanging="216"/>
        <w:spacing w:after="0" w:line="241" w:lineRule="auto"/>
        <w:tabs>
          <w:tab w:leader="none" w:pos="42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or NSOs, will provide for the right to purchase shares of our common stock at a specified price which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be less than fair market value on the date of grant, and usually will become exercisable (at the discretion of the administrator) in one or more installments after the grant date, subject to the participant’s continued employment or service with us and/or subject to the satisfaction of corporate performance targets and individual performance targets established by the administrator. NSOs may be granted for any term specified by the administrator that does not exceed ten years.</w:t>
      </w:r>
    </w:p>
    <w:p>
      <w:pPr>
        <w:spacing w:after="0" w:line="95" w:lineRule="exact"/>
        <w:rPr>
          <w:rFonts w:ascii="Arial" w:cs="Arial" w:eastAsia="Arial" w:hAnsi="Arial"/>
          <w:sz w:val="18"/>
          <w:szCs w:val="18"/>
          <w:color w:val="auto"/>
        </w:rPr>
      </w:pPr>
    </w:p>
    <w:p>
      <w:pPr>
        <w:ind w:left="420" w:right="80" w:hanging="216"/>
        <w:spacing w:after="0" w:line="239" w:lineRule="auto"/>
        <w:tabs>
          <w:tab w:leader="none" w:pos="42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Incentive Stock Options</w:t>
      </w:r>
      <w:r>
        <w:rPr>
          <w:rFonts w:ascii="Arial" w:cs="Arial" w:eastAsia="Arial" w:hAnsi="Arial"/>
          <w:sz w:val="18"/>
          <w:szCs w:val="18"/>
          <w:color w:val="auto"/>
        </w:rPr>
        <w:t>, or ISOs, will be designed in a manner intended to comply with the provisions of Section 422 of the Code and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subject to specified restrictions 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2020 Plan provides that the exercise price must be at least 110% of the fair market value of a share of common stock on the date of grant and the ISO must not be exercisable after a period of five years measured from the date of grant.</w:t>
      </w:r>
    </w:p>
    <w:p>
      <w:pPr>
        <w:spacing w:after="0" w:line="96" w:lineRule="exact"/>
        <w:rPr>
          <w:rFonts w:ascii="Arial" w:cs="Arial" w:eastAsia="Arial" w:hAnsi="Arial"/>
          <w:sz w:val="18"/>
          <w:szCs w:val="18"/>
          <w:color w:val="auto"/>
        </w:rPr>
      </w:pPr>
    </w:p>
    <w:p>
      <w:pPr>
        <w:ind w:left="420" w:right="180" w:hanging="216"/>
        <w:spacing w:after="0" w:line="241" w:lineRule="auto"/>
        <w:tabs>
          <w:tab w:leader="none" w:pos="42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w:t>
      </w:r>
      <w:r>
        <w:rPr>
          <w:rFonts w:ascii="Arial" w:cs="Arial" w:eastAsia="Arial" w:hAnsi="Arial"/>
          <w:sz w:val="18"/>
          <w:szCs w:val="18"/>
          <w:color w:val="auto"/>
        </w:rPr>
        <w:t>may be granted to any eligible individual and made subject to such restrictions as may be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w:t>
      </w:r>
    </w:p>
    <w:p>
      <w:pPr>
        <w:spacing w:after="0" w:line="95" w:lineRule="exact"/>
        <w:rPr>
          <w:rFonts w:ascii="Arial" w:cs="Arial" w:eastAsia="Arial" w:hAnsi="Arial"/>
          <w:sz w:val="18"/>
          <w:szCs w:val="18"/>
          <w:color w:val="auto"/>
        </w:rPr>
      </w:pPr>
    </w:p>
    <w:p>
      <w:pPr>
        <w:ind w:left="420" w:right="320" w:hanging="216"/>
        <w:spacing w:after="0" w:line="278" w:lineRule="auto"/>
        <w:tabs>
          <w:tab w:leader="none" w:pos="42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may be awarded to any eligible individual, typically without payment of consideration, but subject to vesting</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68" w:lineRule="exact"/>
        <w:rPr>
          <w:rFonts w:ascii="Arial" w:cs="Arial" w:eastAsia="Arial" w:hAnsi="Arial"/>
          <w:sz w:val="16"/>
          <w:szCs w:val="16"/>
          <w:color w:val="auto"/>
        </w:rPr>
      </w:pPr>
    </w:p>
    <w:p>
      <w:pPr>
        <w:jc w:val="both"/>
        <w:ind w:left="420" w:right="380" w:hanging="216"/>
        <w:spacing w:after="0" w:line="243" w:lineRule="auto"/>
        <w:tabs>
          <w:tab w:leader="none" w:pos="42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or SARs, may be granted in connection with stock options or other awards, or separately. SARs granted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stock options or other awards typically will provide for payments to the holder based upon increases in the price of our common stock over a set exercise price. The exercise price of any SAR granted under the 2020 Plan must be at least 100% of the fair market value of a share of</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right="860"/>
        <w:spacing w:after="0" w:line="239" w:lineRule="auto"/>
        <w:rPr>
          <w:sz w:val="20"/>
          <w:szCs w:val="20"/>
          <w:color w:val="auto"/>
        </w:rPr>
      </w:pPr>
      <w:r>
        <w:rPr>
          <w:rFonts w:ascii="Arial" w:cs="Arial" w:eastAsia="Arial" w:hAnsi="Arial"/>
          <w:sz w:val="18"/>
          <w:szCs w:val="18"/>
          <w:color w:val="auto"/>
        </w:rPr>
        <w:t>our common stock on the date of grant. SARs under the 2020 Plan will be settled in cash or shares of our common stock, or in a combination of both, at the election of the administrator.</w:t>
      </w:r>
    </w:p>
    <w:p>
      <w:pPr>
        <w:spacing w:after="0" w:line="96" w:lineRule="exact"/>
        <w:rPr>
          <w:sz w:val="20"/>
          <w:szCs w:val="20"/>
          <w:color w:val="auto"/>
        </w:rPr>
      </w:pPr>
    </w:p>
    <w:p>
      <w:pPr>
        <w:ind w:left="420" w:right="240" w:hanging="216"/>
        <w:spacing w:after="0" w:line="260" w:lineRule="auto"/>
        <w:tabs>
          <w:tab w:leader="none" w:pos="42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Performance Bonus Awards and Performance Stock Units </w:t>
      </w:r>
      <w:r>
        <w:rPr>
          <w:rFonts w:ascii="Arial" w:cs="Arial" w:eastAsia="Arial" w:hAnsi="Arial"/>
          <w:sz w:val="18"/>
          <w:szCs w:val="18"/>
          <w:color w:val="auto"/>
        </w:rPr>
        <w:t>are denominated in cash or shares/unit equivalents, respectively,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linked to one or more performance or other criteria as determined by the administrator.</w:t>
      </w:r>
    </w:p>
    <w:p>
      <w:pPr>
        <w:spacing w:after="0" w:line="78" w:lineRule="exact"/>
        <w:rPr>
          <w:rFonts w:ascii="Arial" w:cs="Arial" w:eastAsia="Arial" w:hAnsi="Arial"/>
          <w:sz w:val="18"/>
          <w:szCs w:val="18"/>
          <w:color w:val="auto"/>
        </w:rPr>
      </w:pPr>
    </w:p>
    <w:p>
      <w:pPr>
        <w:ind w:left="420" w:right="80" w:hanging="216"/>
        <w:spacing w:after="0" w:line="239" w:lineRule="auto"/>
        <w:tabs>
          <w:tab w:leader="none" w:pos="42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Other Stock or Cash Based Awards </w:t>
      </w:r>
      <w:r>
        <w:rPr>
          <w:rFonts w:ascii="Arial" w:cs="Arial" w:eastAsia="Arial" w:hAnsi="Arial"/>
          <w:sz w:val="18"/>
          <w:szCs w:val="18"/>
          <w:color w:val="auto"/>
        </w:rPr>
        <w:t>are awards of cash, fully vested shares of our common stock and other awards valued wholly or</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by referring to, or otherwise based on, shares of our common stock. Other stock or cash based awards may be granted to participants and may also be available as a payment form in the settlement of other awards, as standalone payments and as payment in lieu of base salary, bonus, fees or other cash compensation otherwise payable to any individual who is eligible to receive awards. The administrator will determine the terms and conditions of other stock or cash based awards, which may include vesting conditions based on continued service, performance and/or other conditions.</w:t>
      </w:r>
    </w:p>
    <w:p>
      <w:pPr>
        <w:spacing w:after="0" w:line="100" w:lineRule="exact"/>
        <w:rPr>
          <w:rFonts w:ascii="Arial" w:cs="Arial" w:eastAsia="Arial" w:hAnsi="Arial"/>
          <w:sz w:val="18"/>
          <w:szCs w:val="18"/>
          <w:color w:val="auto"/>
        </w:rPr>
      </w:pPr>
    </w:p>
    <w:p>
      <w:pPr>
        <w:ind w:left="420" w:hanging="216"/>
        <w:spacing w:after="0" w:line="241" w:lineRule="auto"/>
        <w:tabs>
          <w:tab w:leader="none" w:pos="42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 xml:space="preserve">Dividend Equivalents </w:t>
      </w:r>
      <w:r>
        <w:rPr>
          <w:rFonts w:ascii="Arial" w:cs="Arial" w:eastAsia="Arial" w:hAnsi="Arial"/>
          <w:sz w:val="18"/>
          <w:szCs w:val="18"/>
          <w:color w:val="auto"/>
        </w:rPr>
        <w:t>represent the right to receive the equivalent value of dividends paid on shares of our common stock and may be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alone or in tandem with awards other than stock options or SARs. Dividend equivalents are converted to cash or shares by such formula and such time as determined by the administrator. In addition, dividend equivalents with respect to an awards subject to vesting will either (i) to the extent permitted by applicable law, not be paid or credited or (ii) be accumulated and subject to vesting to the same extent as the related award.</w:t>
      </w:r>
    </w:p>
    <w:p>
      <w:pPr>
        <w:spacing w:after="0" w:line="100" w:lineRule="exact"/>
        <w:rPr>
          <w:sz w:val="20"/>
          <w:szCs w:val="20"/>
          <w:color w:val="auto"/>
        </w:rPr>
      </w:pPr>
    </w:p>
    <w:p>
      <w:pPr>
        <w:ind w:left="200" w:right="760"/>
        <w:spacing w:after="0" w:line="239" w:lineRule="auto"/>
        <w:rPr>
          <w:sz w:val="20"/>
          <w:szCs w:val="20"/>
          <w:color w:val="auto"/>
        </w:rPr>
      </w:pPr>
      <w:r>
        <w:rPr>
          <w:rFonts w:ascii="Arial" w:cs="Arial" w:eastAsia="Arial" w:hAnsi="Arial"/>
          <w:sz w:val="18"/>
          <w:szCs w:val="18"/>
          <w:color w:val="auto"/>
        </w:rPr>
        <w:t>Any award may be granted as a performance award, meaning that the award will be subject to vesting and/or payment based on the attainment of specified performance goals.</w:t>
      </w:r>
    </w:p>
    <w:p>
      <w:pPr>
        <w:spacing w:after="0" w:line="83" w:lineRule="exact"/>
        <w:rPr>
          <w:sz w:val="20"/>
          <w:szCs w:val="20"/>
          <w:color w:val="auto"/>
        </w:rPr>
      </w:pPr>
    </w:p>
    <w:p>
      <w:pPr>
        <w:ind w:left="200" w:right="140"/>
        <w:spacing w:after="0" w:line="272"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 In the event of a change in control, unless the administrator elects to terminate an award in exchange for cash, rights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2020 Plan (other than any portion subject to performance-based vesting) will be subject to accelerated vesting such that 100% of such awards will become vested and exercisable or payable, as applicable. The administrator may also make appropriate adjustments to awards under the 2020 Plan and is authorized to provide for the acceleration, cash-out, termination, assumption, substitution or conversion of such awards in the event of a change in control or certain other unusual or nonrecurring events or transactions.</w:t>
      </w:r>
    </w:p>
    <w:p>
      <w:pPr>
        <w:spacing w:after="0" w:line="61" w:lineRule="exact"/>
        <w:rPr>
          <w:sz w:val="20"/>
          <w:szCs w:val="20"/>
          <w:color w:val="auto"/>
        </w:rPr>
      </w:pPr>
    </w:p>
    <w:p>
      <w:pPr>
        <w:ind w:left="200" w:right="80"/>
        <w:spacing w:after="0" w:line="278" w:lineRule="auto"/>
        <w:rPr>
          <w:sz w:val="20"/>
          <w:szCs w:val="20"/>
          <w:color w:val="auto"/>
        </w:rPr>
      </w:pPr>
      <w:r>
        <w:rPr>
          <w:rFonts w:ascii="Arial" w:cs="Arial" w:eastAsia="Arial" w:hAnsi="Arial"/>
          <w:sz w:val="16"/>
          <w:szCs w:val="16"/>
          <w:i w:val="1"/>
          <w:iCs w:val="1"/>
          <w:color w:val="auto"/>
        </w:rPr>
        <w:t>Adjustments of awards</w:t>
      </w:r>
      <w:r>
        <w:rPr>
          <w:rFonts w:ascii="Arial" w:cs="Arial" w:eastAsia="Arial" w:hAnsi="Arial"/>
          <w:sz w:val="16"/>
          <w:szCs w:val="16"/>
          <w:color w:val="auto"/>
        </w:rPr>
        <w:t>. The administrator has broad discretion to take action under the 2020 Plan, as well as make adjustments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and conditions of existing and future awards, to prevent the dilution or enlargement of intended benefits and facilitate necessary or desirable changes in the event of certain transactions and events affecting our common stock, such as stock dividends, stock splits, mergers, acquisitions, consolidations and other corporate transactions. In addition, in the event of certain non-reciprocal transactions with our stockholders known as “equity restructurings,” the administrator will make equitable adjustments to the 2020 Plan and outstanding awards.</w:t>
      </w:r>
    </w:p>
    <w:p>
      <w:pPr>
        <w:spacing w:after="0" w:line="55" w:lineRule="exact"/>
        <w:rPr>
          <w:sz w:val="20"/>
          <w:szCs w:val="20"/>
          <w:color w:val="auto"/>
        </w:rPr>
      </w:pPr>
    </w:p>
    <w:p>
      <w:pPr>
        <w:ind w:left="200" w:right="80"/>
        <w:spacing w:after="0" w:line="243"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The administrator may terminate, amend or modify the 2020 Plan at any time and from time to time.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we must generally obtain stockholder approval to the extent required by applicable law, rule or regulation (including any applicable stock exchange rule), and generally no amendment may materially and adversely affect any outstanding award without the affected participant’s consent.</w:t>
      </w:r>
    </w:p>
    <w:p>
      <w:pPr>
        <w:spacing w:after="0" w:line="98"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Notwithstanding the foregoing, an option may be amended to reduce the per share exercise price below the per share exercise price of such option on the grant date and options may be granted in exchange for, or in</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20"/>
          </w:cols>
          <w:pgMar w:left="240" w:top="459"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connection with, the cancellation or surrender of options having a higher per share exercise price without receiving additional stockholder approval.</w:t>
      </w:r>
    </w:p>
    <w:p>
      <w:pPr>
        <w:spacing w:after="0" w:line="101"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No incentive stock options may be granted pursuant to the 2020 Plan after the tenth anniversary of the effective date of the 2020 Plan, and no additional annual share increases to the 2020 Plan’s aggregate share limit will occur from and after such anniversary. Any award that is outstanding on the termination date of the 2020 Plan will remain in force according to the terms of the 2020 Plan and the applicable award agreement.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2014 Equity Incentive Plan</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Our board of directors adopted, and our stockholders approved, the 2014 Plan effective as of December 4, 2014. The 2014 Plan has subsequently been amended on multiple occasions to increase the number of shares issuable thereunder. The 2014 Plan provides for the grant of ISOs, NSOs, SARs, restricted stock, and restricted stock units. As of September 30, 2019, options to purchase 4,670,745 shares of our common stock at a weighted-average exercise price per share of $3.36 remained outstanding under the 2014 Plan. Following this offering and in connection with the effectiveness of our 2020 Plan, the 2014 Plan will terminate and no further awards will be granted under the 2014 Plan. However, all outstanding awards will continue to be governed by their existing terms.</w:t>
      </w:r>
    </w:p>
    <w:p>
      <w:pPr>
        <w:spacing w:after="0" w:line="84" w:lineRule="exact"/>
        <w:rPr>
          <w:sz w:val="20"/>
          <w:szCs w:val="20"/>
          <w:color w:val="auto"/>
        </w:rPr>
      </w:pPr>
    </w:p>
    <w:p>
      <w:pPr>
        <w:ind w:left="200" w:right="120"/>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or a committee thereof appointed by our board of directors, has the authority to administer the 2014</w:t>
      </w:r>
      <w:r>
        <w:rPr>
          <w:rFonts w:ascii="Arial" w:cs="Arial" w:eastAsia="Arial" w:hAnsi="Arial"/>
          <w:sz w:val="18"/>
          <w:szCs w:val="18"/>
          <w:i w:val="1"/>
          <w:iCs w:val="1"/>
          <w:color w:val="auto"/>
        </w:rPr>
        <w:t xml:space="preserve"> </w:t>
      </w:r>
      <w:r>
        <w:rPr>
          <w:rFonts w:ascii="Arial" w:cs="Arial" w:eastAsia="Arial" w:hAnsi="Arial"/>
          <w:sz w:val="18"/>
          <w:szCs w:val="18"/>
          <w:color w:val="auto"/>
        </w:rPr>
        <w:t>Plan and the awards granted under it. The administrator’s authority includes the authority to select the service providers to whom awards will be granted under the 2014 Plan, the number of shares to be subject to those awards under the 2014 Plan, and the terms and conditions of the awards granted. In addition, the administrator has the authority to construe and interpret the 2014 Plan and to adopt rules for the administration, interpretation and application of the 2014 Plan that are consistent with the terms of the 2014 Plan.</w:t>
      </w:r>
    </w:p>
    <w:p>
      <w:pPr>
        <w:spacing w:after="0" w:line="82" w:lineRule="exact"/>
        <w:rPr>
          <w:sz w:val="20"/>
          <w:szCs w:val="20"/>
          <w:color w:val="auto"/>
        </w:rPr>
      </w:pPr>
    </w:p>
    <w:p>
      <w:pPr>
        <w:ind w:left="200" w:right="20"/>
        <w:spacing w:after="0" w:line="322"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2014 Plan provides that the administrator may, subject to certain conditions, grant or issue options, including ISOs and NSOs,</w:t>
      </w:r>
      <w:r>
        <w:rPr>
          <w:rFonts w:ascii="Arial" w:cs="Arial" w:eastAsia="Arial" w:hAnsi="Arial"/>
          <w:sz w:val="16"/>
          <w:szCs w:val="16"/>
          <w:i w:val="1"/>
          <w:iCs w:val="1"/>
          <w:color w:val="auto"/>
        </w:rPr>
        <w:t xml:space="preserve"> </w:t>
      </w:r>
      <w:r>
        <w:rPr>
          <w:rFonts w:ascii="Arial" w:cs="Arial" w:eastAsia="Arial" w:hAnsi="Arial"/>
          <w:sz w:val="16"/>
          <w:szCs w:val="16"/>
          <w:color w:val="auto"/>
        </w:rPr>
        <w:t>SARs, restricted stock and restricted stock units to employees, consultants and directors; provided that only employees may be granted ISOs.</w:t>
      </w:r>
    </w:p>
    <w:p>
      <w:pPr>
        <w:spacing w:after="0" w:line="33" w:lineRule="exact"/>
        <w:rPr>
          <w:sz w:val="20"/>
          <w:szCs w:val="20"/>
          <w:color w:val="auto"/>
        </w:rPr>
      </w:pPr>
    </w:p>
    <w:p>
      <w:pPr>
        <w:ind w:left="420" w:right="40" w:hanging="216"/>
        <w:spacing w:after="0" w:line="239" w:lineRule="auto"/>
        <w:tabs>
          <w:tab w:leader="none" w:pos="42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2014 Plan provides for the grant of ISOs or NSOs. ISOs may be granted only to employees. NSOs may be granted to</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directors or consultants. The exercise price of ISOs granted to employees who at the time of grant own stock representing more than 10% of the voting power of all classes of our common stock may not be less than 110% of the fair market value per share of our common stock on the date of grant, and the exercise price of ISOs granted to any other employees may not be less than 100% of the fair market value per share of our common stock on the date of grant. The exercise price of NSOs to employees, directors or consultants may not be less than 100% of the fair market value per share of our common stock on the date of grant.</w:t>
      </w:r>
    </w:p>
    <w:p>
      <w:pPr>
        <w:spacing w:after="0" w:line="100" w:lineRule="exact"/>
        <w:rPr>
          <w:rFonts w:ascii="Arial" w:cs="Arial" w:eastAsia="Arial" w:hAnsi="Arial"/>
          <w:sz w:val="18"/>
          <w:szCs w:val="18"/>
          <w:color w:val="auto"/>
        </w:rPr>
      </w:pPr>
    </w:p>
    <w:p>
      <w:pPr>
        <w:ind w:left="420" w:right="140" w:hanging="216"/>
        <w:spacing w:after="0" w:line="247" w:lineRule="auto"/>
        <w:tabs>
          <w:tab w:leader="none" w:pos="42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The 2014 Plan provides for the grant of SARs. Each SAR will be governed by a stock appreciation right</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exercise price of SARs may not be less than 100% of the fair market value per share of our common stock on the date of grant.</w:t>
      </w:r>
    </w:p>
    <w:p>
      <w:pPr>
        <w:spacing w:after="0" w:line="90"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Restricted stock awards</w:t>
      </w:r>
      <w:r>
        <w:rPr>
          <w:rFonts w:ascii="Arial" w:cs="Arial" w:eastAsia="Arial" w:hAnsi="Arial"/>
          <w:sz w:val="18"/>
          <w:szCs w:val="18"/>
          <w:color w:val="auto"/>
        </w:rPr>
        <w:t>. The 2014 Plan provides for the grant of restricted stock awards. Each restricted stock award will be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a restricted stock award agreement, which will detail the restrictions on transferability, risk of forfeiture and other restrictions the administrator approves. In general, restricted stock may not be sold, transferred, pledged, hypothecated, margined or otherwise encumbered, whether voluntarily or by operation of law, until restrictions are removed or expire. Holders of restricted stock, unlike recipients of other equity awards, will have voting rights and will have the right to receive dividends, if any, prior to the time when the restrictions lapse.</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 w:right="60" w:hanging="216"/>
        <w:spacing w:after="0" w:line="278" w:lineRule="auto"/>
        <w:tabs>
          <w:tab w:leader="none" w:pos="420"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The 2014 Plan provides that we may issue restricted stock unit awards which may be settled in either cash,</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or a combination of both. Each restricted stock unit award will be governed by a restricted stock unit award agreement that will set forth any vesting conditions based on continued employment or service or on performance criteria established by the administrator. Unlike restricted stock, stock underlying restricted stock units will not be issued until the restricted stock units have vested, and recipients of restricted stock units generally will have no rights as a stockholder prior to the time when vesting conditions are satisfied.</w:t>
      </w:r>
    </w:p>
    <w:p>
      <w:pPr>
        <w:spacing w:after="0" w:line="55" w:lineRule="exact"/>
        <w:rPr>
          <w:sz w:val="20"/>
          <w:szCs w:val="20"/>
          <w:color w:val="auto"/>
        </w:rPr>
      </w:pPr>
    </w:p>
    <w:p>
      <w:pPr>
        <w:ind w:left="200" w:right="260"/>
        <w:spacing w:after="0" w:line="243" w:lineRule="auto"/>
        <w:rPr>
          <w:sz w:val="20"/>
          <w:szCs w:val="20"/>
          <w:color w:val="auto"/>
        </w:rPr>
      </w:pPr>
      <w:r>
        <w:rPr>
          <w:rFonts w:ascii="Arial" w:cs="Arial" w:eastAsia="Arial" w:hAnsi="Arial"/>
          <w:sz w:val="18"/>
          <w:szCs w:val="18"/>
          <w:i w:val="1"/>
          <w:iCs w:val="1"/>
          <w:color w:val="auto"/>
        </w:rPr>
        <w:t>Adjustments of awards</w:t>
      </w:r>
      <w:r>
        <w:rPr>
          <w:rFonts w:ascii="Arial" w:cs="Arial" w:eastAsia="Arial" w:hAnsi="Arial"/>
          <w:sz w:val="18"/>
          <w:szCs w:val="18"/>
          <w:color w:val="auto"/>
        </w:rPr>
        <w:t>. In the event of any change in or other event that occurs with respect to the common stock without receipt of</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consideration by the Company (through merger, consolidation, reorganization, recapitalization, stock dividends, stock splits or other similar transactions), the administrator will make adjustments to the number and class of shares available for issuance under the 2014 Plan, the number and class of shares issuable pursuant to ISOs, and the number, class and price per share of outstanding awards.</w:t>
      </w:r>
    </w:p>
    <w:p>
      <w:pPr>
        <w:spacing w:after="0" w:line="80"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certain corporate transactions, including the sale of substantially all of the Company’s assets, a sale or</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of 90% of the outstanding securities of the Company, and certain mergers, consolidations and similar transactions, unless otherwise stated in an award agreement, the administrator will provide for one or more of the following actions: assumption or substitution of outstanding awards; assignment of reacquisition or repurchase rights held by the Company; or acceleration, cancellation or cash-out of outstanding awards. Awards may also be subject to additional acceleration in connection with a change in control pursuant to an award agreement or other written agreement with the Company.</w:t>
      </w:r>
    </w:p>
    <w:p>
      <w:pPr>
        <w:spacing w:after="0" w:line="87" w:lineRule="exact"/>
        <w:rPr>
          <w:sz w:val="20"/>
          <w:szCs w:val="20"/>
          <w:color w:val="auto"/>
        </w:rPr>
      </w:pPr>
    </w:p>
    <w:p>
      <w:pPr>
        <w:jc w:val="both"/>
        <w:ind w:left="200" w:right="220"/>
        <w:spacing w:after="0" w:line="241"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suspend or terminate the 2014 Plan at any time, but no amendment will</w:t>
      </w:r>
      <w:r>
        <w:rPr>
          <w:rFonts w:ascii="Arial" w:cs="Arial" w:eastAsia="Arial" w:hAnsi="Arial"/>
          <w:sz w:val="18"/>
          <w:szCs w:val="18"/>
          <w:i w:val="1"/>
          <w:iCs w:val="1"/>
          <w:color w:val="auto"/>
        </w:rPr>
        <w:t xml:space="preserve"> </w:t>
      </w:r>
      <w:r>
        <w:rPr>
          <w:rFonts w:ascii="Arial" w:cs="Arial" w:eastAsia="Arial" w:hAnsi="Arial"/>
          <w:sz w:val="18"/>
          <w:szCs w:val="18"/>
          <w:color w:val="auto"/>
        </w:rPr>
        <w:t>impair the rights of a holder of an outstanding award without the holder’s consent. Except with respect to certain capitalization adjustments, an amendment of the 2014 Plan shall be subject to the approval of our stockholders to the extent required by applicable law. Following this offering and in connection with the effectiveness of our 2020 Plan, the 2014 Plan will terminate and no further awards will be granted under the 2014 Plan.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have adopted the 2020 Employee Stock Purchase Plan, which we refer to as our ESPP, which will be effective on the day prior to the date the registration statement relating to this offering becomes effective. The ESPP is designed to allow our eligible employees to purchase shares of our common stock, at periodic intervals, with their accumulated payroll deductions. The ESPP consists of two components: a Section 423 component, which is intended to qualify under Section 423 of the Code and a non-Section 423 component, which need not qualify under Section 423 of the Code. The material terms of the ESPP are summarized below.</w:t>
      </w:r>
    </w:p>
    <w:p>
      <w:pPr>
        <w:spacing w:after="0" w:line="85" w:lineRule="exact"/>
        <w:rPr>
          <w:sz w:val="20"/>
          <w:szCs w:val="20"/>
          <w:color w:val="auto"/>
        </w:rPr>
      </w:pPr>
    </w:p>
    <w:p>
      <w:pPr>
        <w:ind w:left="200"/>
        <w:spacing w:after="0" w:line="241"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Subject to the terms and conditions of the ESPP, our compensation committee will administer the ESPP.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can delegate administrative tasks under the ESPP to the services of an agent and/or employees to assist in the administration of the ESPP. The administrator will have the discretionary authority to administer and interpret the ESPP. Interpretations and constructions of the administrator of any provision of the ESPP or of any rights thereunder will be conclusive and binding on all persons. We will bear all expenses and liabilities incurred by the ESPP administrator.</w:t>
      </w:r>
    </w:p>
    <w:p>
      <w:pPr>
        <w:spacing w:after="0" w:line="82" w:lineRule="exact"/>
        <w:rPr>
          <w:sz w:val="20"/>
          <w:szCs w:val="20"/>
          <w:color w:val="auto"/>
        </w:rPr>
      </w:pPr>
    </w:p>
    <w:p>
      <w:pPr>
        <w:jc w:val="both"/>
        <w:ind w:left="200" w:right="140"/>
        <w:spacing w:after="0" w:line="243"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maximum number of our shares of our common stock which will be authorized for sale under the ESPP is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sum of (a) 528,959 shares of common stock and (b) an annual increase on the first day of each year beginning in 2021 and ending in 2030, equal to the lesser of (i) 1% of the shares of common stock outstanding on the last day of the immediately preceding fiscal year and (ii) such number of shares of common stock as determined by our board of directors; provided, however, no more than 7,564,123</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shares of our common stock may be issued under the ESPP. The shares reserved for issuance under the ESPP may be authorized but unissued shares or reacquired shares.</w:t>
      </w:r>
    </w:p>
    <w:p>
      <w:pPr>
        <w:spacing w:after="0" w:line="83" w:lineRule="exact"/>
        <w:rPr>
          <w:sz w:val="20"/>
          <w:szCs w:val="20"/>
          <w:color w:val="auto"/>
        </w:rPr>
      </w:pPr>
    </w:p>
    <w:p>
      <w:pPr>
        <w:ind w:left="200"/>
        <w:spacing w:after="0" w:line="278"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Employees eligible to participate in the ESPP for a given offering period generally include employees who are employed by us or</w:t>
      </w:r>
      <w:r>
        <w:rPr>
          <w:rFonts w:ascii="Arial" w:cs="Arial" w:eastAsia="Arial" w:hAnsi="Arial"/>
          <w:sz w:val="16"/>
          <w:szCs w:val="16"/>
          <w:i w:val="1"/>
          <w:iCs w:val="1"/>
          <w:color w:val="auto"/>
        </w:rPr>
        <w:t xml:space="preserve"> </w:t>
      </w:r>
      <w:r>
        <w:rPr>
          <w:rFonts w:ascii="Arial" w:cs="Arial" w:eastAsia="Arial" w:hAnsi="Arial"/>
          <w:sz w:val="16"/>
          <w:szCs w:val="16"/>
          <w:color w:val="auto"/>
        </w:rPr>
        <w:t>one of our subsidiaries on the first day of the offering period, or the enrollment date. Our employees (and, if applicable, any employees of our subsidiaries) who customarily work less than five months in a calendar year or are customarily scheduled to work less than 20 hours per week will not be eligible to participate in the ESPP. Finally, an employee who owns (or is deemed to own through attribution) 5% or more of the combined voting power or value of all our classes of stock or of one of our subsidiaries will not be allowed to participate in the ESPP.</w:t>
      </w:r>
    </w:p>
    <w:p>
      <w:pPr>
        <w:spacing w:after="0" w:line="55"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i w:val="1"/>
          <w:iCs w:val="1"/>
          <w:color w:val="auto"/>
        </w:rPr>
        <w:t>Participation</w:t>
      </w:r>
      <w:r>
        <w:rPr>
          <w:rFonts w:ascii="Arial" w:cs="Arial" w:eastAsia="Arial" w:hAnsi="Arial"/>
          <w:sz w:val="18"/>
          <w:szCs w:val="18"/>
          <w:color w:val="auto"/>
        </w:rPr>
        <w:t>. Employees will enroll under the ESPP by completing a payroll deduction form permitting the deduction from their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of at least 1% of their compensation but not more than 15% of their compensation. Such payroll deductions may be expressed as either a whole number percentage or a fixed dollar amount, and the accumulated deductions will be applied to the purchase of shares on each purchase date. However, a participant may not purchase more than 100,000 shares in each offering period and, under the Section 423 component, may not accrue the right to purchase shares of common stock at a rate that exceeds $25,000 in fair market value of shares of our common stock (determined at the time the option is granted) for each calendar year the option is outstanding (as determined in accordance with Section 423 of the Code). The ESPP administrator has the authority to change the per offering period share limitations for any subsequent offering period.</w:t>
      </w:r>
    </w:p>
    <w:p>
      <w:pPr>
        <w:spacing w:after="0" w:line="87" w:lineRule="exact"/>
        <w:rPr>
          <w:sz w:val="20"/>
          <w:szCs w:val="20"/>
          <w:color w:val="auto"/>
        </w:rPr>
      </w:pPr>
    </w:p>
    <w:p>
      <w:pPr>
        <w:ind w:left="200" w:right="140"/>
        <w:spacing w:after="0" w:line="243" w:lineRule="auto"/>
        <w:rPr>
          <w:sz w:val="20"/>
          <w:szCs w:val="20"/>
          <w:color w:val="auto"/>
        </w:rPr>
      </w:pPr>
      <w:r>
        <w:rPr>
          <w:rFonts w:ascii="Arial" w:cs="Arial" w:eastAsia="Arial" w:hAnsi="Arial"/>
          <w:sz w:val="18"/>
          <w:szCs w:val="18"/>
          <w:i w:val="1"/>
          <w:iCs w:val="1"/>
          <w:color w:val="auto"/>
        </w:rPr>
        <w:t>Offering</w:t>
      </w:r>
      <w:r>
        <w:rPr>
          <w:rFonts w:ascii="Arial" w:cs="Arial" w:eastAsia="Arial" w:hAnsi="Arial"/>
          <w:sz w:val="18"/>
          <w:szCs w:val="18"/>
          <w:color w:val="auto"/>
        </w:rPr>
        <w:t>. Under the ESPP, participants are offered the option to purchase shares of our common stock at a discount during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successive, overlapping offering periods of 24 months, each comprised of six-month offering periods. The ESPP administrator will determine when offering periods under the ESPP will commence and may change the duration and timing of offering periods in its discretion. However, in no event may an offering period be longer than 27 months in length.</w:t>
      </w:r>
    </w:p>
    <w:p>
      <w:pPr>
        <w:spacing w:after="0" w:line="98"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The option purchase price will be the lower of 85% of the closing trading price per share of our common stock on the first day of an offering period in which a participant is enrolled or 85% of the closing trading price per share on the purchase date, which will occur on the last trading day of each offering period.</w:t>
      </w:r>
    </w:p>
    <w:p>
      <w:pPr>
        <w:spacing w:after="0" w:line="100"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Unless a participant has previously canceled his or her participation in the ESPP before the purchase date, the participant will be deemed to have exercised his or her option in full as of each purchase date. Upon exercise, the participant will purchase the number of whole shares that his or her accumulated payroll deductions will buy at the option purchase price, subject to the participation limitations listed above.</w:t>
      </w:r>
    </w:p>
    <w:p>
      <w:pPr>
        <w:spacing w:after="0" w:line="7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A participant may cancel his or her payroll deduction authorization at any time prior to the end of the offering period. Upon cancellation, the participant will have the option to either (i) receive a refund of the participant’s account balance in cash without interest or (ii) exercise the participant’s option for the current offering period for the maximum number of shares of common stock on the applicable purchase date, with the remaining account balance refunded in cash without interest. Following at least one payroll deduction, a participant may also decrease (but not increase) his or her payroll deduction authorization once during any offering period. If a participant wants to increase or decrease the rate of payroll withholding, he or she may do so effective for the next offering period by submitting a new form before the offering period for which such change is to be effective.</w:t>
      </w:r>
    </w:p>
    <w:p>
      <w:pPr>
        <w:spacing w:after="0" w:line="101"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A participant may not assign, transfer, pledge or otherwise dispose of (other than by will or the laws of descent and distribution) payroll deductions credited to a participant’s account or any rights to exercise an option or to receive shares of our common stock under the ESPP, and during a participant’s lifetime, options in the ESPP shall be exercisable only by such participant. Any such attempt at assignment, transfer, pledge or other disposition will not be given effect.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right="20"/>
        <w:spacing w:after="0" w:line="269" w:lineRule="auto"/>
        <w:rPr>
          <w:sz w:val="20"/>
          <w:szCs w:val="20"/>
          <w:color w:val="auto"/>
        </w:rPr>
      </w:pPr>
      <w:r>
        <w:rPr>
          <w:rFonts w:ascii="Arial" w:cs="Arial" w:eastAsia="Arial" w:hAnsi="Arial"/>
          <w:sz w:val="16"/>
          <w:szCs w:val="16"/>
          <w:i w:val="1"/>
          <w:iCs w:val="1"/>
          <w:color w:val="auto"/>
        </w:rPr>
        <w:t>Adjustments upon changes in recapitalization, dissolution, liquidation, merger or asset sale</w:t>
      </w:r>
      <w:r>
        <w:rPr>
          <w:rFonts w:ascii="Arial" w:cs="Arial" w:eastAsia="Arial" w:hAnsi="Arial"/>
          <w:sz w:val="16"/>
          <w:szCs w:val="16"/>
          <w:color w:val="auto"/>
        </w:rPr>
        <w:t>. In the event of any increase or decrease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number of issued shares of our common stock resulting from a stock split, reverse stock split, stock dividend, combination or reclassification of the common stock, or any other increase or decrease in the number of shares of common stock effected without receipt of consideration by us, we will proportionately adjust the aggregate number of shares of our common stock offered under the ESPP and the number and price of shares with respect to each option under the ESPP. If there is a proposal to dissolve or liquidate us, then the ESPP will terminate immediately prior to the consummation of such proposed dissolution or liquidation, and any offering period then in progress will be shortened by setting a new purchase date to take place before the date of our dissolution or liquidation. We will notify each participant of such change in writing at least 10 business days prior to the new exercise date. If we undergo a merger with or into another corporation or sell all or substantially all of our assets, each outstanding option will be assumed or an equivalent option substituted by the successor corporation or the parent or subsidiary of the successor corporation. If the successor corporation refuses to assume the outstanding options or substitute equivalent options, then any offering period then in progress will be shortened by setting a new purchase date to take place before the date of our proposed sale or merger. We will notify each participant of such change in writing at least 10 business days prior to the new exercise date.</w:t>
      </w:r>
    </w:p>
    <w:p>
      <w:pPr>
        <w:spacing w:after="0" w:line="271" w:lineRule="exact"/>
        <w:rPr>
          <w:sz w:val="20"/>
          <w:szCs w:val="20"/>
          <w:color w:val="auto"/>
        </w:rPr>
      </w:pPr>
    </w:p>
    <w:p>
      <w:pPr>
        <w:ind w:left="200" w:right="300"/>
        <w:spacing w:after="0" w:line="247"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amend, suspend or terminate the ESPP at any time. However,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may not amend the ESPP without obtaining stockholder approval within 12 months before or after such amendment to the extent required by applicable laws.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Director compensation</w:t>
      </w:r>
    </w:p>
    <w:p>
      <w:pPr>
        <w:spacing w:after="0" w:line="134" w:lineRule="exact"/>
        <w:rPr>
          <w:sz w:val="20"/>
          <w:szCs w:val="20"/>
          <w:color w:val="auto"/>
        </w:rPr>
      </w:pPr>
    </w:p>
    <w:p>
      <w:pPr>
        <w:ind w:left="200" w:right="440"/>
        <w:spacing w:after="0" w:line="238" w:lineRule="auto"/>
        <w:rPr>
          <w:sz w:val="20"/>
          <w:szCs w:val="20"/>
          <w:color w:val="auto"/>
        </w:rPr>
      </w:pPr>
      <w:r>
        <w:rPr>
          <w:rFonts w:ascii="Arial" w:cs="Arial" w:eastAsia="Arial" w:hAnsi="Arial"/>
          <w:sz w:val="18"/>
          <w:szCs w:val="18"/>
          <w:color w:val="auto"/>
        </w:rPr>
        <w:t>We have entered into board member letters with each of Ms. Anderson, Dr. Miller and Dr. Weber, who were during 2019 non-employee directors not affiliated of one of our principal investors, whom we refer to as our non-employee, non-investor directors. Pursuant to these letters, each of Ms. Anderson, Dr. Miller and Dr. Weber were eligible to receive:</w:t>
      </w:r>
    </w:p>
    <w:p>
      <w:pPr>
        <w:spacing w:after="0" w:line="114" w:lineRule="exact"/>
        <w:rPr>
          <w:sz w:val="20"/>
          <w:szCs w:val="20"/>
          <w:color w:val="auto"/>
        </w:rPr>
      </w:pPr>
    </w:p>
    <w:p>
      <w:pPr>
        <w:ind w:left="420" w:hanging="216"/>
        <w:spacing w:after="0"/>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 annual board retainer of $30,000;</w:t>
      </w:r>
    </w:p>
    <w:p>
      <w:pPr>
        <w:spacing w:after="0" w:line="117" w:lineRule="exact"/>
        <w:rPr>
          <w:rFonts w:ascii="Arial" w:cs="Arial" w:eastAsia="Arial" w:hAnsi="Arial"/>
          <w:sz w:val="18"/>
          <w:szCs w:val="18"/>
          <w:color w:val="auto"/>
        </w:rPr>
      </w:pPr>
    </w:p>
    <w:p>
      <w:pPr>
        <w:ind w:left="420" w:right="60" w:hanging="216"/>
        <w:spacing w:after="0" w:line="238"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connection with his or her initial appointment to our board of directors, an option to purchase 30,825 shares of our common stock, which vests as to 25% of the shares subject to the option on the first anniversary of the grant date and as to 6.25% of the shares subject to the option on each quarterly anniversary thereafter, subject to continued service; and</w:t>
      </w:r>
    </w:p>
    <w:p>
      <w:pPr>
        <w:spacing w:after="0" w:line="113" w:lineRule="exact"/>
        <w:rPr>
          <w:rFonts w:ascii="Arial" w:cs="Arial" w:eastAsia="Arial" w:hAnsi="Arial"/>
          <w:sz w:val="18"/>
          <w:szCs w:val="18"/>
          <w:color w:val="auto"/>
        </w:rPr>
      </w:pPr>
    </w:p>
    <w:p>
      <w:pPr>
        <w:ind w:left="420" w:right="300" w:hanging="216"/>
        <w:spacing w:after="0" w:line="238" w:lineRule="auto"/>
        <w:tabs>
          <w:tab w:leader="none" w:pos="4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following the second anniversary of service, in the discretion of the board of directors, additional annual grants of an option to purchase 6,165 shares of our common stock, which vests as to 1/12</w:t>
      </w:r>
      <w:r>
        <w:rPr>
          <w:rFonts w:ascii="Arial" w:cs="Arial" w:eastAsia="Arial" w:hAnsi="Arial"/>
          <w:sz w:val="11"/>
          <w:szCs w:val="11"/>
          <w:color w:val="auto"/>
        </w:rPr>
        <w:t>th</w:t>
      </w:r>
      <w:r>
        <w:rPr>
          <w:rFonts w:ascii="Arial" w:cs="Arial" w:eastAsia="Arial" w:hAnsi="Arial"/>
          <w:sz w:val="18"/>
          <w:szCs w:val="18"/>
          <w:color w:val="auto"/>
        </w:rPr>
        <w:t xml:space="preserve"> of the shares on each monthly anniversary of the grant date, subject to continued service.</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Mr. Borisy also became a non-employee, non-investor director in July 2019. Our directors who are either our employees, including</w:t>
      </w:r>
    </w:p>
    <w:p>
      <w:pPr>
        <w:ind w:left="200"/>
        <w:spacing w:after="0" w:line="237" w:lineRule="auto"/>
        <w:rPr>
          <w:sz w:val="20"/>
          <w:szCs w:val="20"/>
          <w:color w:val="auto"/>
        </w:rPr>
      </w:pPr>
      <w:r>
        <w:rPr>
          <w:rFonts w:ascii="Arial" w:cs="Arial" w:eastAsia="Arial" w:hAnsi="Arial"/>
          <w:sz w:val="18"/>
          <w:szCs w:val="18"/>
          <w:color w:val="auto"/>
        </w:rPr>
        <w:t>Dr. Goldsmith, or are affiliated with one of our principal investors do not currently receive any compensation for their service as directors. However, we reimburse our non-employee directors for reasonable out of pocket travel or other expenses for Company business as approved by the Company. Dr. Goldsmith’s compensation as our President and Chief Executive Officer is set forth in the summary compensation table above.</w:t>
      </w:r>
    </w:p>
    <w:p>
      <w:pPr>
        <w:spacing w:after="0" w:line="101"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In March 2019, our board granted to Ms. Anderson an option to purchase 6,165 shares, which vests as to 1/12th of the shares subject to the option on each monthly anniversary thereafter, subject to continued service to the Company.</w:t>
      </w:r>
    </w:p>
    <w:p>
      <w:pPr>
        <w:spacing w:after="0" w:line="101"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In June 2019, following a market assessment of the compensation paid to our non-employee, non-investor directors, our board approved increasing the initial option grant to 54,663 shares and the annual option grant</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00"/>
          </w:cols>
          <w:pgMar w:left="240" w:top="460"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to 14,385 shares, with the initial option grant vesting as to 25% of the shares subject to the option on the first anniversary of the grant date and as to 1/48th of the shares subject to the option on each monthly anniversary thereafter, subject to continued service to the Company, and the annual option grant continuing to vest as to 1/12th of the shares on each monthly anniversary of the grant date, subject to continued service to the Company.</w:t>
      </w:r>
    </w:p>
    <w:p>
      <w:pPr>
        <w:spacing w:after="0" w:line="101"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In July 2019, in connection with his change in status to a non-employee, non-investor director, our board granted to Mr. Borisy an initial option grant to purchase 54,663 shares and an annual option grant to purchase 14,385 shares, which vest as described above.</w:t>
      </w:r>
    </w:p>
    <w:p>
      <w:pPr>
        <w:spacing w:after="0" w:line="101"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In August 2019, our board granted additional options to each of our non-employee, non-investor directors. Drs. Miller and Weber each received an option to purchase 14,385 shares of common stock, which vest as to 1/12th of the shares on each monthly anniversary of September 27, 2019 and April 12, 2020, respectively, subject to continued service to the Company. In addition, Ms. Anderson was granted an option to purchase 18,750 shares of our common stock, Mr. Borisy was granted an option to purchase 3,884 shares of our common stock, and each of Drs. Miller and Weber were granted an additional option to purchase 17,997 shares of common stock, each of which were intended to position the director’s compensation closer to market. Ms. Anderson’s option vests as to 1/12th of the shares subject to the option on each monthly anniversary of the grant date, Mr. Borisy’s option vests as to 1/48th of the shares subject to the option on each monthly anniversary of the grant date, Dr. Miller’s option for 17,997 shares vests as to 1/24th of the shares on each monthly anniversary of the grant date, and Dr. Weber’s option for 17,997 shares vests as to 1/30th of the shares on each monthly anniversary of the grant date, in each case, subject to continued service.</w:t>
      </w:r>
    </w:p>
    <w:p>
      <w:pPr>
        <w:spacing w:after="0" w:line="107"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Each of the options we have granted to our non-employee, non-investor directors are exercisable immediately, in whole or in part, provided that shares acquired upon exercise of any unvested portion are subject to a right of repurchase by the Company.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2019 director compensation table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all of the compensation awarded to or earned by or paid to non-employee directors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4900" w:type="dxa"/>
            <w:vAlign w:val="bottom"/>
            <w:gridSpan w:val="2"/>
          </w:tcPr>
          <w:p>
            <w:pPr>
              <w:jc w:val="center"/>
              <w:ind w:left="3392"/>
              <w:spacing w:after="0"/>
              <w:rPr>
                <w:sz w:val="20"/>
                <w:szCs w:val="20"/>
                <w:color w:val="auto"/>
              </w:rPr>
            </w:pPr>
            <w:r>
              <w:rPr>
                <w:rFonts w:ascii="Arial" w:cs="Arial" w:eastAsia="Arial" w:hAnsi="Arial"/>
                <w:sz w:val="18"/>
                <w:szCs w:val="18"/>
                <w:b w:val="1"/>
                <w:bCs w:val="1"/>
                <w:color w:val="auto"/>
                <w:w w:val="97"/>
              </w:rPr>
              <w:t>Fees earned</w:t>
            </w:r>
          </w:p>
        </w:tc>
        <w:tc>
          <w:tcPr>
            <w:tcW w:w="1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60" w:type="dxa"/>
            <w:vAlign w:val="bottom"/>
          </w:tcPr>
          <w:p>
            <w:pPr>
              <w:jc w:val="center"/>
              <w:ind w:right="272"/>
              <w:spacing w:after="0" w:line="202" w:lineRule="exact"/>
              <w:rPr>
                <w:sz w:val="20"/>
                <w:szCs w:val="20"/>
                <w:color w:val="auto"/>
              </w:rPr>
            </w:pPr>
            <w:r>
              <w:rPr>
                <w:rFonts w:ascii="Arial" w:cs="Arial" w:eastAsia="Arial" w:hAnsi="Arial"/>
                <w:sz w:val="18"/>
                <w:szCs w:val="18"/>
                <w:b w:val="1"/>
                <w:bCs w:val="1"/>
                <w:color w:val="auto"/>
                <w:w w:val="96"/>
              </w:rPr>
              <w:t>or paid</w:t>
            </w:r>
          </w:p>
        </w:tc>
        <w:tc>
          <w:tcPr>
            <w:tcW w:w="1300" w:type="dxa"/>
            <w:vAlign w:val="bottom"/>
          </w:tcPr>
          <w:p>
            <w:pPr>
              <w:jc w:val="right"/>
              <w:ind w:right="332"/>
              <w:spacing w:after="0" w:line="202" w:lineRule="exact"/>
              <w:rPr>
                <w:sz w:val="20"/>
                <w:szCs w:val="20"/>
                <w:color w:val="auto"/>
              </w:rPr>
            </w:pPr>
            <w:r>
              <w:rPr>
                <w:rFonts w:ascii="Arial" w:cs="Arial" w:eastAsia="Arial" w:hAnsi="Arial"/>
                <w:sz w:val="18"/>
                <w:szCs w:val="18"/>
                <w:b w:val="1"/>
                <w:bCs w:val="1"/>
                <w:color w:val="auto"/>
              </w:rPr>
              <w:t>Option</w:t>
            </w: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37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840" w:type="dxa"/>
            <w:vAlign w:val="bottom"/>
          </w:tcPr>
          <w:p>
            <w:pPr>
              <w:spacing w:after="0"/>
              <w:rPr>
                <w:sz w:val="19"/>
                <w:szCs w:val="19"/>
                <w:color w:val="auto"/>
              </w:rPr>
            </w:pPr>
          </w:p>
        </w:tc>
        <w:tc>
          <w:tcPr>
            <w:tcW w:w="1060" w:type="dxa"/>
            <w:vAlign w:val="bottom"/>
          </w:tcPr>
          <w:p>
            <w:pPr>
              <w:jc w:val="center"/>
              <w:ind w:right="272"/>
              <w:spacing w:after="0"/>
              <w:rPr>
                <w:sz w:val="20"/>
                <w:szCs w:val="20"/>
                <w:color w:val="auto"/>
              </w:rPr>
            </w:pPr>
            <w:r>
              <w:rPr>
                <w:rFonts w:ascii="Arial" w:cs="Arial" w:eastAsia="Arial" w:hAnsi="Arial"/>
                <w:sz w:val="18"/>
                <w:szCs w:val="18"/>
                <w:b w:val="1"/>
                <w:bCs w:val="1"/>
                <w:color w:val="auto"/>
                <w:w w:val="99"/>
              </w:rPr>
              <w:t>in cash</w:t>
            </w:r>
          </w:p>
        </w:tc>
        <w:tc>
          <w:tcPr>
            <w:tcW w:w="1300" w:type="dxa"/>
            <w:vAlign w:val="bottom"/>
          </w:tcPr>
          <w:p>
            <w:pPr>
              <w:jc w:val="right"/>
              <w:ind w:right="212"/>
              <w:spacing w:after="0"/>
              <w:rPr>
                <w:sz w:val="20"/>
                <w:szCs w:val="20"/>
                <w:color w:val="auto"/>
              </w:rPr>
            </w:pPr>
            <w:r>
              <w:rPr>
                <w:rFonts w:ascii="Arial" w:cs="Arial" w:eastAsia="Arial" w:hAnsi="Arial"/>
                <w:sz w:val="18"/>
                <w:szCs w:val="18"/>
                <w:b w:val="1"/>
                <w:bCs w:val="1"/>
                <w:color w:val="auto"/>
              </w:rPr>
              <w:t>awards(1)</w:t>
            </w:r>
          </w:p>
        </w:tc>
        <w:tc>
          <w:tcPr>
            <w:tcW w:w="1100" w:type="dxa"/>
            <w:vAlign w:val="bottom"/>
            <w:gridSpan w:val="2"/>
          </w:tcPr>
          <w:p>
            <w:pPr>
              <w:ind w:left="460"/>
              <w:spacing w:after="0"/>
              <w:rPr>
                <w:sz w:val="20"/>
                <w:szCs w:val="20"/>
                <w:color w:val="auto"/>
              </w:rPr>
            </w:pPr>
            <w:r>
              <w:rPr>
                <w:rFonts w:ascii="Arial" w:cs="Arial" w:eastAsia="Arial" w:hAnsi="Arial"/>
                <w:sz w:val="18"/>
                <w:szCs w:val="18"/>
                <w:b w:val="1"/>
                <w:bCs w:val="1"/>
                <w:color w:val="auto"/>
              </w:rPr>
              <w:t>Total</w:t>
            </w:r>
          </w:p>
        </w:tc>
      </w:tr>
      <w:tr>
        <w:trPr>
          <w:trHeight w:val="196"/>
        </w:trPr>
        <w:tc>
          <w:tcPr>
            <w:tcW w:w="20" w:type="dxa"/>
            <w:vAlign w:val="bottom"/>
          </w:tcPr>
          <w:p>
            <w:pPr>
              <w:spacing w:after="0"/>
              <w:rPr>
                <w:sz w:val="17"/>
                <w:szCs w:val="17"/>
                <w:color w:val="auto"/>
              </w:rPr>
            </w:pPr>
          </w:p>
        </w:tc>
        <w:tc>
          <w:tcPr>
            <w:tcW w:w="37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Elizabeth McKee Anderson</w:t>
            </w:r>
          </w:p>
        </w:tc>
        <w:tc>
          <w:tcPr>
            <w:tcW w:w="38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30,000</w:t>
            </w:r>
          </w:p>
        </w:tc>
        <w:tc>
          <w:tcPr>
            <w:tcW w:w="1300" w:type="dxa"/>
            <w:vAlign w:val="bottom"/>
            <w:tcBorders>
              <w:top w:val="single" w:sz="8" w:color="auto"/>
            </w:tcBorders>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$ 101,869</w:t>
            </w: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$131,869</w:t>
            </w:r>
          </w:p>
        </w:tc>
        <w:tc>
          <w:tcPr>
            <w:tcW w:w="60" w:type="dxa"/>
            <w:vAlign w:val="bottom"/>
            <w:tcBorders>
              <w:top w:val="single" w:sz="8" w:color="auto"/>
            </w:tcBorders>
            <w:shd w:val="clear" w:color="auto" w:fill="CCEEFF"/>
          </w:tcPr>
          <w:p>
            <w:pPr>
              <w:spacing w:after="0"/>
              <w:rPr>
                <w:sz w:val="17"/>
                <w:szCs w:val="17"/>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Alexis Borisy</w:t>
            </w:r>
          </w:p>
        </w:tc>
        <w:tc>
          <w:tcPr>
            <w:tcW w:w="3840" w:type="dxa"/>
            <w:vAlign w:val="bottom"/>
          </w:tcPr>
          <w:p>
            <w:pPr>
              <w:spacing w:after="0"/>
              <w:rPr>
                <w:sz w:val="17"/>
                <w:szCs w:val="17"/>
                <w:color w:val="auto"/>
              </w:rPr>
            </w:pPr>
          </w:p>
        </w:tc>
        <w:tc>
          <w:tcPr>
            <w:tcW w:w="10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15,000</w:t>
            </w:r>
          </w:p>
        </w:tc>
        <w:tc>
          <w:tcPr>
            <w:tcW w:w="13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328,396</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343,396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Neil Exter</w:t>
            </w:r>
          </w:p>
        </w:tc>
        <w:tc>
          <w:tcPr>
            <w:tcW w:w="3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Laurence Lasky, Ph.D.</w:t>
            </w:r>
          </w:p>
        </w:tc>
        <w:tc>
          <w:tcPr>
            <w:tcW w:w="3840" w:type="dxa"/>
            <w:vAlign w:val="bottom"/>
          </w:tcPr>
          <w:p>
            <w:pPr>
              <w:spacing w:after="0"/>
              <w:rPr>
                <w:sz w:val="17"/>
                <w:szCs w:val="17"/>
                <w:color w:val="auto"/>
              </w:rPr>
            </w:pPr>
          </w:p>
        </w:tc>
        <w:tc>
          <w:tcPr>
            <w:tcW w:w="10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Vincent Miller, M.D.</w:t>
            </w:r>
          </w:p>
        </w:tc>
        <w:tc>
          <w:tcPr>
            <w:tcW w:w="3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30,000</w:t>
            </w:r>
          </w:p>
        </w:tc>
        <w:tc>
          <w:tcPr>
            <w:tcW w:w="13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142,514</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172,514</w:t>
            </w:r>
          </w:p>
        </w:tc>
        <w:tc>
          <w:tcPr>
            <w:tcW w:w="60" w:type="dxa"/>
            <w:vAlign w:val="bottom"/>
            <w:shd w:val="clear" w:color="auto" w:fill="CCEEFF"/>
          </w:tcPr>
          <w:p>
            <w:pPr>
              <w:spacing w:after="0"/>
              <w:rPr>
                <w:sz w:val="17"/>
                <w:szCs w:val="17"/>
                <w:color w:val="auto"/>
              </w:rPr>
            </w:pPr>
          </w:p>
        </w:tc>
      </w:tr>
      <w:tr>
        <w:trPr>
          <w:trHeight w:val="203"/>
        </w:trPr>
        <w:tc>
          <w:tcPr>
            <w:tcW w:w="3740" w:type="dxa"/>
            <w:vAlign w:val="bottom"/>
            <w:gridSpan w:val="2"/>
          </w:tcPr>
          <w:p>
            <w:pPr>
              <w:spacing w:after="0" w:line="202" w:lineRule="exact"/>
              <w:rPr>
                <w:sz w:val="20"/>
                <w:szCs w:val="20"/>
                <w:color w:val="auto"/>
              </w:rPr>
            </w:pPr>
            <w:r>
              <w:rPr>
                <w:rFonts w:ascii="Arial" w:cs="Arial" w:eastAsia="Arial" w:hAnsi="Arial"/>
                <w:sz w:val="18"/>
                <w:szCs w:val="18"/>
                <w:color w:val="auto"/>
              </w:rPr>
              <w:t>Thilo Schroeder, Ph.D.</w:t>
            </w:r>
          </w:p>
        </w:tc>
        <w:tc>
          <w:tcPr>
            <w:tcW w:w="3840" w:type="dxa"/>
            <w:vAlign w:val="bottom"/>
          </w:tcPr>
          <w:p>
            <w:pPr>
              <w:spacing w:after="0"/>
              <w:rPr>
                <w:sz w:val="17"/>
                <w:szCs w:val="17"/>
                <w:color w:val="auto"/>
              </w:rPr>
            </w:pPr>
          </w:p>
        </w:tc>
        <w:tc>
          <w:tcPr>
            <w:tcW w:w="10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Barbara Weber, M.D.</w:t>
            </w:r>
          </w:p>
        </w:tc>
        <w:tc>
          <w:tcPr>
            <w:tcW w:w="3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30,000</w:t>
            </w:r>
          </w:p>
        </w:tc>
        <w:tc>
          <w:tcPr>
            <w:tcW w:w="13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144,706</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174,706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840" w:type="dxa"/>
            <w:vAlign w:val="bottom"/>
          </w:tcPr>
          <w:p>
            <w:pPr>
              <w:jc w:val="right"/>
              <w:ind w:right="1832"/>
              <w:spacing w:after="0"/>
              <w:rPr>
                <w:sz w:val="20"/>
                <w:szCs w:val="20"/>
                <w:color w:val="auto"/>
              </w:rPr>
            </w:pPr>
            <w:r>
              <w:rPr>
                <w:rFonts w:ascii="Arial" w:cs="Arial" w:eastAsia="Arial" w:hAnsi="Arial"/>
                <w:sz w:val="18"/>
                <w:szCs w:val="18"/>
                <w:color w:val="auto"/>
              </w:rPr>
              <w:t>192</w:t>
            </w: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right="220" w:hanging="316"/>
        <w:spacing w:after="0" w:line="228" w:lineRule="auto"/>
        <w:tabs>
          <w:tab w:leader="none" w:pos="5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Amounts reported represent the aggregate grant date fair value of stock options granted to our non-employee directors during 2019 under our 2014 Equity Incentive Plan, computed in accordance with ASC Topic 718. Assumptions used in the calculation of these amounts are included in Note 10 to our consolidated financial statements included in this prospectus. As of December 31, 2019, our non-employee directors held the following outstanding options and 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120650</wp:posOffset>
            </wp:positionV>
            <wp:extent cx="699770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1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78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98"/>
              </w:rPr>
              <w:t>Unvested</w:t>
            </w: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780" w:type="dxa"/>
            <w:vAlign w:val="bottom"/>
            <w:gridSpan w:val="2"/>
          </w:tcPr>
          <w:p>
            <w:pPr>
              <w:jc w:val="center"/>
              <w:ind w:left="272"/>
              <w:spacing w:after="0" w:line="202" w:lineRule="exact"/>
              <w:rPr>
                <w:sz w:val="20"/>
                <w:szCs w:val="20"/>
                <w:color w:val="auto"/>
              </w:rPr>
            </w:pPr>
            <w:r>
              <w:rPr>
                <w:rFonts w:ascii="Arial" w:cs="Arial" w:eastAsia="Arial" w:hAnsi="Arial"/>
                <w:sz w:val="18"/>
                <w:szCs w:val="18"/>
                <w:b w:val="1"/>
                <w:bCs w:val="1"/>
                <w:color w:val="auto"/>
                <w:w w:val="97"/>
              </w:rPr>
              <w:t>Restricted</w:t>
            </w: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4420" w:type="dxa"/>
            <w:vAlign w:val="bottom"/>
          </w:tcPr>
          <w:p>
            <w:pPr>
              <w:jc w:val="center"/>
              <w:ind w:left="2232"/>
              <w:spacing w:after="0" w:line="202" w:lineRule="exact"/>
              <w:rPr>
                <w:sz w:val="20"/>
                <w:szCs w:val="20"/>
                <w:color w:val="auto"/>
              </w:rPr>
            </w:pPr>
            <w:r>
              <w:rPr>
                <w:rFonts w:ascii="Arial" w:cs="Arial" w:eastAsia="Arial" w:hAnsi="Arial"/>
                <w:sz w:val="18"/>
                <w:szCs w:val="18"/>
                <w:b w:val="1"/>
                <w:bCs w:val="1"/>
                <w:color w:val="auto"/>
                <w:w w:val="96"/>
              </w:rPr>
              <w:t>Options</w:t>
            </w:r>
          </w:p>
        </w:tc>
        <w:tc>
          <w:tcPr>
            <w:tcW w:w="1780" w:type="dxa"/>
            <w:vAlign w:val="bottom"/>
            <w:gridSpan w:val="2"/>
          </w:tcPr>
          <w:p>
            <w:pPr>
              <w:jc w:val="center"/>
              <w:ind w:left="252"/>
              <w:spacing w:after="0" w:line="202" w:lineRule="exact"/>
              <w:rPr>
                <w:sz w:val="20"/>
                <w:szCs w:val="20"/>
                <w:color w:val="auto"/>
              </w:rPr>
            </w:pPr>
            <w:r>
              <w:rPr>
                <w:rFonts w:ascii="Arial" w:cs="Arial" w:eastAsia="Arial" w:hAnsi="Arial"/>
                <w:sz w:val="18"/>
                <w:szCs w:val="18"/>
                <w:b w:val="1"/>
                <w:bCs w:val="1"/>
                <w:color w:val="auto"/>
                <w:w w:val="99"/>
              </w:rPr>
              <w:t>Shares</w:t>
            </w:r>
          </w:p>
        </w:tc>
      </w:tr>
      <w:tr>
        <w:trPr>
          <w:trHeight w:val="203"/>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4420" w:type="dxa"/>
            <w:vAlign w:val="bottom"/>
          </w:tcPr>
          <w:p>
            <w:pPr>
              <w:jc w:val="center"/>
              <w:ind w:left="2212"/>
              <w:spacing w:after="0" w:line="202" w:lineRule="exact"/>
              <w:rPr>
                <w:sz w:val="20"/>
                <w:szCs w:val="20"/>
                <w:color w:val="auto"/>
              </w:rPr>
            </w:pPr>
            <w:r>
              <w:rPr>
                <w:rFonts w:ascii="Arial" w:cs="Arial" w:eastAsia="Arial" w:hAnsi="Arial"/>
                <w:sz w:val="18"/>
                <w:szCs w:val="18"/>
                <w:b w:val="1"/>
                <w:bCs w:val="1"/>
                <w:color w:val="auto"/>
                <w:w w:val="97"/>
              </w:rPr>
              <w:t>Outstanding at</w:t>
            </w:r>
          </w:p>
        </w:tc>
        <w:tc>
          <w:tcPr>
            <w:tcW w:w="1780" w:type="dxa"/>
            <w:vAlign w:val="bottom"/>
            <w:gridSpan w:val="2"/>
          </w:tcPr>
          <w:p>
            <w:pPr>
              <w:jc w:val="center"/>
              <w:ind w:left="252"/>
              <w:spacing w:after="0" w:line="202" w:lineRule="exact"/>
              <w:rPr>
                <w:sz w:val="20"/>
                <w:szCs w:val="20"/>
                <w:color w:val="auto"/>
              </w:rPr>
            </w:pPr>
            <w:r>
              <w:rPr>
                <w:rFonts w:ascii="Arial" w:cs="Arial" w:eastAsia="Arial" w:hAnsi="Arial"/>
                <w:sz w:val="18"/>
                <w:szCs w:val="18"/>
                <w:b w:val="1"/>
                <w:bCs w:val="1"/>
                <w:color w:val="auto"/>
                <w:w w:val="97"/>
              </w:rPr>
              <w:t>Outstanding at</w:t>
            </w:r>
          </w:p>
        </w:tc>
      </w:tr>
      <w:tr>
        <w:trPr>
          <w:trHeight w:val="221"/>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4420" w:type="dxa"/>
            <w:vAlign w:val="bottom"/>
          </w:tcPr>
          <w:p>
            <w:pPr>
              <w:jc w:val="center"/>
              <w:ind w:left="2212"/>
              <w:spacing w:after="0"/>
              <w:rPr>
                <w:sz w:val="20"/>
                <w:szCs w:val="20"/>
                <w:color w:val="auto"/>
              </w:rPr>
            </w:pPr>
            <w:r>
              <w:rPr>
                <w:rFonts w:ascii="Arial" w:cs="Arial" w:eastAsia="Arial" w:hAnsi="Arial"/>
                <w:sz w:val="18"/>
                <w:szCs w:val="18"/>
                <w:b w:val="1"/>
                <w:bCs w:val="1"/>
                <w:color w:val="auto"/>
                <w:w w:val="95"/>
              </w:rPr>
              <w:t>Fiscal Year End</w:t>
            </w:r>
          </w:p>
        </w:tc>
        <w:tc>
          <w:tcPr>
            <w:tcW w:w="1780" w:type="dxa"/>
            <w:vAlign w:val="bottom"/>
            <w:gridSpan w:val="2"/>
          </w:tcPr>
          <w:p>
            <w:pPr>
              <w:jc w:val="center"/>
              <w:ind w:left="252"/>
              <w:spacing w:after="0"/>
              <w:rPr>
                <w:sz w:val="20"/>
                <w:szCs w:val="20"/>
                <w:color w:val="auto"/>
              </w:rPr>
            </w:pPr>
            <w:r>
              <w:rPr>
                <w:rFonts w:ascii="Arial" w:cs="Arial" w:eastAsia="Arial" w:hAnsi="Arial"/>
                <w:sz w:val="18"/>
                <w:szCs w:val="18"/>
                <w:b w:val="1"/>
                <w:bCs w:val="1"/>
                <w:color w:val="auto"/>
                <w:w w:val="95"/>
              </w:rPr>
              <w:t>Fiscal Year End</w:t>
            </w:r>
          </w:p>
        </w:tc>
      </w:tr>
      <w:tr>
        <w:trPr>
          <w:trHeight w:val="196"/>
        </w:trPr>
        <w:tc>
          <w:tcPr>
            <w:tcW w:w="20" w:type="dxa"/>
            <w:vAlign w:val="bottom"/>
          </w:tcPr>
          <w:p>
            <w:pPr>
              <w:spacing w:after="0"/>
              <w:rPr>
                <w:sz w:val="17"/>
                <w:szCs w:val="17"/>
                <w:color w:val="auto"/>
              </w:rPr>
            </w:pPr>
          </w:p>
        </w:tc>
        <w:tc>
          <w:tcPr>
            <w:tcW w:w="48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Elizabeth McKee Anderson</w:t>
            </w:r>
          </w:p>
        </w:tc>
        <w:tc>
          <w:tcPr>
            <w:tcW w:w="4420" w:type="dxa"/>
            <w:vAlign w:val="bottom"/>
            <w:tcBorders>
              <w:top w:val="single" w:sz="8" w:color="auto"/>
            </w:tcBorders>
            <w:shd w:val="clear" w:color="auto" w:fill="CCEEFF"/>
          </w:tcPr>
          <w:p>
            <w:pPr>
              <w:jc w:val="right"/>
              <w:ind w:right="332"/>
              <w:spacing w:after="0" w:line="196" w:lineRule="exact"/>
              <w:rPr>
                <w:sz w:val="20"/>
                <w:szCs w:val="20"/>
                <w:color w:val="auto"/>
              </w:rPr>
            </w:pPr>
            <w:r>
              <w:rPr>
                <w:rFonts w:ascii="Arial" w:cs="Arial" w:eastAsia="Arial" w:hAnsi="Arial"/>
                <w:sz w:val="18"/>
                <w:szCs w:val="18"/>
                <w:color w:val="auto"/>
              </w:rPr>
              <w:t>31,080</w:t>
            </w:r>
          </w:p>
        </w:tc>
        <w:tc>
          <w:tcPr>
            <w:tcW w:w="178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Alexis Borisy</w:t>
            </w:r>
          </w:p>
        </w:tc>
        <w:tc>
          <w:tcPr>
            <w:tcW w:w="442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72,932</w:t>
            </w:r>
          </w:p>
        </w:tc>
        <w:tc>
          <w:tcPr>
            <w:tcW w:w="1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Neil Exter</w:t>
            </w:r>
          </w:p>
        </w:tc>
        <w:tc>
          <w:tcPr>
            <w:tcW w:w="442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Laurence Lasky, Ph.D.</w:t>
            </w:r>
          </w:p>
        </w:tc>
        <w:tc>
          <w:tcPr>
            <w:tcW w:w="442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Vincent Miller, M.D.</w:t>
            </w:r>
          </w:p>
        </w:tc>
        <w:tc>
          <w:tcPr>
            <w:tcW w:w="442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32,382</w:t>
            </w:r>
          </w:p>
        </w:tc>
        <w:tc>
          <w:tcPr>
            <w:tcW w:w="1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13,486</w:t>
            </w:r>
          </w:p>
        </w:tc>
        <w:tc>
          <w:tcPr>
            <w:tcW w:w="60" w:type="dxa"/>
            <w:vAlign w:val="bottom"/>
            <w:shd w:val="clear" w:color="auto" w:fill="CCEEFF"/>
          </w:tcPr>
          <w:p>
            <w:pPr>
              <w:spacing w:after="0"/>
              <w:rPr>
                <w:sz w:val="17"/>
                <w:szCs w:val="17"/>
                <w:color w:val="auto"/>
              </w:rPr>
            </w:pPr>
          </w:p>
        </w:tc>
      </w:tr>
      <w:tr>
        <w:trPr>
          <w:trHeight w:val="203"/>
        </w:trPr>
        <w:tc>
          <w:tcPr>
            <w:tcW w:w="4840" w:type="dxa"/>
            <w:vAlign w:val="bottom"/>
            <w:gridSpan w:val="2"/>
          </w:tcPr>
          <w:p>
            <w:pPr>
              <w:spacing w:after="0" w:line="202" w:lineRule="exact"/>
              <w:rPr>
                <w:sz w:val="20"/>
                <w:szCs w:val="20"/>
                <w:color w:val="auto"/>
              </w:rPr>
            </w:pPr>
            <w:r>
              <w:rPr>
                <w:rFonts w:ascii="Arial" w:cs="Arial" w:eastAsia="Arial" w:hAnsi="Arial"/>
                <w:sz w:val="18"/>
                <w:szCs w:val="18"/>
                <w:color w:val="auto"/>
              </w:rPr>
              <w:t>Thilo Schroeder, Ph.D.</w:t>
            </w:r>
          </w:p>
        </w:tc>
        <w:tc>
          <w:tcPr>
            <w:tcW w:w="442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Barbara Weber, M.D.</w:t>
            </w:r>
          </w:p>
        </w:tc>
        <w:tc>
          <w:tcPr>
            <w:tcW w:w="4420" w:type="dxa"/>
            <w:vAlign w:val="bottom"/>
            <w:shd w:val="clear" w:color="auto" w:fill="CCEEFF"/>
          </w:tcPr>
          <w:p>
            <w:pPr>
              <w:jc w:val="right"/>
              <w:ind w:right="332"/>
              <w:spacing w:after="0" w:line="202" w:lineRule="exact"/>
              <w:rPr>
                <w:sz w:val="20"/>
                <w:szCs w:val="20"/>
                <w:color w:val="auto"/>
              </w:rPr>
            </w:pPr>
            <w:r>
              <w:rPr>
                <w:rFonts w:ascii="Arial" w:cs="Arial" w:eastAsia="Arial" w:hAnsi="Arial"/>
                <w:sz w:val="18"/>
                <w:szCs w:val="18"/>
                <w:color w:val="auto"/>
              </w:rPr>
              <w:t>63,207</w:t>
            </w:r>
          </w:p>
        </w:tc>
        <w:tc>
          <w:tcPr>
            <w:tcW w:w="1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82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We have adopted and are implementing a compensation program for our non-employee directors, or the Director Compensation Program, to be effective in connection with the consummation of this offering, which will supersede the current arrangements with our non-employee, non-investor directors and apply broadly to all of our non-employee directors. Pursuant to the Director Compensation Program, our non-employee directors will receive cash compensation as follows:</w:t>
      </w:r>
    </w:p>
    <w:p>
      <w:pPr>
        <w:spacing w:after="0" w:line="114" w:lineRule="exact"/>
        <w:rPr>
          <w:sz w:val="20"/>
          <w:szCs w:val="20"/>
          <w:color w:val="auto"/>
        </w:rPr>
      </w:pPr>
    </w:p>
    <w:p>
      <w:pPr>
        <w:ind w:left="420" w:hanging="216"/>
        <w:spacing w:after="0"/>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Each non-employee director will receive an annual cash retainer in the amount of $36,000 per year.</w:t>
      </w:r>
    </w:p>
    <w:p>
      <w:pPr>
        <w:spacing w:after="0" w:line="117" w:lineRule="exact"/>
        <w:rPr>
          <w:rFonts w:ascii="Arial" w:cs="Arial" w:eastAsia="Arial" w:hAnsi="Arial"/>
          <w:sz w:val="18"/>
          <w:szCs w:val="18"/>
          <w:color w:val="auto"/>
        </w:rPr>
      </w:pPr>
    </w:p>
    <w:p>
      <w:pPr>
        <w:ind w:left="420" w:right="300" w:hanging="216"/>
        <w:spacing w:after="0" w:line="239" w:lineRule="auto"/>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 lead independent director will receive an additional annual cash retainer in the amount of $25,000 per year, and a non-executive chair will receive an additional annual cash retainer in the amount of $30,000 per year.</w:t>
      </w:r>
    </w:p>
    <w:p>
      <w:pPr>
        <w:spacing w:after="0" w:line="114" w:lineRule="exact"/>
        <w:rPr>
          <w:rFonts w:ascii="Arial" w:cs="Arial" w:eastAsia="Arial" w:hAnsi="Arial"/>
          <w:sz w:val="18"/>
          <w:szCs w:val="18"/>
          <w:color w:val="auto"/>
        </w:rPr>
      </w:pPr>
    </w:p>
    <w:p>
      <w:pPr>
        <w:ind w:left="420" w:right="360" w:hanging="216"/>
        <w:spacing w:after="0" w:line="238" w:lineRule="auto"/>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chairperson of the audit committee will receive additional annual cash compensation in the amount of $15,000 per year for such chairperson’s service on the audit committee. Each non-chairperson member of the audit committee will receive additional annual cash compensation in the amount of $7,500 per year for such member’s service on the audit committee.</w:t>
      </w:r>
    </w:p>
    <w:p>
      <w:pPr>
        <w:spacing w:after="0" w:line="113" w:lineRule="exact"/>
        <w:rPr>
          <w:rFonts w:ascii="Arial" w:cs="Arial" w:eastAsia="Arial" w:hAnsi="Arial"/>
          <w:sz w:val="18"/>
          <w:szCs w:val="18"/>
          <w:color w:val="auto"/>
        </w:rPr>
      </w:pPr>
    </w:p>
    <w:p>
      <w:pPr>
        <w:jc w:val="both"/>
        <w:ind w:left="420" w:right="280" w:hanging="216"/>
        <w:spacing w:after="0" w:line="281" w:lineRule="auto"/>
        <w:tabs>
          <w:tab w:leader="none" w:pos="4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chairperson of the compensation committee will receive additional annual cash compensation in the amount of $10,000 per year for such chairperson’s service on the compensation committee. Each non-chairperson member of the compensation committee will receive additional annual cash compensation in the amount of $5,000 per year for such member’s service on the compensation committee.</w:t>
      </w:r>
    </w:p>
    <w:p>
      <w:pPr>
        <w:spacing w:after="0" w:line="83" w:lineRule="exact"/>
        <w:rPr>
          <w:rFonts w:ascii="Arial" w:cs="Arial" w:eastAsia="Arial" w:hAnsi="Arial"/>
          <w:sz w:val="16"/>
          <w:szCs w:val="16"/>
          <w:color w:val="auto"/>
        </w:rPr>
      </w:pPr>
    </w:p>
    <w:p>
      <w:pPr>
        <w:ind w:left="420" w:right="20" w:hanging="216"/>
        <w:spacing w:after="0" w:line="237" w:lineRule="auto"/>
        <w:tabs>
          <w:tab w:leader="none" w:pos="42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chairperson of the nominating and corporate governance committee will receive additional annual cash compensation in the amount of $8,000 per year for such chairperson’s service on the nominating and corporate governance committee. Each non-chairperson member of the nominating and corporate governance committee will receive additional annual cash compensation in the amount of $4,000 per year for such member’s service on the nominating and corporate governance committee.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240" w:top="459" w:right="4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Under the Director Compensation Program, each non-employee director will automatically be granted an option to purchase 36,168 shares of our common stock upon the director’s initial appointment or election to our board of directors, referred to as the Initial Grant, and each non-employee director who has been serving on the board for at least four months will automatically be granted an option to purchase 18,084 shares of our common stock automatically on the date of each annual stockholder’s meeting following the completion of this offering, referred to as the Annual Grant. The Initial Grant will vest in substantially equal monthly installments for three years from the date of grant, subject to continued service through each applicable vesting date. The Annual Grant will vest on the earlier of the first anniversary of the date of grant or the date of the next annual stockholder’s meeting to the extent unvested as of such date, subject to continued service through each applicable vesting date.</w:t>
      </w:r>
    </w:p>
    <w:p>
      <w:pPr>
        <w:spacing w:after="0" w:line="100" w:lineRule="exact"/>
        <w:rPr>
          <w:sz w:val="20"/>
          <w:szCs w:val="20"/>
          <w:color w:val="auto"/>
        </w:rPr>
      </w:pPr>
    </w:p>
    <w:p>
      <w:pPr>
        <w:ind w:left="200" w:right="60"/>
        <w:spacing w:after="0" w:line="275" w:lineRule="auto"/>
        <w:rPr>
          <w:sz w:val="20"/>
          <w:szCs w:val="20"/>
          <w:color w:val="auto"/>
        </w:rPr>
      </w:pPr>
      <w:r>
        <w:rPr>
          <w:rFonts w:ascii="Arial" w:cs="Arial" w:eastAsia="Arial" w:hAnsi="Arial"/>
          <w:sz w:val="16"/>
          <w:szCs w:val="16"/>
          <w:color w:val="auto"/>
        </w:rPr>
        <w:t>Effective as of the date of the effectiveness of the registration statement to which this prospectus relates, our board of directors has approved the award of an option to purchase 36,168 shares of our common stock under the 2020 Plan to each of Mr. Exter and Dr. Lasky. The options will have a per share exercise price equal to the initial public offering price set forth on the cover of this prospectus and will vest in 36 equal monthly installments following the effective date of grant, subject to the grantee’s continued service as a non-employee director.</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240" w:top="460"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Certain relationships and related party transactions</w:t>
      </w:r>
    </w:p>
    <w:p>
      <w:pPr>
        <w:spacing w:after="0" w:line="158"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In addition to the compensation arrangements, including employment, termination of employment and change in control arrangements, with our directors and executive officers, including those discussed in the sections titled “Management” and “Executive and director compensation,” the following is a description of each transaction since January 1, 2016 in which:</w:t>
      </w:r>
    </w:p>
    <w:p>
      <w:pPr>
        <w:spacing w:after="0" w:line="114" w:lineRule="exact"/>
        <w:rPr>
          <w:sz w:val="20"/>
          <w:szCs w:val="20"/>
          <w:color w:val="auto"/>
        </w:rPr>
      </w:pPr>
    </w:p>
    <w:p>
      <w:pPr>
        <w:ind w:left="420" w:hanging="216"/>
        <w:spacing w:after="0"/>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17" w:lineRule="exact"/>
        <w:rPr>
          <w:rFonts w:ascii="Arial" w:cs="Arial" w:eastAsia="Arial" w:hAnsi="Arial"/>
          <w:sz w:val="18"/>
          <w:szCs w:val="18"/>
          <w:color w:val="auto"/>
        </w:rPr>
      </w:pPr>
    </w:p>
    <w:p>
      <w:pPr>
        <w:ind w:left="420" w:right="180" w:hanging="216"/>
        <w:spacing w:after="0" w:line="239" w:lineRule="auto"/>
        <w:tabs>
          <w:tab w:leader="none" w:pos="4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 affiliate or immediate family member thereof, had or will have a direct or indirect material interest.</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Sales and purchases of securities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A preferred stock financing extension</w:t>
      </w:r>
    </w:p>
    <w:p>
      <w:pPr>
        <w:spacing w:after="0" w:line="124"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In February, July, October and December 2016 and April and May 2017, we issued an aggregate of 10,315,088 shares of our Series A Preferred Stock at a price per share of $4.87 for aggregate proceeds to us of $50,194,267.00. The table below sets forth the number of shares of Series A Preferred Stock sold in 2016 and 2017 to our directors, executive officers or beneficial owners of more than 5% of a class of our capital stock, or an affiliate or immediate family member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40" w:type="dxa"/>
            <w:vAlign w:val="bottom"/>
          </w:tcPr>
          <w:p>
            <w:pPr>
              <w:spacing w:after="0"/>
              <w:rPr>
                <w:sz w:val="17"/>
                <w:szCs w:val="17"/>
                <w:color w:val="auto"/>
              </w:rPr>
            </w:pPr>
          </w:p>
        </w:tc>
        <w:tc>
          <w:tcPr>
            <w:tcW w:w="3760" w:type="dxa"/>
            <w:vAlign w:val="bottom"/>
          </w:tcPr>
          <w:p>
            <w:pPr>
              <w:jc w:val="right"/>
              <w:ind w:right="232"/>
              <w:spacing w:after="0"/>
              <w:rPr>
                <w:sz w:val="20"/>
                <w:szCs w:val="20"/>
                <w:color w:val="auto"/>
              </w:rPr>
            </w:pPr>
            <w:r>
              <w:rPr>
                <w:rFonts w:ascii="Arial" w:cs="Arial" w:eastAsia="Arial" w:hAnsi="Arial"/>
                <w:sz w:val="18"/>
                <w:szCs w:val="18"/>
                <w:b w:val="1"/>
                <w:bCs w:val="1"/>
                <w:color w:val="auto"/>
              </w:rPr>
              <w:t>Number of shares of</w:t>
            </w: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53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760" w:type="dxa"/>
            <w:vAlign w:val="bottom"/>
          </w:tcPr>
          <w:p>
            <w:pPr>
              <w:jc w:val="right"/>
              <w:ind w:right="232"/>
              <w:spacing w:after="0"/>
              <w:rPr>
                <w:sz w:val="20"/>
                <w:szCs w:val="20"/>
                <w:color w:val="auto"/>
              </w:rPr>
            </w:pPr>
            <w:r>
              <w:rPr>
                <w:rFonts w:ascii="Arial" w:cs="Arial" w:eastAsia="Arial" w:hAnsi="Arial"/>
                <w:sz w:val="18"/>
                <w:szCs w:val="18"/>
                <w:b w:val="1"/>
                <w:bCs w:val="1"/>
                <w:color w:val="auto"/>
              </w:rPr>
              <w:t>Series A preferred stock</w:t>
            </w:r>
          </w:p>
        </w:tc>
        <w:tc>
          <w:tcPr>
            <w:tcW w:w="1920" w:type="dxa"/>
            <w:vAlign w:val="bottom"/>
            <w:gridSpan w:val="3"/>
          </w:tcPr>
          <w:p>
            <w:pPr>
              <w:ind w:left="320"/>
              <w:spacing w:after="0"/>
              <w:rPr>
                <w:sz w:val="20"/>
                <w:szCs w:val="20"/>
                <w:color w:val="auto"/>
              </w:rPr>
            </w:pPr>
            <w:r>
              <w:rPr>
                <w:rFonts w:ascii="Arial" w:cs="Arial" w:eastAsia="Arial" w:hAnsi="Arial"/>
                <w:sz w:val="18"/>
                <w:szCs w:val="18"/>
                <w:b w:val="1"/>
                <w:bCs w:val="1"/>
                <w:color w:val="auto"/>
              </w:rPr>
              <w:t>Purchase price ($)</w:t>
            </w:r>
          </w:p>
        </w:tc>
      </w:tr>
      <w:tr>
        <w:trPr>
          <w:trHeight w:val="196"/>
        </w:trPr>
        <w:tc>
          <w:tcPr>
            <w:tcW w:w="20" w:type="dxa"/>
            <w:vAlign w:val="bottom"/>
          </w:tcPr>
          <w:p>
            <w:pPr>
              <w:spacing w:after="0"/>
              <w:rPr>
                <w:sz w:val="17"/>
                <w:szCs w:val="17"/>
                <w:color w:val="auto"/>
              </w:rPr>
            </w:pPr>
          </w:p>
        </w:tc>
        <w:tc>
          <w:tcPr>
            <w:tcW w:w="53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Third Rock Ventures(1)(2)(3)</w:t>
            </w:r>
          </w:p>
        </w:tc>
        <w:tc>
          <w:tcPr>
            <w:tcW w:w="3760" w:type="dxa"/>
            <w:vAlign w:val="bottom"/>
            <w:tcBorders>
              <w:top w:val="single" w:sz="8" w:color="auto"/>
            </w:tcBorders>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5,137,583</w:t>
            </w:r>
          </w:p>
        </w:tc>
        <w:tc>
          <w:tcPr>
            <w:tcW w:w="580" w:type="dxa"/>
            <w:vAlign w:val="bottom"/>
            <w:tcBorders>
              <w:top w:val="single" w:sz="8" w:color="auto"/>
            </w:tcBorders>
            <w:shd w:val="clear" w:color="auto" w:fill="CCEEFF"/>
          </w:tcPr>
          <w:p>
            <w:pPr>
              <w:ind w:left="32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25,000,000.00</w:t>
            </w:r>
          </w:p>
        </w:tc>
        <w:tc>
          <w:tcPr>
            <w:tcW w:w="60" w:type="dxa"/>
            <w:vAlign w:val="bottom"/>
            <w:tcBorders>
              <w:top w:val="single" w:sz="8" w:color="auto"/>
            </w:tcBorders>
            <w:shd w:val="clear" w:color="auto" w:fill="CCEEFF"/>
          </w:tcPr>
          <w:p>
            <w:pPr>
              <w:spacing w:after="0"/>
              <w:rPr>
                <w:sz w:val="17"/>
                <w:szCs w:val="17"/>
                <w:color w:val="auto"/>
              </w:rPr>
            </w:pPr>
          </w:p>
        </w:tc>
      </w:tr>
      <w:tr>
        <w:trPr>
          <w:trHeight w:val="215"/>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Entities Affiliated with The Column Group(4)(5)</w:t>
            </w:r>
          </w:p>
        </w:tc>
        <w:tc>
          <w:tcPr>
            <w:tcW w:w="37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5,137,583</w:t>
            </w:r>
          </w:p>
        </w:tc>
        <w:tc>
          <w:tcPr>
            <w:tcW w:w="5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25,000,000.00</w:t>
            </w:r>
          </w:p>
        </w:tc>
        <w:tc>
          <w:tcPr>
            <w:tcW w:w="60" w:type="dxa"/>
            <w:vAlign w:val="bottom"/>
          </w:tcPr>
          <w:p>
            <w:pPr>
              <w:spacing w:after="0"/>
              <w:rPr>
                <w:sz w:val="18"/>
                <w:szCs w:val="18"/>
                <w:color w:val="auto"/>
              </w:rPr>
            </w:pPr>
          </w:p>
        </w:tc>
      </w:tr>
    </w:tbl>
    <w:p>
      <w:pPr>
        <w:spacing w:after="0" w:line="67" w:lineRule="exact"/>
        <w:rPr>
          <w:sz w:val="20"/>
          <w:szCs w:val="20"/>
          <w:color w:val="auto"/>
        </w:rPr>
      </w:pPr>
    </w:p>
    <w:p>
      <w:pPr>
        <w:ind w:left="520" w:right="220" w:hanging="316"/>
        <w:spacing w:after="0" w:line="228" w:lineRule="auto"/>
        <w:tabs>
          <w:tab w:leader="none" w:pos="5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(i) Third Rock Ventures III, L.P. purchased 4,110,067 shares of Series A Preferred Stock for a total purchase price of $20,000,000.00 and (ii) Third Rock Ventures IV, L.P. purchased 1,027,516 shares of Series A Preferred Stock for a total purchase price of $5,000,000.00. Entities affiliated with Third Rock Ventures became beneficial owners of (in the aggregate) more than 5% of our capital stock upon the initial closing of the Series A Preferred Stock financing.</w:t>
      </w:r>
    </w:p>
    <w:p>
      <w:pPr>
        <w:spacing w:after="0" w:line="54" w:lineRule="exact"/>
        <w:rPr>
          <w:rFonts w:ascii="Arial" w:cs="Arial" w:eastAsia="Arial" w:hAnsi="Arial"/>
          <w:sz w:val="14"/>
          <w:szCs w:val="14"/>
          <w:color w:val="auto"/>
        </w:rPr>
      </w:pPr>
    </w:p>
    <w:p>
      <w:pPr>
        <w:ind w:left="520" w:right="220" w:hanging="316"/>
        <w:spacing w:after="0" w:line="231" w:lineRule="auto"/>
        <w:tabs>
          <w:tab w:leader="none" w:pos="5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Alexis Borisy, who is currently a member of our board of directors and was a member of our board of directors at the time of the Series A Preferred Stock financing, was then an affiliate of Third Rock Ventures.</w:t>
      </w:r>
    </w:p>
    <w:p>
      <w:pPr>
        <w:spacing w:after="0" w:line="54" w:lineRule="exact"/>
        <w:rPr>
          <w:rFonts w:ascii="Arial" w:cs="Arial" w:eastAsia="Arial" w:hAnsi="Arial"/>
          <w:sz w:val="14"/>
          <w:szCs w:val="14"/>
          <w:color w:val="auto"/>
        </w:rPr>
      </w:pPr>
    </w:p>
    <w:p>
      <w:pPr>
        <w:ind w:left="520" w:hanging="316"/>
        <w:spacing w:after="0"/>
        <w:tabs>
          <w:tab w:leader="none" w:pos="5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Michael Bonney, who was a member of our board of directors at the time of the Series A Preferred Stock financing, was then a partner of Third Rock Ventures.</w:t>
      </w:r>
    </w:p>
    <w:p>
      <w:pPr>
        <w:spacing w:after="0" w:line="55" w:lineRule="exact"/>
        <w:rPr>
          <w:rFonts w:ascii="Arial" w:cs="Arial" w:eastAsia="Arial" w:hAnsi="Arial"/>
          <w:sz w:val="14"/>
          <w:szCs w:val="14"/>
          <w:color w:val="auto"/>
        </w:rPr>
      </w:pPr>
    </w:p>
    <w:p>
      <w:pPr>
        <w:ind w:left="520" w:right="120" w:hanging="316"/>
        <w:spacing w:after="0" w:line="228" w:lineRule="auto"/>
        <w:tabs>
          <w:tab w:leader="none" w:pos="5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(i) The Column Group III, LP purchased 2,412,789 shares of Series A Preferred Stock for a total purchase price of $11,740,876.00 and (ii) The Column Group III-A, LP purchased 2,724,794 shares of Series A Preferred Stock for a total purchase price of $13,259,124.00. Entities affiliated with The Column Group became beneficial owners of (in the aggregate) more than 5% of our capital stock during the course of the Series A Preferred Stock financing.</w:t>
      </w:r>
    </w:p>
    <w:p>
      <w:pPr>
        <w:spacing w:after="0" w:line="54" w:lineRule="exact"/>
        <w:rPr>
          <w:rFonts w:ascii="Arial" w:cs="Arial" w:eastAsia="Arial" w:hAnsi="Arial"/>
          <w:sz w:val="14"/>
          <w:szCs w:val="14"/>
          <w:color w:val="auto"/>
        </w:rPr>
      </w:pPr>
    </w:p>
    <w:p>
      <w:pPr>
        <w:ind w:left="520" w:right="260" w:hanging="316"/>
        <w:spacing w:after="0" w:line="231" w:lineRule="auto"/>
        <w:tabs>
          <w:tab w:leader="none" w:pos="52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Laurence Lasky, Ph.D., who is currently a member of our board of directors and was a member of our board of directors at the time of the Series A Preferred Stock financing, is and was then an affiliate of The Column Group.</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40"/>
          </w:cols>
          <w:pgMar w:left="240" w:top="460" w:right="4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March, June and November 2018, we issued an aggregate of 8,166,702 shares of our Series B Preferred Stock at a price per share of</w:t>
      </w:r>
    </w:p>
    <w:p>
      <w:pPr>
        <w:ind w:left="200" w:right="180"/>
        <w:spacing w:after="0" w:line="238" w:lineRule="auto"/>
        <w:rPr>
          <w:sz w:val="20"/>
          <w:szCs w:val="20"/>
          <w:color w:val="auto"/>
        </w:rPr>
      </w:pPr>
      <w:r>
        <w:rPr>
          <w:rFonts w:ascii="Arial" w:cs="Arial" w:eastAsia="Arial" w:hAnsi="Arial"/>
          <w:sz w:val="18"/>
          <w:szCs w:val="18"/>
          <w:color w:val="auto"/>
        </w:rPr>
        <w:t>$7.30 for those shares issued in March and June 2018 and $10.03 for those shares issued in November 2018, for aggregate proceeds to us of $60,796,920.58. The table below sets forth the number of shares of Series B Preferred Stock sold to our directors, executive officers or beneficial owners of more than 5% of a class of our capital stock, or an affiliate or immediate family member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3880" w:type="dxa"/>
            <w:vAlign w:val="bottom"/>
          </w:tcPr>
          <w:p>
            <w:pPr>
              <w:jc w:val="right"/>
              <w:ind w:right="232"/>
              <w:spacing w:after="0"/>
              <w:rPr>
                <w:sz w:val="20"/>
                <w:szCs w:val="20"/>
                <w:color w:val="auto"/>
              </w:rPr>
            </w:pPr>
            <w:r>
              <w:rPr>
                <w:rFonts w:ascii="Arial" w:cs="Arial" w:eastAsia="Arial" w:hAnsi="Arial"/>
                <w:sz w:val="18"/>
                <w:szCs w:val="18"/>
                <w:b w:val="1"/>
                <w:bCs w:val="1"/>
                <w:color w:val="auto"/>
              </w:rPr>
              <w:t>Number of shares of</w:t>
            </w:r>
          </w:p>
        </w:tc>
        <w:tc>
          <w:tcPr>
            <w:tcW w:w="5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52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880" w:type="dxa"/>
            <w:vAlign w:val="bottom"/>
          </w:tcPr>
          <w:p>
            <w:pPr>
              <w:jc w:val="right"/>
              <w:ind w:right="232"/>
              <w:spacing w:after="0"/>
              <w:rPr>
                <w:sz w:val="20"/>
                <w:szCs w:val="20"/>
                <w:color w:val="auto"/>
              </w:rPr>
            </w:pPr>
            <w:r>
              <w:rPr>
                <w:rFonts w:ascii="Arial" w:cs="Arial" w:eastAsia="Arial" w:hAnsi="Arial"/>
                <w:sz w:val="18"/>
                <w:szCs w:val="18"/>
                <w:b w:val="1"/>
                <w:bCs w:val="1"/>
                <w:color w:val="auto"/>
              </w:rPr>
              <w:t>Series B preferred stock</w:t>
            </w:r>
          </w:p>
        </w:tc>
        <w:tc>
          <w:tcPr>
            <w:tcW w:w="1900" w:type="dxa"/>
            <w:vAlign w:val="bottom"/>
            <w:gridSpan w:val="3"/>
          </w:tcPr>
          <w:p>
            <w:pPr>
              <w:ind w:left="300"/>
              <w:spacing w:after="0"/>
              <w:rPr>
                <w:sz w:val="20"/>
                <w:szCs w:val="20"/>
                <w:color w:val="auto"/>
              </w:rPr>
            </w:pPr>
            <w:r>
              <w:rPr>
                <w:rFonts w:ascii="Arial" w:cs="Arial" w:eastAsia="Arial" w:hAnsi="Arial"/>
                <w:sz w:val="18"/>
                <w:szCs w:val="18"/>
                <w:b w:val="1"/>
                <w:bCs w:val="1"/>
                <w:color w:val="auto"/>
              </w:rPr>
              <w:t>Purchase price ($)</w:t>
            </w:r>
          </w:p>
        </w:tc>
      </w:tr>
      <w:tr>
        <w:trPr>
          <w:trHeight w:val="196"/>
        </w:trPr>
        <w:tc>
          <w:tcPr>
            <w:tcW w:w="20" w:type="dxa"/>
            <w:vAlign w:val="bottom"/>
          </w:tcPr>
          <w:p>
            <w:pPr>
              <w:spacing w:after="0"/>
              <w:rPr>
                <w:sz w:val="17"/>
                <w:szCs w:val="17"/>
                <w:color w:val="auto"/>
              </w:rPr>
            </w:pPr>
          </w:p>
        </w:tc>
        <w:tc>
          <w:tcPr>
            <w:tcW w:w="52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Third Rock Ventures(1)(2)</w:t>
            </w:r>
          </w:p>
        </w:tc>
        <w:tc>
          <w:tcPr>
            <w:tcW w:w="3880" w:type="dxa"/>
            <w:vAlign w:val="bottom"/>
            <w:tcBorders>
              <w:top w:val="single" w:sz="8" w:color="auto"/>
            </w:tcBorders>
            <w:shd w:val="clear" w:color="auto" w:fill="CCEEFF"/>
          </w:tcPr>
          <w:p>
            <w:pPr>
              <w:jc w:val="right"/>
              <w:ind w:right="232"/>
              <w:spacing w:after="0" w:line="196" w:lineRule="exact"/>
              <w:rPr>
                <w:sz w:val="20"/>
                <w:szCs w:val="20"/>
                <w:color w:val="auto"/>
              </w:rPr>
            </w:pPr>
            <w:r>
              <w:rPr>
                <w:rFonts w:ascii="Arial" w:cs="Arial" w:eastAsia="Arial" w:hAnsi="Arial"/>
                <w:sz w:val="18"/>
                <w:szCs w:val="18"/>
                <w:color w:val="auto"/>
              </w:rPr>
              <w:t>685,010</w:t>
            </w:r>
          </w:p>
        </w:tc>
        <w:tc>
          <w:tcPr>
            <w:tcW w:w="560" w:type="dxa"/>
            <w:vAlign w:val="bottom"/>
            <w:tcBorders>
              <w:top w:val="single" w:sz="8" w:color="auto"/>
            </w:tcBorders>
            <w:shd w:val="clear" w:color="auto" w:fill="CCEEFF"/>
          </w:tcPr>
          <w:p>
            <w:pPr>
              <w:ind w:left="300"/>
              <w:spacing w:after="0" w:line="196" w:lineRule="exact"/>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4,999,999.50</w:t>
            </w:r>
          </w:p>
        </w:tc>
        <w:tc>
          <w:tcPr>
            <w:tcW w:w="60" w:type="dxa"/>
            <w:vAlign w:val="bottom"/>
            <w:tcBorders>
              <w:top w:val="single" w:sz="8" w:color="auto"/>
            </w:tcBorders>
            <w:shd w:val="clear" w:color="auto" w:fill="CCEEFF"/>
          </w:tcPr>
          <w:p>
            <w:pPr>
              <w:spacing w:after="0"/>
              <w:rPr>
                <w:sz w:val="17"/>
                <w:szCs w:val="17"/>
                <w:color w:val="auto"/>
              </w:rPr>
            </w:pPr>
          </w:p>
        </w:tc>
      </w:tr>
      <w:tr>
        <w:trPr>
          <w:trHeight w:val="203"/>
        </w:trPr>
        <w:tc>
          <w:tcPr>
            <w:tcW w:w="526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The Column Group(3)(4)</w:t>
            </w:r>
          </w:p>
        </w:tc>
        <w:tc>
          <w:tcPr>
            <w:tcW w:w="388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2,740,043</w:t>
            </w:r>
          </w:p>
        </w:tc>
        <w:tc>
          <w:tcPr>
            <w:tcW w:w="560" w:type="dxa"/>
            <w:vAlign w:val="bottom"/>
          </w:tcPr>
          <w:p>
            <w:pPr>
              <w:ind w:left="300"/>
              <w:spacing w:after="0" w:line="202" w:lineRule="exact"/>
              <w:rPr>
                <w:sz w:val="20"/>
                <w:szCs w:val="20"/>
                <w:color w:val="auto"/>
              </w:rPr>
            </w:pPr>
            <w:r>
              <w:rPr>
                <w:rFonts w:ascii="Arial" w:cs="Arial" w:eastAsia="Arial" w:hAnsi="Arial"/>
                <w:sz w:val="18"/>
                <w:szCs w:val="18"/>
                <w:color w:val="auto"/>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19,999,998.00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Nextech V Oncology S.C.S., SICAV-SIF(5)(6)</w:t>
            </w:r>
          </w:p>
        </w:tc>
        <w:tc>
          <w:tcPr>
            <w:tcW w:w="388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1,569,540</w:t>
            </w:r>
          </w:p>
        </w:tc>
        <w:tc>
          <w:tcPr>
            <w:tcW w:w="56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11,999,999.44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right="160" w:hanging="316"/>
        <w:spacing w:after="0" w:line="228" w:lineRule="auto"/>
        <w:tabs>
          <w:tab w:leader="none" w:pos="5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(i) Third Rock Ventures III, L.P. purchased 342,505 shares of Series B Preferred Stock for a total purchase price of $2,499,999.00 and (ii) Third Rock Ventures IV, L.P. purchased 342,505 shares of Series B Preferred Stock for a total purchase price of $2,500,000.50. Entities affiliated with Third Rock Ventures were beneficial owners of (in the aggregate) more than 5% of our capital stock at the time of the Series B Preferred Stock financing.</w:t>
      </w:r>
    </w:p>
    <w:p>
      <w:pPr>
        <w:spacing w:after="0" w:line="54" w:lineRule="exact"/>
        <w:rPr>
          <w:rFonts w:ascii="Arial" w:cs="Arial" w:eastAsia="Arial" w:hAnsi="Arial"/>
          <w:sz w:val="14"/>
          <w:szCs w:val="14"/>
          <w:color w:val="auto"/>
        </w:rPr>
      </w:pPr>
    </w:p>
    <w:p>
      <w:pPr>
        <w:ind w:left="520" w:right="220" w:hanging="316"/>
        <w:spacing w:after="0" w:line="231" w:lineRule="auto"/>
        <w:tabs>
          <w:tab w:leader="none" w:pos="5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Alexis Borisy, who is currently a member of our board of directors and was a member of our board of directors at the time of the Series B Preferred Stock financing, was then an affiliate of Third Rock Ventures.</w:t>
      </w:r>
    </w:p>
    <w:p>
      <w:pPr>
        <w:spacing w:after="0" w:line="54" w:lineRule="exact"/>
        <w:rPr>
          <w:rFonts w:ascii="Arial" w:cs="Arial" w:eastAsia="Arial" w:hAnsi="Arial"/>
          <w:sz w:val="14"/>
          <w:szCs w:val="14"/>
          <w:color w:val="auto"/>
        </w:rPr>
      </w:pPr>
    </w:p>
    <w:p>
      <w:pPr>
        <w:ind w:left="520" w:right="160" w:hanging="316"/>
        <w:spacing w:after="0" w:line="272" w:lineRule="auto"/>
        <w:tabs>
          <w:tab w:leader="none" w:pos="52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(i) The Column Group III, LP purchased 643,410 shares of Series B Preferred Stock for a total purchase price of $4,696,350.00, (ii) The Column Group III-A, LP purchased 726,611 shares of Series B Preferred Stock for a total purchase price of $5,303,649.00, (iii) Ponoi Capital, LP purchased 685,011 shares of Series B Preferred Stock for a total purchase price of $4,999,999.50 and (iv) Ponoi Capital II, LP purchased 685,011 shares of Series B Preferred Stock for a total purchase price of $4,999,999.50. Entities affiliated with The Column Group were beneficial owners of (in the aggregate) more than 5% of our capital stock at the time of the Series B Preferred Stock financing.</w:t>
      </w:r>
    </w:p>
    <w:p>
      <w:pPr>
        <w:spacing w:after="0" w:line="36" w:lineRule="exact"/>
        <w:rPr>
          <w:rFonts w:ascii="Arial" w:cs="Arial" w:eastAsia="Arial" w:hAnsi="Arial"/>
          <w:sz w:val="12"/>
          <w:szCs w:val="12"/>
          <w:color w:val="auto"/>
        </w:rPr>
      </w:pPr>
    </w:p>
    <w:p>
      <w:pPr>
        <w:ind w:left="520" w:right="220" w:hanging="316"/>
        <w:spacing w:after="0" w:line="231" w:lineRule="auto"/>
        <w:tabs>
          <w:tab w:leader="none" w:pos="5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Laurence Lasky, Ph.D., who is currently a member of our board of directors and was a member of our board of directors at the time of the Series B Preferred Stock financing, is, and was then, an affiliate of The Column Group.</w:t>
      </w:r>
    </w:p>
    <w:p>
      <w:pPr>
        <w:spacing w:after="0" w:line="54" w:lineRule="exact"/>
        <w:rPr>
          <w:rFonts w:ascii="Arial" w:cs="Arial" w:eastAsia="Arial" w:hAnsi="Arial"/>
          <w:sz w:val="14"/>
          <w:szCs w:val="14"/>
          <w:color w:val="auto"/>
        </w:rPr>
      </w:pPr>
    </w:p>
    <w:p>
      <w:pPr>
        <w:ind w:left="520" w:right="220" w:hanging="316"/>
        <w:spacing w:after="0" w:line="231" w:lineRule="auto"/>
        <w:tabs>
          <w:tab w:leader="none" w:pos="5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Thilo Schroeder, Ph.D., who is currently a member of our board of directors and was a member of our board of directors at the time of the Series B Preferred Stock financing, is, and was then, an affiliate of Nextech V Oncology S.C.S., SICAV-SIF.</w:t>
      </w:r>
    </w:p>
    <w:p>
      <w:pPr>
        <w:spacing w:after="0" w:line="54" w:lineRule="exact"/>
        <w:rPr>
          <w:rFonts w:ascii="Arial" w:cs="Arial" w:eastAsia="Arial" w:hAnsi="Arial"/>
          <w:sz w:val="14"/>
          <w:szCs w:val="14"/>
          <w:color w:val="auto"/>
        </w:rPr>
      </w:pPr>
    </w:p>
    <w:p>
      <w:pPr>
        <w:ind w:left="520" w:right="420" w:hanging="316"/>
        <w:spacing w:after="0" w:line="231" w:lineRule="auto"/>
        <w:tabs>
          <w:tab w:leader="none" w:pos="52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Nextech V Oncology S.C.S., SICAV-SIF became a beneficial owner of (in the aggregate) more than 5% of our capital stock during the course of the Series B Preferred Stock financing.</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24" w:lineRule="exact"/>
        <w:rPr>
          <w:sz w:val="20"/>
          <w:szCs w:val="20"/>
          <w:color w:val="auto"/>
        </w:rPr>
      </w:pPr>
    </w:p>
    <w:p>
      <w:pPr>
        <w:ind w:left="200" w:right="280"/>
        <w:spacing w:after="0" w:line="281" w:lineRule="auto"/>
        <w:rPr>
          <w:sz w:val="20"/>
          <w:szCs w:val="20"/>
          <w:color w:val="auto"/>
        </w:rPr>
      </w:pPr>
      <w:r>
        <w:rPr>
          <w:rFonts w:ascii="Arial" w:cs="Arial" w:eastAsia="Arial" w:hAnsi="Arial"/>
          <w:sz w:val="16"/>
          <w:szCs w:val="16"/>
          <w:color w:val="auto"/>
        </w:rPr>
        <w:t>In June and July 2019, we issued an aggregate of 10,004,514 shares of our Series C Preferred Stock at a price per share of $10.03 for aggregate proceeds of $100,287,058.28. The table below sets forth the number of shares of Series C Preferred Stock sold to our directors, executive officers or beneficial owners of more than 5% of a class of our capital stock, or an affiliate or immediate family member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50800</wp:posOffset>
            </wp:positionV>
            <wp:extent cx="699770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04"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880" w:type="dxa"/>
            <w:vAlign w:val="bottom"/>
          </w:tcPr>
          <w:p>
            <w:pPr>
              <w:jc w:val="right"/>
              <w:ind w:right="292"/>
              <w:spacing w:after="0"/>
              <w:rPr>
                <w:sz w:val="20"/>
                <w:szCs w:val="20"/>
                <w:color w:val="auto"/>
              </w:rPr>
            </w:pPr>
            <w:r>
              <w:rPr>
                <w:rFonts w:ascii="Arial" w:cs="Arial" w:eastAsia="Arial" w:hAnsi="Arial"/>
                <w:sz w:val="18"/>
                <w:szCs w:val="18"/>
                <w:b w:val="1"/>
                <w:bCs w:val="1"/>
                <w:color w:val="auto"/>
              </w:rPr>
              <w:t>Number of shares of</w:t>
            </w:r>
          </w:p>
        </w:tc>
        <w:tc>
          <w:tcPr>
            <w:tcW w:w="6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1"/>
        </w:trPr>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3880" w:type="dxa"/>
            <w:vAlign w:val="bottom"/>
          </w:tcPr>
          <w:p>
            <w:pPr>
              <w:jc w:val="right"/>
              <w:ind w:right="292"/>
              <w:spacing w:after="0"/>
              <w:rPr>
                <w:sz w:val="20"/>
                <w:szCs w:val="20"/>
                <w:color w:val="auto"/>
              </w:rPr>
            </w:pPr>
            <w:r>
              <w:rPr>
                <w:rFonts w:ascii="Arial" w:cs="Arial" w:eastAsia="Arial" w:hAnsi="Arial"/>
                <w:sz w:val="18"/>
                <w:szCs w:val="18"/>
                <w:b w:val="1"/>
                <w:bCs w:val="1"/>
                <w:color w:val="auto"/>
              </w:rPr>
              <w:t>Series C preferred stock</w:t>
            </w:r>
          </w:p>
        </w:tc>
        <w:tc>
          <w:tcPr>
            <w:tcW w:w="1980" w:type="dxa"/>
            <w:vAlign w:val="bottom"/>
            <w:gridSpan w:val="3"/>
          </w:tcPr>
          <w:p>
            <w:pPr>
              <w:ind w:left="380"/>
              <w:spacing w:after="0"/>
              <w:rPr>
                <w:sz w:val="20"/>
                <w:szCs w:val="20"/>
                <w:color w:val="auto"/>
              </w:rPr>
            </w:pPr>
            <w:r>
              <w:rPr>
                <w:rFonts w:ascii="Arial" w:cs="Arial" w:eastAsia="Arial" w:hAnsi="Arial"/>
                <w:sz w:val="18"/>
                <w:szCs w:val="18"/>
                <w:b w:val="1"/>
                <w:bCs w:val="1"/>
                <w:color w:val="auto"/>
              </w:rPr>
              <w:t>Purchase price ($)</w:t>
            </w:r>
          </w:p>
        </w:tc>
      </w:tr>
      <w:tr>
        <w:trPr>
          <w:trHeight w:val="196"/>
        </w:trPr>
        <w:tc>
          <w:tcPr>
            <w:tcW w:w="20" w:type="dxa"/>
            <w:vAlign w:val="bottom"/>
          </w:tcPr>
          <w:p>
            <w:pPr>
              <w:spacing w:after="0"/>
              <w:rPr>
                <w:sz w:val="17"/>
                <w:szCs w:val="17"/>
                <w:color w:val="auto"/>
              </w:rPr>
            </w:pPr>
          </w:p>
        </w:tc>
        <w:tc>
          <w:tcPr>
            <w:tcW w:w="5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Entities Affiliated with Third Rock Ventures(1)(2)</w:t>
            </w:r>
          </w:p>
        </w:tc>
        <w:tc>
          <w:tcPr>
            <w:tcW w:w="3880" w:type="dxa"/>
            <w:vAlign w:val="bottom"/>
            <w:tcBorders>
              <w:top w:val="single" w:sz="8" w:color="auto"/>
            </w:tcBorders>
            <w:shd w:val="clear" w:color="auto" w:fill="CCEEFF"/>
          </w:tcPr>
          <w:p>
            <w:pPr>
              <w:jc w:val="right"/>
              <w:ind w:right="292"/>
              <w:spacing w:after="0" w:line="196" w:lineRule="exact"/>
              <w:rPr>
                <w:sz w:val="20"/>
                <w:szCs w:val="20"/>
                <w:color w:val="auto"/>
              </w:rPr>
            </w:pPr>
            <w:r>
              <w:rPr>
                <w:rFonts w:ascii="Arial" w:cs="Arial" w:eastAsia="Arial" w:hAnsi="Arial"/>
                <w:sz w:val="18"/>
                <w:szCs w:val="18"/>
                <w:color w:val="auto"/>
              </w:rPr>
              <w:t>99,758</w:t>
            </w:r>
          </w:p>
        </w:tc>
        <w:tc>
          <w:tcPr>
            <w:tcW w:w="680" w:type="dxa"/>
            <w:vAlign w:val="bottom"/>
            <w:tcBorders>
              <w:top w:val="single" w:sz="8" w:color="auto"/>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1,000,000.22</w:t>
            </w:r>
          </w:p>
        </w:tc>
        <w:tc>
          <w:tcPr>
            <w:tcW w:w="60" w:type="dxa"/>
            <w:vAlign w:val="bottom"/>
            <w:tcBorders>
              <w:top w:val="single" w:sz="8" w:color="auto"/>
            </w:tcBorders>
            <w:shd w:val="clear" w:color="auto" w:fill="CCEEFF"/>
          </w:tcPr>
          <w:p>
            <w:pPr>
              <w:spacing w:after="0"/>
              <w:rPr>
                <w:sz w:val="17"/>
                <w:szCs w:val="17"/>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The Column Group(3)(4)</w:t>
            </w:r>
          </w:p>
        </w:tc>
        <w:tc>
          <w:tcPr>
            <w:tcW w:w="388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99,758</w:t>
            </w:r>
          </w:p>
        </w:tc>
        <w:tc>
          <w:tcPr>
            <w:tcW w:w="680" w:type="dxa"/>
            <w:vAlign w:val="bottom"/>
          </w:tcPr>
          <w:p>
            <w:pPr>
              <w:ind w:left="38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1,000,000.22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Nextech V Oncology S.C.S., SICAV-SIF(5)(6)</w:t>
            </w:r>
          </w:p>
        </w:tc>
        <w:tc>
          <w:tcPr>
            <w:tcW w:w="388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548,674</w:t>
            </w:r>
          </w:p>
        </w:tc>
        <w:tc>
          <w:tcPr>
            <w:tcW w:w="68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5,500,000.18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right="100" w:hanging="316"/>
        <w:spacing w:after="0" w:line="228" w:lineRule="auto"/>
        <w:tabs>
          <w:tab w:leader="none" w:pos="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 Third Rock Ventures III, L.P. purchased 49,879 shares of Series C Preferred Stock for a total purchase price of $500,001.14 and (ii) Third Rock Ventures IV, L.P. purchased 49,879 shares of Series C Preferred Stock for a total purchase price of $499,999.08. Entities affiliated with Third Rock Ventures were beneficial owners of (in the aggregate) more than 5% of our capital stock at the time of the Series C Preferred Stock financing.</w:t>
      </w:r>
    </w:p>
    <w:p>
      <w:pPr>
        <w:spacing w:after="0" w:line="54" w:lineRule="exact"/>
        <w:rPr>
          <w:rFonts w:ascii="Arial" w:cs="Arial" w:eastAsia="Arial" w:hAnsi="Arial"/>
          <w:sz w:val="14"/>
          <w:szCs w:val="14"/>
          <w:color w:val="auto"/>
        </w:rPr>
      </w:pPr>
    </w:p>
    <w:p>
      <w:pPr>
        <w:ind w:left="520" w:right="200" w:hanging="316"/>
        <w:spacing w:after="0" w:line="231" w:lineRule="auto"/>
        <w:tabs>
          <w:tab w:leader="none" w:pos="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Alexis Borisy, who is currently a member of our board of directors and was a member of our board of directors at the time of the Series C Preferred Stock financing, was then an affiliate of Third Rock Ventures.</w:t>
      </w:r>
    </w:p>
    <w:p>
      <w:pPr>
        <w:spacing w:after="0" w:line="54" w:lineRule="exact"/>
        <w:rPr>
          <w:rFonts w:ascii="Arial" w:cs="Arial" w:eastAsia="Arial" w:hAnsi="Arial"/>
          <w:sz w:val="14"/>
          <w:szCs w:val="14"/>
          <w:color w:val="auto"/>
        </w:rPr>
      </w:pPr>
    </w:p>
    <w:p>
      <w:pPr>
        <w:ind w:left="520" w:right="40" w:hanging="316"/>
        <w:spacing w:after="0" w:line="228" w:lineRule="auto"/>
        <w:tabs>
          <w:tab w:leader="none" w:pos="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(i) The Column Group III, LP purchased 46,850 shares of Series C Preferred Stock for a total purchase price of $469,634.68 and (ii) The Column Group III-A, LP purchased 52,908 shares of Series C Preferred Stock for a total purchase price of $530,365.54. Entities affiliated with The Column Group were beneficial owners of (in the aggregate) more than 5% of our capital stock at the time of the Series C Preferred Stock financing.</w:t>
      </w:r>
    </w:p>
    <w:p>
      <w:pPr>
        <w:spacing w:after="0" w:line="54" w:lineRule="exact"/>
        <w:rPr>
          <w:rFonts w:ascii="Arial" w:cs="Arial" w:eastAsia="Arial" w:hAnsi="Arial"/>
          <w:sz w:val="14"/>
          <w:szCs w:val="14"/>
          <w:color w:val="auto"/>
        </w:rPr>
      </w:pPr>
    </w:p>
    <w:p>
      <w:pPr>
        <w:ind w:left="520" w:right="200" w:hanging="316"/>
        <w:spacing w:after="0" w:line="231" w:lineRule="auto"/>
        <w:tabs>
          <w:tab w:leader="none" w:pos="520" w:val="left"/>
        </w:tabs>
        <w:numPr>
          <w:ilvl w:val="0"/>
          <w:numId w:val="118"/>
        </w:numPr>
        <w:rPr>
          <w:rFonts w:ascii="Arial" w:cs="Arial" w:eastAsia="Arial" w:hAnsi="Arial"/>
          <w:sz w:val="14"/>
          <w:szCs w:val="14"/>
          <w:color w:val="auto"/>
        </w:rPr>
      </w:pPr>
      <w:r>
        <w:rPr>
          <w:rFonts w:ascii="Arial" w:cs="Arial" w:eastAsia="Arial" w:hAnsi="Arial"/>
          <w:sz w:val="14"/>
          <w:szCs w:val="14"/>
          <w:color w:val="auto"/>
        </w:rPr>
        <w:t>Laurence Lasky, Ph.D., who is currently a member of our board of directors and was a member of our board of directors at the time of the Series C Preferred Stock financing, is, and was then, an affiliate of The Column Group.</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40"/>
          </w:cols>
          <w:pgMar w:left="240" w:top="459" w:right="4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right="120" w:hanging="316"/>
        <w:spacing w:after="0" w:line="231" w:lineRule="auto"/>
        <w:tabs>
          <w:tab w:leader="none" w:pos="5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Thilo Schroeder, Ph.D., who is currently a member of our board of directors and was a member of our board of directors at the time of the Series C Preferred Stock financing, is, and was then, an affiliate of Nextech V Oncology S.C.S., SICAV-SIF.</w:t>
      </w:r>
    </w:p>
    <w:p>
      <w:pPr>
        <w:spacing w:after="0" w:line="54" w:lineRule="exact"/>
        <w:rPr>
          <w:rFonts w:ascii="Arial" w:cs="Arial" w:eastAsia="Arial" w:hAnsi="Arial"/>
          <w:sz w:val="14"/>
          <w:szCs w:val="14"/>
          <w:color w:val="auto"/>
        </w:rPr>
      </w:pPr>
    </w:p>
    <w:p>
      <w:pPr>
        <w:ind w:left="520" w:hanging="316"/>
        <w:spacing w:after="0"/>
        <w:tabs>
          <w:tab w:leader="none" w:pos="52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Prior to the Series C Preferred Stock financing, Nextech V Oncology S.C.S., SICAV-SIF was a beneficial owner of more than 5% of our capital stock.</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Director and executive officer compensation</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Please see “Executive and director compensation” for information regarding the compensation of our directors and executive officers.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Employment agreements</w:t>
      </w:r>
    </w:p>
    <w:p>
      <w:pPr>
        <w:spacing w:after="0" w:line="13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We have entered into employment agreements with our executive officers. For more information regarding these agreements, see “Executive and director compensation—Narrative to the summary compensation table” and “Executive and director compensation—Outstanding equity awards as of December 31, 2019.”</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Indemnification agreements and directors’ and officers’ liability insurance</w:t>
      </w:r>
    </w:p>
    <w:p>
      <w:pPr>
        <w:spacing w:after="0" w:line="134"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We have entered into or intend to enter into indemnification agreements with each of our directors and executive officers. These agreements will require us to, among other things, indemnify each director and executive officer to the fullest extent permitted by Delaware law, including indemnification of expenses such as attorneys’ fees, judgments, penalties, fines and settlement amounts incurred by the director or executive officer in any action or proceeding, including any action or proceeding by or in right of us, arising out of the person’s services as a director or executive officer. We have obtained an insurance policy that insures our directors and officers against certain liabilities, including liabilities arising under applicable securities laws. For additional information see “Management—Limitation of liability and indemnification matters.”</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Investors’ rights agreement</w:t>
      </w:r>
    </w:p>
    <w:p>
      <w:pPr>
        <w:spacing w:after="0" w:line="13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We entered into an amended and restated investors’ rights agreement with the purchasers of our outstanding preferred stock, including entities with which certain of our directors are affiliated. Following the consummation of this offering, the holders of approximately 39.6 million shares of our common stock, including the shares of common stock issuable upon the conversion of our preferred stock, will be entitled to rights with respect to the registration of their shares under the Securities Act. For a more detailed description of these registration rights, see “Description of capital stock—Registration rights.” The amended and restated investors’ rights agreement also provides for a right of first refusal in favor of certain holders of preferred stock with regard to certain issuances of our capital stock. The rights of first refusal will not apply to, and will terminate upon the consummation of, this offering.</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Voting agreement</w:t>
      </w:r>
    </w:p>
    <w:p>
      <w:pPr>
        <w:spacing w:after="0" w:line="134" w:lineRule="exact"/>
        <w:rPr>
          <w:sz w:val="20"/>
          <w:szCs w:val="20"/>
          <w:color w:val="auto"/>
        </w:rPr>
      </w:pPr>
    </w:p>
    <w:p>
      <w:pPr>
        <w:ind w:left="200" w:right="340"/>
        <w:spacing w:after="0" w:line="238" w:lineRule="auto"/>
        <w:rPr>
          <w:sz w:val="20"/>
          <w:szCs w:val="20"/>
          <w:color w:val="auto"/>
        </w:rPr>
      </w:pPr>
      <w:r>
        <w:rPr>
          <w:rFonts w:ascii="Arial" w:cs="Arial" w:eastAsia="Arial" w:hAnsi="Arial"/>
          <w:sz w:val="18"/>
          <w:szCs w:val="18"/>
          <w:color w:val="auto"/>
        </w:rPr>
        <w:t>We entered into an amended and restated voting agreement with certain holders of our common stock and preferred stock. Upon the consummation of this offering, the amended and restated voting agreement will terminate. For a description of the amended and restated voting agreement, see “Management—Board composition—Voting arrangements.”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Right of first refusal and co-sale agreement</w:t>
      </w:r>
    </w:p>
    <w:p>
      <w:pPr>
        <w:spacing w:after="0" w:line="134"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We entered into an amended and restated right of first refusal and co-sale agreement with certain holders of our common stock and preferred stock. This agreement provides for rights of first refusal and co-sale relating to the shares of our common stock held by the parties to the agreement. Upon the consummation of this offering, the amended and restated right of first refusal and co-sale agreement will terminate.</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60"/>
          </w:cols>
          <w:pgMar w:left="240" w:top="460" w:right="49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Acquisition of Warp Drive</w:t>
      </w:r>
    </w:p>
    <w:p>
      <w:pPr>
        <w:spacing w:after="0" w:line="134" w:lineRule="exact"/>
        <w:rPr>
          <w:sz w:val="20"/>
          <w:szCs w:val="20"/>
          <w:color w:val="auto"/>
        </w:rPr>
      </w:pPr>
    </w:p>
    <w:p>
      <w:pPr>
        <w:ind w:left="200" w:right="60"/>
        <w:spacing w:after="0" w:line="270" w:lineRule="auto"/>
        <w:rPr>
          <w:sz w:val="20"/>
          <w:szCs w:val="20"/>
          <w:color w:val="auto"/>
        </w:rPr>
      </w:pPr>
      <w:r>
        <w:rPr>
          <w:rFonts w:ascii="Arial" w:cs="Arial" w:eastAsia="Arial" w:hAnsi="Arial"/>
          <w:sz w:val="16"/>
          <w:szCs w:val="16"/>
          <w:color w:val="auto"/>
        </w:rPr>
        <w:t>In October 2018, we acquired all outstanding shares of Warp Drive. In connection with the acquisition, we issued 6,797,915 shares of our Series B preferred stock (the “Acquisition Shares”) and paid $0.9 million in other consideration, for total consideration valued at $69.0 million. Of the Acquisition Shares, 1,708,824 shares of Series B Preferred Stock were issued to entities affiliated with Third Rock Ventures, which beneficially owned more than 5% of our capital stock immediately prior to and following the acquisition. In addition, Alexis Borisy, who is currently a member of our board of directors and was a member of our board of directors at the time of the acquisition of Warp Drive, was then an affiliate of Third Rock Ventures. Of the Acquisition Shares, 3,363,050 shares of Series B Preferred Stock were issued to Sanofi Research Invest, LLC, which became a beneficial owner of more than 5% of our capital stock following the acquisition.</w:t>
      </w:r>
    </w:p>
    <w:p>
      <w:pPr>
        <w:spacing w:after="0" w:line="7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connection with our acquisition of Warp Drive, we assumed a convertible promissory note, or the “Convertible Note” issued by Warp Drive to an entity affiliated with Third Rock Ventures, dated October 8, 2018. The Convertible Note was issued in a principal amount of $2,000,000, with simple interest at an annual rate of 8% computed on the basis of a 360-day year. On October 30, 2018, at our election, we converted the Convertible Note into 200,493 shares of our Series B Preferred Stock which were issued to an entity affiliated with Third Rock Ventures pursuant to the terms of the Convertible Note. At the time of such conversion of the Convertible Note, entities affiliated with Third Rock Ventures were beneficial owners of (in the aggregate) more than 5% of our capital stock. Alexis Borisy, who is currently a member of our board of directors and was a member of our board of directors at the time of the conversion of the Convertible Note, was then an affiliate of Third Rock Ventures.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Casma sublease and sublease guarantee</w:t>
      </w:r>
    </w:p>
    <w:p>
      <w:pPr>
        <w:spacing w:after="0" w:line="13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Following our acquisition of Warp Drive, in February 2019, we entered into a sublease agreement with Casma Therapeutics, Inc., or Casma, for Casma to sublease from us approximately 22,000 square feet of office and laboratory space in Cambridge, Massachusetts. The term of this sublease expires in February 2023. The sublease provides for initial annual base rent for the complete subleased premises of approximately $1.7 million, with annual increases of approximately 3.0% in annual base rent. Third Rock Ventures, LLC is affiliated with Third Rock Ventures and provided a Guarantee of Sublease to guarantee to us the payment of the sublease obligations under the sublease. At the time such Guarantee of Sublease was provided and at the time we entered into the sublease agreement, entities affiliated with Third Rock Ventures were beneficial owners of (in the aggregate) more than 5% of our capital stock and were major stockholders of Casma. Alexis Borisy, who is currently a member of our board of directors and was a member of our board of directors at the time such Guarantee of Sublease was provided, was then an affiliate of Third Rock Ventures.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Pliant sublease</w:t>
      </w:r>
    </w:p>
    <w:p>
      <w:pPr>
        <w:spacing w:after="0" w:line="134"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In July 2015, we entered into a sublease with Pliant Therapeutics, Inc., or Pliant, for Pliant to sublease from us approximately 10,200 square feet of office and laboratory space in Redwood City, California. The sublease provided for a base rent of $30,606 per month and a term expiring on December 31, 2016. In March 2016, we amended the sublease to, among other things, extend the term to end on March 31, 2017 and increase the monthly base rent starting in January 2017 to $31,626. In September 2016, we amended and restated the sublease to, among other things, extend the sublease term to end on March 31, 2018, increase the total sublease premises to approximately 18,000 square feet and increase the monthly base rent to $45,909 with a further increase to $80,851 upon the substantial completion of certain improvements to the subleased premises. In addition, Pliant exercised an option to extend the sublease term through June 2018. In connection with the amendment and restatement, we entered into an agreement with Pliant relating to the use of shared</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80"/>
          </w:cols>
          <w:pgMar w:left="240" w:top="459" w:right="47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spaces and services. At the time of the sublease agreement with Pliant and each amendment, entities affiliated with Third Rock Ventures were beneficial owners of (in the aggregate) more than 5% of our capital stock and Third Rock Ventures was a major stockholder of Pliant. In addition, Alexis Borisy, who is currently a member of our board of directors and was a member of our board of directors at the time of such sublease agreement and each amendment, was then an affiliate of Third Rock Ventures.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Transactions with Sanofi</w:t>
      </w:r>
    </w:p>
    <w:p>
      <w:pPr>
        <w:spacing w:after="0" w:line="134"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In June 2018, we entered into a collaborative research, development and commercialization agreement with Aventis, Inc. (an affiliate of Sanofi), or the Sanofi Agreement, to research and develop SHP2 inhibitors, including RMC-4630, for any indications. The Sanofi Agreement was assigned to Genzyme Corporation, a Sanofi affiliate, in December 2018. For information regarding the Sanofi Agreement, see “Business —Collaboration agreement with Sanofi.”</w:t>
      </w:r>
    </w:p>
    <w:p>
      <w:pPr>
        <w:spacing w:after="0" w:line="101" w:lineRule="exact"/>
        <w:rPr>
          <w:sz w:val="20"/>
          <w:szCs w:val="20"/>
          <w:color w:val="auto"/>
        </w:rPr>
      </w:pPr>
    </w:p>
    <w:p>
      <w:pPr>
        <w:ind w:left="200" w:right="20"/>
        <w:spacing w:after="0" w:line="268" w:lineRule="auto"/>
        <w:rPr>
          <w:sz w:val="20"/>
          <w:szCs w:val="20"/>
          <w:color w:val="auto"/>
        </w:rPr>
      </w:pPr>
      <w:r>
        <w:rPr>
          <w:rFonts w:ascii="Arial" w:cs="Arial" w:eastAsia="Arial" w:hAnsi="Arial"/>
          <w:sz w:val="16"/>
          <w:szCs w:val="16"/>
          <w:color w:val="auto"/>
        </w:rPr>
        <w:t>In connection with our obligations and responsibilities under the Sanofi Agreement, in April 2019, we entered into a Clinical Supply Agreement with Genzyme Corporation, an affiliate of Sanofi, and a Quality Agreement with Sanofi-Aventis Recherche &amp; Developpement, an affiliate of Sanofi. The Quality Agreement was amended in December 2019. For the purposes of this discussion, we refer to Genzyme Corporation and Sanofi-Aventis Recherche &amp; Developpement, respectively, as Sanofi. At the time both such agreements were entered into, entities affiliated with Sanofi were beneficial owners of (in the aggregate) more than 5% of our capital stock. The Clinical Supply Agreement governs how we will oversee the manufacture and supply of any SHP2 inhibitors requested by Sanofi for use in its clinical development activities under the Sanofi Agreement and provides that Sanofi will compensate us for the costs to manufacture any such product plus a 10% fee. The Quality Agreement requires that the production of RMC-4630 meets certain quality standards and puts certain conditions on our arrangements with subcontractors. The Quality Agreement does not contemplate that any consideration be paid separate from the Sanofi Agreement.</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Policies and procedures for related party transactions</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board of directors adopted a written related person transaction policy, setting forth the policies and procedures for the review and approval or ratification of related person transactions. This policy will cover, with certain exceptions set forth in Item 404 of Regulation S-K under the Securities Act,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committee is tasked to consider all relevant facts and circumstances, including but not limited to whether the transaction is on terms comparable to those that could be obtained in an arm’s length transaction with an unrelated third party and the extent of the related person’s interest in the transaction. All of the transactions described in this section occurred prior to the adoption of this policy.</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20"/>
          </w:cols>
          <w:pgMar w:left="240" w:top="460"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Principal stockholders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information relating to the beneficial ownership of our common stock as of September 30, 2019, by:</w:t>
      </w:r>
    </w:p>
    <w:p>
      <w:pPr>
        <w:spacing w:after="0" w:line="117" w:lineRule="exact"/>
        <w:rPr>
          <w:sz w:val="20"/>
          <w:szCs w:val="20"/>
          <w:color w:val="auto"/>
        </w:rPr>
      </w:pPr>
    </w:p>
    <w:p>
      <w:pPr>
        <w:ind w:left="420" w:hanging="216"/>
        <w:spacing w:after="0"/>
        <w:tabs>
          <w:tab w:leader="none" w:pos="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outstanding shares of common stock;</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of our current directors;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pacing w:after="0" w:line="10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number of shares beneficially owned by each entity, person, director or executive officer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of September 30, 2019 through the exercise of any stock option, warrants or other rights. Except as otherwise indicated, and subject to applicable community property laws, the persons named in the table have sole voting and investment power with respect to all shares of common stock held by that person.</w:t>
      </w:r>
    </w:p>
    <w:p>
      <w:pPr>
        <w:spacing w:after="0" w:line="102" w:lineRule="exact"/>
        <w:rPr>
          <w:sz w:val="20"/>
          <w:szCs w:val="20"/>
          <w:color w:val="auto"/>
        </w:rPr>
      </w:pPr>
    </w:p>
    <w:p>
      <w:pPr>
        <w:ind w:left="200" w:right="140"/>
        <w:spacing w:after="0" w:line="235" w:lineRule="auto"/>
        <w:rPr>
          <w:sz w:val="20"/>
          <w:szCs w:val="20"/>
          <w:color w:val="auto"/>
        </w:rPr>
      </w:pPr>
      <w:r>
        <w:rPr>
          <w:rFonts w:ascii="Arial" w:cs="Arial" w:eastAsia="Arial" w:hAnsi="Arial"/>
          <w:sz w:val="18"/>
          <w:szCs w:val="18"/>
          <w:color w:val="auto"/>
        </w:rPr>
        <w:t>The percentage of shares beneficially owned is computed on the basis of 42,902,309 shares of our common stock outstanding as of September 30, 2019, which reflects the assumed conversion of all of our outstanding shares of preferred stock into an aggregate of 39,600,423 shares of common stock. Shares of our common stock that a person has the right to acquire within 60 days of September 30, 2019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The percentage ownership information under the column titled “Beneficial ownership after this offering” is based on the sale of shares of common stock in this offering, assuming no exercise of the underwriters’ option to purchase additional shares. Unless otherwise indicated below, the address for each beneficial owner listed is c/o Revolution Medicines, Inc., 700 Saginaw Drive, Redwood City, California 94063.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74930</wp:posOffset>
            </wp:positionV>
            <wp:extent cx="699770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7"/>
              </w:rPr>
              <w:t>Beneficial ownership after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60" w:type="dxa"/>
            <w:vAlign w:val="bottom"/>
            <w:gridSpan w:val="5"/>
          </w:tcPr>
          <w:p>
            <w:pPr>
              <w:ind w:left="560"/>
              <w:spacing w:after="0"/>
              <w:rPr>
                <w:sz w:val="20"/>
                <w:szCs w:val="20"/>
                <w:color w:val="auto"/>
              </w:rPr>
            </w:pPr>
            <w:r>
              <w:rPr>
                <w:rFonts w:ascii="Arial" w:cs="Arial" w:eastAsia="Arial" w:hAnsi="Arial"/>
                <w:sz w:val="18"/>
                <w:szCs w:val="18"/>
                <w:b w:val="1"/>
                <w:bCs w:val="1"/>
                <w:color w:val="auto"/>
              </w:rPr>
              <w:t>Beneficial ownership prior to this offering</w:t>
            </w:r>
          </w:p>
        </w:tc>
        <w:tc>
          <w:tcPr>
            <w:tcW w:w="238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8"/>
              </w:rPr>
              <w:t>this offering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Borders>
              <w:top w:val="single" w:sz="8" w:color="auto"/>
            </w:tcBorders>
          </w:tcPr>
          <w:p>
            <w:pPr>
              <w:jc w:val="center"/>
              <w:ind w:right="52"/>
              <w:spacing w:after="0" w:line="177" w:lineRule="exact"/>
              <w:rPr>
                <w:sz w:val="20"/>
                <w:szCs w:val="20"/>
                <w:color w:val="auto"/>
              </w:rPr>
            </w:pPr>
            <w:r>
              <w:rPr>
                <w:rFonts w:ascii="Arial" w:cs="Arial" w:eastAsia="Arial" w:hAnsi="Arial"/>
                <w:sz w:val="18"/>
                <w:szCs w:val="18"/>
                <w:b w:val="1"/>
                <w:bCs w:val="1"/>
                <w:color w:val="auto"/>
                <w:w w:val="97"/>
              </w:rPr>
              <w:t>Number of</w:t>
            </w:r>
          </w:p>
        </w:tc>
        <w:tc>
          <w:tcPr>
            <w:tcW w:w="120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Number of</w:t>
            </w:r>
          </w:p>
        </w:tc>
        <w:tc>
          <w:tcPr>
            <w:tcW w:w="1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3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outstanding</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shares</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Number of</w:t>
            </w:r>
          </w:p>
        </w:tc>
        <w:tc>
          <w:tcPr>
            <w:tcW w:w="13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Percentage</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7"/>
              </w:rPr>
              <w:t>Number of</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6"/>
              </w:rPr>
              <w:t>shares</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exercisable</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shares</w:t>
            </w:r>
          </w:p>
        </w:tc>
        <w:tc>
          <w:tcPr>
            <w:tcW w:w="13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3"/>
              </w:rPr>
              <w:t>of</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6"/>
              </w:rPr>
              <w:t>shares</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Percentage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within 60</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3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6"/>
              </w:rPr>
              <w:t>beneficial</w:t>
            </w:r>
          </w:p>
        </w:tc>
        <w:tc>
          <w:tcPr>
            <w:tcW w:w="1120" w:type="dxa"/>
            <w:vAlign w:val="bottom"/>
          </w:tcPr>
          <w:p>
            <w:pPr>
              <w:jc w:val="center"/>
              <w:ind w:right="32"/>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26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of beneficial</w:t>
            </w:r>
          </w:p>
        </w:tc>
        <w:tc>
          <w:tcPr>
            <w:tcW w:w="0" w:type="dxa"/>
            <w:vAlign w:val="bottom"/>
          </w:tcPr>
          <w:p>
            <w:pPr>
              <w:spacing w:after="0"/>
              <w:rPr>
                <w:sz w:val="1"/>
                <w:szCs w:val="1"/>
                <w:color w:val="auto"/>
              </w:rPr>
            </w:pPr>
          </w:p>
        </w:tc>
      </w:tr>
      <w:tr>
        <w:trPr>
          <w:trHeight w:val="221"/>
        </w:trPr>
        <w:tc>
          <w:tcPr>
            <w:tcW w:w="364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60" w:type="dxa"/>
            <w:vAlign w:val="bottom"/>
          </w:tcPr>
          <w:p>
            <w:pPr>
              <w:spacing w:after="0"/>
              <w:rPr>
                <w:sz w:val="19"/>
                <w:szCs w:val="19"/>
                <w:color w:val="auto"/>
              </w:rPr>
            </w:pPr>
          </w:p>
        </w:tc>
        <w:tc>
          <w:tcPr>
            <w:tcW w:w="1140" w:type="dxa"/>
            <w:vAlign w:val="bottom"/>
          </w:tcPr>
          <w:p>
            <w:pPr>
              <w:jc w:val="center"/>
              <w:ind w:right="52"/>
              <w:spacing w:after="0"/>
              <w:rPr>
                <w:sz w:val="20"/>
                <w:szCs w:val="20"/>
                <w:color w:val="auto"/>
              </w:rPr>
            </w:pPr>
            <w:r>
              <w:rPr>
                <w:rFonts w:ascii="Arial" w:cs="Arial" w:eastAsia="Arial" w:hAnsi="Arial"/>
                <w:sz w:val="18"/>
                <w:szCs w:val="18"/>
                <w:b w:val="1"/>
                <w:bCs w:val="1"/>
                <w:color w:val="auto"/>
                <w:w w:val="98"/>
              </w:rPr>
              <w:t>owned</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7"/>
              </w:rPr>
              <w:t>days</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8"/>
              </w:rPr>
              <w:t>owned</w:t>
            </w:r>
          </w:p>
        </w:tc>
        <w:tc>
          <w:tcPr>
            <w:tcW w:w="1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ownership</w:t>
            </w:r>
          </w:p>
        </w:tc>
        <w:tc>
          <w:tcPr>
            <w:tcW w:w="1120" w:type="dxa"/>
            <w:vAlign w:val="bottom"/>
          </w:tcPr>
          <w:p>
            <w:pPr>
              <w:jc w:val="center"/>
              <w:ind w:right="32"/>
              <w:spacing w:after="0"/>
              <w:rPr>
                <w:sz w:val="20"/>
                <w:szCs w:val="20"/>
                <w:color w:val="auto"/>
              </w:rPr>
            </w:pPr>
            <w:r>
              <w:rPr>
                <w:rFonts w:ascii="Arial" w:cs="Arial" w:eastAsia="Arial" w:hAnsi="Arial"/>
                <w:sz w:val="18"/>
                <w:szCs w:val="18"/>
                <w:b w:val="1"/>
                <w:bCs w:val="1"/>
                <w:color w:val="auto"/>
                <w:w w:val="98"/>
              </w:rPr>
              <w:t>owned</w:t>
            </w:r>
          </w:p>
        </w:tc>
        <w:tc>
          <w:tcPr>
            <w:tcW w:w="1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ownership</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6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and Greater Stockholders:</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40" w:type="dxa"/>
            <w:vAlign w:val="bottom"/>
            <w:gridSpan w:val="2"/>
          </w:tcPr>
          <w:p>
            <w:pPr>
              <w:spacing w:after="0" w:line="202" w:lineRule="exact"/>
              <w:rPr>
                <w:sz w:val="20"/>
                <w:szCs w:val="20"/>
                <w:color w:val="auto"/>
              </w:rPr>
            </w:pPr>
            <w:r>
              <w:rPr>
                <w:rFonts w:ascii="Arial" w:cs="Arial" w:eastAsia="Arial" w:hAnsi="Arial"/>
                <w:sz w:val="18"/>
                <w:szCs w:val="18"/>
                <w:color w:val="auto"/>
              </w:rPr>
              <w:t>Entities affiliated with Third Rock Ventures(1)</w:t>
            </w:r>
          </w:p>
        </w:tc>
        <w:tc>
          <w:tcPr>
            <w:tcW w:w="130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12,353,248</w:t>
            </w:r>
          </w:p>
        </w:tc>
        <w:tc>
          <w:tcPr>
            <w:tcW w:w="1200" w:type="dxa"/>
            <w:vAlign w:val="bottom"/>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12,353,248</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28.8%</w:t>
            </w:r>
          </w:p>
        </w:tc>
        <w:tc>
          <w:tcPr>
            <w:tcW w:w="240" w:type="dxa"/>
            <w:vAlign w:val="bottom"/>
          </w:tcPr>
          <w:p>
            <w:pPr>
              <w:spacing w:after="0"/>
              <w:rPr>
                <w:sz w:val="17"/>
                <w:szCs w:val="17"/>
                <w:color w:val="auto"/>
              </w:rPr>
            </w:pPr>
          </w:p>
        </w:tc>
        <w:tc>
          <w:tcPr>
            <w:tcW w:w="11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12,353,248</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The Column Group(2)</w:t>
            </w:r>
          </w:p>
        </w:tc>
        <w:tc>
          <w:tcPr>
            <w:tcW w:w="130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7,977,384</w:t>
            </w:r>
          </w:p>
        </w:tc>
        <w:tc>
          <w:tcPr>
            <w:tcW w:w="1200" w:type="dxa"/>
            <w:vAlign w:val="bottom"/>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7,977,384</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7,977,384</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640" w:type="dxa"/>
            <w:vAlign w:val="bottom"/>
            <w:gridSpan w:val="2"/>
          </w:tcPr>
          <w:p>
            <w:pPr>
              <w:spacing w:after="0"/>
              <w:rPr>
                <w:sz w:val="20"/>
                <w:szCs w:val="20"/>
                <w:color w:val="auto"/>
              </w:rPr>
            </w:pPr>
            <w:r>
              <w:rPr>
                <w:rFonts w:ascii="Arial" w:cs="Arial" w:eastAsia="Arial" w:hAnsi="Arial"/>
                <w:sz w:val="18"/>
                <w:szCs w:val="18"/>
                <w:color w:val="auto"/>
              </w:rPr>
              <w:t>Sanofi Research Invest, LLC(3)</w:t>
            </w:r>
          </w:p>
        </w:tc>
        <w:tc>
          <w:tcPr>
            <w:tcW w:w="1300" w:type="dxa"/>
            <w:vAlign w:val="bottom"/>
            <w:gridSpan w:val="2"/>
          </w:tcPr>
          <w:p>
            <w:pPr>
              <w:jc w:val="right"/>
              <w:ind w:right="32"/>
              <w:spacing w:after="0"/>
              <w:rPr>
                <w:sz w:val="20"/>
                <w:szCs w:val="20"/>
                <w:color w:val="auto"/>
              </w:rPr>
            </w:pPr>
            <w:r>
              <w:rPr>
                <w:rFonts w:ascii="Arial" w:cs="Arial" w:eastAsia="Arial" w:hAnsi="Arial"/>
                <w:sz w:val="18"/>
                <w:szCs w:val="18"/>
                <w:color w:val="auto"/>
              </w:rPr>
              <w:t>3,363,050</w:t>
            </w:r>
          </w:p>
        </w:tc>
        <w:tc>
          <w:tcPr>
            <w:tcW w:w="1200" w:type="dxa"/>
            <w:vAlign w:val="bottom"/>
          </w:tcPr>
          <w:p>
            <w:pPr>
              <w:ind w:left="9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3,363,050</w:t>
            </w:r>
          </w:p>
        </w:tc>
        <w:tc>
          <w:tcPr>
            <w:tcW w:w="1080" w:type="dxa"/>
            <w:vAlign w:val="bottom"/>
          </w:tcPr>
          <w:p>
            <w:pPr>
              <w:jc w:val="right"/>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3,363,050</w:t>
            </w: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3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200</w:t>
            </w:r>
          </w:p>
        </w:tc>
        <w:tc>
          <w:tcPr>
            <w:tcW w:w="1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8"/>
              </w:rPr>
              <w:t>Beneficial ownership after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940" w:type="dxa"/>
            <w:vAlign w:val="bottom"/>
            <w:gridSpan w:val="5"/>
          </w:tcPr>
          <w:p>
            <w:pPr>
              <w:ind w:left="580"/>
              <w:spacing w:after="0"/>
              <w:rPr>
                <w:sz w:val="20"/>
                <w:szCs w:val="20"/>
                <w:color w:val="auto"/>
              </w:rPr>
            </w:pPr>
            <w:r>
              <w:rPr>
                <w:rFonts w:ascii="Arial" w:cs="Arial" w:eastAsia="Arial" w:hAnsi="Arial"/>
                <w:sz w:val="18"/>
                <w:szCs w:val="18"/>
                <w:b w:val="1"/>
                <w:bCs w:val="1"/>
                <w:color w:val="auto"/>
              </w:rPr>
              <w:t>Beneficial ownership prior to this offering</w:t>
            </w:r>
          </w:p>
        </w:tc>
        <w:tc>
          <w:tcPr>
            <w:tcW w:w="24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6"/>
              </w:rPr>
              <w:t>this offering</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Borders>
              <w:top w:val="single" w:sz="8" w:color="auto"/>
            </w:tcBorders>
          </w:tcPr>
          <w:p>
            <w:pPr>
              <w:jc w:val="center"/>
              <w:ind w:right="52"/>
              <w:spacing w:after="0" w:line="177" w:lineRule="exact"/>
              <w:rPr>
                <w:sz w:val="20"/>
                <w:szCs w:val="20"/>
                <w:color w:val="auto"/>
              </w:rPr>
            </w:pPr>
            <w:r>
              <w:rPr>
                <w:rFonts w:ascii="Arial" w:cs="Arial" w:eastAsia="Arial" w:hAnsi="Arial"/>
                <w:sz w:val="18"/>
                <w:szCs w:val="18"/>
                <w:b w:val="1"/>
                <w:bCs w:val="1"/>
                <w:color w:val="auto"/>
                <w:w w:val="97"/>
              </w:rPr>
              <w:t>Number of</w:t>
            </w:r>
          </w:p>
        </w:tc>
        <w:tc>
          <w:tcPr>
            <w:tcW w:w="1200" w:type="dxa"/>
            <w:vAlign w:val="bottom"/>
            <w:tcBorders>
              <w:top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7"/>
              </w:rPr>
              <w:t>Number of</w:t>
            </w:r>
          </w:p>
        </w:tc>
        <w:tc>
          <w:tcPr>
            <w:tcW w:w="1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2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outstanding</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shares</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Number of</w:t>
            </w:r>
          </w:p>
        </w:tc>
        <w:tc>
          <w:tcPr>
            <w:tcW w:w="136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6"/>
              </w:rPr>
              <w:t>Percentage</w:t>
            </w:r>
          </w:p>
        </w:tc>
        <w:tc>
          <w:tcPr>
            <w:tcW w:w="1120" w:type="dxa"/>
            <w:vAlign w:val="bottom"/>
          </w:tcPr>
          <w:p>
            <w:pPr>
              <w:jc w:val="center"/>
              <w:ind w:right="72"/>
              <w:spacing w:after="0" w:line="202" w:lineRule="exact"/>
              <w:rPr>
                <w:sz w:val="20"/>
                <w:szCs w:val="20"/>
                <w:color w:val="auto"/>
              </w:rPr>
            </w:pPr>
            <w:r>
              <w:rPr>
                <w:rFonts w:ascii="Arial" w:cs="Arial" w:eastAsia="Arial" w:hAnsi="Arial"/>
                <w:sz w:val="18"/>
                <w:szCs w:val="18"/>
                <w:b w:val="1"/>
                <w:bCs w:val="1"/>
                <w:color w:val="auto"/>
                <w:w w:val="97"/>
              </w:rPr>
              <w:t>Number of</w:t>
            </w: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6"/>
              </w:rPr>
              <w:t>shares</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exercisable</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shares</w:t>
            </w:r>
          </w:p>
        </w:tc>
        <w:tc>
          <w:tcPr>
            <w:tcW w:w="136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3"/>
              </w:rPr>
              <w:t>of</w:t>
            </w:r>
          </w:p>
        </w:tc>
        <w:tc>
          <w:tcPr>
            <w:tcW w:w="1120" w:type="dxa"/>
            <w:vAlign w:val="bottom"/>
          </w:tcPr>
          <w:p>
            <w:pPr>
              <w:jc w:val="center"/>
              <w:ind w:right="72"/>
              <w:spacing w:after="0" w:line="202" w:lineRule="exact"/>
              <w:rPr>
                <w:sz w:val="20"/>
                <w:szCs w:val="20"/>
                <w:color w:val="auto"/>
              </w:rPr>
            </w:pPr>
            <w:r>
              <w:rPr>
                <w:rFonts w:ascii="Arial" w:cs="Arial" w:eastAsia="Arial" w:hAnsi="Arial"/>
                <w:sz w:val="18"/>
                <w:szCs w:val="18"/>
                <w:b w:val="1"/>
                <w:bCs w:val="1"/>
                <w:color w:val="auto"/>
                <w:w w:val="96"/>
              </w:rPr>
              <w:t>shares</w:t>
            </w:r>
          </w:p>
        </w:tc>
        <w:tc>
          <w:tcPr>
            <w:tcW w:w="12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6"/>
              </w:rPr>
              <w:t>Percentage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2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within 60</w:t>
            </w:r>
          </w:p>
        </w:tc>
        <w:tc>
          <w:tcPr>
            <w:tcW w:w="12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36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6"/>
              </w:rPr>
              <w:t>beneficial</w:t>
            </w:r>
          </w:p>
        </w:tc>
        <w:tc>
          <w:tcPr>
            <w:tcW w:w="1120" w:type="dxa"/>
            <w:vAlign w:val="bottom"/>
          </w:tcPr>
          <w:p>
            <w:pPr>
              <w:jc w:val="center"/>
              <w:ind w:right="72"/>
              <w:spacing w:after="0" w:line="202" w:lineRule="exact"/>
              <w:rPr>
                <w:sz w:val="20"/>
                <w:szCs w:val="20"/>
                <w:color w:val="auto"/>
              </w:rPr>
            </w:pPr>
            <w:r>
              <w:rPr>
                <w:rFonts w:ascii="Arial" w:cs="Arial" w:eastAsia="Arial" w:hAnsi="Arial"/>
                <w:sz w:val="18"/>
                <w:szCs w:val="18"/>
                <w:b w:val="1"/>
                <w:bCs w:val="1"/>
                <w:color w:val="auto"/>
                <w:w w:val="97"/>
              </w:rPr>
              <w:t>beneficially</w:t>
            </w:r>
          </w:p>
        </w:tc>
        <w:tc>
          <w:tcPr>
            <w:tcW w:w="128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7"/>
              </w:rPr>
              <w:t>of beneficial</w:t>
            </w:r>
          </w:p>
        </w:tc>
        <w:tc>
          <w:tcPr>
            <w:tcW w:w="0" w:type="dxa"/>
            <w:vAlign w:val="bottom"/>
          </w:tcPr>
          <w:p>
            <w:pPr>
              <w:spacing w:after="0"/>
              <w:rPr>
                <w:sz w:val="1"/>
                <w:szCs w:val="1"/>
                <w:color w:val="auto"/>
              </w:rPr>
            </w:pPr>
          </w:p>
        </w:tc>
      </w:t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140" w:type="dxa"/>
            <w:vAlign w:val="bottom"/>
          </w:tcPr>
          <w:p>
            <w:pPr>
              <w:spacing w:after="0"/>
              <w:rPr>
                <w:sz w:val="19"/>
                <w:szCs w:val="19"/>
                <w:color w:val="auto"/>
              </w:rPr>
            </w:pPr>
          </w:p>
        </w:tc>
        <w:tc>
          <w:tcPr>
            <w:tcW w:w="1140" w:type="dxa"/>
            <w:vAlign w:val="bottom"/>
          </w:tcPr>
          <w:p>
            <w:pPr>
              <w:jc w:val="center"/>
              <w:ind w:right="52"/>
              <w:spacing w:after="0"/>
              <w:rPr>
                <w:sz w:val="20"/>
                <w:szCs w:val="20"/>
                <w:color w:val="auto"/>
              </w:rPr>
            </w:pPr>
            <w:r>
              <w:rPr>
                <w:rFonts w:ascii="Arial" w:cs="Arial" w:eastAsia="Arial" w:hAnsi="Arial"/>
                <w:sz w:val="18"/>
                <w:szCs w:val="18"/>
                <w:b w:val="1"/>
                <w:bCs w:val="1"/>
                <w:color w:val="auto"/>
                <w:w w:val="98"/>
              </w:rPr>
              <w:t>owned</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7"/>
              </w:rPr>
              <w:t>days</w:t>
            </w: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8"/>
              </w:rPr>
              <w:t>owned</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ownership</w:t>
            </w:r>
          </w:p>
        </w:tc>
        <w:tc>
          <w:tcPr>
            <w:tcW w:w="1120" w:type="dxa"/>
            <w:vAlign w:val="bottom"/>
          </w:tcPr>
          <w:p>
            <w:pPr>
              <w:jc w:val="center"/>
              <w:ind w:right="72"/>
              <w:spacing w:after="0"/>
              <w:rPr>
                <w:sz w:val="20"/>
                <w:szCs w:val="20"/>
                <w:color w:val="auto"/>
              </w:rPr>
            </w:pPr>
            <w:r>
              <w:rPr>
                <w:rFonts w:ascii="Arial" w:cs="Arial" w:eastAsia="Arial" w:hAnsi="Arial"/>
                <w:sz w:val="18"/>
                <w:szCs w:val="18"/>
                <w:b w:val="1"/>
                <w:bCs w:val="1"/>
                <w:color w:val="auto"/>
                <w:w w:val="98"/>
              </w:rPr>
              <w:t>owned</w:t>
            </w:r>
          </w:p>
        </w:tc>
        <w:tc>
          <w:tcPr>
            <w:tcW w:w="12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ownership</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354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1140" w:type="dxa"/>
            <w:vAlign w:val="bottom"/>
            <w:tcBorders>
              <w:top w:val="single" w:sz="8" w:color="auto"/>
            </w:tcBorders>
          </w:tcPr>
          <w:p>
            <w:pPr>
              <w:spacing w:after="0"/>
              <w:rPr>
                <w:sz w:val="4"/>
                <w:szCs w:val="4"/>
                <w:color w:val="auto"/>
              </w:rPr>
            </w:pPr>
          </w:p>
        </w:tc>
        <w:tc>
          <w:tcPr>
            <w:tcW w:w="1200" w:type="dxa"/>
            <w:vAlign w:val="bottom"/>
            <w:tcBorders>
              <w:top w:val="single" w:sz="8" w:color="auto"/>
            </w:tcBorders>
          </w:tcPr>
          <w:p>
            <w:pPr>
              <w:spacing w:after="0"/>
              <w:rPr>
                <w:sz w:val="4"/>
                <w:szCs w:val="4"/>
                <w:color w:val="auto"/>
              </w:rPr>
            </w:pPr>
          </w:p>
        </w:tc>
        <w:tc>
          <w:tcPr>
            <w:tcW w:w="1240" w:type="dxa"/>
            <w:vAlign w:val="bottom"/>
            <w:tcBorders>
              <w:top w:val="single" w:sz="8" w:color="auto"/>
            </w:tcBorders>
          </w:tcPr>
          <w:p>
            <w:pPr>
              <w:spacing w:after="0"/>
              <w:rPr>
                <w:sz w:val="4"/>
                <w:szCs w:val="4"/>
                <w:color w:val="auto"/>
              </w:rPr>
            </w:pPr>
          </w:p>
        </w:tc>
        <w:tc>
          <w:tcPr>
            <w:tcW w:w="1100" w:type="dxa"/>
            <w:vAlign w:val="bottom"/>
            <w:tcBorders>
              <w:top w:val="single" w:sz="8" w:color="auto"/>
            </w:tcBorders>
          </w:tcPr>
          <w:p>
            <w:pPr>
              <w:spacing w:after="0"/>
              <w:rPr>
                <w:sz w:val="4"/>
                <w:szCs w:val="4"/>
                <w:color w:val="auto"/>
              </w:rPr>
            </w:pPr>
          </w:p>
        </w:tc>
        <w:tc>
          <w:tcPr>
            <w:tcW w:w="260" w:type="dxa"/>
            <w:vAlign w:val="bottom"/>
            <w:tcBorders>
              <w:top w:val="single" w:sz="8" w:color="auto"/>
            </w:tcBorders>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Named Executive Officers and Directors:</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Mark A. Goldsmith, M.D., Ph.D.(4)</w:t>
            </w:r>
          </w:p>
        </w:tc>
        <w:tc>
          <w:tcPr>
            <w:tcW w:w="128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637,060</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1,564,555</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2,201,615</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5.0%</w:t>
            </w:r>
          </w:p>
        </w:tc>
        <w:tc>
          <w:tcPr>
            <w:tcW w:w="260" w:type="dxa"/>
            <w:vAlign w:val="bottom"/>
          </w:tcPr>
          <w:p>
            <w:pPr>
              <w:spacing w:after="0"/>
              <w:rPr>
                <w:sz w:val="17"/>
                <w:szCs w:val="17"/>
                <w:color w:val="auto"/>
              </w:rPr>
            </w:pPr>
          </w:p>
        </w:tc>
        <w:tc>
          <w:tcPr>
            <w:tcW w:w="11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2,201,615</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 Kelsey, M.D., FRCP, FRCPath(5)</w:t>
            </w:r>
          </w:p>
        </w:tc>
        <w:tc>
          <w:tcPr>
            <w:tcW w:w="128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268,009</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330,041</w:t>
            </w:r>
          </w:p>
        </w:tc>
        <w:tc>
          <w:tcPr>
            <w:tcW w:w="1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598,050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598,050</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Margaret Horn, J.D.(6)</w:t>
            </w:r>
          </w:p>
        </w:tc>
        <w:tc>
          <w:tcPr>
            <w:tcW w:w="128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133,756</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464,294</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598,050</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w:t>
            </w:r>
          </w:p>
        </w:tc>
        <w:tc>
          <w:tcPr>
            <w:tcW w:w="260" w:type="dxa"/>
            <w:vAlign w:val="bottom"/>
          </w:tcPr>
          <w:p>
            <w:pPr>
              <w:spacing w:after="0"/>
              <w:rPr>
                <w:sz w:val="17"/>
                <w:szCs w:val="17"/>
                <w:color w:val="auto"/>
              </w:rPr>
            </w:pPr>
          </w:p>
        </w:tc>
        <w:tc>
          <w:tcPr>
            <w:tcW w:w="11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598,050</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Elizabeth McKee Anderson(7)</w:t>
            </w:r>
          </w:p>
        </w:tc>
        <w:tc>
          <w:tcPr>
            <w:tcW w:w="128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36,990</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31,080</w:t>
            </w:r>
          </w:p>
        </w:tc>
        <w:tc>
          <w:tcPr>
            <w:tcW w:w="1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68,070</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68,070</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Alexis Borisy(8)</w:t>
            </w:r>
          </w:p>
        </w:tc>
        <w:tc>
          <w:tcPr>
            <w:tcW w:w="140" w:type="dxa"/>
            <w:vAlign w:val="bottom"/>
          </w:tcPr>
          <w:p>
            <w:pPr>
              <w:spacing w:after="0"/>
              <w:rPr>
                <w:sz w:val="17"/>
                <w:szCs w:val="17"/>
                <w:color w:val="auto"/>
              </w:rPr>
            </w:pPr>
          </w:p>
        </w:tc>
        <w:tc>
          <w:tcPr>
            <w:tcW w:w="11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72,932</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72,932</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72,932</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Neil Exter(9)</w:t>
            </w:r>
          </w:p>
        </w:tc>
        <w:tc>
          <w:tcPr>
            <w:tcW w:w="128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12,353,248</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12,353,248</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12,353,248</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Larry Lasky, Ph.D.</w:t>
            </w:r>
          </w:p>
        </w:tc>
        <w:tc>
          <w:tcPr>
            <w:tcW w:w="140" w:type="dxa"/>
            <w:vAlign w:val="bottom"/>
          </w:tcPr>
          <w:p>
            <w:pPr>
              <w:spacing w:after="0"/>
              <w:rPr>
                <w:sz w:val="17"/>
                <w:szCs w:val="17"/>
                <w:color w:val="auto"/>
              </w:rPr>
            </w:pPr>
          </w:p>
        </w:tc>
        <w:tc>
          <w:tcPr>
            <w:tcW w:w="11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Vincent A. Miller, M.D.(10)</w:t>
            </w:r>
          </w:p>
        </w:tc>
        <w:tc>
          <w:tcPr>
            <w:tcW w:w="128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30,825</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32,382</w:t>
            </w:r>
          </w:p>
        </w:tc>
        <w:tc>
          <w:tcPr>
            <w:tcW w:w="1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63,207</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63,207</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Thilo Schroeder, Ph.D.</w:t>
            </w:r>
          </w:p>
        </w:tc>
        <w:tc>
          <w:tcPr>
            <w:tcW w:w="140" w:type="dxa"/>
            <w:vAlign w:val="bottom"/>
          </w:tcPr>
          <w:p>
            <w:pPr>
              <w:spacing w:after="0"/>
              <w:rPr>
                <w:sz w:val="17"/>
                <w:szCs w:val="17"/>
                <w:color w:val="auto"/>
              </w:rPr>
            </w:pPr>
          </w:p>
        </w:tc>
        <w:tc>
          <w:tcPr>
            <w:tcW w:w="11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1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Barbara Weber, M.D.(11)</w:t>
            </w: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63,207</w:t>
            </w:r>
          </w:p>
        </w:tc>
        <w:tc>
          <w:tcPr>
            <w:tcW w:w="124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63,207</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63,207</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560" w:type="dxa"/>
            <w:vAlign w:val="bottom"/>
            <w:gridSpan w:val="2"/>
          </w:tcPr>
          <w:p>
            <w:pPr>
              <w:spacing w:after="0" w:line="206" w:lineRule="exact"/>
              <w:rPr>
                <w:sz w:val="20"/>
                <w:szCs w:val="20"/>
                <w:color w:val="auto"/>
              </w:rPr>
            </w:pPr>
            <w:r>
              <w:rPr>
                <w:rFonts w:ascii="Arial" w:cs="Arial" w:eastAsia="Arial" w:hAnsi="Arial"/>
                <w:sz w:val="18"/>
                <w:szCs w:val="18"/>
                <w:color w:val="auto"/>
              </w:rPr>
              <w:t>All current directors and executive officers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as a group (10 persons)</w:t>
            </w:r>
          </w:p>
        </w:tc>
        <w:tc>
          <w:tcPr>
            <w:tcW w:w="12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13,459,888</w:t>
            </w:r>
          </w:p>
        </w:tc>
        <w:tc>
          <w:tcPr>
            <w:tcW w:w="12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2,558,491</w:t>
            </w: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16,018,379</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16,018,379</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20" w:hanging="316"/>
        <w:spacing w:after="0"/>
        <w:tabs>
          <w:tab w:leader="none" w:pos="520" w:val="left"/>
        </w:tabs>
        <w:numPr>
          <w:ilvl w:val="0"/>
          <w:numId w:val="121"/>
        </w:numPr>
        <w:rPr>
          <w:rFonts w:ascii="Arial" w:cs="Arial" w:eastAsia="Arial" w:hAnsi="Arial"/>
          <w:sz w:val="14"/>
          <w:szCs w:val="14"/>
          <w:color w:val="auto"/>
        </w:rPr>
      </w:pPr>
      <w:r>
        <w:rPr>
          <w:rFonts w:ascii="Arial" w:cs="Arial" w:eastAsia="Arial" w:hAnsi="Arial"/>
          <w:sz w:val="14"/>
          <w:szCs w:val="14"/>
          <w:color w:val="auto"/>
        </w:rPr>
        <w:t>Indicates beneficial ownership of less than 1% of the total outstanding common stock.</w:t>
      </w:r>
    </w:p>
    <w:p>
      <w:pPr>
        <w:spacing w:after="0" w:line="55" w:lineRule="exact"/>
        <w:rPr>
          <w:sz w:val="20"/>
          <w:szCs w:val="20"/>
          <w:color w:val="auto"/>
        </w:rPr>
      </w:pPr>
    </w:p>
    <w:p>
      <w:pPr>
        <w:ind w:left="520" w:right="20" w:hanging="316"/>
        <w:spacing w:after="0" w:line="223" w:lineRule="auto"/>
        <w:tabs>
          <w:tab w:leader="none" w:pos="52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Consists of (i) 411,006 shares of common stock directly held by Third Rock Ventures III, L.P. (“TRV III”), (ii) 8,220,641 shares of common stock issuable upon the conversion of the Series A preferred stock directly held by TRV III, (iii) 1,027,516 shares of common stock issuable upon the conversion of the Series A preferred stock directly held by Third Rock Ventures IV, L.P. (“TRV IV”), (iv) 1,909,317 shares of common stock issuable upon the conversion of the Series B preferred stock directly held by Third Rock Ventures II, L.P. (“TRV II”), (v) 342,505 shares of common stock issuable upon the conversion of the Series B preferred stock directly held by TRV III, (vi) 342,505 shares of common stock issuable upon the conversion of the Series B preferred stock directly held by TRV IV, (vii) 49,879 shares of common stock issuable upon the conversion of the Series C preferred stock directly held by TRV III and (viii) 49,879 shares of common stock issuable upon the conversion of the Series C preferred stock directly held by TRV IV. Each of Third Rock Ventures II GP, LP (“TRV II GP”), the general partner of TRV II, and Third Rock Ventures GP II, LLC (“TRV II LLC”), the general partner of TRV II GP, and Mark Levin, Kevin Starr and Robert Tepper, the managers of TRV II LLC, may be deemed to have voting and investment power over the shares held of record by TRV II; each of Third Rock Ventures III GP, LP (“TRV III GP”), the general partner of TRV III, and Third Rock Ventures GP III, LLC (“TRV III LLC”), the general partner of TRV III GP, and Mark Levin, Kevin Starr and Robert Tepper, the managers of TRV III LLC, may be deemed to have voting and investment power over the shares held of record by TRV III; the general partner of TRV IV is Third Rock Ventures GP IV, L.P. (“TRV IV GP”) and the general partner of TRV IV GP is TRV GP IV, LLC (“TRV IV LLC”); Abbie Celniker, Ph.D., Robert Tepper, M.D., Craig Muir and Cary Pfeffer, M.D. are the managing members of TRV IV LLC and collectively make voting and investment decisions with respect to the shares held by TRV LP. The address for each of these persons and entities is 29 Newbury Street, Suite 401, Boston, MA 02116.</w:t>
      </w:r>
    </w:p>
    <w:p>
      <w:pPr>
        <w:spacing w:after="0" w:line="54" w:lineRule="exact"/>
        <w:rPr>
          <w:rFonts w:ascii="Arial" w:cs="Arial" w:eastAsia="Arial" w:hAnsi="Arial"/>
          <w:sz w:val="14"/>
          <w:szCs w:val="14"/>
          <w:color w:val="auto"/>
        </w:rPr>
      </w:pPr>
    </w:p>
    <w:p>
      <w:pPr>
        <w:ind w:left="520" w:right="60" w:hanging="316"/>
        <w:spacing w:after="0" w:line="261" w:lineRule="auto"/>
        <w:tabs>
          <w:tab w:leader="none" w:pos="5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Consists of (i) 2,412,789 shares of common stock issuable upon the conversion of the Series A preferred stock directly held by The Column Group III, LP (“TCG III”), (ii) 2,724,794 shares of common stock issuable upon the conversion of the Series A preferred stock directly held by The Column Group III-A, LP (“TCG III-A”), (iii) 643,410 shares of common stock issuable upon the conversion of the Series B preferred stock directly held by TCG III, (iv) 726,611 shares of common stock issuable upon the conversion of the Series B preferred stock directly held by TCG III-A, (v) 685,011 shares of common stock issuable upon the conversion of the Series B preferred stock directly held by Ponoi Capital, LP (“Ponoi”), (vi) 685,011 shares of common stock issuable upon the conversion of Series B preferred stock directly held by Ponoi Capital II, LP (“Ponoi II”), (vii) 46,850 shares of common stock issuable upon the conversion of the Series C preferred stock directly held by TCG III and (viii) 52,908 shares of common stock issuable upon the conversion of the Series C preferred stock directly held by TCG III-A. David Goeddel, Ph.D., Peter Svennilson and Tim Kutzkey, Ph.D., are the managing partners of (i) The Column Group III GP, LP, which is the general partner of TCG III and TCG III-A, (ii) Ponoi Management, LLC, which is the general partner of Ponoi, and (iii) Ponoi II Management, LLC, which is the general partner of Ponoi II. Dr. Goeddel, Mr. Svennilson and Dr. Kutzkey share voting and investment control over shares held by TCG III, TCG III-A, Ponoi and Ponoi II.</w:t>
      </w:r>
    </w:p>
    <w:p>
      <w:pPr>
        <w:spacing w:after="0" w:line="136" w:lineRule="exact"/>
        <w:rPr>
          <w:rFonts w:ascii="Arial" w:cs="Arial" w:eastAsia="Arial" w:hAnsi="Arial"/>
          <w:sz w:val="12"/>
          <w:szCs w:val="12"/>
          <w:color w:val="auto"/>
        </w:rPr>
      </w:pPr>
    </w:p>
    <w:p>
      <w:pPr>
        <w:ind w:left="520" w:right="260"/>
        <w:spacing w:after="0" w:line="231" w:lineRule="auto"/>
        <w:rPr>
          <w:rFonts w:ascii="Arial" w:cs="Arial" w:eastAsia="Arial" w:hAnsi="Arial"/>
          <w:sz w:val="12"/>
          <w:szCs w:val="12"/>
          <w:color w:val="auto"/>
        </w:rPr>
      </w:pPr>
      <w:r>
        <w:rPr>
          <w:rFonts w:ascii="Arial" w:cs="Arial" w:eastAsia="Arial" w:hAnsi="Arial"/>
          <w:sz w:val="14"/>
          <w:szCs w:val="14"/>
          <w:color w:val="auto"/>
        </w:rPr>
        <w:t>Dr. Goeddel, Mr. Svennilson and Dr. Kutzkey disclaim beneficial ownership of all shares above except to the extent of their pecuniary interest therein. The address of the above persons and entities is 1700 Owens Street, Suite 500, San Francisco, California 94158.</w:t>
      </w:r>
    </w:p>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240" w:top="459" w:right="41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520" w:hanging="316"/>
        <w:spacing w:after="0" w:line="228" w:lineRule="auto"/>
        <w:tabs>
          <w:tab w:leader="none" w:pos="5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Consists of 3,363,050 shares of common stock issuable upon the conversion of the Series B preferred stock. Sanofi Research Invest, LLC is a wholly owned indirect subsidiary of Sanofi. Sanofi has the ability to exercise voting and investment power over the shares held by Sanofi Research Invest, LLC. The address for Sanofi Research Invest, LLC is 3711 Kennett Pike, Suite 200, Greenville, DE 19807.</w:t>
      </w:r>
    </w:p>
    <w:p>
      <w:pPr>
        <w:spacing w:after="0" w:line="54" w:lineRule="exact"/>
        <w:rPr>
          <w:rFonts w:ascii="Arial" w:cs="Arial" w:eastAsia="Arial" w:hAnsi="Arial"/>
          <w:sz w:val="14"/>
          <w:szCs w:val="14"/>
          <w:color w:val="auto"/>
        </w:rPr>
      </w:pPr>
    </w:p>
    <w:p>
      <w:pPr>
        <w:jc w:val="both"/>
        <w:ind w:left="520" w:right="200" w:hanging="316"/>
        <w:spacing w:after="0" w:line="228" w:lineRule="auto"/>
        <w:tabs>
          <w:tab w:leader="none" w:pos="5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Consists of (i) 143,852 shares of common stock directly held by the Goldsmith Children 2011 Irrevocable Education Trust, (ii) 493,208 shares of common stock directly held by Mark A. Goldsmith and Anne E. Midler 2002 Revocable Living Trust and (iii) 1,564,555 shares of common stock that may be acquired pursuant to the exercise of stock options within 60 days of September 30, 2019.</w:t>
      </w:r>
    </w:p>
    <w:p>
      <w:pPr>
        <w:spacing w:after="0" w:line="54" w:lineRule="exact"/>
        <w:rPr>
          <w:rFonts w:ascii="Arial" w:cs="Arial" w:eastAsia="Arial" w:hAnsi="Arial"/>
          <w:sz w:val="14"/>
          <w:szCs w:val="14"/>
          <w:color w:val="auto"/>
        </w:rPr>
      </w:pPr>
    </w:p>
    <w:p>
      <w:pPr>
        <w:ind w:left="520" w:right="480" w:hanging="316"/>
        <w:spacing w:after="0" w:line="231" w:lineRule="auto"/>
        <w:tabs>
          <w:tab w:leader="none" w:pos="5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Consists of (i) 268,009 shares of common stock and (ii) 330,041 shares of common stock that may be acquired pursuant to the exercise of stock options within 60 days of September 30, 2019.</w:t>
      </w:r>
    </w:p>
    <w:p>
      <w:pPr>
        <w:spacing w:after="0" w:line="42" w:lineRule="exact"/>
        <w:rPr>
          <w:rFonts w:ascii="Arial" w:cs="Arial" w:eastAsia="Arial" w:hAnsi="Arial"/>
          <w:sz w:val="14"/>
          <w:szCs w:val="14"/>
          <w:color w:val="auto"/>
        </w:rPr>
      </w:pPr>
    </w:p>
    <w:p>
      <w:pPr>
        <w:ind w:left="520" w:hanging="316"/>
        <w:spacing w:after="0"/>
        <w:tabs>
          <w:tab w:leader="none" w:pos="5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Consists of (i) 10,454 shares of common stock directly held by Ms. Horn, (ii) 123,302 shares of common stock directly held by Margaret A. Horn Revocable Living Trust and</w:t>
      </w:r>
    </w:p>
    <w:p>
      <w:pPr>
        <w:ind w:left="740" w:hanging="212"/>
        <w:spacing w:after="0"/>
        <w:tabs>
          <w:tab w:leader="none" w:pos="740" w:val="left"/>
        </w:tabs>
        <w:numPr>
          <w:ilvl w:val="1"/>
          <w:numId w:val="123"/>
        </w:numPr>
        <w:rPr>
          <w:rFonts w:ascii="Arial" w:cs="Arial" w:eastAsia="Arial" w:hAnsi="Arial"/>
          <w:sz w:val="14"/>
          <w:szCs w:val="14"/>
          <w:color w:val="auto"/>
        </w:rPr>
      </w:pPr>
      <w:r>
        <w:rPr>
          <w:rFonts w:ascii="Arial" w:cs="Arial" w:eastAsia="Arial" w:hAnsi="Arial"/>
          <w:sz w:val="14"/>
          <w:szCs w:val="14"/>
          <w:color w:val="auto"/>
        </w:rPr>
        <w:t>464,294 shares of common stock that may be acquired pursuant to the exercise of stock options within 60 days of September 30, 2019.</w:t>
      </w:r>
    </w:p>
    <w:p>
      <w:pPr>
        <w:spacing w:after="0" w:line="55" w:lineRule="exact"/>
        <w:rPr>
          <w:rFonts w:ascii="Arial" w:cs="Arial" w:eastAsia="Arial" w:hAnsi="Arial"/>
          <w:sz w:val="14"/>
          <w:szCs w:val="14"/>
          <w:color w:val="auto"/>
        </w:rPr>
      </w:pPr>
    </w:p>
    <w:p>
      <w:pPr>
        <w:ind w:left="520" w:right="60" w:hanging="316"/>
        <w:spacing w:after="0" w:line="231" w:lineRule="auto"/>
        <w:tabs>
          <w:tab w:leader="none" w:pos="5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Consists of (i) 36,990 shares of common stock directly held by David W. Anderson 1996 Irrevocable Trust and (ii) 31,080 shares of common stock that may be acquired pursuant to the exercise of stock options within 60 days of September 30, 2019.</w:t>
      </w:r>
    </w:p>
    <w:p>
      <w:pPr>
        <w:spacing w:after="0" w:line="54" w:lineRule="exact"/>
        <w:rPr>
          <w:rFonts w:ascii="Arial" w:cs="Arial" w:eastAsia="Arial" w:hAnsi="Arial"/>
          <w:sz w:val="14"/>
          <w:szCs w:val="14"/>
          <w:color w:val="auto"/>
        </w:rPr>
      </w:pPr>
    </w:p>
    <w:p>
      <w:pPr>
        <w:ind w:left="520" w:hanging="316"/>
        <w:spacing w:after="0"/>
        <w:tabs>
          <w:tab w:leader="none" w:pos="5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Consists of 72,932 shares of common stock that may be acquired pursuant to the exercise of stock options within 60 days of September 30, 2019.</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Consists of the shares described in Footnote 1 above. Mr. Exter disclaims beneficial ownership of all such shares except to the extent of his pecuniary interests therein.</w:t>
      </w:r>
    </w:p>
    <w:p>
      <w:pPr>
        <w:spacing w:after="0" w:line="55" w:lineRule="exact"/>
        <w:rPr>
          <w:rFonts w:ascii="Arial" w:cs="Arial" w:eastAsia="Arial" w:hAnsi="Arial"/>
          <w:sz w:val="14"/>
          <w:szCs w:val="14"/>
          <w:color w:val="auto"/>
        </w:rPr>
      </w:pPr>
    </w:p>
    <w:p>
      <w:pPr>
        <w:ind w:left="640" w:right="60" w:hanging="436"/>
        <w:spacing w:after="0" w:line="231" w:lineRule="auto"/>
        <w:tabs>
          <w:tab w:leader="none" w:pos="64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Consists of (i) 30,825 shares of common stock held directly by Dr. Miller and (ii) 32,382 shares of common stock that may be acquired pursuant to the exercise of stock options within 60 days of September 30, 2019.</w:t>
      </w:r>
    </w:p>
    <w:p>
      <w:pPr>
        <w:spacing w:after="0" w:line="54" w:lineRule="exact"/>
        <w:rPr>
          <w:rFonts w:ascii="Arial" w:cs="Arial" w:eastAsia="Arial" w:hAnsi="Arial"/>
          <w:sz w:val="14"/>
          <w:szCs w:val="14"/>
          <w:color w:val="auto"/>
        </w:rPr>
      </w:pPr>
    </w:p>
    <w:p>
      <w:pPr>
        <w:ind w:left="560" w:hanging="356"/>
        <w:spacing w:after="0"/>
        <w:tabs>
          <w:tab w:leader="none" w:pos="560" w:val="left"/>
        </w:tabs>
        <w:numPr>
          <w:ilvl w:val="0"/>
          <w:numId w:val="123"/>
        </w:numPr>
        <w:rPr>
          <w:rFonts w:ascii="Arial" w:cs="Arial" w:eastAsia="Arial" w:hAnsi="Arial"/>
          <w:sz w:val="14"/>
          <w:szCs w:val="14"/>
          <w:color w:val="auto"/>
        </w:rPr>
      </w:pPr>
      <w:r>
        <w:rPr>
          <w:rFonts w:ascii="Arial" w:cs="Arial" w:eastAsia="Arial" w:hAnsi="Arial"/>
          <w:sz w:val="14"/>
          <w:szCs w:val="14"/>
          <w:color w:val="auto"/>
        </w:rPr>
        <w:t>Consists of 63,207 shares of common stock that may be acquired pursuant to the exercise of stock options within 60 days of September 30, 2019.</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40"/>
          </w:cols>
          <w:pgMar w:left="240" w:top="460" w:right="51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Description of capital stock</w:t>
      </w:r>
    </w:p>
    <w:p>
      <w:pPr>
        <w:spacing w:after="0" w:line="140"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i w:val="1"/>
          <w:iCs w:val="1"/>
          <w:color w:val="auto"/>
        </w:rPr>
        <w:t>The following summary describes our capital stock and certain provisions of our amended and restated certificate of incorporation and our amended and restated bylaws, which will become effective immediately prior to the consummation of this offering, the amended and restated investors’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and amended and restated investors’ rights agreement, copies of which have been filed as exhibits to the registration statement of which this prospectus is part.</w:t>
      </w:r>
    </w:p>
    <w:p>
      <w:pPr>
        <w:spacing w:after="0" w:line="14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General</w:t>
      </w: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Immediately prior to the consummation of this offering, we will file our amended and restated certificate of incorporation that</w:t>
      </w:r>
    </w:p>
    <w:p>
      <w:pPr>
        <w:ind w:left="200" w:right="100"/>
        <w:spacing w:after="0" w:line="239" w:lineRule="auto"/>
        <w:rPr>
          <w:sz w:val="20"/>
          <w:szCs w:val="20"/>
          <w:color w:val="auto"/>
        </w:rPr>
      </w:pPr>
      <w:r>
        <w:rPr>
          <w:rFonts w:ascii="Arial" w:cs="Arial" w:eastAsia="Arial" w:hAnsi="Arial"/>
          <w:sz w:val="18"/>
          <w:szCs w:val="18"/>
          <w:color w:val="auto"/>
        </w:rPr>
        <w:t>authorizes 300,000,000 shares of common stock, $0.0001 par value per share, and 10,000,000 shares of preferred stock, $0.0001 par value per share. As of September 30, 2019, there were outstanding:</w:t>
      </w:r>
    </w:p>
    <w:p>
      <w:pPr>
        <w:spacing w:after="0" w:line="114" w:lineRule="exact"/>
        <w:rPr>
          <w:sz w:val="20"/>
          <w:szCs w:val="20"/>
          <w:color w:val="auto"/>
        </w:rPr>
      </w:pPr>
    </w:p>
    <w:p>
      <w:pPr>
        <w:ind w:left="420" w:hanging="216"/>
        <w:spacing w:after="0"/>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42,902,309 shares of our common stock, on an as-converted basis, held by approximately 200 stockholders of record;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4,670,745 shares of our common stock issuable upon exercise of outstanding stock options.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connection with this offering, we expect to consummate a 1-for-4.8661 reverse stock split of our common stock and preferred stock.</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Common stock</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left="200"/>
        <w:spacing w:after="0" w:line="273" w:lineRule="auto"/>
        <w:rPr>
          <w:sz w:val="20"/>
          <w:szCs w:val="20"/>
          <w:color w:val="auto"/>
        </w:rPr>
      </w:pPr>
      <w:r>
        <w:rPr>
          <w:rFonts w:ascii="Arial" w:cs="Arial" w:eastAsia="Arial" w:hAnsi="Arial"/>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In addition, the affirmative vote of holders of 66-2/3%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124"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00"/>
          </w:cols>
          <w:pgMar w:left="24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2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24" w:lineRule="exact"/>
        <w:rPr>
          <w:sz w:val="20"/>
          <w:szCs w:val="20"/>
          <w:color w:val="auto"/>
        </w:rPr>
      </w:pPr>
    </w:p>
    <w:p>
      <w:pPr>
        <w:ind w:left="200" w:right="680"/>
        <w:spacing w:after="0" w:line="239"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will be, fully paid and nonassessable.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Preferred stock</w:t>
      </w:r>
    </w:p>
    <w:p>
      <w:pPr>
        <w:spacing w:after="0" w:line="134" w:lineRule="exact"/>
        <w:rPr>
          <w:sz w:val="20"/>
          <w:szCs w:val="20"/>
          <w:color w:val="auto"/>
        </w:rPr>
      </w:pPr>
    </w:p>
    <w:p>
      <w:pPr>
        <w:ind w:left="200" w:right="40"/>
        <w:spacing w:after="0" w:line="267" w:lineRule="auto"/>
        <w:rPr>
          <w:sz w:val="20"/>
          <w:szCs w:val="20"/>
          <w:color w:val="auto"/>
        </w:rPr>
      </w:pPr>
      <w:r>
        <w:rPr>
          <w:rFonts w:ascii="Arial" w:cs="Arial" w:eastAsia="Arial" w:hAnsi="Arial"/>
          <w:sz w:val="16"/>
          <w:szCs w:val="16"/>
          <w:color w:val="auto"/>
        </w:rPr>
        <w:t>As of September 30, 2019, there were 39,600,423 shares of preferred stock outstanding, held of record by 134 stockholders. Immediately upon the consummation of this offering, all 39,600,423 outstanding shares of our preferred stock as of September 30, 2019 will be converted into an equivalent number of shares of our common stock. See Note 8 to our consolidated financial statements included elsewhere in this prospectus for a description of our currently outstanding preferred stock. Immediately prior to the consummation of this offering, our amended and restated certificate of incorporation will be amended and restated to delete all references to such shares of preferred stock. From and after the consummation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358"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Options</w:t>
      </w:r>
    </w:p>
    <w:p>
      <w:pPr>
        <w:spacing w:after="0" w:line="134"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As of September 30, 2019, we had outstanding options to purchase 4,670,745 shares of our common stock, with a per share weighted-average exercise price of $3.36, under our 2014 Equity Incentive Plan.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Under our amended and restated investors’ rights agreement, based on the number of shares outstanding as of September 30, 2019, following the consummation of this offering, the holders of approximately 39.6 million shares of common stock, or their transferees, have the right to require us to register their shares under the Securities Act so that those shares may be publicly resold, and the holders of approximately 39.6 million shares of common stock, or their transferees, have the right to include their shares in any registration statement we file, in each case as described below.</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S-1 demand registration rights</w:t>
      </w:r>
    </w:p>
    <w:p>
      <w:pPr>
        <w:spacing w:after="0" w:line="124"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After the consummation of this offering, the holders of approximately 39.6 million shares of our common stock (on an as-converted basis), or their transferees, will be entitled to certain Form S-1 demand registration rights.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60"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Beginning 180 days following the effectiveness of the registration statement of which this prospectus is a part, the holders of at least a majority of these shares can request that we register all or a portion of their shares, so long as such holders request that we register at least 40% of the shares entitled to these demand registration rights. These stockholders may make up to two requests for registration on Form S-1.</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Form S-3 demand registration rights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After the consummation of this offering, the holders of approximately 39.6 million shares of our common stock (on an as-converted basis), or their transferees, will be entitled to certain Form S-3 demand registration rights. If we are eligible to use a Form S-3 registration statement, the holders of at least 20% of these shares can request that we register all or a portion of their shares on a Form S-3 registration statement if the anticipated aggregate offering price is at least $5.0 million, net of certain expenses related to the sale of the shares. These stockholders may make unlimited requests for registration on Form S-3, provided that we are not obligated to effect, or take any action to effect, a registration on Form S-3 if we have effected two registrations on Form S-3 pursuant to requests by these stockholders within the 12 month period immediately preceding such request.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2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After the consummation of this offering, in the event that we determine to register any of our securities under the Securities Act (subject to certain exceptions), either for our own account or for the account of other security holders, the holders of approximately 39.6 million shares of our common stock (on an as-converted basis),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certain registrations, including related to the sale of securities to employees pursuant to employee benefit plans, the offer and sale of debt securities, or an SEC Rule 145 transaction, the holders of these shares are entitled to notice of the registration and have the right, subject to limitations that the underwriters may impose on the number of shares included in the registration, to include their shares in the registration. In an underwritten offering, the underwriters have the right, subject to specified conditions, to limit the number of shares such holders may include.</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24"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We will pay the registration expenses, excluding certain expenses related to the sale of shares, of the holders of the shares registered pursuant to the Form S-1 demand, Form S-3 demand and piggyback registration rights described above, including the reasonable expenses of one counsel for the selling holders not to exceed $25,000.</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124" w:lineRule="exact"/>
        <w:rPr>
          <w:sz w:val="20"/>
          <w:szCs w:val="20"/>
          <w:color w:val="auto"/>
        </w:rPr>
      </w:pPr>
    </w:p>
    <w:p>
      <w:pPr>
        <w:ind w:left="200" w:right="160"/>
        <w:spacing w:after="0" w:line="275" w:lineRule="auto"/>
        <w:rPr>
          <w:sz w:val="20"/>
          <w:szCs w:val="20"/>
          <w:color w:val="auto"/>
        </w:rPr>
      </w:pPr>
      <w:r>
        <w:rPr>
          <w:rFonts w:ascii="Arial" w:cs="Arial" w:eastAsia="Arial" w:hAnsi="Arial"/>
          <w:sz w:val="16"/>
          <w:szCs w:val="16"/>
          <w:color w:val="auto"/>
        </w:rPr>
        <w:t>The Form S-1 demand, Form S-3 demand and piggyback registration rights described above will terminate, with respect to any particular stockholder, upon the earlier of (i) five years after the consummation of this offering, (ii) following this offering, the date that Rule 144 or another similar exemption under the Securities Act is available to such stockholder for the sale of all of such stockholder’s shares without limitation during a three-month period, or (iii) upon the consummation of a merger, consolidation or the sale of substantially all of our assets.</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00"/>
          </w:cols>
          <w:pgMar w:left="240" w:top="460"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right="160"/>
        <w:spacing w:after="0" w:line="261" w:lineRule="auto"/>
        <w:rPr>
          <w:sz w:val="20"/>
          <w:szCs w:val="20"/>
          <w:color w:val="auto"/>
        </w:rPr>
      </w:pPr>
      <w:r>
        <w:rPr>
          <w:rFonts w:ascii="Arial" w:cs="Arial" w:eastAsia="Arial" w:hAnsi="Arial"/>
          <w:sz w:val="22"/>
          <w:szCs w:val="22"/>
          <w:b w:val="1"/>
          <w:bCs w:val="1"/>
          <w:color w:val="auto"/>
        </w:rPr>
        <w:t>Anti-takeover effects of provisions of our amended and restated certificate of incorporation, our amended and restated bylaws and Delaware law</w:t>
      </w:r>
    </w:p>
    <w:p>
      <w:pPr>
        <w:spacing w:after="0" w:line="80"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Some provisions of Delaware law and our amended and restated certificate of incorporation and our amended and restated bylaws that will become effective immediately prior to the consummation of this offering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02"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24"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beneficially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2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ability to issue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24"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a special meeting of stockholders may be called only by our board of directors, or by our President or Chief Executive Officer.</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2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24"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Our amended and restated certificate of incorporation and our amended and restated bylaws eliminate the right of stockholders to act by written consent without a meeting.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a 66-2/3% of the voting power of the then outstanding voting stock. For more information on the classified board, see “Management—Board composition.” Furthermore, any vacancy on our board of directors, however occurring, including a vacancy resulting from an increase in the size of the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24" w:lineRule="exact"/>
        <w:rPr>
          <w:sz w:val="20"/>
          <w:szCs w:val="20"/>
          <w:color w:val="auto"/>
        </w:rPr>
      </w:pPr>
    </w:p>
    <w:p>
      <w:pPr>
        <w:jc w:val="both"/>
        <w:ind w:left="200" w:right="100"/>
        <w:spacing w:after="0" w:line="264" w:lineRule="auto"/>
        <w:rPr>
          <w:sz w:val="20"/>
          <w:szCs w:val="20"/>
          <w:color w:val="auto"/>
        </w:rPr>
      </w:pPr>
      <w:r>
        <w:rPr>
          <w:rFonts w:ascii="Arial" w:cs="Arial" w:eastAsia="Arial" w:hAnsi="Arial"/>
          <w:sz w:val="16"/>
          <w:szCs w:val="16"/>
          <w:color w:val="auto"/>
        </w:rPr>
        <w:t>Our amended and restated certificate of incorporation to be in effect immediately prior to the consummation of this offering provides that the Court of Chancery of the State of Delaware shall be the sole and exclusive forum for (i) any state law derivative action or proceeding brought on behalf us, (ii) any action asserting a claim of breach of a fiduciary duty owed by any of our directors or officers to us or our stockholders,</w:t>
      </w:r>
    </w:p>
    <w:p>
      <w:pPr>
        <w:spacing w:after="0" w:line="1" w:lineRule="exact"/>
        <w:rPr>
          <w:sz w:val="20"/>
          <w:szCs w:val="20"/>
          <w:color w:val="auto"/>
        </w:rPr>
      </w:pPr>
    </w:p>
    <w:p>
      <w:pPr>
        <w:ind w:left="200" w:right="20" w:firstLine="4"/>
        <w:spacing w:after="0" w:line="268" w:lineRule="auto"/>
        <w:tabs>
          <w:tab w:leader="none" w:pos="48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action asserting a claim against us arising pursuant to any provision of the Delaware General Corporation Law or our amended and restated certificate of incorporation or amended and restated bylaws or (iv) any action asserting a claim against us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Securities Act,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Nothing in our amended and restated certificate of incorporation or amended and restated bylaws will preclude stockholders that assert claims under the Securities Act or the Exchange Act from bringing such claims in state or federal court, subject to applicable law.</w:t>
      </w:r>
    </w:p>
    <w:p>
      <w:pPr>
        <w:spacing w:after="0" w:line="82" w:lineRule="exact"/>
        <w:rPr>
          <w:sz w:val="20"/>
          <w:szCs w:val="20"/>
          <w:color w:val="auto"/>
        </w:rPr>
      </w:pPr>
    </w:p>
    <w:p>
      <w:pPr>
        <w:ind w:left="200" w:right="120"/>
        <w:spacing w:after="0" w:line="28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00"/>
          </w:cols>
          <w:pgMar w:left="24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Amendment of certificate of incorporation provisions</w:t>
      </w:r>
    </w:p>
    <w:p>
      <w:pPr>
        <w:spacing w:after="0" w:line="124"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undesignated preferred stock, would require approval by a stockholder vote by the holders of at least a 66-2/3% of the voting power of the then outstanding voting stock.</w:t>
      </w:r>
    </w:p>
    <w:p>
      <w:pPr>
        <w:spacing w:after="0" w:line="10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Limitations of liability and indemnification matters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For a discussion of liability and indemnification, see “Management—Limitation of liability and indemnification matters.”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Nasdaq global market listing</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applied to have our common stock approved for listing on the Nasdaq Global Market under the symbol “RVMD.”</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Transfer agent and registrar</w:t>
      </w:r>
    </w:p>
    <w:p>
      <w:pPr>
        <w:spacing w:after="0" w:line="134"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40"/>
          </w:cols>
          <w:pgMar w:left="240" w:top="459" w:right="51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Shares eligible for future sale</w:t>
      </w:r>
    </w:p>
    <w:p>
      <w:pPr>
        <w:spacing w:after="0" w:line="158"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Prior to this offering, there has been no public market for our common stock, and we cannot assure investors that an active trading market for our common stock will develop or be sustained after this offering. Future sales of our common stock, including shares issued upon the exercise of outstanding options or warrants, in the public market after this offering, or the perception that those sales may occur, could cause the prevailing market price for our common stock to fall or impair our ability to raise equity capital in the future. As described below, only a limited number of shares of our common stock will be available for sale in the public market for a period of several months after consummation of this offering due to contractual and legal restrictions on resale described below.</w:t>
      </w:r>
    </w:p>
    <w:p>
      <w:pPr>
        <w:spacing w:after="0" w:line="102"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Future sales of our common stock in the public market either before (to the extent permitted) or after restrictions lapse, or the perception that those sales may occur, could adversely affect the prevailing market price of our common stock at such time and our ability to raise equity capital at a time and price we deem appropriate.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Sale of restricted shares</w:t>
      </w:r>
    </w:p>
    <w:p>
      <w:pPr>
        <w:spacing w:after="0" w:line="134" w:lineRule="exact"/>
        <w:rPr>
          <w:sz w:val="20"/>
          <w:szCs w:val="20"/>
          <w:color w:val="auto"/>
        </w:rPr>
      </w:pPr>
    </w:p>
    <w:p>
      <w:pPr>
        <w:ind w:left="200" w:right="240"/>
        <w:spacing w:after="0" w:line="236" w:lineRule="auto"/>
        <w:rPr>
          <w:sz w:val="20"/>
          <w:szCs w:val="20"/>
          <w:color w:val="auto"/>
        </w:rPr>
      </w:pPr>
      <w:r>
        <w:rPr>
          <w:rFonts w:ascii="Arial" w:cs="Arial" w:eastAsia="Arial" w:hAnsi="Arial"/>
          <w:sz w:val="18"/>
          <w:szCs w:val="18"/>
          <w:color w:val="auto"/>
        </w:rPr>
        <w:t>Based on the number of shares of our common stock outstanding as of September 30, 2019 and assuming an initial public offering price of $15.00 per share (the midpoint of the price range set forth on the cover of this prospectus), upon the consummation of this offering and assuming (1) the conversion of all shares of our outstanding preferred stock as of September 30, 2019, (2) no exercise of the underwriters’ option to purchase additional shares of common stock and (3) no exercise of any of our other outstanding options, we will have outstanding an aggregate of 52,902,309 shares of common stock.</w:t>
      </w:r>
    </w:p>
    <w:p>
      <w:pPr>
        <w:spacing w:after="0" w:line="103" w:lineRule="exact"/>
        <w:rPr>
          <w:sz w:val="20"/>
          <w:szCs w:val="20"/>
          <w:color w:val="auto"/>
        </w:rPr>
      </w:pPr>
    </w:p>
    <w:p>
      <w:pPr>
        <w:ind w:left="200" w:right="120"/>
        <w:spacing w:after="0" w:line="264" w:lineRule="auto"/>
        <w:rPr>
          <w:sz w:val="20"/>
          <w:szCs w:val="20"/>
          <w:color w:val="auto"/>
        </w:rPr>
      </w:pPr>
      <w:r>
        <w:rPr>
          <w:rFonts w:ascii="Arial" w:cs="Arial" w:eastAsia="Arial" w:hAnsi="Arial"/>
          <w:sz w:val="16"/>
          <w:szCs w:val="16"/>
          <w:color w:val="auto"/>
        </w:rPr>
        <w:t>All of the shares of common stock to be sold in this offering, and any shares sold upon exercise of the underwriters’ option to purchase additional shares, will be freely tradable in the public market without restriction or further registration under the Securities Act, unless the shares are held by any of our “affiliates” as such term is defined in Rule 144 of the Securities Act. All remaining shares of common stock held by existing stockholders immediately prior to the consummation of this offering will be “restricted securities” as such term is defined in Rule</w:t>
      </w:r>
    </w:p>
    <w:p>
      <w:pPr>
        <w:spacing w:after="0" w:line="1" w:lineRule="exact"/>
        <w:rPr>
          <w:sz w:val="20"/>
          <w:szCs w:val="20"/>
          <w:color w:val="auto"/>
        </w:rPr>
      </w:pPr>
    </w:p>
    <w:p>
      <w:pPr>
        <w:ind w:left="200" w:right="100" w:firstLine="4"/>
        <w:spacing w:after="0" w:line="238" w:lineRule="auto"/>
        <w:tabs>
          <w:tab w:leader="none" w:pos="59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These restricted securities were issued and sold by us, or will be issued and sold by us, in private transactions and are eligible for public sale only if registered under the Securities Act or if they qualify for an exemption from registration under the Securities Act, including the exemptions provided by Rule 144 or Rule 701, which rules are summarized below.</w:t>
      </w:r>
    </w:p>
    <w:p>
      <w:pPr>
        <w:spacing w:after="0" w:line="100" w:lineRule="exact"/>
        <w:rPr>
          <w:sz w:val="20"/>
          <w:szCs w:val="20"/>
          <w:color w:val="auto"/>
        </w:rPr>
      </w:pPr>
    </w:p>
    <w:p>
      <w:pPr>
        <w:ind w:left="200" w:right="320"/>
        <w:spacing w:after="0" w:line="237" w:lineRule="auto"/>
        <w:rPr>
          <w:sz w:val="20"/>
          <w:szCs w:val="20"/>
          <w:color w:val="auto"/>
        </w:rPr>
      </w:pPr>
      <w:r>
        <w:rPr>
          <w:rFonts w:ascii="Arial" w:cs="Arial" w:eastAsia="Arial" w:hAnsi="Arial"/>
          <w:sz w:val="18"/>
          <w:szCs w:val="18"/>
          <w:color w:val="auto"/>
        </w:rPr>
        <w:t>As a result of the lock-up agreements with the underwriters or market stand-off provisions in agreements with us referred to below and the provisions of Rule 144 and Rule 701 under the Securities Act, based on the number of shares of our common stock outstanding as of September 30, 2019 and assumptions (1)-(3) described above, the shares of our common stock (excluding the shares sold in this offering) that will be available for sale in the public market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Approximate number of shares</w:t>
            </w:r>
          </w:p>
        </w:tc>
        <w:tc>
          <w:tcPr>
            <w:tcW w:w="8240" w:type="dxa"/>
            <w:vAlign w:val="bottom"/>
          </w:tcPr>
          <w:p>
            <w:pPr>
              <w:ind w:left="180"/>
              <w:spacing w:after="0"/>
              <w:rPr>
                <w:sz w:val="20"/>
                <w:szCs w:val="20"/>
                <w:color w:val="auto"/>
              </w:rPr>
            </w:pPr>
            <w:r>
              <w:rPr>
                <w:rFonts w:ascii="Arial" w:cs="Arial" w:eastAsia="Arial" w:hAnsi="Arial"/>
                <w:sz w:val="18"/>
                <w:szCs w:val="18"/>
                <w:b w:val="1"/>
                <w:bCs w:val="1"/>
                <w:color w:val="auto"/>
              </w:rPr>
              <w:t>First date available for sale into public market</w:t>
            </w:r>
          </w:p>
        </w:tc>
      </w:tr>
      <w:tr>
        <w:trPr>
          <w:trHeight w:val="199"/>
        </w:trPr>
        <w:tc>
          <w:tcPr>
            <w:tcW w:w="20" w:type="dxa"/>
            <w:vAlign w:val="bottom"/>
          </w:tcPr>
          <w:p>
            <w:pPr>
              <w:spacing w:after="0"/>
              <w:rPr>
                <w:sz w:val="17"/>
                <w:szCs w:val="17"/>
                <w:color w:val="auto"/>
              </w:rPr>
            </w:pPr>
          </w:p>
        </w:tc>
        <w:tc>
          <w:tcPr>
            <w:tcW w:w="27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rPr>
              <w:t>42,902,309 shares</w:t>
            </w:r>
          </w:p>
        </w:tc>
        <w:tc>
          <w:tcPr>
            <w:tcW w:w="8240" w:type="dxa"/>
            <w:vAlign w:val="bottom"/>
            <w:tcBorders>
              <w:top w:val="single" w:sz="8" w:color="auto"/>
            </w:tcBorders>
            <w:shd w:val="clear" w:color="auto" w:fill="CCEEFF"/>
          </w:tcPr>
          <w:p>
            <w:pPr>
              <w:ind w:left="180"/>
              <w:spacing w:after="0" w:line="200" w:lineRule="exact"/>
              <w:rPr>
                <w:sz w:val="20"/>
                <w:szCs w:val="20"/>
                <w:color w:val="auto"/>
              </w:rPr>
            </w:pPr>
            <w:r>
              <w:rPr>
                <w:rFonts w:ascii="Arial" w:cs="Arial" w:eastAsia="Arial" w:hAnsi="Arial"/>
                <w:sz w:val="18"/>
                <w:szCs w:val="18"/>
                <w:color w:val="auto"/>
                <w:w w:val="99"/>
              </w:rPr>
              <w:t>180 days after the date of this prospectus upon expiration of the lock-up agreements or market stand-</w:t>
            </w:r>
          </w:p>
        </w:tc>
      </w:tr>
      <w:tr>
        <w:trPr>
          <w:trHeight w:val="199"/>
        </w:trPr>
        <w:tc>
          <w:tcPr>
            <w:tcW w:w="20" w:type="dxa"/>
            <w:vAlign w:val="bottom"/>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8240" w:type="dxa"/>
            <w:vAlign w:val="bottom"/>
            <w:shd w:val="clear" w:color="auto" w:fill="CCEEFF"/>
          </w:tcPr>
          <w:p>
            <w:pPr>
              <w:ind w:left="180"/>
              <w:spacing w:after="0" w:line="200" w:lineRule="exact"/>
              <w:rPr>
                <w:sz w:val="20"/>
                <w:szCs w:val="20"/>
                <w:color w:val="auto"/>
              </w:rPr>
            </w:pPr>
            <w:r>
              <w:rPr>
                <w:rFonts w:ascii="Arial" w:cs="Arial" w:eastAsia="Arial" w:hAnsi="Arial"/>
                <w:sz w:val="18"/>
                <w:szCs w:val="18"/>
                <w:color w:val="auto"/>
                <w:w w:val="98"/>
              </w:rPr>
              <w:t>off provisions referred to below, subject in some cases to applicable volume limitations under Rule 144</w:t>
            </w:r>
          </w:p>
        </w:tc>
      </w:tr>
      <w:tr>
        <w:trPr>
          <w:trHeight w:val="20"/>
        </w:trPr>
        <w:tc>
          <w:tcPr>
            <w:tcW w:w="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82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Lock-up agreements and market stand-off provisions</w:t>
      </w:r>
    </w:p>
    <w:p>
      <w:pPr>
        <w:spacing w:after="0" w:line="134"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In connection with this offering, we, our directors, our executive officers and substantially all of our other stockholders and option holders have agreed, subject to certain exceptions, with the underwriters not to</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240" w:top="460" w:right="4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dispose of or hedge any shares of our common stock or securities convertible into or exchangeable for shares of common stock during the period from the date of the lock-up agreement continuing through the date 180 days after the date of this prospectus, except with the prior written consent of J.P. Morgan Securities LLC. See the section titled “Underwriting” for additional information. All of our option holders are subject to a market stand-off agreement with us which imposes similar restrictions.</w:t>
      </w:r>
    </w:p>
    <w:p>
      <w:pPr>
        <w:spacing w:after="0" w:line="101"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Subject to certain limitations,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100"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Following the lock-up periods set forth in the market stand-off and lock-up agreements described above, and assuming that J.P. Morgan Securities LLC does not release any parties from the lock-up agreements, all of the shares of our common stock that are restricted securities or are held by our affiliates as of the date of this prospectus will be eligible for sale in the public market in compliance with Rule 144 under the Securities Act.</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Rule 144</w:t>
      </w:r>
    </w:p>
    <w:p>
      <w:pPr>
        <w:spacing w:after="0" w:line="134" w:lineRule="exact"/>
        <w:rPr>
          <w:sz w:val="20"/>
          <w:szCs w:val="20"/>
          <w:color w:val="auto"/>
        </w:rPr>
      </w:pPr>
    </w:p>
    <w:p>
      <w:pPr>
        <w:ind w:left="200"/>
        <w:spacing w:after="0" w:line="264" w:lineRule="auto"/>
        <w:rPr>
          <w:sz w:val="20"/>
          <w:szCs w:val="20"/>
          <w:color w:val="auto"/>
        </w:rPr>
      </w:pPr>
      <w:r>
        <w:rPr>
          <w:rFonts w:ascii="Arial" w:cs="Arial" w:eastAsia="Arial" w:hAnsi="Arial"/>
          <w:sz w:val="16"/>
          <w:szCs w:val="16"/>
          <w:color w:val="auto"/>
        </w:rPr>
        <w:t>In general, under Rule 144, as currently in effect, once we have been subject to the public company reporting requirements of the Exchange Act, for at least 90 days, a person (or persons whose shares are required to be aggregated) who is not deemed to have been one of our “affiliates” for purposes of Rule 144 at any time during the three months preceding a sale, and who has beneficially owned restricted securities within the meaning of Rule 144 for at least six months, including the holding period of any prior owner other than one of our “affiliates,” is entitled to sell those shares in the public market (subject to the lock-up agreements referred to above, if applicable) without complying with the manner of sale, volume limitations or notice provisions of Rule 144, but subject to compliance with the public information requirements of Rule</w:t>
      </w:r>
    </w:p>
    <w:p>
      <w:pPr>
        <w:spacing w:after="0" w:line="1" w:lineRule="exact"/>
        <w:rPr>
          <w:sz w:val="20"/>
          <w:szCs w:val="20"/>
          <w:color w:val="auto"/>
        </w:rPr>
      </w:pPr>
    </w:p>
    <w:p>
      <w:pPr>
        <w:ind w:left="200" w:right="40" w:firstLine="4"/>
        <w:spacing w:after="0" w:line="236" w:lineRule="auto"/>
        <w:tabs>
          <w:tab w:leader="none" w:pos="59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If such a person has beneficially owned the shares proposed to be sold for at least one year, including the holding period of any prior owner other than “affiliates,” then such person is entitled to sell such shares in the public market without complying with any of the requirements of Rule 144 (subject to the lock-up agreement referred to above, if applicable). In general, under Rule 144, as currently in effect, once we have been subject to the public company reporting requirements of the Exchange Act for at least 90 days, our “affiliates,” as defined in Rule 144, who have beneficially owned the shares proposed to be sold for at least six months are entitled to sell in the public market, upon expiration of any applicable lock-up agreements and within any three-month period, a number of those shares of our common stock that does not exceed the greater of:</w:t>
      </w:r>
    </w:p>
    <w:p>
      <w:pPr>
        <w:spacing w:after="0" w:line="115" w:lineRule="exact"/>
        <w:rPr>
          <w:sz w:val="20"/>
          <w:szCs w:val="20"/>
          <w:color w:val="auto"/>
        </w:rPr>
      </w:pPr>
    </w:p>
    <w:p>
      <w:pPr>
        <w:jc w:val="both"/>
        <w:ind w:left="420" w:right="820" w:hanging="216"/>
        <w:spacing w:after="0" w:line="299" w:lineRule="auto"/>
        <w:tabs>
          <w:tab w:leader="none" w:pos="42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1% of the number of shares of common stock then outstanding, which will equal approximately 529,023 shares of common stock immediately after this offering (calculated as of September 30, 2019 on the basis of the assumptions (1)-(3) described above); or</w:t>
      </w:r>
    </w:p>
    <w:p>
      <w:pPr>
        <w:spacing w:after="0" w:line="68" w:lineRule="exact"/>
        <w:rPr>
          <w:rFonts w:ascii="Arial" w:cs="Arial" w:eastAsia="Arial" w:hAnsi="Arial"/>
          <w:sz w:val="16"/>
          <w:szCs w:val="16"/>
          <w:color w:val="auto"/>
        </w:rPr>
      </w:pPr>
    </w:p>
    <w:p>
      <w:pPr>
        <w:ind w:left="420" w:right="100" w:hanging="216"/>
        <w:spacing w:after="0" w:line="239" w:lineRule="auto"/>
        <w:tabs>
          <w:tab w:leader="none" w:pos="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on Form 144 with respect to such sale.</w:t>
      </w:r>
    </w:p>
    <w:p>
      <w:pPr>
        <w:spacing w:after="0" w:line="101"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Such sales under Rule 144 by our “affiliates” or persons selling shares on behalf of our “affiliates” are also subject to certain manner of sale provisions, notice requirements and to the availability of current public information about us. Notwithstanding the availability of Rule 144, the holders of substantially all of our restricted securities have entered into lock-up agreements as referenced above and their restricted securities will become eligible for sale (subject to the above limitations under Rule 144) upon the expiration of the restrictions set forth in those agreements.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Rule 701</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acquired common stock from us in connection with a written compensatory stock or option plan or other written agreement in compliance with Rule 701 under the Securities Act before the effective date of the registration statement of which this prospectus is a part (to the extent such common stock is not subject to a lock-up agreement) is entitled to rely on Rule 701 to resell such shares beginning 90 days after we become subject to the public company reporting requirements of the Exchange Act in reliance on Rule 144, but without compliance with the holding period requirements contained in Rule 144. Accordingly, subject to any applicable lock-up agreements, beginning 90 days after we become subject to the public company reporting requirements of the Exchange Act, under Rule 701 persons who are not our “affiliates,” as defined in Rule 144, may resell those shares without complying with the minimum holding period or public information requirements of Rule 144, and persons who are our “affiliates” may resell those shares without compliance with Rule 144’s minimum holding period requirements (subject to the terms of the lock-up agreement referred to above).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Registration rights</w:t>
      </w:r>
    </w:p>
    <w:p>
      <w:pPr>
        <w:spacing w:after="0" w:line="134"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After the consummation of this offering, the holders of approximately 39.6 million shares of our common stock, or their transferees, will, subject to the lock-up agreements referred to above, be entitled to certain rights with respect to the registration of the offer and sale of those shares under the Securities Act. For a description of these registration rights, see “Description of capital stock—Registration rights.” If the offer and sale of these shares are registered, they will be freely tradable without restriction under the Securities Act.</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Stock plans</w:t>
      </w:r>
    </w:p>
    <w:p>
      <w:pPr>
        <w:spacing w:after="0" w:line="134"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We intend to file with the SEC a registration statement under the Securities Act covering the shares of common stock reserved for issuance under our 2014 Equity Incentive Plan, our 2020 Incentive Award Plan and our 2020 Employee Stock Purchase Plan. Such registration statement is expected to be filed and become effective as soon as practicable after the consummation of this offering. Accordingly, shares registered under such registration statement will be available for sale in the open market following its effective date, subject to Rule 144 volume limitations and the lock-up agreements described above, if applicable.</w:t>
      </w:r>
    </w:p>
    <w:p>
      <w:pPr>
        <w:spacing w:after="0" w:line="1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80"/>
          </w:cols>
          <w:pgMar w:left="240" w:top="460"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Material U.S. federal income tax consequences to non-U.S. holders</w:t>
      </w:r>
    </w:p>
    <w:p>
      <w:pPr>
        <w:spacing w:after="0" w:line="158"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w:t>
      </w:r>
    </w:p>
    <w:p>
      <w:pPr>
        <w:spacing w:after="0" w:line="102"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114" w:lineRule="exact"/>
        <w:rPr>
          <w:sz w:val="20"/>
          <w:szCs w:val="20"/>
          <w:color w:val="auto"/>
        </w:rPr>
      </w:pPr>
    </w:p>
    <w:p>
      <w:pPr>
        <w:ind w:left="420" w:hanging="216"/>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17" w:lineRule="exact"/>
        <w:rPr>
          <w:rFonts w:ascii="Arial" w:cs="Arial" w:eastAsia="Arial" w:hAnsi="Arial"/>
          <w:sz w:val="18"/>
          <w:szCs w:val="18"/>
          <w:color w:val="auto"/>
        </w:rPr>
      </w:pPr>
    </w:p>
    <w:p>
      <w:pPr>
        <w:ind w:left="420" w:right="320" w:hanging="216"/>
        <w:spacing w:after="0" w:line="239" w:lineRule="auto"/>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420" w:right="120" w:hanging="216"/>
        <w:spacing w:after="0" w:line="239" w:lineRule="auto"/>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tax-qualified retirement plans; and</w:t>
      </w:r>
    </w:p>
    <w:p>
      <w:pPr>
        <w:spacing w:after="0" w:line="117" w:lineRule="exact"/>
        <w:rPr>
          <w:rFonts w:ascii="Arial" w:cs="Arial" w:eastAsia="Arial" w:hAnsi="Arial"/>
          <w:sz w:val="18"/>
          <w:szCs w:val="18"/>
          <w:color w:val="auto"/>
        </w:rPr>
      </w:pPr>
    </w:p>
    <w:p>
      <w:pPr>
        <w:ind w:left="420" w:right="280" w:hanging="216"/>
        <w:spacing w:after="0" w:line="239" w:lineRule="auto"/>
        <w:tabs>
          <w:tab w:leader="none" w:pos="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101" w:lineRule="exact"/>
        <w:rPr>
          <w:sz w:val="20"/>
          <w:szCs w:val="20"/>
          <w:color w:val="auto"/>
        </w:rPr>
      </w:pPr>
    </w:p>
    <w:p>
      <w:pPr>
        <w:ind w:left="200" w:right="380"/>
        <w:spacing w:after="0" w:line="237"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60"/>
        <w:spacing w:after="0" w:line="236" w:lineRule="auto"/>
        <w:rPr>
          <w:sz w:val="20"/>
          <w:szCs w:val="20"/>
          <w:color w:val="auto"/>
        </w:rPr>
      </w:pPr>
      <w:r>
        <w:rPr>
          <w:rFonts w:ascii="Arial" w:cs="Arial" w:eastAsia="Arial" w:hAnsi="Arial"/>
          <w:sz w:val="18"/>
          <w:szCs w:val="18"/>
          <w:color w:val="auto"/>
        </w:rPr>
        <w:t>THIS DISCUSSION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Definition of non-U.S. holder</w:t>
      </w:r>
    </w:p>
    <w:p>
      <w:pPr>
        <w:spacing w:after="0" w:line="134"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114" w:lineRule="exact"/>
        <w:rPr>
          <w:sz w:val="20"/>
          <w:szCs w:val="20"/>
          <w:color w:val="auto"/>
        </w:rPr>
      </w:pPr>
    </w:p>
    <w:p>
      <w:pPr>
        <w:ind w:left="420" w:hanging="216"/>
        <w:spacing w:after="0"/>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420" w:right="20" w:hanging="216"/>
        <w:spacing w:after="0" w:line="238" w:lineRule="auto"/>
        <w:tabs>
          <w:tab w:leader="none" w:pos="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Distributions</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As described in the section of this prospectus titled “Dividend policy,” we have never declared or paid cash dividends on our capital stock, and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01"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Subject to the discussion below regarding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treaties.</w:t>
      </w:r>
    </w:p>
    <w:p>
      <w:pPr>
        <w:spacing w:after="0" w:line="102" w:lineRule="exact"/>
        <w:rPr>
          <w:sz w:val="20"/>
          <w:szCs w:val="20"/>
          <w:color w:val="auto"/>
        </w:rPr>
      </w:pPr>
    </w:p>
    <w:p>
      <w:pPr>
        <w:ind w:left="200" w:right="80"/>
        <w:spacing w:after="0" w:line="273"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1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80"/>
          </w:cols>
          <w:pgMar w:left="240" w:top="460" w:right="47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Sale or other taxable disposition</w:t>
      </w:r>
    </w:p>
    <w:p>
      <w:pPr>
        <w:spacing w:after="0" w:line="134"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Subject to the discussion below regarding backup withholding, a Non-U.S. Holder will not be subject to U.S. federal income tax on any gain realized upon the sale or other taxable disposition of our common stock unless:</w:t>
      </w:r>
    </w:p>
    <w:p>
      <w:pPr>
        <w:spacing w:after="0" w:line="114" w:lineRule="exact"/>
        <w:rPr>
          <w:sz w:val="20"/>
          <w:szCs w:val="20"/>
          <w:color w:val="auto"/>
        </w:rPr>
      </w:pPr>
    </w:p>
    <w:p>
      <w:pPr>
        <w:ind w:left="420" w:right="120" w:hanging="216"/>
        <w:spacing w:after="0" w:line="238" w:lineRule="auto"/>
        <w:tabs>
          <w:tab w:leader="none" w:pos="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13" w:lineRule="exact"/>
        <w:rPr>
          <w:rFonts w:ascii="Arial" w:cs="Arial" w:eastAsia="Arial" w:hAnsi="Arial"/>
          <w:sz w:val="18"/>
          <w:szCs w:val="18"/>
          <w:color w:val="auto"/>
        </w:rPr>
      </w:pPr>
    </w:p>
    <w:p>
      <w:pPr>
        <w:ind w:left="420" w:right="500" w:hanging="216"/>
        <w:spacing w:after="0" w:line="239" w:lineRule="auto"/>
        <w:tabs>
          <w:tab w:leader="none" w:pos="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14" w:lineRule="exact"/>
        <w:rPr>
          <w:rFonts w:ascii="Arial" w:cs="Arial" w:eastAsia="Arial" w:hAnsi="Arial"/>
          <w:sz w:val="18"/>
          <w:szCs w:val="18"/>
          <w:color w:val="auto"/>
        </w:rPr>
      </w:pPr>
    </w:p>
    <w:p>
      <w:pPr>
        <w:ind w:left="420" w:right="220" w:hanging="216"/>
        <w:spacing w:after="0" w:line="239" w:lineRule="auto"/>
        <w:tabs>
          <w:tab w:leader="none" w:pos="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(“USRPI”), by reason of our status as a U.S. real property holding corporation (“USRPHC”), for U.S. federal income tax purposes.</w:t>
      </w:r>
    </w:p>
    <w:p>
      <w:pPr>
        <w:spacing w:after="0" w:line="101" w:lineRule="exact"/>
        <w:rPr>
          <w:sz w:val="20"/>
          <w:szCs w:val="20"/>
          <w:color w:val="auto"/>
        </w:rPr>
      </w:pPr>
    </w:p>
    <w:p>
      <w:pPr>
        <w:ind w:left="200" w:right="500"/>
        <w:spacing w:after="0" w:line="238"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100" w:lineRule="exact"/>
        <w:rPr>
          <w:sz w:val="20"/>
          <w:szCs w:val="20"/>
          <w:color w:val="auto"/>
        </w:rPr>
      </w:pPr>
    </w:p>
    <w:p>
      <w:pPr>
        <w:jc w:val="both"/>
        <w:ind w:left="200" w:right="80"/>
        <w:spacing w:after="0" w:line="237"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101"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34"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color w:val="auto"/>
        </w:rPr>
        <w:t>Payments of dividends on our common stock will not be subject to backup withholding, provided the Non-U.S. Holder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240" w:top="460"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60"/>
        <w:spacing w:after="0" w:line="275" w:lineRule="auto"/>
        <w:rPr>
          <w:sz w:val="20"/>
          <w:szCs w:val="20"/>
          <w:color w:val="auto"/>
        </w:rPr>
      </w:pPr>
      <w:r>
        <w:rPr>
          <w:rFonts w:ascii="Arial" w:cs="Arial" w:eastAsia="Arial" w:hAnsi="Arial"/>
          <w:sz w:val="16"/>
          <w:szCs w:val="16"/>
          <w:color w:val="auto"/>
        </w:rPr>
        <w:t>the United States or conducted through certain U.S.-related brokers generally will not be subject to backup withholding or information reporting if the applicable withholding agent receives the certification described above or the Non-U.S.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75"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1"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Additional withholding tax on payments made to foreign accounts</w:t>
      </w:r>
    </w:p>
    <w:p>
      <w:pPr>
        <w:spacing w:after="0" w:line="13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(“FATCA”)) on certain types of payments made to non-U.S. financial institutions and certain other non-U.S. entities. Specifically, a 30% withholding tax may be imposed on dividends on, or (subject to the proposed Treasury Regulations discussed below)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beginning on January 1, 2019, withholding under FATCA would have applied also to payments of gross proceeds from the sale or other disposition of our common stock, recently proposed Treasury Regulations eliminate FATCA withholding on payments of gross proceeds entirely. Taxpayers generally may rely on these proposed Treasury Regulations until final Treasury Regulations are issued.</w:t>
      </w:r>
    </w:p>
    <w:p>
      <w:pPr>
        <w:spacing w:after="0" w:line="103"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00"/>
          </w:cols>
          <w:pgMar w:left="24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Underwriting</w:t>
      </w:r>
    </w:p>
    <w:p>
      <w:pPr>
        <w:spacing w:after="0" w:line="158"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Cowen and Company, LLC, SVB Leerink LLC and Guggenheim Securities, LLC are acting as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initial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71755</wp:posOffset>
            </wp:positionV>
            <wp:extent cx="699770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7"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80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Number of</w:t>
            </w:r>
          </w:p>
        </w:tc>
      </w:tr>
      <w:tr>
        <w:trPr>
          <w:trHeight w:val="221"/>
        </w:trPr>
        <w:tc>
          <w:tcPr>
            <w:tcW w:w="982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shares</w:t>
            </w:r>
          </w:p>
        </w:tc>
      </w:tr>
      <w:tr>
        <w:trPr>
          <w:trHeight w:val="196"/>
        </w:trPr>
        <w:tc>
          <w:tcPr>
            <w:tcW w:w="20" w:type="dxa"/>
            <w:vAlign w:val="bottom"/>
          </w:tcPr>
          <w:p>
            <w:pPr>
              <w:spacing w:after="0"/>
              <w:rPr>
                <w:sz w:val="17"/>
                <w:szCs w:val="17"/>
                <w:color w:val="auto"/>
              </w:rPr>
            </w:pPr>
          </w:p>
        </w:tc>
        <w:tc>
          <w:tcPr>
            <w:tcW w:w="9800" w:type="dxa"/>
            <w:vAlign w:val="bottom"/>
            <w:tcBorders>
              <w:top w:val="single" w:sz="8" w:color="auto"/>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J.P. Morgan Securities LLC</w:t>
            </w:r>
          </w:p>
        </w:tc>
        <w:tc>
          <w:tcPr>
            <w:tcW w:w="1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0" w:type="dxa"/>
            <w:vAlign w:val="bottom"/>
          </w:tcPr>
          <w:p>
            <w:pPr>
              <w:ind w:left="200"/>
              <w:spacing w:after="0" w:line="202" w:lineRule="exact"/>
              <w:rPr>
                <w:sz w:val="20"/>
                <w:szCs w:val="20"/>
                <w:color w:val="auto"/>
              </w:rPr>
            </w:pPr>
            <w:r>
              <w:rPr>
                <w:rFonts w:ascii="Arial" w:cs="Arial" w:eastAsia="Arial" w:hAnsi="Arial"/>
                <w:sz w:val="18"/>
                <w:szCs w:val="18"/>
                <w:color w:val="auto"/>
              </w:rPr>
              <w:t>Cowen and Company, LLC</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8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SVB Leerink LLC</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9800" w:type="dxa"/>
            <w:vAlign w:val="bottom"/>
          </w:tcPr>
          <w:p>
            <w:pPr>
              <w:ind w:left="200"/>
              <w:spacing w:after="0" w:line="202" w:lineRule="exact"/>
              <w:rPr>
                <w:sz w:val="20"/>
                <w:szCs w:val="20"/>
                <w:color w:val="auto"/>
              </w:rPr>
            </w:pPr>
            <w:r>
              <w:rPr>
                <w:rFonts w:ascii="Arial" w:cs="Arial" w:eastAsia="Arial" w:hAnsi="Arial"/>
                <w:sz w:val="18"/>
                <w:szCs w:val="18"/>
                <w:color w:val="auto"/>
              </w:rPr>
              <w:t>Guggenheim Securities, LLC</w:t>
            </w:r>
          </w:p>
        </w:tc>
        <w:tc>
          <w:tcPr>
            <w:tcW w:w="11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9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10,000,000</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8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The underwriting agreement also provides that if an underwriter defaults, the purchase commitments of non-defaulting underwriters may also be increased or the offering may be terminated.</w:t>
      </w:r>
    </w:p>
    <w:p>
      <w:pPr>
        <w:spacing w:after="0" w:line="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underwriters propose to offer the common stock directly to the public at the initial public offering price set forth on the cover page of this</w:t>
      </w:r>
    </w:p>
    <w:p>
      <w:pPr>
        <w:ind w:left="200" w:right="60"/>
        <w:spacing w:after="0" w:line="238" w:lineRule="auto"/>
        <w:rPr>
          <w:sz w:val="20"/>
          <w:szCs w:val="20"/>
          <w:color w:val="auto"/>
        </w:rPr>
      </w:pPr>
      <w:r>
        <w:rPr>
          <w:rFonts w:ascii="Arial" w:cs="Arial" w:eastAsia="Arial" w:hAnsi="Arial"/>
          <w:sz w:val="18"/>
          <w:szCs w:val="18"/>
          <w:color w:val="auto"/>
        </w:rPr>
        <w:t>prospectus and to certain dealers at that price less a concession not in excess of $ per share. After the initial offering of the shares to the public, if all of the common stock is not sold at the initial public offering price, the underwriters may change the offering price and the other selling terms. Sales of shares made outside of the United States may be made by affiliates of the underwriters.</w:t>
      </w:r>
    </w:p>
    <w:p>
      <w:pPr>
        <w:spacing w:after="0" w:line="100"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The underwriters have an option to purchase up to 1,500,000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75"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The underwriters do not expect to sell more than 5% of the shares of common stock in the aggregate to accounts over which they exercise discretionary authority.</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underwriting fee is equal to the public offering price per share of common stock less the amount paid by the underwriters to us per share</w:t>
      </w:r>
    </w:p>
    <w:p>
      <w:pPr>
        <w:spacing w:after="0" w:line="19"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of common stock. The underwriting fee is $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6000" w:type="dxa"/>
            <w:vAlign w:val="bottom"/>
          </w:tcPr>
          <w:p>
            <w:pPr>
              <w:jc w:val="right"/>
              <w:ind w:right="352"/>
              <w:spacing w:after="0"/>
              <w:rPr>
                <w:sz w:val="20"/>
                <w:szCs w:val="20"/>
                <w:color w:val="auto"/>
              </w:rPr>
            </w:pPr>
            <w:r>
              <w:rPr>
                <w:rFonts w:ascii="Arial" w:cs="Arial" w:eastAsia="Arial" w:hAnsi="Arial"/>
                <w:sz w:val="18"/>
                <w:szCs w:val="18"/>
                <w:b w:val="1"/>
                <w:bCs w:val="1"/>
                <w:color w:val="auto"/>
              </w:rPr>
              <w:t>Without option</w:t>
            </w:r>
          </w:p>
        </w:tc>
        <w:tc>
          <w:tcPr>
            <w:tcW w:w="1960" w:type="dxa"/>
            <w:vAlign w:val="bottom"/>
          </w:tcPr>
          <w:p>
            <w:pPr>
              <w:jc w:val="right"/>
              <w:spacing w:after="0"/>
              <w:rPr>
                <w:sz w:val="20"/>
                <w:szCs w:val="20"/>
                <w:color w:val="auto"/>
              </w:rPr>
            </w:pPr>
            <w:r>
              <w:rPr>
                <w:rFonts w:ascii="Arial" w:cs="Arial" w:eastAsia="Arial" w:hAnsi="Arial"/>
                <w:sz w:val="18"/>
                <w:szCs w:val="18"/>
                <w:b w:val="1"/>
                <w:bCs w:val="1"/>
                <w:color w:val="auto"/>
              </w:rPr>
              <w:t>With full option</w:t>
            </w: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6000" w:type="dxa"/>
            <w:vAlign w:val="bottom"/>
          </w:tcPr>
          <w:p>
            <w:pPr>
              <w:jc w:val="right"/>
              <w:ind w:right="352"/>
              <w:spacing w:after="0" w:line="202" w:lineRule="exact"/>
              <w:rPr>
                <w:sz w:val="20"/>
                <w:szCs w:val="20"/>
                <w:color w:val="auto"/>
              </w:rPr>
            </w:pPr>
            <w:r>
              <w:rPr>
                <w:rFonts w:ascii="Arial" w:cs="Arial" w:eastAsia="Arial" w:hAnsi="Arial"/>
                <w:sz w:val="18"/>
                <w:szCs w:val="18"/>
                <w:b w:val="1"/>
                <w:bCs w:val="1"/>
                <w:color w:val="auto"/>
              </w:rPr>
              <w:t>to purchase</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to purchase</w:t>
            </w: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6000" w:type="dxa"/>
            <w:vAlign w:val="bottom"/>
          </w:tcPr>
          <w:p>
            <w:pPr>
              <w:jc w:val="right"/>
              <w:ind w:right="352"/>
              <w:spacing w:after="0" w:line="202" w:lineRule="exact"/>
              <w:rPr>
                <w:sz w:val="20"/>
                <w:szCs w:val="20"/>
                <w:color w:val="auto"/>
              </w:rPr>
            </w:pPr>
            <w:r>
              <w:rPr>
                <w:rFonts w:ascii="Arial" w:cs="Arial" w:eastAsia="Arial" w:hAnsi="Arial"/>
                <w:sz w:val="18"/>
                <w:szCs w:val="18"/>
                <w:b w:val="1"/>
                <w:bCs w:val="1"/>
                <w:color w:val="auto"/>
              </w:rPr>
              <w:t>additional shares</w:t>
            </w:r>
          </w:p>
        </w:tc>
        <w:tc>
          <w:tcPr>
            <w:tcW w:w="1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additional shares</w:t>
            </w:r>
          </w:p>
        </w:tc>
      </w:tr>
      <w:tr>
        <w:trPr>
          <w:trHeight w:val="234"/>
        </w:trPr>
        <w:tc>
          <w:tcPr>
            <w:tcW w:w="20" w:type="dxa"/>
            <w:vAlign w:val="bottom"/>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exercise</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exercise</w:t>
            </w:r>
          </w:p>
        </w:tc>
      </w:tr>
      <w:tr>
        <w:trPr>
          <w:trHeight w:val="197"/>
        </w:trPr>
        <w:tc>
          <w:tcPr>
            <w:tcW w:w="20" w:type="dxa"/>
            <w:vAlign w:val="bottom"/>
          </w:tcPr>
          <w:p>
            <w:pPr>
              <w:spacing w:after="0"/>
              <w:rPr>
                <w:sz w:val="17"/>
                <w:szCs w:val="17"/>
                <w:color w:val="auto"/>
              </w:rPr>
            </w:pPr>
          </w:p>
        </w:tc>
        <w:tc>
          <w:tcPr>
            <w:tcW w:w="3060" w:type="dxa"/>
            <w:vAlign w:val="bottom"/>
            <w:shd w:val="clear" w:color="auto" w:fill="CCEEFF"/>
          </w:tcPr>
          <w:p>
            <w:pPr>
              <w:spacing w:after="0" w:line="197" w:lineRule="exact"/>
              <w:rPr>
                <w:sz w:val="20"/>
                <w:szCs w:val="20"/>
                <w:color w:val="auto"/>
              </w:rPr>
            </w:pPr>
            <w:r>
              <w:rPr>
                <w:rFonts w:ascii="Arial" w:cs="Arial" w:eastAsia="Arial" w:hAnsi="Arial"/>
                <w:sz w:val="18"/>
                <w:szCs w:val="18"/>
                <w:color w:val="auto"/>
              </w:rPr>
              <w:t>Per Share</w:t>
            </w:r>
          </w:p>
        </w:tc>
        <w:tc>
          <w:tcPr>
            <w:tcW w:w="6000" w:type="dxa"/>
            <w:vAlign w:val="bottom"/>
            <w:shd w:val="clear" w:color="auto" w:fill="CCEEFF"/>
          </w:tcPr>
          <w:p>
            <w:pPr>
              <w:jc w:val="right"/>
              <w:ind w:right="1692"/>
              <w:spacing w:after="0" w:line="197" w:lineRule="exact"/>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1332"/>
              <w:spacing w:after="0" w:line="197" w:lineRule="exact"/>
              <w:rPr>
                <w:sz w:val="20"/>
                <w:szCs w:val="20"/>
                <w:color w:val="auto"/>
              </w:rPr>
            </w:pPr>
            <w:r>
              <w:rPr>
                <w:rFonts w:ascii="Arial" w:cs="Arial" w:eastAsia="Arial" w:hAnsi="Arial"/>
                <w:sz w:val="18"/>
                <w:szCs w:val="18"/>
                <w:color w:val="auto"/>
              </w:rPr>
              <w:t>$</w:t>
            </w:r>
          </w:p>
        </w:tc>
      </w:tr>
      <w:tr>
        <w:trPr>
          <w:trHeight w:val="215"/>
        </w:trPr>
        <w:tc>
          <w:tcPr>
            <w:tcW w:w="3080" w:type="dxa"/>
            <w:vAlign w:val="bottom"/>
            <w:gridSpan w:val="2"/>
          </w:tcPr>
          <w:p>
            <w:pPr>
              <w:spacing w:after="0"/>
              <w:rPr>
                <w:sz w:val="20"/>
                <w:szCs w:val="20"/>
                <w:color w:val="auto"/>
              </w:rPr>
            </w:pPr>
            <w:r>
              <w:rPr>
                <w:rFonts w:ascii="Arial" w:cs="Arial" w:eastAsia="Arial" w:hAnsi="Arial"/>
                <w:sz w:val="18"/>
                <w:szCs w:val="18"/>
                <w:color w:val="auto"/>
              </w:rPr>
              <w:t>Total</w:t>
            </w:r>
          </w:p>
        </w:tc>
        <w:tc>
          <w:tcPr>
            <w:tcW w:w="6000" w:type="dxa"/>
            <w:vAlign w:val="bottom"/>
          </w:tcPr>
          <w:p>
            <w:pPr>
              <w:jc w:val="right"/>
              <w:ind w:right="1692"/>
              <w:spacing w:after="0"/>
              <w:rPr>
                <w:sz w:val="20"/>
                <w:szCs w:val="20"/>
                <w:color w:val="auto"/>
              </w:rPr>
            </w:pPr>
            <w:r>
              <w:rPr>
                <w:rFonts w:ascii="Arial" w:cs="Arial" w:eastAsia="Arial" w:hAnsi="Arial"/>
                <w:sz w:val="18"/>
                <w:szCs w:val="18"/>
                <w:color w:val="auto"/>
              </w:rPr>
              <w:t>$</w:t>
            </w:r>
          </w:p>
        </w:tc>
        <w:tc>
          <w:tcPr>
            <w:tcW w:w="1960" w:type="dxa"/>
            <w:vAlign w:val="bottom"/>
          </w:tcPr>
          <w:p>
            <w:pPr>
              <w:jc w:val="right"/>
              <w:ind w:right="1332"/>
              <w:spacing w:after="0"/>
              <w:rPr>
                <w:sz w:val="20"/>
                <w:szCs w:val="20"/>
                <w:color w:val="auto"/>
              </w:rPr>
            </w:pPr>
            <w:r>
              <w:rPr>
                <w:rFonts w:ascii="Arial" w:cs="Arial" w:eastAsia="Arial" w:hAnsi="Arial"/>
                <w:sz w:val="18"/>
                <w:szCs w:val="18"/>
                <w:color w:val="auto"/>
              </w:rPr>
              <w:t>$</w:t>
            </w:r>
          </w:p>
        </w:tc>
      </w:tr>
      <w:tr>
        <w:trPr>
          <w:trHeight w:val="357"/>
        </w:trPr>
        <w:tc>
          <w:tcPr>
            <w:tcW w:w="20" w:type="dxa"/>
            <w:vAlign w:val="bottom"/>
          </w:tcPr>
          <w:p>
            <w:pPr>
              <w:spacing w:after="0"/>
              <w:rPr>
                <w:sz w:val="24"/>
                <w:szCs w:val="24"/>
                <w:color w:val="auto"/>
              </w:rPr>
            </w:pPr>
          </w:p>
        </w:tc>
        <w:tc>
          <w:tcPr>
            <w:tcW w:w="3060" w:type="dxa"/>
            <w:vAlign w:val="bottom"/>
            <w:tcBorders>
              <w:top w:val="single" w:sz="8" w:color="auto"/>
            </w:tcBorders>
          </w:tcPr>
          <w:p>
            <w:pPr>
              <w:spacing w:after="0"/>
              <w:rPr>
                <w:sz w:val="24"/>
                <w:szCs w:val="24"/>
                <w:color w:val="auto"/>
              </w:rPr>
            </w:pPr>
          </w:p>
        </w:tc>
        <w:tc>
          <w:tcPr>
            <w:tcW w:w="6000" w:type="dxa"/>
            <w:vAlign w:val="bottom"/>
            <w:tcBorders>
              <w:top w:val="single" w:sz="8" w:color="auto"/>
            </w:tcBorders>
          </w:tcPr>
          <w:p>
            <w:pPr>
              <w:jc w:val="right"/>
              <w:ind w:right="3332"/>
              <w:spacing w:after="0"/>
              <w:rPr>
                <w:sz w:val="20"/>
                <w:szCs w:val="20"/>
                <w:color w:val="auto"/>
              </w:rPr>
            </w:pPr>
            <w:r>
              <w:rPr>
                <w:rFonts w:ascii="Arial" w:cs="Arial" w:eastAsia="Arial" w:hAnsi="Arial"/>
                <w:sz w:val="18"/>
                <w:szCs w:val="18"/>
                <w:color w:val="auto"/>
              </w:rPr>
              <w:t>216</w:t>
            </w:r>
          </w:p>
        </w:tc>
        <w:tc>
          <w:tcPr>
            <w:tcW w:w="1960" w:type="dxa"/>
            <w:vAlign w:val="bottom"/>
            <w:tcBorders>
              <w:top w:val="single" w:sz="8" w:color="auto"/>
            </w:tcBorders>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80"/>
        <w:spacing w:after="0" w:line="238"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$3.2 million. We have agreed to reimburse the underwriters for expenses of up to $40,000 relating to the clearance of this offering with the Financial Industry Regulatory Authority.</w:t>
      </w:r>
    </w:p>
    <w:p>
      <w:pPr>
        <w:spacing w:after="0" w:line="100" w:lineRule="exact"/>
        <w:rPr>
          <w:sz w:val="20"/>
          <w:szCs w:val="20"/>
          <w:color w:val="auto"/>
        </w:rPr>
      </w:pPr>
    </w:p>
    <w:p>
      <w:pPr>
        <w:jc w:val="both"/>
        <w:ind w:left="200" w:right="60"/>
        <w:spacing w:after="0" w:line="237" w:lineRule="auto"/>
        <w:rPr>
          <w:sz w:val="20"/>
          <w:szCs w:val="20"/>
          <w:color w:val="auto"/>
        </w:rPr>
      </w:pPr>
      <w:r>
        <w:rPr>
          <w:rFonts w:ascii="Arial" w:cs="Arial" w:eastAsia="Arial" w:hAnsi="Arial"/>
          <w:sz w:val="18"/>
          <w:szCs w:val="18"/>
          <w:color w:val="auto"/>
        </w:rPr>
        <w:t>A prospectus in electronic format may be made available on the websites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We have agreed that we will not (i) offer, pledge, announce the intention to sell, sell, contract to sell, sell any option or contract to purchase, purchase any option or contract to sell, grant any option, right or warrant to purchase, lend, or otherwise transfer or dispose of, directly or indirectly, or file with the Securities and Exchange Commission, or SEC, a registration statement under the Securities Act of 1933, relating to, any shares of our common stock or any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for a period of 180 days after the date of this prospectus, other than the shares of our common stock to be sold hereunder and any shares of our common stock issued upon the exercise of options granted under our existing stock-based compensation plans.</w:t>
      </w:r>
    </w:p>
    <w:p>
      <w:pPr>
        <w:spacing w:after="0" w:line="107" w:lineRule="exact"/>
        <w:rPr>
          <w:sz w:val="20"/>
          <w:szCs w:val="20"/>
          <w:color w:val="auto"/>
        </w:rPr>
      </w:pPr>
    </w:p>
    <w:p>
      <w:pPr>
        <w:ind w:left="200"/>
        <w:spacing w:after="0" w:line="266" w:lineRule="auto"/>
        <w:rPr>
          <w:sz w:val="20"/>
          <w:szCs w:val="20"/>
          <w:color w:val="auto"/>
        </w:rPr>
      </w:pPr>
      <w:r>
        <w:rPr>
          <w:rFonts w:ascii="Arial" w:cs="Arial" w:eastAsia="Arial" w:hAnsi="Arial"/>
          <w:sz w:val="16"/>
          <w:szCs w:val="16"/>
          <w:color w:val="auto"/>
        </w:rPr>
        <w:t>Our directors, executive officers and the holders of substantially all of our common stock, stock options and other securities convertible into, exercisable or exchangeable for our common stock have entered into lock-up agreements with the underwriters prior to the commencement of this offering pursuant to which each of these persons or entities, with limited exceptions, for a period of 180 days after the date of this prospectus, may not, without the prior written consent of J.P. Morgan Securities LLC, (1) offer, pledge, announce the intention to sell, sell, contract to sell, sell any option or contract to purchase, purchase any option or contract to sell, grant any option, right or warrant to purchase,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and stockholders in accordance with the rules and regulations of the SEC and securities which may be issued upon exercise of a stock option or warrant) or (2) enter into any swap or other agreement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or (3) make any demand for or exercise any right with respect to the registration of any shares of our common stock or any security convertible into or exercisable or exchangeable for our common stock. Substantially all of the record holders of our outstanding securities convertible into, exercisable or exchangeable for our common stock are subject to the restrictions on the sale, transfer, short sale, hedging, or other disposition of their equity interests imposed by either the lock-up agreements described above or market stand-off provisions in agreements with us.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lock-up restrictions described in the immediately preceding paragraph are subject to specified exceptions, including among other items:</w:t>
      </w:r>
    </w:p>
    <w:p>
      <w:pPr>
        <w:spacing w:after="0" w:line="140" w:lineRule="exact"/>
        <w:rPr>
          <w:sz w:val="20"/>
          <w:szCs w:val="20"/>
          <w:color w:val="auto"/>
        </w:rPr>
      </w:pPr>
    </w:p>
    <w:p>
      <w:pPr>
        <w:ind w:left="200"/>
        <w:spacing w:after="0"/>
        <w:tabs>
          <w:tab w:leader="none" w:pos="4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subject to certain limitations, transfers as a bona fide gift or gifts;</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20" w:hanging="216"/>
        <w:spacing w:after="0"/>
        <w:tabs>
          <w:tab w:leader="none" w:pos="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certain limitations, transfers by will, other testamentary document or intestacy;</w:t>
      </w:r>
    </w:p>
    <w:p>
      <w:pPr>
        <w:spacing w:after="0" w:line="117"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certain limitations, transfers to any trust for the direct or indirect benefit of the transferor or the immediate family of the transferor, or if the transferor is a trust, to a trustor or beneficiary of the trust, or to the estate of a beneficiary of such trust;</w:t>
      </w:r>
    </w:p>
    <w:p>
      <w:pPr>
        <w:spacing w:after="0" w:line="114" w:lineRule="exact"/>
        <w:rPr>
          <w:rFonts w:ascii="Arial" w:cs="Arial" w:eastAsia="Arial" w:hAnsi="Arial"/>
          <w:sz w:val="18"/>
          <w:szCs w:val="18"/>
          <w:color w:val="auto"/>
        </w:rPr>
      </w:pPr>
    </w:p>
    <w:p>
      <w:pPr>
        <w:ind w:left="420" w:hanging="216"/>
        <w:spacing w:after="0" w:line="239" w:lineRule="auto"/>
        <w:tabs>
          <w:tab w:leader="none" w:pos="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certain limitations, transfers to a partnership, limited liability company or other entity of which the transferor and/or the immediate family of the transferor are the legal and beneficial owner of all of the outstanding equity securities or similar interests;</w:t>
      </w:r>
    </w:p>
    <w:p>
      <w:pPr>
        <w:spacing w:after="0" w:line="114" w:lineRule="exact"/>
        <w:rPr>
          <w:rFonts w:ascii="Arial" w:cs="Arial" w:eastAsia="Arial" w:hAnsi="Arial"/>
          <w:sz w:val="18"/>
          <w:szCs w:val="18"/>
          <w:color w:val="auto"/>
        </w:rPr>
      </w:pPr>
    </w:p>
    <w:p>
      <w:pPr>
        <w:ind w:left="420" w:right="100" w:hanging="216"/>
        <w:spacing w:after="0" w:line="275" w:lineRule="auto"/>
        <w:tabs>
          <w:tab w:leader="none" w:pos="4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subject to certain limitations, if the transferor is a corporation, partnership, limited liability company, trust or other business entity, transfers as part of a distribution to the members, partners, stockholders or other equityholders of the transferor, or to another corporation, partnership, limited liability company, trust or other business entity that is an affiliate of the transferor, or to any investment fund or other entity controlling, controlled by, managing or managed by or under common control with the transferor or its affiliates;</w:t>
      </w:r>
    </w:p>
    <w:p>
      <w:pPr>
        <w:spacing w:after="0" w:line="88" w:lineRule="exact"/>
        <w:rPr>
          <w:rFonts w:ascii="Arial" w:cs="Arial" w:eastAsia="Arial" w:hAnsi="Arial"/>
          <w:sz w:val="16"/>
          <w:szCs w:val="16"/>
          <w:color w:val="auto"/>
        </w:rPr>
      </w:pPr>
    </w:p>
    <w:p>
      <w:pPr>
        <w:ind w:left="420" w:right="500" w:hanging="216"/>
        <w:spacing w:after="0" w:line="239" w:lineRule="auto"/>
        <w:tabs>
          <w:tab w:leader="none" w:pos="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certain limitations, transfers by operation of law pursuant to a qualified domestic order, divorce settlement, divorce decree, separation agreement or other court order;</w:t>
      </w:r>
    </w:p>
    <w:p>
      <w:pPr>
        <w:spacing w:after="0" w:line="114" w:lineRule="exact"/>
        <w:rPr>
          <w:rFonts w:ascii="Arial" w:cs="Arial" w:eastAsia="Arial" w:hAnsi="Arial"/>
          <w:sz w:val="18"/>
          <w:szCs w:val="18"/>
          <w:color w:val="auto"/>
        </w:rPr>
      </w:pPr>
    </w:p>
    <w:p>
      <w:pPr>
        <w:ind w:left="420" w:right="100" w:hanging="216"/>
        <w:spacing w:after="0" w:line="239" w:lineRule="auto"/>
        <w:tabs>
          <w:tab w:leader="none" w:pos="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transfers to us from an employee or other service provider upon death, disability or termination of employment or service, in each case, of such employee or service provider;</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certain limitations, sales or transfers of shares acquired in this offering, or on the open market after this offering;</w:t>
      </w:r>
    </w:p>
    <w:p>
      <w:pPr>
        <w:spacing w:after="0" w:line="117" w:lineRule="exact"/>
        <w:rPr>
          <w:rFonts w:ascii="Arial" w:cs="Arial" w:eastAsia="Arial" w:hAnsi="Arial"/>
          <w:sz w:val="18"/>
          <w:szCs w:val="18"/>
          <w:color w:val="auto"/>
        </w:rPr>
      </w:pPr>
    </w:p>
    <w:p>
      <w:pPr>
        <w:ind w:left="420" w:right="360" w:hanging="216"/>
        <w:spacing w:after="0" w:line="239" w:lineRule="auto"/>
        <w:tabs>
          <w:tab w:leader="none" w:pos="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certain limitations, transfers to us to cover tax withholdings upon a vesting, exercise or settlement event of any equity award granted under a stock incentive plan, stock purchase plan or other equity award plan;</w:t>
      </w:r>
    </w:p>
    <w:p>
      <w:pPr>
        <w:spacing w:after="0" w:line="114" w:lineRule="exact"/>
        <w:rPr>
          <w:rFonts w:ascii="Arial" w:cs="Arial" w:eastAsia="Arial" w:hAnsi="Arial"/>
          <w:sz w:val="18"/>
          <w:szCs w:val="18"/>
          <w:color w:val="auto"/>
        </w:rPr>
      </w:pPr>
    </w:p>
    <w:p>
      <w:pPr>
        <w:ind w:left="420" w:right="100" w:hanging="216"/>
        <w:spacing w:after="0" w:line="239" w:lineRule="auto"/>
        <w:tabs>
          <w:tab w:leader="none" w:pos="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certain limitations, transfers to us by way of cashless exercise of (i) an option to purchase common stock granted under a stock incentive plan, stock purchase plan or other equity award plan or (ii) a warrant, in either case described in this prospectus;</w:t>
      </w:r>
    </w:p>
    <w:p>
      <w:pPr>
        <w:spacing w:after="0" w:line="114" w:lineRule="exact"/>
        <w:rPr>
          <w:rFonts w:ascii="Arial" w:cs="Arial" w:eastAsia="Arial" w:hAnsi="Arial"/>
          <w:sz w:val="18"/>
          <w:szCs w:val="18"/>
          <w:color w:val="auto"/>
        </w:rPr>
      </w:pPr>
    </w:p>
    <w:p>
      <w:pPr>
        <w:ind w:left="420" w:right="540" w:hanging="216"/>
        <w:spacing w:after="0" w:line="239" w:lineRule="auto"/>
        <w:tabs>
          <w:tab w:leader="none" w:pos="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transfers pursuant to a bona fide third-party tender offer, merger, consolidation or other similar transaction made to all holders of our common stock involving a change of control that has been approved by our board of directors;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subject to certain limitations, the establishment of a trading plan pursuant to Rule 10b5-1 of the Exchange Act.</w:t>
      </w:r>
    </w:p>
    <w:p>
      <w:pPr>
        <w:spacing w:after="0" w:line="10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J.P. Morgan Securities LLC, in its sole discretion, may release the common stock subject to the lock-up agreements described above in whole or in part at any time with or without notice.</w:t>
      </w:r>
    </w:p>
    <w:p>
      <w:pPr>
        <w:spacing w:after="0" w:line="101" w:lineRule="exact"/>
        <w:rPr>
          <w:sz w:val="20"/>
          <w:szCs w:val="20"/>
          <w:color w:val="auto"/>
        </w:rPr>
      </w:pPr>
    </w:p>
    <w:p>
      <w:pPr>
        <w:ind w:left="200" w:right="1380"/>
        <w:spacing w:after="0" w:line="405" w:lineRule="auto"/>
        <w:rPr>
          <w:sz w:val="20"/>
          <w:szCs w:val="20"/>
          <w:color w:val="auto"/>
        </w:rPr>
      </w:pPr>
      <w:r>
        <w:rPr>
          <w:rFonts w:ascii="Arial" w:cs="Arial" w:eastAsia="Arial" w:hAnsi="Arial"/>
          <w:sz w:val="16"/>
          <w:szCs w:val="16"/>
          <w:color w:val="auto"/>
        </w:rPr>
        <w:t>We have agreed to indemnify the underwriters against certain liabilities, including liabilities under the Securities Act of 1933. We have applied to have our common stock approved for listing on the Nasdaq Global Market under the symbol “RVMD.”</w:t>
      </w:r>
    </w:p>
    <w:p>
      <w:pPr>
        <w:ind w:left="200" w:right="320"/>
        <w:spacing w:after="0" w:line="238"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80"/>
          </w:cols>
          <w:pgMar w:left="240" w:top="460" w:right="47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68" w:lineRule="auto"/>
        <w:rPr>
          <w:sz w:val="20"/>
          <w:szCs w:val="20"/>
          <w:color w:val="auto"/>
        </w:rPr>
      </w:pPr>
      <w:r>
        <w:rPr>
          <w:rFonts w:ascii="Arial" w:cs="Arial" w:eastAsia="Arial" w:hAnsi="Arial"/>
          <w:sz w:val="16"/>
          <w:szCs w:val="16"/>
          <w:color w:val="auto"/>
        </w:rPr>
        <w:t>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79"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3"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Market, in the over-the-counter market or otherwise.</w:t>
      </w:r>
    </w:p>
    <w:p>
      <w:pPr>
        <w:spacing w:after="0" w:line="101"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14" w:lineRule="exact"/>
        <w:rPr>
          <w:sz w:val="20"/>
          <w:szCs w:val="20"/>
          <w:color w:val="auto"/>
        </w:rPr>
      </w:pPr>
    </w:p>
    <w:p>
      <w:pPr>
        <w:ind w:left="420" w:hanging="216"/>
        <w:spacing w:after="0"/>
        <w:tabs>
          <w:tab w:leader="none" w:pos="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information set forth in this prospectus and otherwise available to the representatives;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prospects and the history and prospects for the industry in which we compete;</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assessment of our management;</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our prospects for future earnings;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general condition of the securities markets at the time of this offering;</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recent market prices of, and demand for, publicly traded common stock of generally comparable companies; and</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other factors deemed relevant by the underwriters and us.</w:t>
      </w:r>
    </w:p>
    <w:p>
      <w:pPr>
        <w:spacing w:after="0" w:line="104"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Neither we nor the underwriters can assure investors that an active trading market will develop for our common stock, or that the shares will trade in the public market at or above the initial public offering price.</w:t>
      </w:r>
    </w:p>
    <w:p>
      <w:pPr>
        <w:spacing w:after="0" w:line="101"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00"/>
          </w:cols>
          <w:pgMar w:left="240" w:top="460"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Selling restrictions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w:t>
      </w:r>
    </w:p>
    <w:p>
      <w:pPr>
        <w:spacing w:after="0" w:line="124"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European Economic Area</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relation to each Member State of the European Economic Area (each a “Member State”), no shares have been offered or will be offered pursuant to the offering to the public in that Member State prior to the publication of a prospectus in relation to the Shares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63" w:lineRule="exact"/>
        <w:rPr>
          <w:sz w:val="20"/>
          <w:szCs w:val="20"/>
          <w:color w:val="auto"/>
        </w:rPr>
      </w:pPr>
    </w:p>
    <w:p>
      <w:pPr>
        <w:ind w:left="640" w:hanging="43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63" w:lineRule="exact"/>
        <w:rPr>
          <w:rFonts w:ascii="Arial" w:cs="Arial" w:eastAsia="Arial" w:hAnsi="Arial"/>
          <w:sz w:val="18"/>
          <w:szCs w:val="18"/>
          <w:color w:val="auto"/>
        </w:rPr>
      </w:pPr>
    </w:p>
    <w:p>
      <w:pPr>
        <w:ind w:left="640" w:right="160" w:hanging="436"/>
        <w:spacing w:after="0" w:line="239" w:lineRule="auto"/>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Regulation), subject to obtaining the prior consent of the representatives for any such offer; or</w:t>
      </w:r>
    </w:p>
    <w:p>
      <w:pPr>
        <w:spacing w:after="0" w:line="60" w:lineRule="exact"/>
        <w:rPr>
          <w:rFonts w:ascii="Arial" w:cs="Arial" w:eastAsia="Arial" w:hAnsi="Arial"/>
          <w:sz w:val="18"/>
          <w:szCs w:val="18"/>
          <w:color w:val="auto"/>
        </w:rPr>
      </w:pPr>
    </w:p>
    <w:p>
      <w:pPr>
        <w:ind w:left="640" w:hanging="436"/>
        <w:spacing w:after="0"/>
        <w:tabs>
          <w:tab w:leader="none" w:pos="6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0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provided that no such offer of shares shall require the issuer or any underwriter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underwriters and us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underwriters have been obtained to each such proposed offer or resale.</w:t>
      </w:r>
    </w:p>
    <w:p>
      <w:pPr>
        <w:spacing w:after="0" w:line="107"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in any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00"/>
          </w:cols>
          <w:pgMar w:left="240" w:top="460"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United Kingdom</w:t>
      </w:r>
    </w:p>
    <w:p>
      <w:pPr>
        <w:spacing w:after="0" w:line="12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01"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Canada</w:t>
      </w:r>
    </w:p>
    <w:p>
      <w:pPr>
        <w:spacing w:after="0" w:line="124"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75"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Switzerland</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2"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00"/>
          </w:cols>
          <w:pgMar w:left="240" w:top="460" w:right="45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740"/>
        <w:spacing w:after="0" w:line="239" w:lineRule="auto"/>
        <w:rPr>
          <w:sz w:val="20"/>
          <w:szCs w:val="20"/>
          <w:color w:val="auto"/>
        </w:rPr>
      </w:pPr>
      <w:r>
        <w:rPr>
          <w:rFonts w:ascii="Arial" w:cs="Arial" w:eastAsia="Arial" w:hAnsi="Arial"/>
          <w:sz w:val="18"/>
          <w:szCs w:val="18"/>
          <w:color w:val="auto"/>
        </w:rPr>
        <w:t>Swiss Federal Act on Collective Investment Schemes, or CISA. The investor protection afforded to acquirers of interests in collective investment schemes under the CISA does not extend to acquirers of shares.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Dubai International Financial Centre, or DIFC</w:t>
      </w:r>
    </w:p>
    <w:p>
      <w:pPr>
        <w:spacing w:after="0" w:line="12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This document relates to an Exempt Offer in accordance with the Markets Rules 2012 of the Dubai Financial Services Authority (“DFSA”). This document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document. The securities to which this document relates may be illiquid and/or subject to restrictions on their resale. Prospective purchasers of the securities offered should conduct their own due diligence on the securities. If you do not understand the contents of this document you should consult an authorized financial advisor.</w:t>
      </w:r>
    </w:p>
    <w:p>
      <w:pPr>
        <w:spacing w:after="0" w:line="101" w:lineRule="exact"/>
        <w:rPr>
          <w:sz w:val="20"/>
          <w:szCs w:val="20"/>
          <w:color w:val="auto"/>
        </w:rPr>
      </w:pPr>
    </w:p>
    <w:p>
      <w:pPr>
        <w:jc w:val="both"/>
        <w:ind w:left="200" w:right="80"/>
        <w:spacing w:after="0" w:line="238"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United Arab Emirates</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Australia</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This prospectus:</w:t>
      </w:r>
    </w:p>
    <w:p>
      <w:pPr>
        <w:spacing w:after="0" w:line="117" w:lineRule="exact"/>
        <w:rPr>
          <w:sz w:val="20"/>
          <w:szCs w:val="20"/>
          <w:color w:val="auto"/>
        </w:rPr>
      </w:pPr>
    </w:p>
    <w:p>
      <w:pPr>
        <w:ind w:left="420" w:hanging="216"/>
        <w:spacing w:after="0"/>
        <w:tabs>
          <w:tab w:leader="none" w:pos="4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does not constitute a disclosure document or a prospectus under Chapter 6D.2 of the Corporations Act 2001 (Cth) (the “Corporations Act”);</w:t>
      </w:r>
    </w:p>
    <w:p>
      <w:pPr>
        <w:spacing w:after="0" w:line="140" w:lineRule="exact"/>
        <w:rPr>
          <w:rFonts w:ascii="Arial" w:cs="Arial" w:eastAsia="Arial" w:hAnsi="Arial"/>
          <w:sz w:val="16"/>
          <w:szCs w:val="16"/>
          <w:color w:val="auto"/>
        </w:rPr>
      </w:pPr>
    </w:p>
    <w:p>
      <w:pPr>
        <w:ind w:left="420" w:right="40" w:hanging="216"/>
        <w:spacing w:after="0" w:line="238" w:lineRule="auto"/>
        <w:tabs>
          <w:tab w:leader="none" w:pos="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for the purposes of the Corporations Act; and</w:t>
      </w:r>
    </w:p>
    <w:p>
      <w:pPr>
        <w:spacing w:after="0" w:line="113" w:lineRule="exact"/>
        <w:rPr>
          <w:rFonts w:ascii="Arial" w:cs="Arial" w:eastAsia="Arial" w:hAnsi="Arial"/>
          <w:sz w:val="18"/>
          <w:szCs w:val="18"/>
          <w:color w:val="auto"/>
        </w:rPr>
      </w:pPr>
    </w:p>
    <w:p>
      <w:pPr>
        <w:ind w:left="420" w:right="440" w:hanging="216"/>
        <w:spacing w:after="0" w:line="239" w:lineRule="auto"/>
        <w:tabs>
          <w:tab w:leader="none" w:pos="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01"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00"/>
          </w:cols>
          <w:pgMar w:left="24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Japan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Hong Kong</w:t>
      </w:r>
    </w:p>
    <w:p>
      <w:pPr>
        <w:spacing w:after="0" w:line="12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or the SFO, of Hong Kong and any rules made thereunder; or (b) in other circumstances which do not result in the document being a “prospectus” as defined in the Companies (Winding Up and Miscellaneous Provisions) Ordinance (Cap. 32) of Hong Kong), or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Singapore</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Each underwriter has acknowledged that this prospectus has not been registered as a prospectus with the Monetary Authority of Singapore. Accordingly, each underwriter has represented and agreed that it has not 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6" w:lineRule="exact"/>
        <w:rPr>
          <w:sz w:val="20"/>
          <w:szCs w:val="20"/>
          <w:color w:val="auto"/>
        </w:rPr>
      </w:pPr>
    </w:p>
    <w:p>
      <w:pPr>
        <w:ind w:left="640" w:right="620" w:hanging="436"/>
        <w:spacing w:after="0" w:line="239" w:lineRule="auto"/>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or the SFA) pursuant to Section 274 of the SFA;</w:t>
      </w:r>
    </w:p>
    <w:p>
      <w:pPr>
        <w:spacing w:after="0" w:line="114" w:lineRule="exact"/>
        <w:rPr>
          <w:rFonts w:ascii="Arial" w:cs="Arial" w:eastAsia="Arial" w:hAnsi="Arial"/>
          <w:sz w:val="18"/>
          <w:szCs w:val="18"/>
          <w:color w:val="auto"/>
        </w:rPr>
      </w:pPr>
    </w:p>
    <w:p>
      <w:pPr>
        <w:ind w:left="640" w:right="700" w:hanging="436"/>
        <w:spacing w:after="0" w:line="239" w:lineRule="auto"/>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14" w:lineRule="exact"/>
        <w:rPr>
          <w:rFonts w:ascii="Arial" w:cs="Arial" w:eastAsia="Arial" w:hAnsi="Arial"/>
          <w:sz w:val="18"/>
          <w:szCs w:val="18"/>
          <w:color w:val="auto"/>
        </w:rPr>
      </w:pPr>
    </w:p>
    <w:p>
      <w:pPr>
        <w:ind w:left="640" w:hanging="436"/>
        <w:spacing w:after="0"/>
        <w:tabs>
          <w:tab w:leader="none" w:pos="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00"/>
          </w:cols>
          <w:pgMar w:left="24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640" w:right="540" w:hanging="436"/>
        <w:spacing w:after="0" w:line="299" w:lineRule="auto"/>
        <w:tabs>
          <w:tab w:leader="none" w:pos="64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8" w:lineRule="exact"/>
        <w:rPr>
          <w:rFonts w:ascii="Arial" w:cs="Arial" w:eastAsia="Arial" w:hAnsi="Arial"/>
          <w:sz w:val="16"/>
          <w:szCs w:val="16"/>
          <w:color w:val="auto"/>
        </w:rPr>
      </w:pPr>
    </w:p>
    <w:p>
      <w:pPr>
        <w:ind w:left="640" w:hanging="436"/>
        <w:spacing w:after="0" w:line="239" w:lineRule="auto"/>
        <w:tabs>
          <w:tab w:leader="none" w:pos="6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4" w:lineRule="exact"/>
        <w:rPr>
          <w:sz w:val="20"/>
          <w:szCs w:val="20"/>
          <w:color w:val="auto"/>
        </w:rPr>
      </w:pPr>
    </w:p>
    <w:p>
      <w:pPr>
        <w:ind w:left="640" w:right="60" w:hanging="436"/>
        <w:spacing w:after="0" w:line="239" w:lineRule="auto"/>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 (i)(B) of the SFA;</w:t>
      </w:r>
    </w:p>
    <w:p>
      <w:pPr>
        <w:spacing w:after="0" w:line="114" w:lineRule="exact"/>
        <w:rPr>
          <w:rFonts w:ascii="Arial" w:cs="Arial" w:eastAsia="Arial" w:hAnsi="Arial"/>
          <w:sz w:val="18"/>
          <w:szCs w:val="18"/>
          <w:color w:val="auto"/>
        </w:rPr>
      </w:pPr>
    </w:p>
    <w:p>
      <w:pPr>
        <w:ind w:left="640" w:hanging="43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640" w:hanging="436"/>
        <w:spacing w:after="0"/>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640" w:right="580" w:hanging="436"/>
        <w:spacing w:after="0" w:line="239" w:lineRule="auto"/>
        <w:tabs>
          <w:tab w:leader="none" w:pos="6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01"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Singapore SFA Product Classification — In connection with Section 309B of the SFA and the CMP Regulations 2018, unless otherwise specified before an offer of shares, we have determined, and hereby notify all relevant persons (as defined in Section 309A(1) of the SFA), that the shares are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Bermuda</w:t>
      </w:r>
    </w:p>
    <w:p>
      <w:pPr>
        <w:spacing w:after="0" w:line="124" w:lineRule="exact"/>
        <w:rPr>
          <w:sz w:val="20"/>
          <w:szCs w:val="20"/>
          <w:color w:val="auto"/>
        </w:rPr>
      </w:pPr>
    </w:p>
    <w:p>
      <w:pPr>
        <w:jc w:val="both"/>
        <w:ind w:left="200" w:right="160"/>
        <w:spacing w:after="0" w:line="238" w:lineRule="auto"/>
        <w:rPr>
          <w:sz w:val="20"/>
          <w:szCs w:val="20"/>
          <w:color w:val="auto"/>
        </w:rPr>
      </w:pPr>
      <w:r>
        <w:rPr>
          <w:rFonts w:ascii="Arial" w:cs="Arial" w:eastAsia="Arial" w:hAnsi="Arial"/>
          <w:sz w:val="18"/>
          <w:szCs w:val="18"/>
          <w:color w:val="auto"/>
        </w:rPr>
        <w:t>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Saudi Arabia</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Offers of Securities Regulations as issued by the board of the Saudi Arabian Capital Market Authority, or CMA, pursuant to resolution number 2-11-2004 dated 4 October 2004 as amended by resolution number 1-28-2008, as amended, or the CMA Regulations. The CMA does not make any representation as to the accuracy or completeness of this document and expressly disclaims any liability whatsoever for any loss arising from, or incurred in reliance upon, any part of this document. Prospective purchasers of the securities offered hereby should conduct their own due diligence on the accuracy of the information relating to the securities. If you do not understand the contents of this document, you should consult an authorized financial adviser.</w:t>
      </w:r>
    </w:p>
    <w:p>
      <w:pPr>
        <w:spacing w:after="0" w:line="14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00"/>
          </w:cols>
          <w:pgMar w:left="240" w:top="460"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the British Virgin Islands</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shares are not being, and may not be offered to the public or to any person in the British Virgin Islands for purchase or subscription by or on behalf of us. The shares may be offered to companies incorporated under the BVI Business Companies Act, 2004 (British Virgin Islands), or BVI Companies, but only where the offer will be made to, and received by, the relevant BVI Company entirely outside of the British Virgin Islands.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China</w:t>
      </w:r>
    </w:p>
    <w:p>
      <w:pPr>
        <w:spacing w:after="0" w:line="124"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This prospectus will not be circulated or distributed in the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Korea</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shares have not been and will not be registered under the Financial Investments Services and Capital Markets Act of Korea, or the FSCMA, and the decrees and regulations thereunder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or the FETL, and the decrees and regulations thereunder. The shares have not been listed on any securities exchanges in the world including, without limitation, the Korea Exchange in Korea.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Taiwan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South Africa</w:t>
      </w:r>
    </w:p>
    <w:p>
      <w:pPr>
        <w:spacing w:after="0" w:line="106"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Due to restrictions under the securities laws of South Africa, no “</w:t>
      </w:r>
      <w:r>
        <w:rPr>
          <w:rFonts w:ascii="Arial" w:cs="Arial" w:eastAsia="Arial" w:hAnsi="Arial"/>
          <w:sz w:val="18"/>
          <w:szCs w:val="18"/>
          <w:i w:val="1"/>
          <w:iCs w:val="1"/>
          <w:color w:val="auto"/>
        </w:rPr>
        <w:t>offer to the public”</w:t>
      </w:r>
      <w:r>
        <w:rPr>
          <w:rFonts w:ascii="Arial" w:cs="Arial" w:eastAsia="Arial" w:hAnsi="Arial"/>
          <w:sz w:val="18"/>
          <w:szCs w:val="18"/>
          <w:color w:val="auto"/>
        </w:rPr>
        <w:t xml:space="preserve"> (as such term is defined in the South African Companies Act, No. 71 of 2008 (as amended or re-enacted, or the South African Companies Act) is being made in connection with the issue of the shares in South Africa. Accordingly, this document does not, nor is it intended to, constitute a “</w:t>
      </w:r>
      <w:r>
        <w:rPr>
          <w:rFonts w:ascii="Arial" w:cs="Arial" w:eastAsia="Arial" w:hAnsi="Arial"/>
          <w:sz w:val="18"/>
          <w:szCs w:val="18"/>
          <w:i w:val="1"/>
          <w:iCs w:val="1"/>
          <w:color w:val="auto"/>
        </w:rPr>
        <w:t>registered prospectus”</w:t>
      </w:r>
      <w:r>
        <w:rPr>
          <w:rFonts w:ascii="Arial" w:cs="Arial" w:eastAsia="Arial" w:hAnsi="Arial"/>
          <w:sz w:val="18"/>
          <w:szCs w:val="18"/>
          <w:color w:val="auto"/>
        </w:rPr>
        <w:t xml:space="preserve">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are not offered, and the offer shall not be transferred, sold, renounced or</w:t>
      </w:r>
    </w:p>
    <w:p>
      <w:pPr>
        <w:spacing w:after="0" w:line="14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20"/>
          </w:cols>
          <w:pgMar w:left="240" w:top="460"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delivered, in South Africa or to a person with an address in South Africa, unless one or other of the following exemptions stipulated in section 96 (1) applies:</w:t>
      </w:r>
    </w:p>
    <w:p>
      <w:pPr>
        <w:spacing w:after="0" w:line="182" w:lineRule="exact"/>
        <w:rPr>
          <w:sz w:val="20"/>
          <w:szCs w:val="20"/>
          <w:color w:val="auto"/>
        </w:rPr>
      </w:pPr>
    </w:p>
    <w:p>
      <w:pPr>
        <w:ind w:left="200"/>
        <w:spacing w:after="0"/>
        <w:tabs>
          <w:tab w:leader="none" w:pos="1840" w:val="left"/>
        </w:tabs>
        <w:rPr>
          <w:sz w:val="20"/>
          <w:szCs w:val="20"/>
          <w:color w:val="auto"/>
        </w:rPr>
      </w:pPr>
      <w:r>
        <w:rPr>
          <w:rFonts w:ascii="Arial" w:cs="Arial" w:eastAsia="Arial" w:hAnsi="Arial"/>
          <w:sz w:val="18"/>
          <w:szCs w:val="18"/>
          <w:color w:val="auto"/>
        </w:rPr>
        <w:t>Section 96 (1)(a)</w:t>
      </w:r>
      <w:r>
        <w:rPr>
          <w:sz w:val="20"/>
          <w:szCs w:val="20"/>
          <w:color w:val="auto"/>
        </w:rPr>
        <w:tab/>
      </w:r>
      <w:r>
        <w:rPr>
          <w:rFonts w:ascii="Arial" w:cs="Arial" w:eastAsia="Arial" w:hAnsi="Arial"/>
          <w:sz w:val="16"/>
          <w:szCs w:val="16"/>
          <w:color w:val="auto"/>
        </w:rPr>
        <w:t>the offer, transfer, sale, renunciation or delivery is to:</w:t>
      </w:r>
    </w:p>
    <w:p>
      <w:pPr>
        <w:spacing w:after="0" w:line="144" w:lineRule="exact"/>
        <w:rPr>
          <w:sz w:val="20"/>
          <w:szCs w:val="20"/>
          <w:color w:val="auto"/>
        </w:rPr>
      </w:pPr>
    </w:p>
    <w:p>
      <w:pPr>
        <w:ind w:left="2060" w:hanging="195"/>
        <w:spacing w:after="0"/>
        <w:tabs>
          <w:tab w:leader="none" w:pos="20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securities, as principal or agent;</w:t>
      </w:r>
    </w:p>
    <w:p>
      <w:pPr>
        <w:spacing w:after="0" w:line="144" w:lineRule="exact"/>
        <w:rPr>
          <w:rFonts w:ascii="Arial" w:cs="Arial" w:eastAsia="Arial" w:hAnsi="Arial"/>
          <w:sz w:val="18"/>
          <w:szCs w:val="18"/>
          <w:color w:val="auto"/>
        </w:rPr>
      </w:pPr>
    </w:p>
    <w:p>
      <w:pPr>
        <w:ind w:left="2100" w:hanging="235"/>
        <w:spacing w:after="0"/>
        <w:tabs>
          <w:tab w:leader="none" w:pos="21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44" w:lineRule="exact"/>
        <w:rPr>
          <w:rFonts w:ascii="Arial" w:cs="Arial" w:eastAsia="Arial" w:hAnsi="Arial"/>
          <w:sz w:val="18"/>
          <w:szCs w:val="18"/>
          <w:color w:val="auto"/>
        </w:rPr>
      </w:pPr>
    </w:p>
    <w:p>
      <w:pPr>
        <w:ind w:left="2140" w:hanging="275"/>
        <w:spacing w:after="0"/>
        <w:tabs>
          <w:tab w:leader="none" w:pos="21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44" w:lineRule="exact"/>
        <w:rPr>
          <w:rFonts w:ascii="Arial" w:cs="Arial" w:eastAsia="Arial" w:hAnsi="Arial"/>
          <w:sz w:val="18"/>
          <w:szCs w:val="18"/>
          <w:color w:val="auto"/>
        </w:rPr>
      </w:pPr>
    </w:p>
    <w:p>
      <w:pPr>
        <w:ind w:left="2160" w:hanging="295"/>
        <w:spacing w:after="0"/>
        <w:tabs>
          <w:tab w:leader="none" w:pos="21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authorized financial service providers under South African law;</w:t>
      </w:r>
    </w:p>
    <w:p>
      <w:pPr>
        <w:spacing w:after="0" w:line="144" w:lineRule="exact"/>
        <w:rPr>
          <w:rFonts w:ascii="Arial" w:cs="Arial" w:eastAsia="Arial" w:hAnsi="Arial"/>
          <w:sz w:val="18"/>
          <w:szCs w:val="18"/>
          <w:color w:val="auto"/>
        </w:rPr>
      </w:pPr>
    </w:p>
    <w:p>
      <w:pPr>
        <w:ind w:left="2120" w:hanging="255"/>
        <w:spacing w:after="0"/>
        <w:tabs>
          <w:tab w:leader="none" w:pos="21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financial institutions recognized as such under South African law;</w:t>
      </w:r>
    </w:p>
    <w:p>
      <w:pPr>
        <w:spacing w:after="0" w:line="144" w:lineRule="exact"/>
        <w:rPr>
          <w:rFonts w:ascii="Arial" w:cs="Arial" w:eastAsia="Arial" w:hAnsi="Arial"/>
          <w:sz w:val="18"/>
          <w:szCs w:val="18"/>
          <w:color w:val="auto"/>
        </w:rPr>
      </w:pPr>
    </w:p>
    <w:p>
      <w:pPr>
        <w:ind w:left="1860" w:firstLine="5"/>
        <w:spacing w:after="0" w:line="238" w:lineRule="auto"/>
        <w:tabs>
          <w:tab w:leader="none" w:pos="2153"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authorized portfolio manager for a pension fund, or as manager for a collective investment scheme (in each case duly registered as such under South African law); or</w:t>
      </w:r>
    </w:p>
    <w:p>
      <w:pPr>
        <w:spacing w:after="0" w:line="140" w:lineRule="exact"/>
        <w:rPr>
          <w:rFonts w:ascii="Arial" w:cs="Arial" w:eastAsia="Arial" w:hAnsi="Arial"/>
          <w:sz w:val="18"/>
          <w:szCs w:val="18"/>
          <w:color w:val="auto"/>
        </w:rPr>
      </w:pPr>
    </w:p>
    <w:p>
      <w:pPr>
        <w:ind w:left="2200" w:hanging="335"/>
        <w:spacing w:after="0"/>
        <w:tabs>
          <w:tab w:leader="none" w:pos="220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77" w:lineRule="exact"/>
        <w:rPr>
          <w:sz w:val="20"/>
          <w:szCs w:val="20"/>
          <w:color w:val="auto"/>
        </w:rPr>
      </w:pPr>
    </w:p>
    <w:p>
      <w:pPr>
        <w:ind w:left="1860" w:right="440" w:hanging="1660"/>
        <w:spacing w:after="0" w:line="238" w:lineRule="auto"/>
        <w:tabs>
          <w:tab w:leader="none" w:pos="1840" w:val="left"/>
        </w:tabs>
        <w:rPr>
          <w:sz w:val="20"/>
          <w:szCs w:val="20"/>
          <w:color w:val="auto"/>
        </w:rPr>
      </w:pPr>
      <w:r>
        <w:rPr>
          <w:rFonts w:ascii="Arial" w:cs="Arial" w:eastAsia="Arial" w:hAnsi="Arial"/>
          <w:sz w:val="18"/>
          <w:szCs w:val="18"/>
          <w:color w:val="auto"/>
        </w:rPr>
        <w:t>Section 96 (1)(b)</w:t>
      </w:r>
      <w:r>
        <w:rPr>
          <w:sz w:val="20"/>
          <w:szCs w:val="20"/>
          <w:color w:val="auto"/>
        </w:rPr>
        <w:tab/>
      </w: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82" w:lineRule="exact"/>
        <w:rPr>
          <w:sz w:val="20"/>
          <w:szCs w:val="20"/>
          <w:color w:val="auto"/>
        </w:rPr>
      </w:pPr>
    </w:p>
    <w:p>
      <w:pPr>
        <w:ind w:left="200" w:right="320"/>
        <w:spacing w:after="0" w:line="260" w:lineRule="auto"/>
        <w:rPr>
          <w:sz w:val="20"/>
          <w:szCs w:val="20"/>
          <w:color w:val="auto"/>
        </w:rPr>
      </w:pPr>
      <w:r>
        <w:rPr>
          <w:rFonts w:ascii="Arial" w:cs="Arial" w:eastAsia="Arial" w:hAnsi="Arial"/>
          <w:sz w:val="18"/>
          <w:szCs w:val="18"/>
          <w:color w:val="auto"/>
        </w:rPr>
        <w:t>Information made available in this prospectus should not be considered as “</w:t>
      </w:r>
      <w:r>
        <w:rPr>
          <w:rFonts w:ascii="Arial" w:cs="Arial" w:eastAsia="Arial" w:hAnsi="Arial"/>
          <w:sz w:val="18"/>
          <w:szCs w:val="18"/>
          <w:i w:val="1"/>
          <w:iCs w:val="1"/>
          <w:color w:val="auto"/>
        </w:rPr>
        <w:t>advice</w:t>
      </w:r>
      <w:r>
        <w:rPr>
          <w:rFonts w:ascii="Arial" w:cs="Arial" w:eastAsia="Arial" w:hAnsi="Arial"/>
          <w:sz w:val="18"/>
          <w:szCs w:val="18"/>
          <w:color w:val="auto"/>
        </w:rPr>
        <w:t>” as defined in the South African Financial Advisory and Intermediary Services Act, 2002.</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Notice to prospective investors in Israel</w:t>
      </w:r>
    </w:p>
    <w:p>
      <w:pPr>
        <w:spacing w:after="0" w:line="124" w:lineRule="exact"/>
        <w:rPr>
          <w:sz w:val="20"/>
          <w:szCs w:val="20"/>
          <w:color w:val="auto"/>
        </w:rPr>
      </w:pPr>
    </w:p>
    <w:p>
      <w:pPr>
        <w:ind w:left="200" w:right="160"/>
        <w:spacing w:after="0" w:line="264" w:lineRule="auto"/>
        <w:rPr>
          <w:sz w:val="20"/>
          <w:szCs w:val="20"/>
          <w:color w:val="auto"/>
        </w:rPr>
      </w:pPr>
      <w:r>
        <w:rPr>
          <w:rFonts w:ascii="Arial" w:cs="Arial" w:eastAsia="Arial" w:hAnsi="Arial"/>
          <w:sz w:val="16"/>
          <w:szCs w:val="16"/>
          <w:color w:val="auto"/>
        </w:rPr>
        <w:t>This document does not constitute a prospectus under the Israeli Securities Law, 5728-1968, or the Securities Law, and has not been filed with or approved by the Israel Securities Authority. In Israel, this prospectus is being distributed only to, and is directed only at, and any offer of the shares of common stock is directed only at, (i) a limited number of persons in accordance with the Israeli Securities Law and</w:t>
      </w:r>
    </w:p>
    <w:p>
      <w:pPr>
        <w:spacing w:after="0" w:line="1" w:lineRule="exact"/>
        <w:rPr>
          <w:sz w:val="20"/>
          <w:szCs w:val="20"/>
          <w:color w:val="auto"/>
        </w:rPr>
      </w:pPr>
    </w:p>
    <w:p>
      <w:pPr>
        <w:ind w:left="200" w:right="80" w:firstLine="4"/>
        <w:spacing w:after="0" w:line="236" w:lineRule="auto"/>
        <w:tabs>
          <w:tab w:leader="none" w:pos="444"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20"/>
          </w:cols>
          <w:pgMar w:left="24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Legal matters</w:t>
      </w:r>
    </w:p>
    <w:p>
      <w:pPr>
        <w:spacing w:after="0" w:line="158"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validity of the issuance of our common stock offered in this prospectus will be passed upon for us by Latham &amp; Watkins LLP, Menlo Park, California. Davis Polk &amp; Wardwell LLP, Menlo Park, California, is acting as counsel for the underwriters in connection with this offering. Latham &amp; Watkins LLP and certain attorneys and investment funds affiliated with the firm own shares of our preferred stock which will be converted into an aggregate of 9,974 shares of common stock immediately upon the completion of this offering.</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Experts</w:t>
      </w:r>
    </w:p>
    <w:p>
      <w:pPr>
        <w:spacing w:after="0" w:line="158"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The financial statements of Revolution Medicines, Inc. as of December 31, 2017 and December 31, 2018 and for each of the two years in the period ended December 31, 2018 included in this prospectus have been so included in reliance on the report of PricewaterhouseCoopers LLP, an independent registered public accounting firm, given on the authority of said firm as experts in auditing and accounting.</w:t>
      </w:r>
    </w:p>
    <w:p>
      <w:pPr>
        <w:spacing w:after="0" w:line="70"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The financial statements of Warp Drive Bio, Inc. as of December 31, 2017 and for the year then ended included in this prospectus have been so included in reliance on the report (which contains an explanatory paragraph relating to the Company’s ability to continue as a going concern as described in Note 1 to the financial statements) of PricewaterhouseCoopers LLP, an independent registered public accounting firm, given on the authority of said firm as experts in auditing and accounting.</w:t>
      </w:r>
    </w:p>
    <w:p>
      <w:pPr>
        <w:spacing w:after="0" w:line="101"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financial statements of Warp Drive Bio, Inc. at December 31, 2016 and for the year then ended appearing in this prospectus and registration statement have been audited by Ernst &amp; Young LLP, independent auditors, as set forth in their report thereon (which contains an explanatory paragraph describing conditions that raise substantial doubt about Warp Drive Bio, Inc.’s ability to continue as a going concern, as described in Note 1 to the financial statements), appearing elsewhere herein, and are included in reliance upon such report given on the authority of such firm as experts in accounting and auditing.</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Where you can find more information</w:t>
      </w:r>
    </w:p>
    <w:p>
      <w:pPr>
        <w:spacing w:after="0" w:line="158"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with respect to Revolution Medicines, Inc. and the common stock offered hereby, reference is made to the registration statement and the exhibits and schedules filed therewith.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 The SEC also maintains a website that contains reports, proxy and information statements and other information regarding registrants that file electronically with the SEC. The address is www.sec.gov.</w:t>
      </w:r>
    </w:p>
    <w:p>
      <w:pPr>
        <w:spacing w:after="0" w:line="79" w:lineRule="exact"/>
        <w:rPr>
          <w:sz w:val="20"/>
          <w:szCs w:val="20"/>
          <w:color w:val="auto"/>
        </w:rPr>
      </w:pPr>
    </w:p>
    <w:p>
      <w:pPr>
        <w:ind w:left="200" w:right="40"/>
        <w:spacing w:after="0" w:line="275" w:lineRule="auto"/>
        <w:rPr>
          <w:sz w:val="20"/>
          <w:szCs w:val="20"/>
          <w:color w:val="auto"/>
        </w:rPr>
      </w:pPr>
      <w:r>
        <w:rPr>
          <w:rFonts w:ascii="Arial" w:cs="Arial" w:eastAsia="Arial" w:hAnsi="Arial"/>
          <w:sz w:val="16"/>
          <w:szCs w:val="16"/>
          <w:color w:val="auto"/>
        </w:rPr>
        <w:t>Upon consummation of this offering, we will become subject to the information and periodic reporting requirements of the Exchange Act and, in accordance therewith, will file periodic reports, proxy statements and other information with the SEC. Such periodic reports, proxy statements and other information will be available for inspection and copying at the public reference room and website of the SEC referred to above. We maintain a website at www.revmed.com. Upon consummation of this offering, you may access our annual reports on</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60"/>
          </w:cols>
          <w:pgMar w:left="240" w:top="460" w:right="4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Form 10-K, quarterly reports on Form 10-Q, current reports on Form 8-K, and amendments to those reports filed or furnished pursuant to Section 13(a) or 15(d) of the Exchange Act with the SEC free of charge at our website as soon as reasonably practicable after such material is electronically filed with, or furnished to, the SEC. The reference to our website address does not constitute incorporation by reference of the information contained on our website, and you should not consider the contents of our website in making an investment decision with respect to our common stock.</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00"/>
          </w:cols>
          <w:pgMar w:left="24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Index to consolidated financial statements</w:t>
      </w:r>
    </w:p>
    <w:p>
      <w:pPr>
        <w:spacing w:after="0" w:line="111" w:lineRule="exact"/>
        <w:rPr>
          <w:sz w:val="20"/>
          <w:szCs w:val="20"/>
          <w:color w:val="auto"/>
        </w:rPr>
      </w:pPr>
    </w:p>
    <w:tbl>
      <w:tblPr>
        <w:tblLayout w:type="fixed"/>
        <w:tblInd w:w="200" w:type="dxa"/>
        <w:tblCellMar>
          <w:top w:w="0" w:type="dxa"/>
          <w:left w:w="0" w:type="dxa"/>
          <w:bottom w:w="0" w:type="dxa"/>
          <w:right w:w="0" w:type="dxa"/>
        </w:tblCellMar>
      </w:tblPr>
      <w:tr>
        <w:trPr>
          <w:trHeight w:val="178"/>
        </w:trPr>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9"/>
        </w:trPr>
        <w:tc>
          <w:tcPr>
            <w:tcW w:w="10440" w:type="dxa"/>
            <w:vAlign w:val="bottom"/>
            <w:gridSpan w:val="23"/>
          </w:tcPr>
          <w:p>
            <w:pPr>
              <w:spacing w:after="0"/>
              <w:rPr>
                <w:sz w:val="20"/>
                <w:szCs w:val="20"/>
                <w:color w:val="auto"/>
              </w:rPr>
            </w:pPr>
            <w:r>
              <w:rPr>
                <w:rFonts w:ascii="Arial" w:cs="Arial" w:eastAsia="Arial" w:hAnsi="Arial"/>
                <w:sz w:val="18"/>
                <w:szCs w:val="18"/>
                <w:b w:val="1"/>
                <w:bCs w:val="1"/>
                <w:color w:val="auto"/>
              </w:rPr>
              <w:t>Revolution Medicines, Inc. and subsidiary (audited financial statements for the years ended December 31, 2017 and 2018)</w:t>
            </w:r>
          </w:p>
        </w:tc>
        <w:tc>
          <w:tcPr>
            <w:tcW w:w="540" w:type="dxa"/>
            <w:vAlign w:val="bottom"/>
          </w:tcPr>
          <w:p>
            <w:pPr>
              <w:spacing w:after="0"/>
              <w:rPr>
                <w:sz w:val="23"/>
                <w:szCs w:val="23"/>
                <w:color w:val="auto"/>
              </w:rPr>
            </w:pPr>
          </w:p>
        </w:tc>
      </w:tr>
      <w:tr>
        <w:trPr>
          <w:trHeight w:val="232"/>
        </w:trPr>
        <w:tc>
          <w:tcPr>
            <w:tcW w:w="220" w:type="dxa"/>
            <w:vAlign w:val="bottom"/>
          </w:tcPr>
          <w:p>
            <w:pPr>
              <w:spacing w:after="0"/>
              <w:rPr>
                <w:sz w:val="20"/>
                <w:szCs w:val="20"/>
                <w:color w:val="auto"/>
              </w:rPr>
            </w:pPr>
          </w:p>
        </w:tc>
        <w:tc>
          <w:tcPr>
            <w:tcW w:w="10220" w:type="dxa"/>
            <w:vAlign w:val="bottom"/>
            <w:gridSpan w:val="22"/>
          </w:tcPr>
          <w:p>
            <w:pPr>
              <w:spacing w:after="0"/>
              <w:rPr>
                <w:rFonts w:ascii="Arial" w:cs="Arial" w:eastAsia="Arial" w:hAnsi="Arial"/>
                <w:sz w:val="18"/>
                <w:szCs w:val="18"/>
                <w:color w:val="0000EE"/>
              </w:rPr>
            </w:pPr>
            <w:hyperlink w:anchor="page234">
              <w:r>
                <w:rPr>
                  <w:rFonts w:ascii="Arial" w:cs="Arial" w:eastAsia="Arial" w:hAnsi="Arial"/>
                  <w:sz w:val="18"/>
                  <w:szCs w:val="18"/>
                  <w:color w:val="0000EE"/>
                </w:rPr>
                <w:t>Report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50"/>
        </w:trPr>
        <w:tc>
          <w:tcPr>
            <w:tcW w:w="220" w:type="dxa"/>
            <w:vAlign w:val="bottom"/>
          </w:tcPr>
          <w:p>
            <w:pPr>
              <w:spacing w:after="0"/>
              <w:rPr>
                <w:sz w:val="21"/>
                <w:szCs w:val="21"/>
                <w:color w:val="auto"/>
              </w:rPr>
            </w:pPr>
          </w:p>
        </w:tc>
        <w:tc>
          <w:tcPr>
            <w:tcW w:w="22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6"/>
              </w:rPr>
            </w:pPr>
            <w:hyperlink w:anchor="page235">
              <w:r>
                <w:rPr>
                  <w:rFonts w:ascii="Arial" w:cs="Arial" w:eastAsia="Arial" w:hAnsi="Arial"/>
                  <w:sz w:val="18"/>
                  <w:szCs w:val="18"/>
                  <w:color w:val="0000EE"/>
                  <w:w w:val="96"/>
                </w:rPr>
                <w:t>Consolidated balance sheets</w:t>
              </w:r>
            </w:hyperlink>
          </w:p>
        </w:tc>
        <w:tc>
          <w:tcPr>
            <w:tcW w:w="2220" w:type="dxa"/>
            <w:vAlign w:val="bottom"/>
            <w:tcBorders>
              <w:top w:val="single" w:sz="8" w:color="0000EE"/>
            </w:tcBorders>
            <w:gridSpan w:val="10"/>
          </w:tcPr>
          <w:p>
            <w:pPr>
              <w:spacing w:after="0"/>
              <w:rPr>
                <w:sz w:val="21"/>
                <w:szCs w:val="21"/>
                <w:color w:val="auto"/>
              </w:rPr>
            </w:pPr>
          </w:p>
        </w:tc>
        <w:tc>
          <w:tcPr>
            <w:tcW w:w="5740" w:type="dxa"/>
            <w:vAlign w:val="bottom"/>
            <w:gridSpan w:val="9"/>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50"/>
        </w:trPr>
        <w:tc>
          <w:tcPr>
            <w:tcW w:w="220" w:type="dxa"/>
            <w:vAlign w:val="bottom"/>
          </w:tcPr>
          <w:p>
            <w:pPr>
              <w:spacing w:after="0"/>
              <w:rPr>
                <w:sz w:val="21"/>
                <w:szCs w:val="21"/>
                <w:color w:val="auto"/>
              </w:rPr>
            </w:pPr>
          </w:p>
        </w:tc>
        <w:tc>
          <w:tcPr>
            <w:tcW w:w="4940" w:type="dxa"/>
            <w:vAlign w:val="bottom"/>
            <w:tcBorders>
              <w:bottom w:val="single" w:sz="8" w:color="0000EE"/>
            </w:tcBorders>
            <w:gridSpan w:val="15"/>
          </w:tcPr>
          <w:p>
            <w:pPr>
              <w:spacing w:after="0"/>
              <w:rPr>
                <w:rFonts w:ascii="Arial" w:cs="Arial" w:eastAsia="Arial" w:hAnsi="Arial"/>
                <w:sz w:val="18"/>
                <w:szCs w:val="18"/>
                <w:color w:val="0000EE"/>
                <w:w w:val="97"/>
              </w:rPr>
            </w:pPr>
            <w:hyperlink w:anchor="page236">
              <w:r>
                <w:rPr>
                  <w:rFonts w:ascii="Arial" w:cs="Arial" w:eastAsia="Arial" w:hAnsi="Arial"/>
                  <w:sz w:val="18"/>
                  <w:szCs w:val="18"/>
                  <w:color w:val="0000EE"/>
                  <w:w w:val="97"/>
                </w:rPr>
                <w:t>Consolidated statements of operations and comprehensive loss</w:t>
              </w:r>
            </w:hyperlink>
          </w:p>
        </w:tc>
        <w:tc>
          <w:tcPr>
            <w:tcW w:w="5280" w:type="dxa"/>
            <w:vAlign w:val="bottom"/>
            <w:gridSpan w:val="7"/>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Consolidated statements of redeemable convertible preferred stock and stockholders’ deficit</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50"/>
        </w:trPr>
        <w:tc>
          <w:tcPr>
            <w:tcW w:w="220" w:type="dxa"/>
            <w:vAlign w:val="bottom"/>
          </w:tcPr>
          <w:p>
            <w:pPr>
              <w:spacing w:after="0"/>
              <w:rPr>
                <w:sz w:val="21"/>
                <w:szCs w:val="21"/>
                <w:color w:val="auto"/>
              </w:rPr>
            </w:pPr>
          </w:p>
        </w:tc>
        <w:tc>
          <w:tcPr>
            <w:tcW w:w="30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7"/>
              </w:rPr>
            </w:pPr>
            <w:hyperlink w:anchor="page238">
              <w:r>
                <w:rPr>
                  <w:rFonts w:ascii="Arial" w:cs="Arial" w:eastAsia="Arial" w:hAnsi="Arial"/>
                  <w:sz w:val="18"/>
                  <w:szCs w:val="18"/>
                  <w:color w:val="0000EE"/>
                  <w:w w:val="97"/>
                </w:rPr>
                <w:t>Consolidated statements of cash flows</w:t>
              </w:r>
            </w:hyperlink>
          </w:p>
        </w:tc>
        <w:tc>
          <w:tcPr>
            <w:tcW w:w="4140" w:type="dxa"/>
            <w:vAlign w:val="bottom"/>
            <w:tcBorders>
              <w:top w:val="single" w:sz="8" w:color="0000EE"/>
            </w:tcBorders>
            <w:gridSpan w:val="14"/>
          </w:tcPr>
          <w:p>
            <w:pPr>
              <w:spacing w:after="0"/>
              <w:rPr>
                <w:sz w:val="21"/>
                <w:szCs w:val="21"/>
                <w:color w:val="auto"/>
              </w:rPr>
            </w:pPr>
          </w:p>
        </w:tc>
        <w:tc>
          <w:tcPr>
            <w:tcW w:w="3080" w:type="dxa"/>
            <w:vAlign w:val="bottom"/>
            <w:gridSpan w:val="2"/>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239">
              <w:r>
                <w:rPr>
                  <w:rFonts w:ascii="Arial" w:cs="Arial" w:eastAsia="Arial" w:hAnsi="Arial"/>
                  <w:sz w:val="18"/>
                  <w:szCs w:val="18"/>
                  <w:color w:val="0000EE"/>
                </w:rPr>
                <w:t>Notes to consolidated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0"/>
        </w:trPr>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9"/>
        </w:trPr>
        <w:tc>
          <w:tcPr>
            <w:tcW w:w="10440" w:type="dxa"/>
            <w:vAlign w:val="bottom"/>
            <w:gridSpan w:val="23"/>
          </w:tcPr>
          <w:p>
            <w:pPr>
              <w:spacing w:after="0"/>
              <w:rPr>
                <w:sz w:val="20"/>
                <w:szCs w:val="20"/>
                <w:color w:val="auto"/>
              </w:rPr>
            </w:pPr>
            <w:r>
              <w:rPr>
                <w:rFonts w:ascii="Arial" w:cs="Arial" w:eastAsia="Arial" w:hAnsi="Arial"/>
                <w:sz w:val="18"/>
                <w:szCs w:val="18"/>
                <w:b w:val="1"/>
                <w:bCs w:val="1"/>
                <w:color w:val="auto"/>
              </w:rPr>
              <w:t>Revolution Medicines, Inc. and subsidiary (unaudited condensed interim financial statements for the nine months ended</w:t>
            </w:r>
          </w:p>
        </w:tc>
        <w:tc>
          <w:tcPr>
            <w:tcW w:w="540" w:type="dxa"/>
            <w:vAlign w:val="bottom"/>
          </w:tcPr>
          <w:p>
            <w:pPr>
              <w:spacing w:after="0"/>
              <w:rPr>
                <w:sz w:val="24"/>
                <w:szCs w:val="24"/>
                <w:color w:val="auto"/>
              </w:rPr>
            </w:pPr>
          </w:p>
        </w:tc>
      </w:tr>
      <w:tr>
        <w:trPr>
          <w:trHeight w:val="233"/>
        </w:trPr>
        <w:tc>
          <w:tcPr>
            <w:tcW w:w="220" w:type="dxa"/>
            <w:vAlign w:val="bottom"/>
          </w:tcPr>
          <w:p>
            <w:pPr>
              <w:spacing w:after="0"/>
              <w:rPr>
                <w:sz w:val="20"/>
                <w:szCs w:val="20"/>
                <w:color w:val="auto"/>
              </w:rPr>
            </w:pPr>
          </w:p>
        </w:tc>
        <w:tc>
          <w:tcPr>
            <w:tcW w:w="10220" w:type="dxa"/>
            <w:vAlign w:val="bottom"/>
            <w:gridSpan w:val="22"/>
          </w:tcPr>
          <w:p>
            <w:pPr>
              <w:spacing w:after="0"/>
              <w:rPr>
                <w:sz w:val="20"/>
                <w:szCs w:val="20"/>
                <w:color w:val="auto"/>
              </w:rPr>
            </w:pPr>
            <w:r>
              <w:rPr>
                <w:rFonts w:ascii="Arial" w:cs="Arial" w:eastAsia="Arial" w:hAnsi="Arial"/>
                <w:sz w:val="18"/>
                <w:szCs w:val="18"/>
                <w:b w:val="1"/>
                <w:bCs w:val="1"/>
                <w:color w:val="auto"/>
              </w:rPr>
              <w:t>September 30, 2019 and 2018)</w:t>
            </w:r>
          </w:p>
        </w:tc>
        <w:tc>
          <w:tcPr>
            <w:tcW w:w="540" w:type="dxa"/>
            <w:vAlign w:val="bottom"/>
          </w:tcPr>
          <w:p>
            <w:pPr>
              <w:spacing w:after="0"/>
              <w:rPr>
                <w:sz w:val="20"/>
                <w:szCs w:val="20"/>
                <w:color w:val="auto"/>
              </w:rPr>
            </w:pPr>
          </w:p>
        </w:tc>
      </w:tr>
      <w:tr>
        <w:trPr>
          <w:trHeight w:val="232"/>
        </w:trPr>
        <w:tc>
          <w:tcPr>
            <w:tcW w:w="220" w:type="dxa"/>
            <w:vAlign w:val="bottom"/>
          </w:tcPr>
          <w:p>
            <w:pPr>
              <w:spacing w:after="0"/>
              <w:rPr>
                <w:sz w:val="20"/>
                <w:szCs w:val="20"/>
                <w:color w:val="auto"/>
              </w:rPr>
            </w:pPr>
          </w:p>
        </w:tc>
        <w:tc>
          <w:tcPr>
            <w:tcW w:w="410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267">
              <w:r>
                <w:rPr>
                  <w:rFonts w:ascii="Arial" w:cs="Arial" w:eastAsia="Arial" w:hAnsi="Arial"/>
                  <w:sz w:val="18"/>
                  <w:szCs w:val="18"/>
                  <w:color w:val="0000EE"/>
                  <w:w w:val="97"/>
                </w:rPr>
                <w:t>Condensed consolidated balance sheets (unaudited)</w:t>
              </w:r>
            </w:hyperlink>
          </w:p>
        </w:tc>
        <w:tc>
          <w:tcPr>
            <w:tcW w:w="6120" w:type="dxa"/>
            <w:vAlign w:val="bottom"/>
            <w:gridSpan w:val="11"/>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F-35</w:t>
            </w: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268">
              <w:r>
                <w:rPr>
                  <w:rFonts w:ascii="Arial" w:cs="Arial" w:eastAsia="Arial" w:hAnsi="Arial"/>
                  <w:sz w:val="18"/>
                  <w:szCs w:val="18"/>
                  <w:color w:val="0000EE"/>
                </w:rPr>
                <w:t>Condensed consolidated statements of operations and comprehensive loss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F-36</w:t>
            </w:r>
          </w:p>
        </w:tc>
      </w:tr>
      <w:tr>
        <w:trPr>
          <w:trHeight w:val="20"/>
        </w:trPr>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269">
              <w:r>
                <w:rPr>
                  <w:rFonts w:ascii="Arial" w:cs="Arial" w:eastAsia="Arial" w:hAnsi="Arial"/>
                  <w:sz w:val="18"/>
                  <w:szCs w:val="18"/>
                  <w:color w:val="0000EE"/>
                </w:rPr>
                <w:t>Condensed consolidated statements of redeemable preferred stock and shareholder’s deficit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F-37</w:t>
            </w:r>
          </w:p>
        </w:tc>
      </w:tr>
      <w:tr>
        <w:trPr>
          <w:trHeight w:val="250"/>
        </w:trPr>
        <w:tc>
          <w:tcPr>
            <w:tcW w:w="220" w:type="dxa"/>
            <w:vAlign w:val="bottom"/>
          </w:tcPr>
          <w:p>
            <w:pPr>
              <w:spacing w:after="0"/>
              <w:rPr>
                <w:sz w:val="21"/>
                <w:szCs w:val="21"/>
                <w:color w:val="auto"/>
              </w:rPr>
            </w:pPr>
          </w:p>
        </w:tc>
        <w:tc>
          <w:tcPr>
            <w:tcW w:w="8120" w:type="dxa"/>
            <w:vAlign w:val="bottom"/>
            <w:tcBorders>
              <w:top w:val="single" w:sz="8" w:color="0000EE"/>
            </w:tcBorders>
            <w:gridSpan w:val="21"/>
          </w:tcPr>
          <w:p>
            <w:pPr>
              <w:spacing w:after="0"/>
              <w:rPr>
                <w:rFonts w:ascii="Arial" w:cs="Arial" w:eastAsia="Arial" w:hAnsi="Arial"/>
                <w:sz w:val="18"/>
                <w:szCs w:val="18"/>
                <w:color w:val="0000EE"/>
              </w:rPr>
            </w:pPr>
            <w:hyperlink w:anchor="page271">
              <w:r>
                <w:rPr>
                  <w:rFonts w:ascii="Arial" w:cs="Arial" w:eastAsia="Arial" w:hAnsi="Arial"/>
                  <w:sz w:val="18"/>
                  <w:szCs w:val="18"/>
                  <w:color w:val="0000EE"/>
                </w:rPr>
                <w:t>Condensed consolidated statements of cash flows (unaudited)</w:t>
              </w:r>
            </w:hyperlink>
          </w:p>
        </w:tc>
        <w:tc>
          <w:tcPr>
            <w:tcW w:w="2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F-38</w:t>
            </w:r>
          </w:p>
        </w:tc>
      </w:tr>
      <w:tr>
        <w:trPr>
          <w:trHeight w:val="20"/>
        </w:trPr>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502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272">
              <w:r>
                <w:rPr>
                  <w:rFonts w:ascii="Arial" w:cs="Arial" w:eastAsia="Arial" w:hAnsi="Arial"/>
                  <w:sz w:val="18"/>
                  <w:szCs w:val="18"/>
                  <w:color w:val="0000EE"/>
                  <w:w w:val="97"/>
                </w:rPr>
                <w:t>Notes to unaudited condensed consolidated financial statements</w:t>
              </w:r>
            </w:hyperlink>
          </w:p>
        </w:tc>
        <w:tc>
          <w:tcPr>
            <w:tcW w:w="5200" w:type="dxa"/>
            <w:vAlign w:val="bottom"/>
            <w:gridSpan w:val="6"/>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F-39</w:t>
            </w:r>
          </w:p>
        </w:tc>
      </w:tr>
      <w:tr>
        <w:trPr>
          <w:trHeight w:val="329"/>
        </w:trPr>
        <w:tc>
          <w:tcPr>
            <w:tcW w:w="10440" w:type="dxa"/>
            <w:vAlign w:val="bottom"/>
            <w:gridSpan w:val="23"/>
          </w:tcPr>
          <w:p>
            <w:pPr>
              <w:spacing w:after="0"/>
              <w:rPr>
                <w:sz w:val="20"/>
                <w:szCs w:val="20"/>
                <w:color w:val="auto"/>
              </w:rPr>
            </w:pPr>
            <w:r>
              <w:rPr>
                <w:rFonts w:ascii="Arial" w:cs="Arial" w:eastAsia="Arial" w:hAnsi="Arial"/>
                <w:sz w:val="18"/>
                <w:szCs w:val="18"/>
                <w:b w:val="1"/>
                <w:bCs w:val="1"/>
                <w:color w:val="auto"/>
              </w:rPr>
              <w:t>Warp Drive Bio, Inc. (audited financial statements for the years ended December 31, 2017 and 2016)</w:t>
            </w:r>
          </w:p>
        </w:tc>
        <w:tc>
          <w:tcPr>
            <w:tcW w:w="540" w:type="dxa"/>
            <w:vAlign w:val="bottom"/>
          </w:tcPr>
          <w:p>
            <w:pPr>
              <w:spacing w:after="0"/>
              <w:rPr>
                <w:sz w:val="24"/>
                <w:szCs w:val="24"/>
                <w:color w:val="auto"/>
              </w:rPr>
            </w:pPr>
          </w:p>
        </w:tc>
      </w:tr>
      <w:tr>
        <w:trPr>
          <w:trHeight w:val="232"/>
        </w:trPr>
        <w:tc>
          <w:tcPr>
            <w:tcW w:w="220" w:type="dxa"/>
            <w:vAlign w:val="bottom"/>
          </w:tcPr>
          <w:p>
            <w:pPr>
              <w:spacing w:after="0"/>
              <w:rPr>
                <w:sz w:val="20"/>
                <w:szCs w:val="20"/>
                <w:color w:val="auto"/>
              </w:rPr>
            </w:pPr>
          </w:p>
        </w:tc>
        <w:tc>
          <w:tcPr>
            <w:tcW w:w="244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300">
              <w:r>
                <w:rPr>
                  <w:rFonts w:ascii="Arial" w:cs="Arial" w:eastAsia="Arial" w:hAnsi="Arial"/>
                  <w:sz w:val="18"/>
                  <w:szCs w:val="18"/>
                  <w:color w:val="0000EE"/>
                  <w:w w:val="96"/>
                </w:rPr>
                <w:t>Report of Independent Auditors</w:t>
              </w:r>
            </w:hyperlink>
          </w:p>
        </w:tc>
        <w:tc>
          <w:tcPr>
            <w:tcW w:w="7780" w:type="dxa"/>
            <w:vAlign w:val="bottom"/>
            <w:gridSpan w:val="18"/>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F-67</w:t>
            </w:r>
          </w:p>
        </w:tc>
      </w:tr>
      <w:tr>
        <w:trPr>
          <w:trHeight w:val="250"/>
        </w:trPr>
        <w:tc>
          <w:tcPr>
            <w:tcW w:w="220" w:type="dxa"/>
            <w:vAlign w:val="bottom"/>
          </w:tcPr>
          <w:p>
            <w:pPr>
              <w:spacing w:after="0"/>
              <w:rPr>
                <w:sz w:val="21"/>
                <w:szCs w:val="21"/>
                <w:color w:val="auto"/>
              </w:rPr>
            </w:pPr>
          </w:p>
        </w:tc>
        <w:tc>
          <w:tcPr>
            <w:tcW w:w="244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301">
              <w:r>
                <w:rPr>
                  <w:rFonts w:ascii="Arial" w:cs="Arial" w:eastAsia="Arial" w:hAnsi="Arial"/>
                  <w:sz w:val="18"/>
                  <w:szCs w:val="18"/>
                  <w:color w:val="0000EE"/>
                  <w:w w:val="96"/>
                </w:rPr>
                <w:t>Report of Independent Auditors</w:t>
              </w:r>
            </w:hyperlink>
          </w:p>
        </w:tc>
        <w:tc>
          <w:tcPr>
            <w:tcW w:w="7780" w:type="dxa"/>
            <w:vAlign w:val="bottom"/>
            <w:gridSpan w:val="18"/>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F-68</w:t>
            </w: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302">
              <w:r>
                <w:rPr>
                  <w:rFonts w:ascii="Arial" w:cs="Arial" w:eastAsia="Arial" w:hAnsi="Arial"/>
                  <w:sz w:val="18"/>
                  <w:szCs w:val="18"/>
                  <w:color w:val="0000EE"/>
                </w:rPr>
                <w:t>Balance sheets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F-69</w:t>
            </w:r>
          </w:p>
        </w:tc>
      </w:tr>
      <w:tr>
        <w:trPr>
          <w:trHeight w:val="20"/>
        </w:trPr>
        <w:tc>
          <w:tcPr>
            <w:tcW w:w="22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390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303">
              <w:r>
                <w:rPr>
                  <w:rFonts w:ascii="Arial" w:cs="Arial" w:eastAsia="Arial" w:hAnsi="Arial"/>
                  <w:sz w:val="18"/>
                  <w:szCs w:val="18"/>
                  <w:color w:val="0000EE"/>
                  <w:w w:val="97"/>
                </w:rPr>
                <w:t>Statements of operations and comprehensive loss</w:t>
              </w:r>
            </w:hyperlink>
          </w:p>
        </w:tc>
        <w:tc>
          <w:tcPr>
            <w:tcW w:w="6320" w:type="dxa"/>
            <w:vAlign w:val="bottom"/>
            <w:gridSpan w:val="12"/>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F-70</w:t>
            </w: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304">
              <w:r>
                <w:rPr>
                  <w:rFonts w:ascii="Arial" w:cs="Arial" w:eastAsia="Arial" w:hAnsi="Arial"/>
                  <w:sz w:val="18"/>
                  <w:szCs w:val="18"/>
                  <w:color w:val="0000EE"/>
                </w:rPr>
                <w:t>Statements of convertible preferred stock and stockholders’ deficit</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F-71</w:t>
            </w:r>
          </w:p>
        </w:tc>
      </w:tr>
      <w:tr>
        <w:trPr>
          <w:trHeight w:val="250"/>
        </w:trPr>
        <w:tc>
          <w:tcPr>
            <w:tcW w:w="220" w:type="dxa"/>
            <w:vAlign w:val="bottom"/>
          </w:tcPr>
          <w:p>
            <w:pPr>
              <w:spacing w:after="0"/>
              <w:rPr>
                <w:sz w:val="21"/>
                <w:szCs w:val="21"/>
                <w:color w:val="auto"/>
              </w:rPr>
            </w:pPr>
          </w:p>
        </w:tc>
        <w:tc>
          <w:tcPr>
            <w:tcW w:w="19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305">
              <w:r>
                <w:rPr>
                  <w:rFonts w:ascii="Arial" w:cs="Arial" w:eastAsia="Arial" w:hAnsi="Arial"/>
                  <w:sz w:val="18"/>
                  <w:szCs w:val="18"/>
                  <w:color w:val="0000EE"/>
                  <w:w w:val="96"/>
                </w:rPr>
                <w:t>Statements of cash flows</w:t>
              </w:r>
            </w:hyperlink>
          </w:p>
        </w:tc>
        <w:tc>
          <w:tcPr>
            <w:tcW w:w="3160" w:type="dxa"/>
            <w:vAlign w:val="bottom"/>
            <w:tcBorders>
              <w:top w:val="single" w:sz="8" w:color="0000EE"/>
            </w:tcBorders>
            <w:gridSpan w:val="15"/>
          </w:tcPr>
          <w:p>
            <w:pPr>
              <w:spacing w:after="0"/>
              <w:rPr>
                <w:sz w:val="21"/>
                <w:szCs w:val="21"/>
                <w:color w:val="auto"/>
              </w:rPr>
            </w:pPr>
          </w:p>
        </w:tc>
        <w:tc>
          <w:tcPr>
            <w:tcW w:w="5100" w:type="dxa"/>
            <w:vAlign w:val="bottom"/>
            <w:gridSpan w:val="5"/>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F-72</w:t>
            </w: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306">
              <w:r>
                <w:rPr>
                  <w:rFonts w:ascii="Arial" w:cs="Arial" w:eastAsia="Arial" w:hAnsi="Arial"/>
                  <w:sz w:val="18"/>
                  <w:szCs w:val="18"/>
                  <w:color w:val="0000EE"/>
                </w:rPr>
                <w:t>Notes to the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F-73</w:t>
            </w:r>
          </w:p>
        </w:tc>
      </w:tr>
      <w:tr>
        <w:trPr>
          <w:trHeight w:val="20"/>
        </w:trPr>
        <w:tc>
          <w:tcPr>
            <w:tcW w:w="220" w:type="dxa"/>
            <w:vAlign w:val="bottom"/>
          </w:tcPr>
          <w:p>
            <w:pPr>
              <w:spacing w:after="0" w:line="20" w:lineRule="exact"/>
              <w:rPr>
                <w:sz w:val="1"/>
                <w:szCs w:val="1"/>
                <w:color w:val="auto"/>
              </w:rPr>
            </w:pPr>
          </w:p>
        </w:tc>
        <w:tc>
          <w:tcPr>
            <w:tcW w:w="2540" w:type="dxa"/>
            <w:vAlign w:val="bottom"/>
            <w:gridSpan w:val="5"/>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99"/>
        </w:trPr>
        <w:tc>
          <w:tcPr>
            <w:tcW w:w="10440" w:type="dxa"/>
            <w:vAlign w:val="bottom"/>
            <w:gridSpan w:val="23"/>
          </w:tcPr>
          <w:p>
            <w:pPr>
              <w:spacing w:after="0"/>
              <w:rPr>
                <w:sz w:val="20"/>
                <w:szCs w:val="20"/>
                <w:color w:val="auto"/>
              </w:rPr>
            </w:pPr>
            <w:r>
              <w:rPr>
                <w:rFonts w:ascii="Arial" w:cs="Arial" w:eastAsia="Arial" w:hAnsi="Arial"/>
                <w:sz w:val="18"/>
                <w:szCs w:val="18"/>
                <w:b w:val="1"/>
                <w:bCs w:val="1"/>
                <w:color w:val="auto"/>
                <w:w w:val="99"/>
              </w:rPr>
              <w:t>Warp Drive Bio, Inc. (unaudited condensed interim financial statements for the nine months ended September 30, 2018 and</w:t>
            </w:r>
          </w:p>
        </w:tc>
        <w:tc>
          <w:tcPr>
            <w:tcW w:w="540" w:type="dxa"/>
            <w:vAlign w:val="bottom"/>
          </w:tcPr>
          <w:p>
            <w:pPr>
              <w:spacing w:after="0"/>
              <w:rPr>
                <w:sz w:val="24"/>
                <w:szCs w:val="24"/>
                <w:color w:val="auto"/>
              </w:rPr>
            </w:pPr>
          </w:p>
        </w:tc>
      </w:tr>
      <w:tr>
        <w:trPr>
          <w:trHeight w:val="233"/>
        </w:trPr>
        <w:tc>
          <w:tcPr>
            <w:tcW w:w="1420" w:type="dxa"/>
            <w:vAlign w:val="bottom"/>
            <w:gridSpan w:val="2"/>
          </w:tcPr>
          <w:p>
            <w:pPr>
              <w:ind w:left="220"/>
              <w:spacing w:after="0"/>
              <w:rPr>
                <w:sz w:val="20"/>
                <w:szCs w:val="20"/>
                <w:color w:val="auto"/>
              </w:rPr>
            </w:pPr>
            <w:r>
              <w:rPr>
                <w:rFonts w:ascii="Arial" w:cs="Arial" w:eastAsia="Arial" w:hAnsi="Arial"/>
                <w:sz w:val="18"/>
                <w:szCs w:val="18"/>
                <w:b w:val="1"/>
                <w:bCs w:val="1"/>
                <w:color w:val="auto"/>
              </w:rPr>
              <w:t>2017)</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232"/>
        </w:trPr>
        <w:tc>
          <w:tcPr>
            <w:tcW w:w="220" w:type="dxa"/>
            <w:vAlign w:val="bottom"/>
          </w:tcPr>
          <w:p>
            <w:pPr>
              <w:spacing w:after="0"/>
              <w:rPr>
                <w:sz w:val="20"/>
                <w:szCs w:val="20"/>
                <w:color w:val="auto"/>
              </w:rPr>
            </w:pPr>
          </w:p>
        </w:tc>
        <w:tc>
          <w:tcPr>
            <w:tcW w:w="10220" w:type="dxa"/>
            <w:vAlign w:val="bottom"/>
            <w:gridSpan w:val="22"/>
          </w:tcPr>
          <w:p>
            <w:pPr>
              <w:spacing w:after="0"/>
              <w:rPr>
                <w:rFonts w:ascii="Arial" w:cs="Arial" w:eastAsia="Arial" w:hAnsi="Arial"/>
                <w:sz w:val="18"/>
                <w:szCs w:val="18"/>
                <w:color w:val="0000EE"/>
              </w:rPr>
            </w:pPr>
            <w:hyperlink w:anchor="page328">
              <w:r>
                <w:rPr>
                  <w:rFonts w:ascii="Arial" w:cs="Arial" w:eastAsia="Arial" w:hAnsi="Arial"/>
                  <w:sz w:val="18"/>
                  <w:szCs w:val="18"/>
                  <w:color w:val="0000EE"/>
                </w:rPr>
                <w:t>Condensed balance sheets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F-95</w:t>
            </w:r>
          </w:p>
        </w:tc>
      </w:tr>
      <w:tr>
        <w:trPr>
          <w:trHeight w:val="20"/>
        </w:trPr>
        <w:tc>
          <w:tcPr>
            <w:tcW w:w="220" w:type="dxa"/>
            <w:vAlign w:val="bottom"/>
          </w:tcPr>
          <w:p>
            <w:pPr>
              <w:spacing w:after="0" w:line="20" w:lineRule="exact"/>
              <w:rPr>
                <w:sz w:val="1"/>
                <w:szCs w:val="1"/>
                <w:color w:val="auto"/>
              </w:rPr>
            </w:pPr>
          </w:p>
        </w:tc>
        <w:tc>
          <w:tcPr>
            <w:tcW w:w="3060" w:type="dxa"/>
            <w:vAlign w:val="bottom"/>
            <w:gridSpan w:val="7"/>
            <w:shd w:val="clear" w:color="auto" w:fill="0000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448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329">
              <w:r>
                <w:rPr>
                  <w:rFonts w:ascii="Arial" w:cs="Arial" w:eastAsia="Arial" w:hAnsi="Arial"/>
                  <w:sz w:val="18"/>
                  <w:szCs w:val="18"/>
                  <w:color w:val="0000EE"/>
                </w:rPr>
                <w:t>Condensed statements of operations and comprehensive loss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F-96</w:t>
            </w:r>
          </w:p>
        </w:tc>
      </w:tr>
      <w:tr>
        <w:trPr>
          <w:trHeight w:val="250"/>
        </w:trPr>
        <w:tc>
          <w:tcPr>
            <w:tcW w:w="220" w:type="dxa"/>
            <w:vAlign w:val="bottom"/>
          </w:tcPr>
          <w:p>
            <w:pPr>
              <w:spacing w:after="0"/>
              <w:rPr>
                <w:sz w:val="21"/>
                <w:szCs w:val="21"/>
                <w:color w:val="auto"/>
              </w:rPr>
            </w:pPr>
          </w:p>
        </w:tc>
        <w:tc>
          <w:tcPr>
            <w:tcW w:w="5740" w:type="dxa"/>
            <w:vAlign w:val="bottom"/>
            <w:tcBorders>
              <w:top w:val="single" w:sz="8" w:color="0000EE"/>
            </w:tcBorders>
            <w:gridSpan w:val="18"/>
          </w:tcPr>
          <w:p>
            <w:pPr>
              <w:spacing w:after="0"/>
              <w:rPr>
                <w:rFonts w:ascii="Arial" w:cs="Arial" w:eastAsia="Arial" w:hAnsi="Arial"/>
                <w:sz w:val="18"/>
                <w:szCs w:val="18"/>
                <w:color w:val="0000EE"/>
              </w:rPr>
            </w:pPr>
            <w:hyperlink w:anchor="page330">
              <w:r>
                <w:rPr>
                  <w:rFonts w:ascii="Arial" w:cs="Arial" w:eastAsia="Arial" w:hAnsi="Arial"/>
                  <w:sz w:val="18"/>
                  <w:szCs w:val="18"/>
                  <w:color w:val="0000EE"/>
                </w:rPr>
                <w:t>Condensed statements of cash flows (unaudited)</w:t>
              </w:r>
            </w:hyperlink>
          </w:p>
        </w:tc>
        <w:tc>
          <w:tcPr>
            <w:tcW w:w="4480" w:type="dxa"/>
            <w:vAlign w:val="bottom"/>
            <w:gridSpan w:val="4"/>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F-97</w:t>
            </w:r>
          </w:p>
        </w:tc>
      </w:tr>
      <w:tr>
        <w:trPr>
          <w:trHeight w:val="20"/>
        </w:trPr>
        <w:tc>
          <w:tcPr>
            <w:tcW w:w="220" w:type="dxa"/>
            <w:vAlign w:val="bottom"/>
          </w:tcPr>
          <w:p>
            <w:pPr>
              <w:spacing w:after="0" w:line="20" w:lineRule="exact"/>
              <w:rPr>
                <w:sz w:val="1"/>
                <w:szCs w:val="1"/>
                <w:color w:val="auto"/>
              </w:rPr>
            </w:pPr>
          </w:p>
        </w:tc>
        <w:tc>
          <w:tcPr>
            <w:tcW w:w="3800" w:type="dxa"/>
            <w:vAlign w:val="bottom"/>
            <w:gridSpan w:val="9"/>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940" w:type="dxa"/>
            <w:vAlign w:val="bottom"/>
            <w:gridSpan w:val="1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50"/>
        </w:trPr>
        <w:tc>
          <w:tcPr>
            <w:tcW w:w="220" w:type="dxa"/>
            <w:vAlign w:val="bottom"/>
          </w:tcPr>
          <w:p>
            <w:pPr>
              <w:spacing w:after="0"/>
              <w:rPr>
                <w:sz w:val="21"/>
                <w:szCs w:val="21"/>
                <w:color w:val="auto"/>
              </w:rPr>
            </w:pPr>
          </w:p>
        </w:tc>
        <w:tc>
          <w:tcPr>
            <w:tcW w:w="10220" w:type="dxa"/>
            <w:vAlign w:val="bottom"/>
            <w:gridSpan w:val="22"/>
          </w:tcPr>
          <w:p>
            <w:pPr>
              <w:spacing w:after="0"/>
              <w:rPr>
                <w:rFonts w:ascii="Arial" w:cs="Arial" w:eastAsia="Arial" w:hAnsi="Arial"/>
                <w:sz w:val="18"/>
                <w:szCs w:val="18"/>
                <w:color w:val="0000EE"/>
              </w:rPr>
            </w:pPr>
            <w:hyperlink w:anchor="page331">
              <w:r>
                <w:rPr>
                  <w:rFonts w:ascii="Arial" w:cs="Arial" w:eastAsia="Arial" w:hAnsi="Arial"/>
                  <w:sz w:val="18"/>
                  <w:szCs w:val="18"/>
                  <w:color w:val="0000EE"/>
                </w:rPr>
                <w:t>Notes to the unaudited condensed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F-98</w:t>
            </w:r>
          </w:p>
        </w:tc>
      </w:tr>
      <w:tr>
        <w:trPr>
          <w:trHeight w:val="370"/>
        </w:trPr>
        <w:tc>
          <w:tcPr>
            <w:tcW w:w="220" w:type="dxa"/>
            <w:vAlign w:val="bottom"/>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gridSpan w:val="5"/>
          </w:tcPr>
          <w:p>
            <w:pPr>
              <w:ind w:left="4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r>
    </w:tbl>
    <w:p>
      <w:pPr>
        <w:sectPr>
          <w:pgSz w:w="11900" w:h="16838" w:orient="portrait"/>
          <w:cols w:equalWidth="0" w:num="1">
            <w:col w:w="11180"/>
          </w:cols>
          <w:pgMar w:left="240" w:top="460"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58"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reverse stock split described in Note 2 to the consolidated financial statements has not been consummated at February 3, 2020. When it has been consummated, we will be in a position to furnish the following report.</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ind w:left="200"/>
        <w:spacing w:after="0" w:line="234" w:lineRule="auto"/>
        <w:rPr>
          <w:sz w:val="20"/>
          <w:szCs w:val="20"/>
          <w:color w:val="auto"/>
        </w:rPr>
      </w:pPr>
      <w:r>
        <w:rPr>
          <w:rFonts w:ascii="Arial" w:cs="Arial" w:eastAsia="Arial" w:hAnsi="Arial"/>
          <w:sz w:val="18"/>
          <w:szCs w:val="18"/>
          <w:color w:val="auto"/>
        </w:rPr>
        <w:t>San Jose, California</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February 3, 2020</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32"/>
          <w:szCs w:val="32"/>
          <w:b w:val="1"/>
          <w:bCs w:val="1"/>
          <w:color w:val="auto"/>
        </w:rPr>
        <w:t>“Report of Independent Registered Public Accounting Firm</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the Board of Directors and Stockholders of Revolution Medicines, Inc.</w:t>
      </w:r>
    </w:p>
    <w:p>
      <w:pPr>
        <w:spacing w:after="0" w:line="176"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Opinion on the Financial Statements</w:t>
      </w:r>
    </w:p>
    <w:p>
      <w:pPr>
        <w:spacing w:after="0" w:line="134" w:lineRule="exact"/>
        <w:rPr>
          <w:sz w:val="20"/>
          <w:szCs w:val="20"/>
          <w:color w:val="auto"/>
        </w:rPr>
      </w:pPr>
    </w:p>
    <w:p>
      <w:pPr>
        <w:ind w:left="640" w:right="60"/>
        <w:spacing w:after="0" w:line="271" w:lineRule="auto"/>
        <w:rPr>
          <w:sz w:val="20"/>
          <w:szCs w:val="20"/>
          <w:color w:val="auto"/>
        </w:rPr>
      </w:pPr>
      <w:r>
        <w:rPr>
          <w:rFonts w:ascii="Arial" w:cs="Arial" w:eastAsia="Arial" w:hAnsi="Arial"/>
          <w:sz w:val="16"/>
          <w:szCs w:val="16"/>
          <w:color w:val="auto"/>
        </w:rPr>
        <w:t>We have audited the accompanying consolidated balance sheets of Revolution Medicines, Inc. and its subsidiary (the “Company”) as of December 31, 2018 and 2017, and the related consolidated statements of operations and comprehensive loss, of redeemable convertible preferred stock and stockholders’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the years then ended in conformity with accounting principles generally accepted in the United States of America.</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22"/>
          <w:szCs w:val="22"/>
          <w:b w:val="1"/>
          <w:bCs w:val="1"/>
          <w:color w:val="auto"/>
        </w:rPr>
        <w:t>Basis for Opinion</w:t>
      </w:r>
    </w:p>
    <w:p>
      <w:pPr>
        <w:spacing w:after="0" w:line="134" w:lineRule="exact"/>
        <w:rPr>
          <w:sz w:val="20"/>
          <w:szCs w:val="20"/>
          <w:color w:val="auto"/>
        </w:rPr>
      </w:pPr>
    </w:p>
    <w:p>
      <w:pPr>
        <w:ind w:left="640"/>
        <w:spacing w:after="0" w:line="23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3" w:lineRule="exact"/>
        <w:rPr>
          <w:sz w:val="20"/>
          <w:szCs w:val="20"/>
          <w:color w:val="auto"/>
        </w:rPr>
      </w:pPr>
    </w:p>
    <w:p>
      <w:pPr>
        <w:jc w:val="both"/>
        <w:ind w:left="640" w:right="80"/>
        <w:spacing w:after="0" w:line="238"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00" w:lineRule="exact"/>
        <w:rPr>
          <w:sz w:val="20"/>
          <w:szCs w:val="20"/>
          <w:color w:val="auto"/>
        </w:rPr>
      </w:pPr>
    </w:p>
    <w:p>
      <w:pPr>
        <w:ind w:left="640" w:right="60"/>
        <w:spacing w:after="0" w:line="236"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7"/>
        </w:trPr>
        <w:tc>
          <w:tcPr>
            <w:tcW w:w="8660" w:type="dxa"/>
            <w:vAlign w:val="bottom"/>
          </w:tcPr>
          <w:p>
            <w:pPr>
              <w:spacing w:after="0"/>
              <w:rPr>
                <w:sz w:val="20"/>
                <w:szCs w:val="20"/>
                <w:color w:val="auto"/>
              </w:rPr>
            </w:pPr>
            <w:r>
              <w:rPr>
                <w:rFonts w:ascii="Arial" w:cs="Arial" w:eastAsia="Arial" w:hAnsi="Arial"/>
                <w:sz w:val="18"/>
                <w:szCs w:val="18"/>
                <w:color w:val="auto"/>
              </w:rPr>
              <w:t>San Jose, California</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2"/>
        </w:trPr>
        <w:tc>
          <w:tcPr>
            <w:tcW w:w="8660" w:type="dxa"/>
            <w:vAlign w:val="bottom"/>
          </w:tcPr>
          <w:p>
            <w:pPr>
              <w:spacing w:after="0" w:line="172" w:lineRule="exact"/>
              <w:rPr>
                <w:sz w:val="20"/>
                <w:szCs w:val="20"/>
                <w:color w:val="auto"/>
              </w:rPr>
            </w:pPr>
            <w:r>
              <w:rPr>
                <w:rFonts w:ascii="Arial" w:cs="Arial" w:eastAsia="Arial" w:hAnsi="Arial"/>
                <w:sz w:val="18"/>
                <w:szCs w:val="18"/>
                <w:color w:val="auto"/>
                <w:w w:val="97"/>
              </w:rPr>
              <w:t>September 19, 2019, except for the effects of the reverse stock split described in Note 2, as to which the date is</w:t>
            </w:r>
          </w:p>
        </w:tc>
        <w:tc>
          <w:tcPr>
            <w:tcW w:w="1020" w:type="dxa"/>
            <w:vAlign w:val="bottom"/>
            <w:gridSpan w:val="2"/>
          </w:tcPr>
          <w:p>
            <w:pPr>
              <w:jc w:val="right"/>
              <w:spacing w:after="0" w:line="172" w:lineRule="exact"/>
              <w:rPr>
                <w:sz w:val="20"/>
                <w:szCs w:val="20"/>
                <w:color w:val="auto"/>
              </w:rPr>
            </w:pPr>
            <w:r>
              <w:rPr>
                <w:rFonts w:ascii="Arial" w:cs="Arial" w:eastAsia="Arial" w:hAnsi="Arial"/>
                <w:sz w:val="18"/>
                <w:szCs w:val="18"/>
                <w:color w:val="auto"/>
              </w:rPr>
              <w:t>.</w:t>
            </w:r>
          </w:p>
        </w:tc>
      </w:tr>
      <w:tr>
        <w:trPr>
          <w:trHeight w:val="329"/>
        </w:trPr>
        <w:tc>
          <w:tcPr>
            <w:tcW w:w="8660" w:type="dxa"/>
            <w:vAlign w:val="bottom"/>
          </w:tcPr>
          <w:p>
            <w:pPr>
              <w:spacing w:after="0"/>
              <w:rPr>
                <w:sz w:val="20"/>
                <w:szCs w:val="20"/>
                <w:color w:val="auto"/>
              </w:rPr>
            </w:pPr>
            <w:r>
              <w:rPr>
                <w:rFonts w:ascii="Arial" w:cs="Arial" w:eastAsia="Arial" w:hAnsi="Arial"/>
                <w:sz w:val="18"/>
                <w:szCs w:val="18"/>
                <w:color w:val="auto"/>
              </w:rPr>
              <w:t>We have served as the Company’s auditor since 2017.”</w:t>
            </w:r>
          </w:p>
        </w:tc>
        <w:tc>
          <w:tcPr>
            <w:tcW w:w="9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51"/>
        </w:trPr>
        <w:tc>
          <w:tcPr>
            <w:tcW w:w="8660" w:type="dxa"/>
            <w:vAlign w:val="bottom"/>
          </w:tcPr>
          <w:p>
            <w:pPr>
              <w:ind w:left="4940"/>
              <w:spacing w:after="0"/>
              <w:rPr>
                <w:sz w:val="20"/>
                <w:szCs w:val="20"/>
                <w:color w:val="auto"/>
              </w:rPr>
            </w:pPr>
            <w:r>
              <w:rPr>
                <w:rFonts w:ascii="Arial" w:cs="Arial" w:eastAsia="Arial" w:hAnsi="Arial"/>
                <w:sz w:val="18"/>
                <w:szCs w:val="18"/>
                <w:color w:val="auto"/>
              </w:rPr>
              <w:t>F-2</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Consolidated balance sheets</w:t>
      </w:r>
    </w:p>
    <w:p>
      <w:pPr>
        <w:ind w:left="2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4"/>
            <w:vMerge w:val="restart"/>
          </w:tcPr>
          <w:p>
            <w:pPr>
              <w:jc w:val="right"/>
              <w:ind w:right="64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8"/>
              </w:rPr>
              <w:t>Pro forma</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60" w:type="dxa"/>
            <w:vAlign w:val="bottom"/>
            <w:gridSpan w:val="4"/>
            <w:vMerge w:val="continue"/>
          </w:tcPr>
          <w:p>
            <w:pPr>
              <w:spacing w:after="0"/>
              <w:rPr>
                <w:sz w:val="7"/>
                <w:szCs w:val="7"/>
                <w:color w:val="auto"/>
              </w:rPr>
            </w:pPr>
          </w:p>
        </w:tc>
        <w:tc>
          <w:tcPr>
            <w:tcW w:w="1460" w:type="dxa"/>
            <w:vAlign w:val="bottom"/>
            <w:gridSpan w:val="3"/>
            <w:vMerge w:val="restart"/>
          </w:tcPr>
          <w:p>
            <w:pPr>
              <w:jc w:val="center"/>
              <w:spacing w:after="0" w:line="202" w:lineRule="exact"/>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4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38"/>
        </w:trPr>
        <w:tc>
          <w:tcPr>
            <w:tcW w:w="20" w:type="dxa"/>
            <w:vAlign w:val="bottom"/>
            <w:vMerge w:val="restart"/>
          </w:tcPr>
          <w:p>
            <w:pPr>
              <w:spacing w:after="0"/>
              <w:rPr>
                <w:sz w:val="3"/>
                <w:szCs w:val="3"/>
                <w:color w:val="auto"/>
              </w:rPr>
            </w:pPr>
          </w:p>
        </w:tc>
        <w:tc>
          <w:tcPr>
            <w:tcW w:w="7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2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9,079</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69,586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Receivable from related party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7,303</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362</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1,945</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Assets held for sale</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6,597</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9,441</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85,431</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5,253</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6,872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63,082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14,608</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383</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15,077</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170,586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200" w:type="dxa"/>
            <w:vAlign w:val="bottom"/>
            <w:gridSpan w:val="2"/>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 equity</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3,353</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5,236</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4,245</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 related party, current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16,830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7,598</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30,552</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Deferred rent, noncurrent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2,806</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2,254</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revenue, related party, noncurrent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28,413</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00" w:type="dxa"/>
            <w:vAlign w:val="bottom"/>
            <w:gridSpan w:val="2"/>
          </w:tcPr>
          <w:p>
            <w:pPr>
              <w:spacing w:after="0" w:line="202" w:lineRule="exact"/>
              <w:rPr>
                <w:sz w:val="20"/>
                <w:szCs w:val="20"/>
                <w:color w:val="auto"/>
              </w:rPr>
            </w:pPr>
            <w:r>
              <w:rPr>
                <w:rFonts w:ascii="Arial" w:cs="Arial" w:eastAsia="Arial" w:hAnsi="Arial"/>
                <w:sz w:val="18"/>
                <w:szCs w:val="18"/>
                <w:color w:val="auto"/>
              </w:rPr>
              <w:t>Deferred tax liability</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12,192</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142</w:t>
            </w: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72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10,546</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73,927</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72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5)</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200" w:type="dxa"/>
            <w:vAlign w:val="bottom"/>
            <w:gridSpan w:val="2"/>
          </w:tcPr>
          <w:p>
            <w:pPr>
              <w:spacing w:after="0" w:line="206" w:lineRule="exact"/>
              <w:rPr>
                <w:sz w:val="20"/>
                <w:szCs w:val="20"/>
                <w:color w:val="auto"/>
              </w:rPr>
            </w:pPr>
            <w:r>
              <w:rPr>
                <w:rFonts w:ascii="Arial" w:cs="Arial" w:eastAsia="Arial" w:hAnsi="Arial"/>
                <w:sz w:val="18"/>
                <w:szCs w:val="18"/>
                <w:color w:val="auto"/>
              </w:rPr>
              <w:t>Redeemable convertible preferred stock, $0.0001 par value; 70,221,732 and 146,221,732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shares authorized at December 31, 2017 and 2018, respectively; 14,430,799 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29,595,909 shares issued and outstanding at December 31, 2017 and 2018,</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respectively; aggregate liquidation preference of $194,133 at December 31, 2018; no</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tcPr>
          <w:p>
            <w:pPr>
              <w:ind w:left="200"/>
              <w:spacing w:after="0"/>
              <w:rPr>
                <w:sz w:val="20"/>
                <w:szCs w:val="20"/>
                <w:color w:val="auto"/>
              </w:rPr>
            </w:pPr>
            <w:r>
              <w:rPr>
                <w:rFonts w:ascii="Arial" w:cs="Arial" w:eastAsia="Arial" w:hAnsi="Arial"/>
                <w:sz w:val="18"/>
                <w:szCs w:val="18"/>
                <w:color w:val="auto"/>
              </w:rPr>
              <w:t>shares issued and outstanding, pro forma (unaudited)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52"/>
              <w:spacing w:after="0"/>
              <w:rPr>
                <w:sz w:val="20"/>
                <w:szCs w:val="20"/>
                <w:color w:val="auto"/>
              </w:rPr>
            </w:pPr>
            <w:r>
              <w:rPr>
                <w:rFonts w:ascii="Arial" w:cs="Arial" w:eastAsia="Arial" w:hAnsi="Arial"/>
                <w:sz w:val="18"/>
                <w:szCs w:val="18"/>
                <w:color w:val="auto"/>
              </w:rPr>
              <w:t>72,248</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205,081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7200" w:type="dxa"/>
            <w:vAlign w:val="bottom"/>
            <w:gridSpan w:val="2"/>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80" w:type="dxa"/>
            <w:vAlign w:val="bottom"/>
          </w:tcPr>
          <w:p>
            <w:pPr>
              <w:ind w:left="200"/>
              <w:spacing w:after="0" w:line="206" w:lineRule="exact"/>
              <w:rPr>
                <w:sz w:val="20"/>
                <w:szCs w:val="20"/>
                <w:color w:val="auto"/>
              </w:rPr>
            </w:pPr>
            <w:r>
              <w:rPr>
                <w:rFonts w:ascii="Arial" w:cs="Arial" w:eastAsia="Arial" w:hAnsi="Arial"/>
                <w:sz w:val="18"/>
                <w:szCs w:val="18"/>
                <w:color w:val="auto"/>
              </w:rPr>
              <w:t>Common stock, $0.0001 par value; 94,695,000 and 172,000,000 shares authorized at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420"/>
              <w:spacing w:after="0" w:line="202" w:lineRule="exact"/>
              <w:rPr>
                <w:sz w:val="20"/>
                <w:szCs w:val="20"/>
                <w:color w:val="auto"/>
              </w:rPr>
            </w:pPr>
            <w:r>
              <w:rPr>
                <w:rFonts w:ascii="Arial" w:cs="Arial" w:eastAsia="Arial" w:hAnsi="Arial"/>
                <w:sz w:val="18"/>
                <w:szCs w:val="18"/>
                <w:color w:val="auto"/>
              </w:rPr>
              <w:t>December 31, 2017 and 2018, respectively; 2,673,828 and 3,208,924 shares issued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tcPr>
          <w:p>
            <w:pPr>
              <w:ind w:left="420"/>
              <w:spacing w:after="0" w:line="202" w:lineRule="exact"/>
              <w:rPr>
                <w:sz w:val="20"/>
                <w:szCs w:val="20"/>
                <w:color w:val="auto"/>
              </w:rPr>
            </w:pPr>
            <w:r>
              <w:rPr>
                <w:rFonts w:ascii="Arial" w:cs="Arial" w:eastAsia="Arial" w:hAnsi="Arial"/>
                <w:sz w:val="18"/>
                <w:szCs w:val="18"/>
                <w:color w:val="auto"/>
              </w:rPr>
              <w:t>and outstanding at December 31, 2017 and 2018, respectively; 32,804,833 shares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180" w:type="dxa"/>
            <w:vAlign w:val="bottom"/>
          </w:tcPr>
          <w:p>
            <w:pPr>
              <w:ind w:left="420"/>
              <w:spacing w:after="0" w:line="200" w:lineRule="exact"/>
              <w:rPr>
                <w:sz w:val="20"/>
                <w:szCs w:val="20"/>
                <w:color w:val="auto"/>
              </w:rPr>
            </w:pPr>
            <w:r>
              <w:rPr>
                <w:rFonts w:ascii="Arial" w:cs="Arial" w:eastAsia="Arial" w:hAnsi="Arial"/>
                <w:sz w:val="18"/>
                <w:szCs w:val="18"/>
                <w:color w:val="auto"/>
              </w:rPr>
              <w:t>issued and outstanding, pro forma (unaudited)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gridSpan w:val="2"/>
          </w:tcPr>
          <w:p>
            <w:pPr>
              <w:jc w:val="right"/>
              <w:ind w:right="240"/>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216</w:t>
            </w: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1,300</w:t>
            </w: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206,378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92"/>
              <w:spacing w:after="0" w:line="202" w:lineRule="exact"/>
              <w:rPr>
                <w:sz w:val="20"/>
                <w:szCs w:val="20"/>
                <w:color w:val="auto"/>
              </w:rPr>
            </w:pPr>
            <w:r>
              <w:rPr>
                <w:rFonts w:ascii="Arial" w:cs="Arial" w:eastAsia="Arial" w:hAnsi="Arial"/>
                <w:sz w:val="18"/>
                <w:szCs w:val="18"/>
                <w:color w:val="auto"/>
                <w:w w:val="95"/>
              </w:rPr>
              <w:t>(67,933)</w:t>
            </w:r>
          </w:p>
        </w:tc>
        <w:tc>
          <w:tcPr>
            <w:tcW w:w="280" w:type="dxa"/>
            <w:vAlign w:val="bottom"/>
          </w:tcPr>
          <w:p>
            <w:pPr>
              <w:spacing w:after="0"/>
              <w:rPr>
                <w:sz w:val="18"/>
                <w:szCs w:val="18"/>
                <w:color w:val="auto"/>
              </w:rPr>
            </w:pPr>
          </w:p>
        </w:tc>
        <w:tc>
          <w:tcPr>
            <w:tcW w:w="9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w w:val="95"/>
              </w:rPr>
              <w:t>(109,722)</w:t>
            </w:r>
          </w:p>
        </w:tc>
        <w:tc>
          <w:tcPr>
            <w:tcW w:w="320" w:type="dxa"/>
            <w:vAlign w:val="bottom"/>
          </w:tcPr>
          <w:p>
            <w:pPr>
              <w:spacing w:after="0"/>
              <w:rPr>
                <w:sz w:val="18"/>
                <w:szCs w:val="18"/>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(109,722)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2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w w:val="95"/>
              </w:rPr>
              <w:t>(67,717)</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w w:val="95"/>
              </w:rPr>
              <w:t>(108,422)</w:t>
            </w:r>
          </w:p>
        </w:tc>
        <w:tc>
          <w:tcPr>
            <w:tcW w:w="3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96,659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 (deficit) equity</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15,077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170,586</w:t>
            </w:r>
          </w:p>
        </w:tc>
        <w:tc>
          <w:tcPr>
            <w:tcW w:w="2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4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Consolidated statements of operations and comprehensive loss</w:t>
      </w:r>
    </w:p>
    <w:p>
      <w:pPr>
        <w:ind w:left="20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8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48"/>
        </w:trPr>
        <w:tc>
          <w:tcPr>
            <w:tcW w:w="20" w:type="dxa"/>
            <w:vAlign w:val="bottom"/>
          </w:tcPr>
          <w:p>
            <w:pPr>
              <w:spacing w:after="0"/>
              <w:rPr>
                <w:sz w:val="4"/>
                <w:szCs w:val="4"/>
                <w:color w:val="auto"/>
              </w:rPr>
            </w:pPr>
          </w:p>
        </w:tc>
        <w:tc>
          <w:tcPr>
            <w:tcW w:w="8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Collaboration revenue, related party</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19,420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Collaboration revenue, other</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20,165</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26,586</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51,084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4,543</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9,410</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31,129</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60,494</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(31,129)</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(40,329)</w:t>
            </w:r>
          </w:p>
        </w:tc>
      </w:tr>
      <w:tr>
        <w:trPr>
          <w:trHeight w:val="270"/>
        </w:trPr>
        <w:tc>
          <w:tcPr>
            <w:tcW w:w="81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777</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expense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(103)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(116)</w:t>
            </w: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(2,121)</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(1,460)</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and comprehensive loss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(31,127)</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(41,789)</w:t>
            </w:r>
          </w:p>
        </w:tc>
      </w:tr>
      <w:tr>
        <w:trPr>
          <w:trHeight w:val="20"/>
        </w:trPr>
        <w:tc>
          <w:tcPr>
            <w:tcW w:w="8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Redeemable convertible preferred stock dividends—undeclared and cumulative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(3,763)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(7,031)</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(34,890)</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(48,820)</w:t>
            </w:r>
          </w:p>
        </w:tc>
      </w:tr>
      <w:tr>
        <w:trPr>
          <w:trHeight w:val="20"/>
        </w:trPr>
        <w:tc>
          <w:tcPr>
            <w:tcW w:w="8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7"/>
        </w:trPr>
        <w:tc>
          <w:tcPr>
            <w:tcW w:w="8120" w:type="dxa"/>
            <w:vAlign w:val="bottom"/>
            <w:gridSpan w:val="2"/>
          </w:tcPr>
          <w:p>
            <w:pPr>
              <w:spacing w:after="0"/>
              <w:rPr>
                <w:sz w:val="20"/>
                <w:szCs w:val="20"/>
                <w:color w:val="auto"/>
              </w:rPr>
            </w:pPr>
            <w:r>
              <w:rPr>
                <w:rFonts w:ascii="Arial" w:cs="Arial" w:eastAsia="Arial" w:hAnsi="Arial"/>
                <w:sz w:val="18"/>
                <w:szCs w:val="18"/>
                <w:color w:val="auto"/>
              </w:rPr>
              <w:t>Net loss per share attributable to common stockholders—basic and diluted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(20.25)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(21.24)</w:t>
            </w:r>
          </w:p>
        </w:tc>
      </w:tr>
      <w:tr>
        <w:trPr>
          <w:trHeight w:val="206"/>
        </w:trPr>
        <w:tc>
          <w:tcPr>
            <w:tcW w:w="20" w:type="dxa"/>
            <w:vAlign w:val="bottom"/>
          </w:tcPr>
          <w:p>
            <w:pPr>
              <w:spacing w:after="0"/>
              <w:rPr>
                <w:sz w:val="17"/>
                <w:szCs w:val="17"/>
                <w:color w:val="auto"/>
              </w:rPr>
            </w:pPr>
          </w:p>
        </w:tc>
        <w:tc>
          <w:tcPr>
            <w:tcW w:w="8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Weighted-average shares used to compute net loss per share attributable to common stockholders—</w:t>
            </w:r>
          </w:p>
        </w:tc>
        <w:tc>
          <w:tcPr>
            <w:tcW w:w="3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52"/>
              <w:spacing w:after="0" w:line="200" w:lineRule="exact"/>
              <w:rPr>
                <w:sz w:val="20"/>
                <w:szCs w:val="20"/>
                <w:color w:val="auto"/>
              </w:rPr>
            </w:pPr>
            <w:r>
              <w:rPr>
                <w:rFonts w:ascii="Arial" w:cs="Arial" w:eastAsia="Arial" w:hAnsi="Arial"/>
                <w:sz w:val="18"/>
                <w:szCs w:val="18"/>
                <w:color w:val="auto"/>
                <w:w w:val="97"/>
              </w:rPr>
              <w:t>1,723,387</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0" w:lineRule="exact"/>
              <w:rPr>
                <w:sz w:val="20"/>
                <w:szCs w:val="20"/>
                <w:color w:val="auto"/>
              </w:rPr>
            </w:pPr>
            <w:r>
              <w:rPr>
                <w:rFonts w:ascii="Arial" w:cs="Arial" w:eastAsia="Arial" w:hAnsi="Arial"/>
                <w:sz w:val="18"/>
                <w:szCs w:val="18"/>
                <w:color w:val="auto"/>
              </w:rPr>
              <w:t>2,298,820</w:t>
            </w:r>
          </w:p>
        </w:tc>
        <w:tc>
          <w:tcPr>
            <w:tcW w:w="120" w:type="dxa"/>
            <w:vAlign w:val="bottom"/>
            <w:shd w:val="clear" w:color="auto" w:fill="CCEEFF"/>
          </w:tcPr>
          <w:p>
            <w:pPr>
              <w:spacing w:after="0"/>
              <w:rPr>
                <w:sz w:val="17"/>
                <w:szCs w:val="17"/>
                <w:color w:val="auto"/>
              </w:rPr>
            </w:pPr>
          </w:p>
        </w:tc>
      </w:tr>
      <w:tr>
        <w:trPr>
          <w:trHeight w:val="217"/>
        </w:trPr>
        <w:tc>
          <w:tcPr>
            <w:tcW w:w="8120" w:type="dxa"/>
            <w:vAlign w:val="bottom"/>
            <w:gridSpan w:val="2"/>
          </w:tcPr>
          <w:p>
            <w:pPr>
              <w:spacing w:after="0"/>
              <w:rPr>
                <w:sz w:val="20"/>
                <w:szCs w:val="20"/>
                <w:color w:val="auto"/>
              </w:rPr>
            </w:pPr>
            <w:r>
              <w:rPr>
                <w:rFonts w:ascii="Arial" w:cs="Arial" w:eastAsia="Arial" w:hAnsi="Arial"/>
                <w:sz w:val="18"/>
                <w:szCs w:val="18"/>
                <w:color w:val="auto"/>
              </w:rPr>
              <w:t>Pro forma net loss per share—basic and diluted (unaudited)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r>
      <w:tr>
        <w:trPr>
          <w:trHeight w:val="206"/>
        </w:trPr>
        <w:tc>
          <w:tcPr>
            <w:tcW w:w="20" w:type="dxa"/>
            <w:vAlign w:val="bottom"/>
          </w:tcPr>
          <w:p>
            <w:pPr>
              <w:spacing w:after="0"/>
              <w:rPr>
                <w:sz w:val="17"/>
                <w:szCs w:val="17"/>
                <w:color w:val="auto"/>
              </w:rPr>
            </w:pPr>
          </w:p>
        </w:tc>
        <w:tc>
          <w:tcPr>
            <w:tcW w:w="81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Weighted-average shares used in computing pro forma net loss per share—basic and diluted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(unaudited)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7"/>
              </w:rPr>
              <w:t>23,163,260</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60" w:right="4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620"/>
        <w:spacing w:after="0" w:line="246" w:lineRule="auto"/>
        <w:rPr>
          <w:sz w:val="20"/>
          <w:szCs w:val="20"/>
          <w:color w:val="auto"/>
        </w:rPr>
      </w:pPr>
      <w:r>
        <w:rPr>
          <w:rFonts w:ascii="Arial" w:cs="Arial" w:eastAsia="Arial" w:hAnsi="Arial"/>
          <w:sz w:val="32"/>
          <w:szCs w:val="32"/>
          <w:b w:val="1"/>
          <w:bCs w:val="1"/>
          <w:color w:val="auto"/>
        </w:rPr>
        <w:t>Consolidated statements of redeemable convertible preferred stock and stockholders’ deficit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share data)</w:t>
      </w: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3680" w:type="dxa"/>
            <w:vAlign w:val="bottom"/>
            <w:tcBorders>
              <w:top w:val="single" w:sz="8" w:color="auto"/>
            </w:tcBorders>
          </w:tcPr>
          <w:p>
            <w:pPr>
              <w:spacing w:after="0"/>
              <w:rPr>
                <w:sz w:val="21"/>
                <w:szCs w:val="21"/>
                <w:color w:val="auto"/>
              </w:rPr>
            </w:pPr>
          </w:p>
        </w:tc>
        <w:tc>
          <w:tcPr>
            <w:tcW w:w="1900" w:type="dxa"/>
            <w:vAlign w:val="bottom"/>
            <w:tcBorders>
              <w:top w:val="single" w:sz="8" w:color="auto"/>
              <w:right w:val="single" w:sz="8" w:color="auto"/>
            </w:tcBorders>
            <w:gridSpan w:val="4"/>
          </w:tcPr>
          <w:p>
            <w:pPr>
              <w:jc w:val="center"/>
              <w:ind w:right="140"/>
              <w:spacing w:after="0"/>
              <w:rPr>
                <w:sz w:val="20"/>
                <w:szCs w:val="20"/>
                <w:color w:val="auto"/>
              </w:rPr>
            </w:pPr>
            <w:r>
              <w:rPr>
                <w:rFonts w:ascii="Arial" w:cs="Arial" w:eastAsia="Arial" w:hAnsi="Arial"/>
                <w:sz w:val="18"/>
                <w:szCs w:val="18"/>
                <w:b w:val="1"/>
                <w:bCs w:val="1"/>
                <w:color w:val="auto"/>
                <w:w w:val="98"/>
              </w:rPr>
              <w:t>Redeemable</w:t>
            </w:r>
          </w:p>
        </w:tc>
        <w:tc>
          <w:tcPr>
            <w:tcW w:w="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1900" w:type="dxa"/>
            <w:vAlign w:val="bottom"/>
            <w:tcBorders>
              <w:right w:val="single" w:sz="8" w:color="auto"/>
            </w:tcBorders>
            <w:gridSpan w:val="4"/>
          </w:tcPr>
          <w:p>
            <w:pPr>
              <w:jc w:val="center"/>
              <w:ind w:right="120"/>
              <w:spacing w:after="0"/>
              <w:rPr>
                <w:sz w:val="20"/>
                <w:szCs w:val="20"/>
                <w:color w:val="auto"/>
              </w:rPr>
            </w:pPr>
            <w:r>
              <w:rPr>
                <w:rFonts w:ascii="Arial" w:cs="Arial" w:eastAsia="Arial" w:hAnsi="Arial"/>
                <w:sz w:val="18"/>
                <w:szCs w:val="18"/>
                <w:b w:val="1"/>
                <w:bCs w:val="1"/>
                <w:color w:val="auto"/>
                <w:w w:val="97"/>
              </w:rPr>
              <w:t>convertible</w:t>
            </w:r>
          </w:p>
        </w:tc>
        <w:tc>
          <w:tcPr>
            <w:tcW w:w="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Additional</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780" w:type="dxa"/>
            <w:vAlign w:val="bottom"/>
            <w:tcBorders>
              <w:bottom w:val="single" w:sz="8" w:color="auto"/>
            </w:tcBorders>
            <w:gridSpan w:val="3"/>
          </w:tcPr>
          <w:p>
            <w:pPr>
              <w:jc w:val="center"/>
              <w:spacing w:after="0" w:line="182" w:lineRule="exact"/>
              <w:rPr>
                <w:sz w:val="20"/>
                <w:szCs w:val="20"/>
                <w:color w:val="auto"/>
              </w:rPr>
            </w:pPr>
            <w:r>
              <w:rPr>
                <w:rFonts w:ascii="Arial" w:cs="Arial" w:eastAsia="Arial" w:hAnsi="Arial"/>
                <w:sz w:val="18"/>
                <w:szCs w:val="18"/>
                <w:b w:val="1"/>
                <w:bCs w:val="1"/>
                <w:color w:val="auto"/>
                <w:w w:val="97"/>
              </w:rPr>
              <w:t>preferred stock</w:t>
            </w: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500" w:type="dxa"/>
            <w:vAlign w:val="bottom"/>
            <w:tcBorders>
              <w:bottom w:val="single" w:sz="8" w:color="auto"/>
            </w:tcBorders>
            <w:gridSpan w:val="2"/>
          </w:tcPr>
          <w:p>
            <w:pPr>
              <w:ind w:left="220"/>
              <w:spacing w:after="0" w:line="182" w:lineRule="exact"/>
              <w:rPr>
                <w:sz w:val="20"/>
                <w:szCs w:val="20"/>
                <w:color w:val="auto"/>
              </w:rPr>
            </w:pPr>
            <w:r>
              <w:rPr>
                <w:rFonts w:ascii="Arial" w:cs="Arial" w:eastAsia="Arial" w:hAnsi="Arial"/>
                <w:sz w:val="18"/>
                <w:szCs w:val="18"/>
                <w:b w:val="1"/>
                <w:bCs w:val="1"/>
                <w:color w:val="auto"/>
                <w:w w:val="96"/>
              </w:rPr>
              <w:t>Common stock</w:t>
            </w:r>
          </w:p>
        </w:tc>
        <w:tc>
          <w:tcPr>
            <w:tcW w:w="2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112"/>
              <w:spacing w:after="0" w:line="182" w:lineRule="exact"/>
              <w:rPr>
                <w:sz w:val="20"/>
                <w:szCs w:val="20"/>
                <w:color w:val="auto"/>
              </w:rPr>
            </w:pPr>
            <w:r>
              <w:rPr>
                <w:rFonts w:ascii="Arial" w:cs="Arial" w:eastAsia="Arial" w:hAnsi="Arial"/>
                <w:sz w:val="18"/>
                <w:szCs w:val="18"/>
                <w:b w:val="1"/>
                <w:bCs w:val="1"/>
                <w:color w:val="auto"/>
                <w:w w:val="98"/>
              </w:rPr>
              <w:t>paid-in</w:t>
            </w:r>
          </w:p>
        </w:tc>
        <w:tc>
          <w:tcPr>
            <w:tcW w:w="1300" w:type="dxa"/>
            <w:vAlign w:val="bottom"/>
            <w:gridSpan w:val="2"/>
          </w:tcPr>
          <w:p>
            <w:pPr>
              <w:ind w:left="80"/>
              <w:spacing w:after="0" w:line="182" w:lineRule="exact"/>
              <w:rPr>
                <w:sz w:val="20"/>
                <w:szCs w:val="20"/>
                <w:color w:val="auto"/>
              </w:rPr>
            </w:pPr>
            <w:r>
              <w:rPr>
                <w:rFonts w:ascii="Arial" w:cs="Arial" w:eastAsia="Arial" w:hAnsi="Arial"/>
                <w:sz w:val="18"/>
                <w:szCs w:val="18"/>
                <w:b w:val="1"/>
                <w:bCs w:val="1"/>
                <w:color w:val="auto"/>
              </w:rPr>
              <w:t>Accumulated</w:t>
            </w:r>
          </w:p>
        </w:tc>
        <w:tc>
          <w:tcPr>
            <w:tcW w:w="1340" w:type="dxa"/>
            <w:vAlign w:val="bottom"/>
            <w:gridSpan w:val="3"/>
          </w:tcPr>
          <w:p>
            <w:pPr>
              <w:ind w:left="80"/>
              <w:spacing w:after="0" w:line="182"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Shares</w:t>
            </w:r>
          </w:p>
        </w:tc>
        <w:tc>
          <w:tcPr>
            <w:tcW w:w="920" w:type="dxa"/>
            <w:vAlign w:val="bottom"/>
            <w:tcBorders>
              <w:bottom w:val="single" w:sz="8" w:color="auto"/>
              <w:right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rPr>
              <w:t>Amount</w:t>
            </w: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Shares</w:t>
            </w: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7"/>
              </w:rPr>
              <w:t>Amount</w:t>
            </w: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8"/>
              </w:rPr>
              <w:t>capital</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deficit</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January 1, 2017</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9,767,052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49,579</w:t>
            </w:r>
          </w:p>
        </w:tc>
        <w:tc>
          <w:tcPr>
            <w:tcW w:w="12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2,428,027</w:t>
            </w:r>
          </w:p>
        </w:tc>
        <w:tc>
          <w:tcPr>
            <w:tcW w:w="5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ind w:left="14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(36,806)</w:t>
            </w:r>
          </w:p>
        </w:tc>
        <w:tc>
          <w:tcPr>
            <w:tcW w:w="28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(36,805)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200"/>
              <w:spacing w:after="0" w:line="206" w:lineRule="exact"/>
              <w:rPr>
                <w:sz w:val="20"/>
                <w:szCs w:val="20"/>
                <w:color w:val="auto"/>
              </w:rPr>
            </w:pPr>
            <w:r>
              <w:rPr>
                <w:rFonts w:ascii="Arial" w:cs="Arial" w:eastAsia="Arial" w:hAnsi="Arial"/>
                <w:sz w:val="18"/>
                <w:szCs w:val="18"/>
                <w:color w:val="auto"/>
              </w:rPr>
              <w:t>Issuance of Series A redeemable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convertible preferred stock for cash at</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w w:val="99"/>
              </w:rPr>
              <w:t>$4.87 per share, net of issuance costs of</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0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$25</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4,663,747</w:t>
            </w:r>
          </w:p>
        </w:tc>
        <w:tc>
          <w:tcPr>
            <w:tcW w:w="16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22,669</w:t>
            </w: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Issuance of common stock pursuant to</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stock option exercises</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91,699</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200"/>
              <w:spacing w:after="0" w:line="206" w:lineRule="exact"/>
              <w:rPr>
                <w:sz w:val="20"/>
                <w:szCs w:val="20"/>
                <w:color w:val="auto"/>
              </w:rPr>
            </w:pPr>
            <w:r>
              <w:rPr>
                <w:rFonts w:ascii="Arial" w:cs="Arial" w:eastAsia="Arial" w:hAnsi="Arial"/>
                <w:sz w:val="18"/>
                <w:szCs w:val="18"/>
                <w:color w:val="auto"/>
              </w:rPr>
              <w:t>Issuance of common stock pursuant to</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tcPr>
          <w:p>
            <w:pPr>
              <w:ind w:left="420"/>
              <w:spacing w:after="0" w:line="200" w:lineRule="exact"/>
              <w:rPr>
                <w:sz w:val="20"/>
                <w:szCs w:val="20"/>
                <w:color w:val="auto"/>
              </w:rPr>
            </w:pPr>
            <w:r>
              <w:rPr>
                <w:rFonts w:ascii="Arial" w:cs="Arial" w:eastAsia="Arial" w:hAnsi="Arial"/>
                <w:sz w:val="18"/>
                <w:szCs w:val="18"/>
                <w:color w:val="auto"/>
              </w:rPr>
              <w:t>early exercised stock options</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485,947</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Vesting of early exercised stock options</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and restricted stock</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37</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200"/>
              <w:spacing w:after="0" w:line="206" w:lineRule="exact"/>
              <w:rPr>
                <w:sz w:val="20"/>
                <w:szCs w:val="20"/>
                <w:color w:val="auto"/>
              </w:rPr>
            </w:pPr>
            <w:r>
              <w:rPr>
                <w:rFonts w:ascii="Arial" w:cs="Arial" w:eastAsia="Arial" w:hAnsi="Arial"/>
                <w:sz w:val="18"/>
                <w:szCs w:val="18"/>
                <w:color w:val="auto"/>
              </w:rPr>
              <w:t>Repurchases of early exercised stock</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tcPr>
          <w:p>
            <w:pPr>
              <w:ind w:left="420"/>
              <w:spacing w:after="0" w:line="200" w:lineRule="exact"/>
              <w:rPr>
                <w:sz w:val="20"/>
                <w:szCs w:val="20"/>
                <w:color w:val="auto"/>
              </w:rPr>
            </w:pPr>
            <w:r>
              <w:rPr>
                <w:rFonts w:ascii="Arial" w:cs="Arial" w:eastAsia="Arial" w:hAnsi="Arial"/>
                <w:sz w:val="18"/>
                <w:szCs w:val="18"/>
                <w:color w:val="auto"/>
              </w:rPr>
              <w:t>options and restricted stock</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(331,845)</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Net loss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(31,127)</w:t>
            </w:r>
          </w:p>
        </w:tc>
        <w:tc>
          <w:tcPr>
            <w:tcW w:w="280" w:type="dxa"/>
            <w:vAlign w:val="bottom"/>
          </w:tcPr>
          <w:p>
            <w:pPr>
              <w:spacing w:after="0"/>
              <w:rPr>
                <w:sz w:val="17"/>
                <w:szCs w:val="17"/>
                <w:color w:val="auto"/>
              </w:rPr>
            </w:pPr>
          </w:p>
        </w:tc>
        <w:tc>
          <w:tcPr>
            <w:tcW w:w="10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(31,127)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at December 31, 2017</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14,430,799</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72,248</w:t>
            </w:r>
          </w:p>
        </w:tc>
        <w:tc>
          <w:tcPr>
            <w:tcW w:w="120" w:type="dxa"/>
            <w:vAlign w:val="bottom"/>
            <w:tcBorders>
              <w:right w:val="single" w:sz="8" w:color="auto"/>
            </w:tcBorders>
            <w:shd w:val="clear" w:color="auto" w:fill="CCEEFF"/>
          </w:tcPr>
          <w:p>
            <w:pPr>
              <w:spacing w:after="0"/>
              <w:rPr>
                <w:sz w:val="17"/>
                <w:szCs w:val="17"/>
                <w:color w:val="auto"/>
              </w:rPr>
            </w:pPr>
          </w:p>
        </w:tc>
        <w:tc>
          <w:tcPr>
            <w:tcW w:w="1000" w:type="dxa"/>
            <w:vAlign w:val="bottom"/>
            <w:gridSpan w:val="2"/>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2,673,828</w:t>
            </w:r>
          </w:p>
        </w:tc>
        <w:tc>
          <w:tcPr>
            <w:tcW w:w="5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216</w:t>
            </w:r>
          </w:p>
        </w:tc>
        <w:tc>
          <w:tcPr>
            <w:tcW w:w="2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(67,933)</w:t>
            </w:r>
          </w:p>
        </w:tc>
        <w:tc>
          <w:tcPr>
            <w:tcW w:w="28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(67,717)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680" w:type="dxa"/>
            <w:vAlign w:val="bottom"/>
          </w:tcPr>
          <w:p>
            <w:pPr>
              <w:ind w:left="200"/>
              <w:spacing w:after="0"/>
              <w:rPr>
                <w:sz w:val="20"/>
                <w:szCs w:val="20"/>
                <w:color w:val="auto"/>
              </w:rPr>
            </w:pPr>
            <w:r>
              <w:rPr>
                <w:rFonts w:ascii="Arial" w:cs="Arial" w:eastAsia="Arial" w:hAnsi="Arial"/>
                <w:sz w:val="18"/>
                <w:szCs w:val="18"/>
                <w:color w:val="auto"/>
              </w:rPr>
              <w:t>Issuance of Series B redeemable</w:t>
            </w: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right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convertible preferred stock for cash at</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w w:val="99"/>
              </w:rPr>
              <w:t>$7.30 per share, net of issuance costs of</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$204, adjusted for the redeemable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convertible preferred stock liability of</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70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$2,121</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7,731,155</w:t>
            </w:r>
          </w:p>
        </w:tc>
        <w:tc>
          <w:tcPr>
            <w:tcW w:w="16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58,347</w:t>
            </w: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Issuance of Series B redeemable</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convertible preferred stock on</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acquisition of Warp Drive</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6,797,915</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68,144</w:t>
            </w: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200"/>
              <w:spacing w:after="0" w:line="206" w:lineRule="exact"/>
              <w:rPr>
                <w:sz w:val="20"/>
                <w:szCs w:val="20"/>
                <w:color w:val="auto"/>
              </w:rPr>
            </w:pPr>
            <w:r>
              <w:rPr>
                <w:rFonts w:ascii="Arial" w:cs="Arial" w:eastAsia="Arial" w:hAnsi="Arial"/>
                <w:sz w:val="18"/>
                <w:szCs w:val="18"/>
                <w:color w:val="auto"/>
              </w:rPr>
              <w:t>Convertible note payable converted into</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420"/>
              <w:spacing w:after="0" w:line="202" w:lineRule="exact"/>
              <w:rPr>
                <w:sz w:val="20"/>
                <w:szCs w:val="20"/>
                <w:color w:val="auto"/>
              </w:rPr>
            </w:pPr>
            <w:r>
              <w:rPr>
                <w:rFonts w:ascii="Arial" w:cs="Arial" w:eastAsia="Arial" w:hAnsi="Arial"/>
                <w:sz w:val="18"/>
                <w:szCs w:val="18"/>
                <w:color w:val="auto"/>
              </w:rPr>
              <w:t>Series B redeemable convertible</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tcPr>
          <w:p>
            <w:pPr>
              <w:ind w:left="420"/>
              <w:spacing w:after="0" w:line="200" w:lineRule="exact"/>
              <w:rPr>
                <w:sz w:val="20"/>
                <w:szCs w:val="20"/>
                <w:color w:val="auto"/>
              </w:rPr>
            </w:pPr>
            <w:r>
              <w:rPr>
                <w:rFonts w:ascii="Arial" w:cs="Arial" w:eastAsia="Arial" w:hAnsi="Arial"/>
                <w:sz w:val="18"/>
                <w:szCs w:val="18"/>
                <w:color w:val="auto"/>
              </w:rPr>
              <w:t>preferred stock</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200,493</w:t>
            </w:r>
          </w:p>
        </w:tc>
        <w:tc>
          <w:tcPr>
            <w:tcW w:w="160" w:type="dxa"/>
            <w:vAlign w:val="bottom"/>
          </w:tcPr>
          <w:p>
            <w:pPr>
              <w:spacing w:after="0"/>
              <w:rPr>
                <w:sz w:val="17"/>
                <w:szCs w:val="17"/>
                <w:color w:val="auto"/>
              </w:rPr>
            </w:pPr>
          </w:p>
        </w:tc>
        <w:tc>
          <w:tcPr>
            <w:tcW w:w="640" w:type="dxa"/>
            <w:vAlign w:val="bottom"/>
          </w:tcPr>
          <w:p>
            <w:pPr>
              <w:jc w:val="right"/>
              <w:spacing w:after="0" w:line="200" w:lineRule="exact"/>
              <w:rPr>
                <w:sz w:val="20"/>
                <w:szCs w:val="20"/>
                <w:color w:val="auto"/>
              </w:rPr>
            </w:pPr>
            <w:r>
              <w:rPr>
                <w:rFonts w:ascii="Arial" w:cs="Arial" w:eastAsia="Arial" w:hAnsi="Arial"/>
                <w:sz w:val="18"/>
                <w:szCs w:val="18"/>
                <w:color w:val="auto"/>
              </w:rPr>
              <w:t>2,010</w:t>
            </w: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Issuance of Series B redeemable</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convertible preferred stock for cash at</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$10.03 per share, net of issuance costs</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of $34</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435,547</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4,332</w:t>
            </w: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200"/>
              <w:spacing w:after="0" w:line="206" w:lineRule="exact"/>
              <w:rPr>
                <w:sz w:val="20"/>
                <w:szCs w:val="20"/>
                <w:color w:val="auto"/>
              </w:rPr>
            </w:pPr>
            <w:r>
              <w:rPr>
                <w:rFonts w:ascii="Arial" w:cs="Arial" w:eastAsia="Arial" w:hAnsi="Arial"/>
                <w:sz w:val="18"/>
                <w:szCs w:val="18"/>
                <w:color w:val="auto"/>
              </w:rPr>
              <w:t>Issuance of common stock pursuant to</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tcPr>
          <w:p>
            <w:pPr>
              <w:ind w:left="420"/>
              <w:spacing w:after="0" w:line="200" w:lineRule="exact"/>
              <w:rPr>
                <w:sz w:val="20"/>
                <w:szCs w:val="20"/>
                <w:color w:val="auto"/>
              </w:rPr>
            </w:pPr>
            <w:r>
              <w:rPr>
                <w:rFonts w:ascii="Arial" w:cs="Arial" w:eastAsia="Arial" w:hAnsi="Arial"/>
                <w:sz w:val="18"/>
                <w:szCs w:val="18"/>
                <w:color w:val="auto"/>
              </w:rPr>
              <w:t>stock option exercises</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
              <w:spacing w:after="0" w:line="200" w:lineRule="exact"/>
              <w:rPr>
                <w:sz w:val="20"/>
                <w:szCs w:val="20"/>
                <w:color w:val="auto"/>
              </w:rPr>
            </w:pPr>
            <w:r>
              <w:rPr>
                <w:rFonts w:ascii="Arial" w:cs="Arial" w:eastAsia="Arial" w:hAnsi="Arial"/>
                <w:sz w:val="18"/>
                <w:szCs w:val="18"/>
                <w:color w:val="auto"/>
              </w:rPr>
              <w:t>107,194</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47</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47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Issuance of common stock pursuant to</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early exercised stock options</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546,602</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tcPr>
          <w:p>
            <w:pPr>
              <w:ind w:left="200"/>
              <w:spacing w:after="0" w:line="206" w:lineRule="exact"/>
              <w:rPr>
                <w:sz w:val="20"/>
                <w:szCs w:val="20"/>
                <w:color w:val="auto"/>
              </w:rPr>
            </w:pPr>
            <w:r>
              <w:rPr>
                <w:rFonts w:ascii="Arial" w:cs="Arial" w:eastAsia="Arial" w:hAnsi="Arial"/>
                <w:sz w:val="18"/>
                <w:szCs w:val="18"/>
                <w:color w:val="auto"/>
              </w:rPr>
              <w:t>Vesting of early exercised stock options</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tcPr>
          <w:p>
            <w:pPr>
              <w:ind w:left="420"/>
              <w:spacing w:after="0" w:line="200" w:lineRule="exact"/>
              <w:rPr>
                <w:sz w:val="20"/>
                <w:szCs w:val="20"/>
                <w:color w:val="auto"/>
              </w:rPr>
            </w:pPr>
            <w:r>
              <w:rPr>
                <w:rFonts w:ascii="Arial" w:cs="Arial" w:eastAsia="Arial" w:hAnsi="Arial"/>
                <w:sz w:val="18"/>
                <w:szCs w:val="18"/>
                <w:color w:val="auto"/>
              </w:rPr>
              <w:t>and restricted stock</w:t>
            </w:r>
          </w:p>
        </w:tc>
        <w:tc>
          <w:tcPr>
            <w:tcW w:w="98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96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182</w:t>
            </w:r>
          </w:p>
        </w:tc>
        <w:tc>
          <w:tcPr>
            <w:tcW w:w="260" w:type="dxa"/>
            <w:vAlign w:val="bottom"/>
          </w:tcPr>
          <w:p>
            <w:pPr>
              <w:spacing w:after="0"/>
              <w:rPr>
                <w:sz w:val="17"/>
                <w:szCs w:val="17"/>
                <w:color w:val="auto"/>
              </w:rPr>
            </w:pPr>
          </w:p>
        </w:tc>
        <w:tc>
          <w:tcPr>
            <w:tcW w:w="104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182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Repurchases of early exercised stock</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6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options</w:t>
            </w:r>
          </w:p>
        </w:tc>
        <w:tc>
          <w:tcPr>
            <w:tcW w:w="9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line="200" w:lineRule="exact"/>
              <w:rPr>
                <w:sz w:val="20"/>
                <w:szCs w:val="20"/>
                <w:color w:val="auto"/>
              </w:rPr>
            </w:pPr>
            <w:r>
              <w:rPr>
                <w:rFonts w:ascii="Arial" w:cs="Arial" w:eastAsia="Arial" w:hAnsi="Arial"/>
                <w:sz w:val="18"/>
                <w:szCs w:val="18"/>
                <w:color w:val="auto"/>
              </w:rPr>
              <w:t>(118,700)</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760" w:type="dxa"/>
            <w:vAlign w:val="bottom"/>
            <w:tcBorders>
              <w:right w:val="single" w:sz="8" w:color="auto"/>
            </w:tcBorders>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9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26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loss</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760" w:type="dxa"/>
            <w:vAlign w:val="bottom"/>
            <w:tcBorders>
              <w:right w:val="single" w:sz="8" w:color="auto"/>
            </w:tcBorders>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(41,789)</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(41,789)</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2018</w:t>
            </w: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00" w:type="dxa"/>
            <w:vAlign w:val="bottom"/>
            <w:gridSpan w:val="2"/>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29,595,909</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205,081</w:t>
            </w:r>
          </w:p>
        </w:tc>
        <w:tc>
          <w:tcPr>
            <w:tcW w:w="120" w:type="dxa"/>
            <w:vAlign w:val="bottom"/>
            <w:tcBorders>
              <w:right w:val="single" w:sz="8" w:color="auto"/>
            </w:tcBorders>
          </w:tcPr>
          <w:p>
            <w:pPr>
              <w:spacing w:after="0"/>
              <w:rPr>
                <w:sz w:val="18"/>
                <w:szCs w:val="18"/>
                <w:color w:val="auto"/>
              </w:rPr>
            </w:pPr>
          </w:p>
        </w:tc>
        <w:tc>
          <w:tcPr>
            <w:tcW w:w="1000" w:type="dxa"/>
            <w:vAlign w:val="bottom"/>
            <w:gridSpan w:val="2"/>
          </w:tcPr>
          <w:p>
            <w:pPr>
              <w:jc w:val="right"/>
              <w:ind w:right="32"/>
              <w:spacing w:after="0"/>
              <w:rPr>
                <w:sz w:val="20"/>
                <w:szCs w:val="20"/>
                <w:color w:val="auto"/>
              </w:rPr>
            </w:pPr>
            <w:r>
              <w:rPr>
                <w:rFonts w:ascii="Arial" w:cs="Arial" w:eastAsia="Arial" w:hAnsi="Arial"/>
                <w:sz w:val="18"/>
                <w:szCs w:val="18"/>
                <w:color w:val="auto"/>
              </w:rPr>
              <w:t>3,208,924</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1,300</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(109,722)</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(108,422)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right="5040"/>
        <w:spacing w:after="0" w:line="259" w:lineRule="auto"/>
        <w:rPr>
          <w:sz w:val="20"/>
          <w:szCs w:val="20"/>
          <w:color w:val="auto"/>
        </w:rPr>
      </w:pPr>
      <w:r>
        <w:rPr>
          <w:rFonts w:ascii="Arial" w:cs="Arial" w:eastAsia="Arial" w:hAnsi="Arial"/>
          <w:sz w:val="32"/>
          <w:szCs w:val="32"/>
          <w:b w:val="1"/>
          <w:bCs w:val="1"/>
          <w:color w:val="auto"/>
        </w:rPr>
        <w:t>Revolution Medicines, Inc. Consolidated statements of cash flows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p>
      <w:pPr>
        <w:jc w:val="center"/>
        <w:ind w:left="906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90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5948045</wp:posOffset>
            </wp:positionH>
            <wp:positionV relativeFrom="paragraph">
              <wp:posOffset>-4445</wp:posOffset>
            </wp:positionV>
            <wp:extent cx="11150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11506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9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4"/>
        </w:trPr>
        <w:tc>
          <w:tcPr>
            <w:tcW w:w="89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w w:val="98"/>
              </w:rPr>
              <w:t>(31,127)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(41,789)</w:t>
            </w:r>
          </w:p>
        </w:tc>
      </w:tr>
      <w:tr>
        <w:trPr>
          <w:trHeight w:val="56"/>
        </w:trPr>
        <w:tc>
          <w:tcPr>
            <w:tcW w:w="8960" w:type="dxa"/>
            <w:vAlign w:val="bottom"/>
            <w:gridSpan w:val="2"/>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1,188</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1,566</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2,121</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operating assets and liabilities, net of impact of acquisition: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tcPr>
          <w:p>
            <w:pPr>
              <w:ind w:left="420"/>
              <w:spacing w:after="0" w:line="202" w:lineRule="exact"/>
              <w:rPr>
                <w:sz w:val="20"/>
                <w:szCs w:val="20"/>
                <w:color w:val="auto"/>
              </w:rPr>
            </w:pPr>
            <w:r>
              <w:rPr>
                <w:rFonts w:ascii="Arial" w:cs="Arial" w:eastAsia="Arial" w:hAnsi="Arial"/>
                <w:sz w:val="18"/>
                <w:szCs w:val="18"/>
                <w:color w:val="auto"/>
              </w:rPr>
              <w:t>Receivable from related party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(7,303)</w:t>
            </w: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553</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(909)</w:t>
            </w:r>
          </w:p>
        </w:tc>
      </w:tr>
      <w:tr>
        <w:trPr>
          <w:trHeight w:val="203"/>
        </w:trPr>
        <w:tc>
          <w:tcPr>
            <w:tcW w:w="20" w:type="dxa"/>
            <w:vAlign w:val="bottom"/>
          </w:tcPr>
          <w:p>
            <w:pPr>
              <w:spacing w:after="0"/>
              <w:rPr>
                <w:sz w:val="17"/>
                <w:szCs w:val="17"/>
                <w:color w:val="auto"/>
              </w:rPr>
            </w:pPr>
          </w:p>
        </w:tc>
        <w:tc>
          <w:tcPr>
            <w:tcW w:w="8940" w:type="dxa"/>
            <w:vAlign w:val="bottom"/>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1,968</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2,029</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1,906</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tcPr>
          <w:p>
            <w:pPr>
              <w:ind w:left="420"/>
              <w:spacing w:after="0" w:line="202" w:lineRule="exact"/>
              <w:rPr>
                <w:sz w:val="20"/>
                <w:szCs w:val="20"/>
                <w:color w:val="auto"/>
              </w:rPr>
            </w:pPr>
            <w:r>
              <w:rPr>
                <w:rFonts w:ascii="Arial" w:cs="Arial" w:eastAsia="Arial" w:hAnsi="Arial"/>
                <w:sz w:val="18"/>
                <w:szCs w:val="18"/>
                <w:color w:val="auto"/>
              </w:rPr>
              <w:t>Deferred revenue, related party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44,499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rent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(552)</w:t>
            </w:r>
          </w:p>
        </w:tc>
      </w:tr>
      <w:tr>
        <w:trPr>
          <w:trHeight w:val="210"/>
        </w:trPr>
        <w:tc>
          <w:tcPr>
            <w:tcW w:w="20" w:type="dxa"/>
            <w:vAlign w:val="bottom"/>
          </w:tcPr>
          <w:p>
            <w:pPr>
              <w:spacing w:after="0"/>
              <w:rPr>
                <w:sz w:val="18"/>
                <w:szCs w:val="18"/>
                <w:color w:val="auto"/>
              </w:rPr>
            </w:pPr>
          </w:p>
        </w:tc>
        <w:tc>
          <w:tcPr>
            <w:tcW w:w="8940" w:type="dxa"/>
            <w:vAlign w:val="bottom"/>
          </w:tcPr>
          <w:p>
            <w:pPr>
              <w:ind w:left="420"/>
              <w:spacing w:after="0" w:line="202" w:lineRule="exact"/>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cash provided by (used in) operating activities</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w w:val="98"/>
              </w:rPr>
              <w:t>(25,148)</w:t>
            </w: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1,213</w:t>
            </w:r>
          </w:p>
        </w:tc>
        <w:tc>
          <w:tcPr>
            <w:tcW w:w="120" w:type="dxa"/>
            <w:vAlign w:val="bottom"/>
            <w:shd w:val="clear" w:color="auto" w:fill="CCEEFF"/>
          </w:tcPr>
          <w:p>
            <w:pPr>
              <w:spacing w:after="0"/>
              <w:rPr>
                <w:sz w:val="17"/>
                <w:szCs w:val="17"/>
                <w:color w:val="auto"/>
              </w:rPr>
            </w:pPr>
          </w:p>
        </w:tc>
      </w:tr>
      <w:tr>
        <w:trPr>
          <w:trHeight w:val="277"/>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(1,575)</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(1,499)</w:t>
            </w:r>
          </w:p>
        </w:tc>
      </w:tr>
      <w:tr>
        <w:trPr>
          <w:trHeight w:val="210"/>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Cash acquired in Warp Drive acquisition, net</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(1,575)</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(1,339)</w:t>
            </w:r>
          </w:p>
        </w:tc>
      </w:tr>
      <w:tr>
        <w:trPr>
          <w:trHeight w:val="277"/>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22,588</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60,558</w:t>
            </w:r>
          </w:p>
        </w:tc>
        <w:tc>
          <w:tcPr>
            <w:tcW w:w="120" w:type="dxa"/>
            <w:vAlign w:val="bottom"/>
            <w:shd w:val="clear" w:color="auto" w:fill="CCEEFF"/>
          </w:tcPr>
          <w:p>
            <w:pPr>
              <w:spacing w:after="0"/>
              <w:rPr>
                <w:sz w:val="17"/>
                <w:szCs w:val="17"/>
                <w:color w:val="auto"/>
              </w:rPr>
            </w:pP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issuance of common stock under equity incentive plans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74</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420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Repurchases of early exercised stock options and restricted stock</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(131)</w:t>
            </w:r>
          </w:p>
        </w:tc>
      </w:tr>
      <w:tr>
        <w:trPr>
          <w:trHeight w:val="217"/>
        </w:trPr>
        <w:tc>
          <w:tcPr>
            <w:tcW w:w="20" w:type="dxa"/>
            <w:vAlign w:val="bottom"/>
          </w:tcPr>
          <w:p>
            <w:pPr>
              <w:spacing w:after="0"/>
              <w:rPr>
                <w:sz w:val="18"/>
                <w:szCs w:val="18"/>
                <w:color w:val="auto"/>
              </w:rPr>
            </w:pPr>
          </w:p>
        </w:tc>
        <w:tc>
          <w:tcPr>
            <w:tcW w:w="8940" w:type="dxa"/>
            <w:vAlign w:val="bottom"/>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22,662</w:t>
            </w:r>
          </w:p>
        </w:tc>
        <w:tc>
          <w:tcPr>
            <w:tcW w:w="2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60,847</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(decrease) increase in cash, cash equivalents and restricted cash</w:t>
            </w:r>
          </w:p>
        </w:tc>
        <w:tc>
          <w:tcPr>
            <w:tcW w:w="2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(4,061)</w:t>
            </w:r>
          </w:p>
        </w:tc>
        <w:tc>
          <w:tcPr>
            <w:tcW w:w="2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60,721</w:t>
            </w:r>
          </w:p>
        </w:tc>
        <w:tc>
          <w:tcPr>
            <w:tcW w:w="120" w:type="dxa"/>
            <w:vAlign w:val="bottom"/>
            <w:shd w:val="clear" w:color="auto" w:fill="CCEEFF"/>
          </w:tcPr>
          <w:p>
            <w:pPr>
              <w:spacing w:after="0"/>
              <w:rPr>
                <w:sz w:val="17"/>
                <w:szCs w:val="17"/>
                <w:color w:val="auto"/>
              </w:rPr>
            </w:pPr>
          </w:p>
        </w:tc>
      </w:tr>
      <w:tr>
        <w:trPr>
          <w:trHeight w:val="217"/>
        </w:trPr>
        <w:tc>
          <w:tcPr>
            <w:tcW w:w="89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cash—beginning of year</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13,140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9,079</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cash—end of year</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9,079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69,800</w:t>
            </w:r>
          </w:p>
        </w:tc>
        <w:tc>
          <w:tcPr>
            <w:tcW w:w="120" w:type="dxa"/>
            <w:vAlign w:val="bottom"/>
            <w:shd w:val="clear" w:color="auto" w:fill="CCEEFF"/>
          </w:tcPr>
          <w:p>
            <w:pPr>
              <w:spacing w:after="0"/>
              <w:rPr>
                <w:sz w:val="17"/>
                <w:szCs w:val="17"/>
                <w:color w:val="auto"/>
              </w:rPr>
            </w:pPr>
          </w:p>
        </w:tc>
      </w:tr>
      <w:tr>
        <w:trPr>
          <w:trHeight w:val="270"/>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Reconciliation of cash, cash equivalents and restricted cash to consolidated balance sheets</w:t>
            </w: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9,079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69,586</w:t>
            </w:r>
          </w:p>
        </w:tc>
        <w:tc>
          <w:tcPr>
            <w:tcW w:w="120" w:type="dxa"/>
            <w:vAlign w:val="bottom"/>
            <w:shd w:val="clear" w:color="auto" w:fill="CCEEFF"/>
          </w:tcPr>
          <w:p>
            <w:pPr>
              <w:spacing w:after="0"/>
              <w:rPr>
                <w:sz w:val="17"/>
                <w:szCs w:val="17"/>
                <w:color w:val="auto"/>
              </w:rPr>
            </w:pPr>
          </w:p>
        </w:tc>
      </w:tr>
      <w:tr>
        <w:trPr>
          <w:trHeight w:val="210"/>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cash—end of year</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9,079</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69,800</w:t>
            </w:r>
          </w:p>
        </w:tc>
        <w:tc>
          <w:tcPr>
            <w:tcW w:w="120" w:type="dxa"/>
            <w:vAlign w:val="bottom"/>
            <w:shd w:val="clear" w:color="auto" w:fill="CCEEFF"/>
          </w:tcPr>
          <w:p>
            <w:pPr>
              <w:spacing w:after="0"/>
              <w:rPr>
                <w:sz w:val="17"/>
                <w:szCs w:val="17"/>
                <w:color w:val="auto"/>
              </w:rPr>
            </w:pPr>
          </w:p>
        </w:tc>
      </w:tr>
      <w:tr>
        <w:trPr>
          <w:trHeight w:val="210"/>
        </w:trPr>
        <w:tc>
          <w:tcPr>
            <w:tcW w:w="896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Vesting of early exercised options and restricted stock</w:t>
            </w:r>
          </w:p>
        </w:tc>
        <w:tc>
          <w:tcPr>
            <w:tcW w:w="3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7"/>
                <w:szCs w:val="17"/>
                <w:color w:val="auto"/>
              </w:rPr>
            </w:pP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w w:val="99"/>
              </w:rPr>
              <w:t>Purchases of property and equipment within accounts payable and accrued expenses and other current liabilities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317</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233</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issued in Warp Drive acquisition</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68,144</w:t>
            </w:r>
          </w:p>
        </w:tc>
        <w:tc>
          <w:tcPr>
            <w:tcW w:w="120" w:type="dxa"/>
            <w:vAlign w:val="bottom"/>
            <w:shd w:val="clear" w:color="auto" w:fill="CCEEFF"/>
          </w:tcPr>
          <w:p>
            <w:pPr>
              <w:spacing w:after="0"/>
              <w:rPr>
                <w:sz w:val="17"/>
                <w:szCs w:val="17"/>
                <w:color w:val="auto"/>
              </w:rPr>
            </w:pPr>
          </w:p>
        </w:tc>
      </w:tr>
      <w:tr>
        <w:trPr>
          <w:trHeight w:val="203"/>
        </w:trPr>
        <w:tc>
          <w:tcPr>
            <w:tcW w:w="8960" w:type="dxa"/>
            <w:vAlign w:val="bottom"/>
            <w:gridSpan w:val="2"/>
          </w:tcPr>
          <w:p>
            <w:pPr>
              <w:spacing w:after="0" w:line="202" w:lineRule="exact"/>
              <w:rPr>
                <w:sz w:val="20"/>
                <w:szCs w:val="20"/>
                <w:color w:val="auto"/>
              </w:rPr>
            </w:pPr>
            <w:r>
              <w:rPr>
                <w:rFonts w:ascii="Arial" w:cs="Arial" w:eastAsia="Arial" w:hAnsi="Arial"/>
                <w:sz w:val="18"/>
                <w:szCs w:val="18"/>
                <w:color w:val="auto"/>
              </w:rPr>
              <w:t>Extinguishment of redeemable convertible preferred stock liability</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2,314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9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Unpaid consideration for Warp Drive acquisition included within accrued expenses and other current liabilities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7"/>
                <w:szCs w:val="17"/>
                <w:color w:val="auto"/>
              </w:rPr>
            </w:pPr>
          </w:p>
        </w:tc>
      </w:tr>
      <w:tr>
        <w:trPr>
          <w:trHeight w:val="203"/>
        </w:trPr>
        <w:tc>
          <w:tcPr>
            <w:tcW w:w="8960" w:type="dxa"/>
            <w:vAlign w:val="bottom"/>
            <w:tcBorders>
              <w:bottom w:val="single" w:sz="8" w:color="auto"/>
            </w:tcBorders>
            <w:gridSpan w:val="2"/>
          </w:tcPr>
          <w:p>
            <w:pPr>
              <w:spacing w:after="0" w:line="202" w:lineRule="exact"/>
              <w:rPr>
                <w:sz w:val="20"/>
                <w:szCs w:val="20"/>
                <w:color w:val="auto"/>
              </w:rPr>
            </w:pPr>
            <w:r>
              <w:rPr>
                <w:rFonts w:ascii="Arial" w:cs="Arial" w:eastAsia="Arial" w:hAnsi="Arial"/>
                <w:sz w:val="18"/>
                <w:szCs w:val="18"/>
                <w:color w:val="auto"/>
              </w:rPr>
              <w:t>Conversion of convertible note payable into Series B redeemable convertible preferred stock</w:t>
            </w: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2,010</w:t>
            </w:r>
          </w:p>
        </w:tc>
        <w:tc>
          <w:tcPr>
            <w:tcW w:w="120" w:type="dxa"/>
            <w:vAlign w:val="bottom"/>
            <w:tcBorders>
              <w:bottom w:val="single" w:sz="8" w:color="auto"/>
            </w:tcBorders>
          </w:tcPr>
          <w:p>
            <w:pPr>
              <w:spacing w:after="0"/>
              <w:rPr>
                <w:sz w:val="17"/>
                <w:szCs w:val="17"/>
                <w:color w:val="auto"/>
              </w:rPr>
            </w:pPr>
          </w:p>
        </w:tc>
      </w:tr>
    </w:tbl>
    <w:p>
      <w:pPr>
        <w:spacing w:after="0" w:line="9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Notes to the consolidated financial statements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 Company and liquidity</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24" w:lineRule="exact"/>
        <w:rPr>
          <w:sz w:val="20"/>
          <w:szCs w:val="20"/>
          <w:color w:val="auto"/>
        </w:rPr>
      </w:pPr>
    </w:p>
    <w:p>
      <w:pPr>
        <w:jc w:val="both"/>
        <w:ind w:left="200" w:right="160"/>
        <w:spacing w:after="0" w:line="238" w:lineRule="auto"/>
        <w:rPr>
          <w:sz w:val="20"/>
          <w:szCs w:val="20"/>
          <w:color w:val="auto"/>
        </w:rPr>
      </w:pPr>
      <w:r>
        <w:rPr>
          <w:rFonts w:ascii="Arial" w:cs="Arial" w:eastAsia="Arial" w:hAnsi="Arial"/>
          <w:sz w:val="18"/>
          <w:szCs w:val="18"/>
          <w:color w:val="auto"/>
        </w:rPr>
        <w:t>Revolution Medicines, Inc. (the Company) is a clinical-stage precision oncology company focused on developing novel targeted therapies to inhibit targets primarily within the RAS and mTOR signaling pathways. The Company was founded in October 2014 and is headquartered in Redwood City, California.</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Company has incurred net operating losses in each year since inception. The Company’s net losses were $31.1 million and $41.8 million during the years ended December 31, 2017 and 2018, respectively. As of December 31, 2018, the Company had an accumulated deficit of $109.7 million. Management believes that its cash and cash equivalents are sufficient to continue operating activities for at least 12 months following the issuance date of these consolidated financial statements. To date, the Company has been able to fund its operations through the issuance and sale of redeemable convertible preferred stock in addition to proceeds received under the Company’s collaboration agreement with Sanofi. Future capital requirements will depend on many factors, including the timing and extent of spending on research and development and payments the Company may receive under the Sanofi collaboration agreement or future collaboration agreements, if any.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jc w:val="both"/>
        <w:ind w:left="200" w:right="240"/>
        <w:spacing w:after="0" w:line="236" w:lineRule="auto"/>
        <w:rPr>
          <w:sz w:val="20"/>
          <w:szCs w:val="20"/>
          <w:color w:val="auto"/>
        </w:rPr>
      </w:pPr>
      <w:r>
        <w:rPr>
          <w:rFonts w:ascii="Arial" w:cs="Arial" w:eastAsia="Arial" w:hAnsi="Arial"/>
          <w:sz w:val="18"/>
          <w:szCs w:val="18"/>
          <w:color w:val="auto"/>
        </w:rPr>
        <w:t>The consolidated financial statements have been prepared in conformity with generally accepted accounting principles in the United States (GAAP). The consolidated financial statements for the year ended December 31, 2018 include the accounts of the Company and its wholly owned subsidiary, Warp Drive Bio, Inc. (Warp Drive). The consolidated financial statements for the year ended December 31, 2017 include only the accounts of the Revolution Medicines, Inc. All intercompany balances and transactions have been eliminated in consolidation. The functional and reporting currency of the Company and its subsidiary is the U.S. dollar.</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24"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On January 30, 2020, the Company’s board of directors approved a 1-for-4.8661 reverse stock split of the Company’s common stock and redeemable convertible preferred stock to be consummated prior to the effectiveness of the Company’s planned initial public offering (“IPO”). The par value and authorized shares of the common stock and redeemable convertible preferred stock were not adjusted as a result of the reverse stock split. All issued and outstanding common stock, options to purchase common stock and per share amounts contained in the financial statements have been retroactively adjusted to give effect to the reverse stock split for all periods presented.</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00"/>
          </w:cols>
          <w:pgMar w:left="240" w:top="460"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clinical accruals, valuation of in-process research and development and developed technologies, valuation of the redeemable convertible preferred stock liability, income taxes, useful lives of property and equipment and intangible assets, impairment of goodwill, and stock-based compensation. Actual results could materially differ from those estimates</w:t>
      </w:r>
      <w:r>
        <w:rPr>
          <w:rFonts w:ascii="Arial" w:cs="Arial" w:eastAsia="Arial" w:hAnsi="Arial"/>
          <w:sz w:val="16"/>
          <w:szCs w:val="16"/>
          <w:i w:val="1"/>
          <w:iCs w:val="1"/>
          <w:color w:val="auto"/>
        </w:rPr>
        <w:t>.</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24"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The unaudited pro forma information as of December 31, 2018 has been prepared to give effect to the automatic conversion of all of the outstanding redeemable convertible preferred stock of the Company on a one-to-one basis into 29,595,909 shares of common stock, which will occur upon the closing of an IPO of common stock resulting in at least $50 million in gross proceeds at a minimum price of $10.03 per share of common stock, subject to adjustment for stock dividends, stock splits, combinations or other similar recapitalizations (a Qualified IPO). The unaudited pro forma information does not assume any proceeds from an IPO.</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unaudited pro forma basic and diluted net loss per share for the year ended December 31, 2018 has been computed to give effect to</w:t>
      </w:r>
    </w:p>
    <w:p>
      <w:pPr>
        <w:ind w:left="200" w:firstLine="4"/>
        <w:spacing w:after="0" w:line="236" w:lineRule="auto"/>
        <w:tabs>
          <w:tab w:leader="none" w:pos="46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an adjustment to the denominator in the pro forma basic and diluted net loss per share calculation for the automatic conversion of the redeemable convertible preferred stock into shares of common stock, which will occur upon the closing of a Qualified IPO, as of the beginning of the period or the date of issuance, if later, (2) an adjustment to the numerator in the pro forma basic and diluted net loss per share calculation to remove the redeemable cumulative but undeclared convertible preferred stock dividends and (3) an adjustment to the numerator in the pro forma basic and diluted net loss per share calculation to remove losses from the remeasurement of the redeemable convertible preferred stock liability.</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 As of December 31, 2017 and 2018, cash equivalents consist of amounts invested in money market funds.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4" w:lineRule="exact"/>
        <w:rPr>
          <w:sz w:val="20"/>
          <w:szCs w:val="20"/>
          <w:color w:val="auto"/>
        </w:rPr>
      </w:pPr>
    </w:p>
    <w:p>
      <w:pPr>
        <w:ind w:left="200" w:right="620"/>
        <w:spacing w:after="0" w:line="238" w:lineRule="auto"/>
        <w:rPr>
          <w:sz w:val="20"/>
          <w:szCs w:val="20"/>
          <w:color w:val="auto"/>
        </w:rPr>
      </w:pPr>
      <w:r>
        <w:rPr>
          <w:rFonts w:ascii="Arial" w:cs="Arial" w:eastAsia="Arial" w:hAnsi="Arial"/>
          <w:sz w:val="18"/>
          <w:szCs w:val="18"/>
          <w:color w:val="auto"/>
        </w:rPr>
        <w:t>As of December 31, 2018, the Company had $0.2 million of noncurrent restricted cash related to a Company issued letter of credit in connection with a lease. The entire amount is held in a separate bank account to support a letter of credit agreement for the lease. No restricted cash was outstanding as of December 31, 2017.</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24"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and cash equivalents. The Company’s cash is held by one financial institution in the United States, which management believes to be of high credit quality. The Company’s money market funds are invested in highly rated funds. Deposits at this financial institution may at times exceed federally insured limits. The Company has not experienced any losses on its deposits of cash and cash equivalents.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740"/>
        <w:spacing w:after="0" w:line="239" w:lineRule="auto"/>
        <w:rPr>
          <w:sz w:val="20"/>
          <w:szCs w:val="20"/>
          <w:color w:val="auto"/>
        </w:rPr>
      </w:pPr>
      <w:r>
        <w:rPr>
          <w:rFonts w:ascii="Arial" w:cs="Arial" w:eastAsia="Arial" w:hAnsi="Arial"/>
          <w:sz w:val="18"/>
          <w:szCs w:val="18"/>
          <w:color w:val="auto"/>
        </w:rPr>
        <w:t>The Company is subject to credit risk as its receivable and collaboration revenue, related party are entirely related to its collaboration agreement with Sanofi. See Note 6 “Sanofi collaboration agreement.”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24" w:lineRule="exact"/>
        <w:rPr>
          <w:sz w:val="20"/>
          <w:szCs w:val="20"/>
          <w:color w:val="auto"/>
        </w:rPr>
      </w:pPr>
    </w:p>
    <w:p>
      <w:pPr>
        <w:ind w:left="200" w:right="280"/>
        <w:spacing w:after="0" w:line="299" w:lineRule="auto"/>
        <w:rPr>
          <w:sz w:val="20"/>
          <w:szCs w:val="20"/>
          <w:color w:val="auto"/>
        </w:rPr>
      </w:pPr>
      <w:r>
        <w:rPr>
          <w:rFonts w:ascii="Arial" w:cs="Arial" w:eastAsia="Arial" w:hAnsi="Arial"/>
          <w:sz w:val="16"/>
          <w:szCs w:val="16"/>
          <w:color w:val="auto"/>
        </w:rPr>
        <w:t>The carrying amounts of the Company’s certain financial instruments, including cash equivalents, accounts payable and accrued expenses and other current liabilities approximate fair value due to their relatively short maturities and market interest rates, if applicable.</w:t>
      </w:r>
    </w:p>
    <w:p>
      <w:pPr>
        <w:spacing w:after="0" w:line="55"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1—Observable inputs such as unadjusted, quoted prices in active markets for identical assets or liabilities at the measurement date;</w:t>
      </w:r>
    </w:p>
    <w:p>
      <w:pPr>
        <w:spacing w:after="0" w:line="127" w:lineRule="exact"/>
        <w:rPr>
          <w:sz w:val="20"/>
          <w:szCs w:val="20"/>
          <w:color w:val="auto"/>
        </w:rPr>
      </w:pPr>
    </w:p>
    <w:p>
      <w:pPr>
        <w:ind w:left="420" w:right="20"/>
        <w:spacing w:after="0" w:line="238"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100" w:lineRule="exact"/>
        <w:rPr>
          <w:sz w:val="20"/>
          <w:szCs w:val="20"/>
          <w:color w:val="auto"/>
        </w:rPr>
      </w:pPr>
    </w:p>
    <w:p>
      <w:pPr>
        <w:ind w:left="420" w:right="420"/>
        <w:spacing w:after="0" w:line="239"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4" w:lineRule="exact"/>
        <w:rPr>
          <w:sz w:val="20"/>
          <w:szCs w:val="20"/>
          <w:color w:val="auto"/>
        </w:rPr>
      </w:pPr>
    </w:p>
    <w:p>
      <w:pPr>
        <w:ind w:left="200" w:right="120"/>
        <w:spacing w:after="0" w:line="273"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computed on a straight-line basis over the estimated useful lives of the related assets, which is generally three to five years. Leasehold improvements are amortized using the straight-line method over the shorter of the assets’ estimated useful lives or the remaining term of the lease. Maintenance and repairs are charged to operations as incurred. Upon sale or retirement of assets, the cost and related accumulated depreciation are removed from the consolidated balance sheet and the resulting gain or loss is reflected in the consolidated statement of operations and comprehensive loss.</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Useful lives of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Property and equipment</w:t>
            </w:r>
          </w:p>
        </w:tc>
        <w:tc>
          <w:tcPr>
            <w:tcW w:w="716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Estimated useful life</w:t>
            </w:r>
          </w:p>
        </w:tc>
      </w:tr>
      <w:tr>
        <w:trPr>
          <w:trHeight w:val="199"/>
        </w:trPr>
        <w:tc>
          <w:tcPr>
            <w:tcW w:w="3880" w:type="dxa"/>
            <w:vAlign w:val="bottom"/>
          </w:tcPr>
          <w:p>
            <w:pPr>
              <w:spacing w:after="0" w:line="200" w:lineRule="exact"/>
              <w:rPr>
                <w:sz w:val="20"/>
                <w:szCs w:val="20"/>
                <w:color w:val="auto"/>
              </w:rPr>
            </w:pPr>
            <w:r>
              <w:rPr>
                <w:rFonts w:ascii="Arial" w:cs="Arial" w:eastAsia="Arial" w:hAnsi="Arial"/>
                <w:sz w:val="18"/>
                <w:szCs w:val="18"/>
                <w:color w:val="auto"/>
              </w:rPr>
              <w:t>Laboratory equipment</w:t>
            </w:r>
          </w:p>
        </w:tc>
        <w:tc>
          <w:tcPr>
            <w:tcW w:w="7160" w:type="dxa"/>
            <w:vAlign w:val="bottom"/>
          </w:tcPr>
          <w:p>
            <w:pPr>
              <w:ind w:left="1200"/>
              <w:spacing w:after="0" w:line="200" w:lineRule="exact"/>
              <w:rPr>
                <w:sz w:val="20"/>
                <w:szCs w:val="20"/>
                <w:color w:val="auto"/>
              </w:rPr>
            </w:pPr>
            <w:r>
              <w:rPr>
                <w:rFonts w:ascii="Arial" w:cs="Arial" w:eastAsia="Arial" w:hAnsi="Arial"/>
                <w:sz w:val="18"/>
                <w:szCs w:val="18"/>
                <w:color w:val="auto"/>
              </w:rPr>
              <w:t>4-5 years</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7160" w:type="dxa"/>
            <w:vAlign w:val="bottom"/>
          </w:tcPr>
          <w:p>
            <w:pPr>
              <w:ind w:left="1200"/>
              <w:spacing w:after="0" w:line="202" w:lineRule="exact"/>
              <w:rPr>
                <w:sz w:val="20"/>
                <w:szCs w:val="20"/>
                <w:color w:val="auto"/>
              </w:rPr>
            </w:pPr>
            <w:r>
              <w:rPr>
                <w:rFonts w:ascii="Arial" w:cs="Arial" w:eastAsia="Arial" w:hAnsi="Arial"/>
                <w:sz w:val="18"/>
                <w:szCs w:val="18"/>
                <w:color w:val="auto"/>
              </w:rPr>
              <w:t>Lesser of estimated useful life or remaining lease term</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7160" w:type="dxa"/>
            <w:vAlign w:val="bottom"/>
          </w:tcPr>
          <w:p>
            <w:pPr>
              <w:ind w:left="1200"/>
              <w:spacing w:after="0" w:line="202" w:lineRule="exact"/>
              <w:rPr>
                <w:sz w:val="20"/>
                <w:szCs w:val="20"/>
                <w:color w:val="auto"/>
              </w:rPr>
            </w:pPr>
            <w:r>
              <w:rPr>
                <w:rFonts w:ascii="Arial" w:cs="Arial" w:eastAsia="Arial" w:hAnsi="Arial"/>
                <w:sz w:val="18"/>
                <w:szCs w:val="18"/>
                <w:color w:val="auto"/>
              </w:rPr>
              <w:t>3 years</w:t>
            </w:r>
          </w:p>
        </w:tc>
      </w:tr>
      <w:tr>
        <w:trPr>
          <w:trHeight w:val="212"/>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Furniture and fixtures</w:t>
            </w:r>
          </w:p>
        </w:tc>
        <w:tc>
          <w:tcPr>
            <w:tcW w:w="71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5 years</w:t>
            </w: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4"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Long-lived assets are reviewed for indications of possible impairment whenever events or changes in circumstances indicate that the carrying amount of an asset or asset group may not be recoverable.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20"/>
        <w:spacing w:after="0" w:line="237" w:lineRule="auto"/>
        <w:rPr>
          <w:sz w:val="20"/>
          <w:szCs w:val="20"/>
          <w:color w:val="auto"/>
        </w:rPr>
      </w:pPr>
      <w:r>
        <w:rPr>
          <w:rFonts w:ascii="Arial" w:cs="Arial" w:eastAsia="Arial" w:hAnsi="Arial"/>
          <w:sz w:val="18"/>
          <w:szCs w:val="18"/>
          <w:color w:val="auto"/>
        </w:rPr>
        <w:t>Recoverability is measured by comparison of the carrying amounts of the asset group to the future undiscounted cash flows attributable to these assets. An impairment loss is recognized to the extent an asset group is not recoverable, and the carrying amount exceeds the projected discounted future cash flows arising from these assets. There were no impairments of long-lived assets for any of the periods presented.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Indefinite-lived intangible assets represent the estimated fair value assigned to in-process research and development (IPR&amp;D) acquired in a business combination. The Company reviews indefinite-lived intangible assets for impairment at least annually or more frequently if events or changes in circumstances indicate that the carrying value of the assets might not be recoverable. If the carrying value of an indefinite-lived intangible asset exceeds its fair value, then it is written down to its adjusted fair value. As of December 31, 2018, there have been no such impairments. For IPR&amp;D, if a product candidate derived from the indefinite-lived intangible asset is developed and commercialized, the useful life will be determined, and the carrying value will be amortized prospectively over that estimated useful life. Alternatively, if a product candidate is abandoned, the carrying value of the intangible asset will be charged to research and development expenses in the consolidated statements of operations and comprehensive loss.</w:t>
      </w:r>
    </w:p>
    <w:p>
      <w:pPr>
        <w:spacing w:after="0" w:line="100"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Finite-lived intangible assets acquired in a business combination are recognized separately from goodwill and are initially recognized at their fair value at the acquisition date. Amortization is computed using the straight-line method over the estimated useful lives of the respective finite-lived intangible assets. Intangible assets are reviewed for impairment at least annually or more frequently if indicators of potential impairment exist.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w:t>
      </w:r>
    </w:p>
    <w:p>
      <w:pPr>
        <w:spacing w:after="0" w:line="124" w:lineRule="exact"/>
        <w:rPr>
          <w:sz w:val="20"/>
          <w:szCs w:val="20"/>
          <w:color w:val="auto"/>
        </w:rPr>
      </w:pPr>
    </w:p>
    <w:p>
      <w:pPr>
        <w:ind w:left="200" w:right="40"/>
        <w:spacing w:after="0" w:line="268" w:lineRule="auto"/>
        <w:rPr>
          <w:sz w:val="20"/>
          <w:szCs w:val="20"/>
          <w:color w:val="auto"/>
        </w:rPr>
      </w:pPr>
      <w:r>
        <w:rPr>
          <w:rFonts w:ascii="Arial" w:cs="Arial" w:eastAsia="Arial" w:hAnsi="Arial"/>
          <w:sz w:val="16"/>
          <w:szCs w:val="16"/>
          <w:color w:val="auto"/>
        </w:rPr>
        <w:t>Goodwill represents the excess of the purchase price over the estimated fair value of the net tangible and intangible assets acquired in a business combination. The Company reviews goodwill for impairment at least annually or more frequently if events or changes in circumstances indicate that the carrying value of goodwill may not be recoverable. Goodwill is tested for impairment at the reporting unit level by first assessing the qualitative factors to determine whether it is more likely than not that the fair value of the Company’s single reporting unit is less than its carrying amount. Qualitative indicators assessed include consideration of macroeconomic, industry and market conditions, the Company’s overall financial performance and personnel or strategy changes. Based on the qualitative assessment, if it is determined that it is more likely than not that its fair value is less than its carrying amount, the fair value of the Company’s single reporting unit is compared to its carrying value. Any excess of the goodwill carrying amount over the fair value is recognized as an impairment loss, and the carrying value of goodwill is written down to fair value. As of December 31, 2018, no goodwill impairment has been identified.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24"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The Company records all shares of redeemable convertible preferred stock at their respective fair values on the dates of issuance, net of issuance costs. The redeemable convertible preferred stock is recorded outside of permanent equity because while it is not mandatorily redeemable, in the event of certain events considered not solely within the Company’s control, such as a merger, acquisition or sale of all or substantially all of the Company’s assets (each, a “deemed liquidation event”), the redeemable convertible preferred stock will become redeemable at the option of the holders of at least a majority of the then outstanding such shares. The Company has not adjusted the carrying values of the redeemable convertible preferred stock to the liquidation preferences of such shares because it is uncertain whether or when a deemed liquidation event would occur that would obligate the Company to pay the liquidation preferences to holders of shares of redeemable</w:t>
      </w:r>
    </w:p>
    <w:p>
      <w:pPr>
        <w:spacing w:after="0" w:line="11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convertible preferred stock. Subsequent adjustments to the carrying values to the liquidation preferences will be made only when it becomes probable that such a deemed liquidation event will occur.</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convertible preferred stock liability</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Company’s March 2018 issuance and sale of Series B redeemable convertible preferred stock was tranched into two funding dates, a first closing in March 2018, and a second closing to purchase additional shares in June 2018. The Company classified the obligation for the future purchase of additional shares under the second closing as a liability on the Company’s consolidated balance sheets as the obligation met the definition of a freestanding financial instrument. This redeemable convertible preferred stock tranche liability was initially recorded at a fair value of $0.2 million upon the date of issuance and was subsequently remeasured to fair value at each reporting date using Level 3 fair value inputs. Changes in the fair value of the redeemable convertible preferred stock tranche obligation of $2.1 million were recognized as a component of other income (expense), net in the consolidated statements of operations and comprehensive loss until the tranche obligation was fulfilled and extinguished upon the second closing in June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Effective January 1, 2018, the Company adopted Accounting Standards Codification Topic 606, </w:t>
      </w:r>
      <w:r>
        <w:rPr>
          <w:rFonts w:ascii="Arial" w:cs="Arial" w:eastAsia="Arial" w:hAnsi="Arial"/>
          <w:sz w:val="18"/>
          <w:szCs w:val="18"/>
          <w:i w:val="1"/>
          <w:iCs w:val="1"/>
          <w:color w:val="auto"/>
        </w:rPr>
        <w:t>Revenue from Contracts with</w:t>
      </w:r>
    </w:p>
    <w:p>
      <w:pPr>
        <w:spacing w:after="0" w:line="1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i w:val="1"/>
          <w:iCs w:val="1"/>
          <w:color w:val="auto"/>
        </w:rPr>
        <w:t xml:space="preserve">Customers </w:t>
      </w:r>
      <w:r>
        <w:rPr>
          <w:rFonts w:ascii="Arial" w:cs="Arial" w:eastAsia="Arial" w:hAnsi="Arial"/>
          <w:sz w:val="18"/>
          <w:szCs w:val="18"/>
          <w:color w:val="auto"/>
        </w:rPr>
        <w:t>(ASC 606) using the full retrospective transition method. The Company did not have any effective contracts within the scope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guidance prior to January 1, 2018. Accordingly, the Company did not elect to use any of the practical expedients permitted related to adoption, and the adoption of ASC 606 had no impact on the Company’s financial position, results of operations or liquidity. Under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07"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The Company enters into collaboration agreements under which it may obtain upfront license fees, research and development funding, and development, regulatory and commercial milestone payments and royalty payments. The Company’s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8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the Company recognizes revenue from upfront license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The Company evaluates the measure of proportional performance each reporting period and, if necessary, adjusts the measure of performance and related revenue recognition.</w:t>
      </w:r>
    </w:p>
    <w:p>
      <w:pPr>
        <w:spacing w:after="0" w:line="1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240" w:top="460"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i w:val="1"/>
          <w:iCs w:val="1"/>
          <w:color w:val="auto"/>
        </w:rPr>
        <w:t xml:space="preserve">Research, development and regulatory milestone payments: </w:t>
      </w:r>
      <w:r>
        <w:rPr>
          <w:rFonts w:ascii="Arial" w:cs="Arial" w:eastAsia="Arial" w:hAnsi="Arial"/>
          <w:sz w:val="18"/>
          <w:szCs w:val="18"/>
          <w:color w:val="auto"/>
        </w:rPr>
        <w:t>At the inception of each arrangement that includes research,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87" w:lineRule="exact"/>
        <w:rPr>
          <w:sz w:val="20"/>
          <w:szCs w:val="20"/>
          <w:color w:val="auto"/>
        </w:rPr>
      </w:pPr>
    </w:p>
    <w:p>
      <w:pPr>
        <w:ind w:left="200" w:right="140"/>
        <w:spacing w:after="0" w:line="241" w:lineRule="auto"/>
        <w:rPr>
          <w:sz w:val="20"/>
          <w:szCs w:val="20"/>
          <w:color w:val="auto"/>
        </w:rPr>
      </w:pPr>
      <w:r>
        <w:rPr>
          <w:rFonts w:ascii="Arial" w:cs="Arial" w:eastAsia="Arial" w:hAnsi="Arial"/>
          <w:sz w:val="18"/>
          <w:szCs w:val="18"/>
          <w:i w:val="1"/>
          <w:iCs w:val="1"/>
          <w:color w:val="auto"/>
        </w:rPr>
        <w:t xml:space="preserve">Sales-based milestones and royalties: </w:t>
      </w:r>
      <w:r>
        <w:rPr>
          <w:rFonts w:ascii="Arial" w:cs="Arial" w:eastAsia="Arial" w:hAnsi="Arial"/>
          <w:sz w:val="18"/>
          <w:szCs w:val="18"/>
          <w:color w:val="auto"/>
        </w:rPr>
        <w:t>For arrangements that include sales-based milestone or royalty payments based on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or sales-based milestone or royalty revenue resulting from its collaboration arrangements.</w:t>
      </w:r>
    </w:p>
    <w:p>
      <w:pPr>
        <w:spacing w:after="0" w:line="10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Deferred revenue represents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124" w:lineRule="exact"/>
        <w:rPr>
          <w:sz w:val="20"/>
          <w:szCs w:val="20"/>
          <w:color w:val="auto"/>
        </w:rPr>
      </w:pPr>
    </w:p>
    <w:p>
      <w:pPr>
        <w:ind w:left="200" w:right="160"/>
        <w:spacing w:after="0" w:line="235" w:lineRule="auto"/>
        <w:rPr>
          <w:sz w:val="20"/>
          <w:szCs w:val="20"/>
          <w:color w:val="auto"/>
        </w:rPr>
      </w:pPr>
      <w:r>
        <w:rPr>
          <w:rFonts w:ascii="Arial" w:cs="Arial" w:eastAsia="Arial" w:hAnsi="Arial"/>
          <w:sz w:val="18"/>
          <w:szCs w:val="18"/>
          <w:color w:val="auto"/>
        </w:rPr>
        <w:t>Research and development expenses consist of costs incurred for the Company’s own and for collaborative research and development activities. Research and development costs are expensed as incurred. Research and development costs consist of salaries and benefits, including associated stock-based compensation, and laboratory supplies and facility costs, as well as fees paid to other entities that conduct certain research and development activities on the Company’s behalf. The Company estimates preclinical study and clinical trial expenses based on the services performed pursuant to contracts with research institutions and contract research organizations, or CROs, and clinical manufacturing organizations, or CMOs, that conduct and manage preclinical studies and clinical trials on the Company’s behalf based on actual time and expenses incurred by them. Further, the Company accrues expenses related to clinical trials based on the level of patient activity according to the related agreement. The Company monitors patient enrollment levels and related activity to the extent reasonably possible and adjusts estimates accordingly.</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measures its stock-based awards granted to employees and directors based on the estimated fair values of the awards and recognizes the compensation over the requisite service period. The Company uses the Black-Scholes option-pricing model to estimate the fair value of its stock-based awards. Stock-based compensation is recognized on a straight-line basis over the vesting period. Stock options granted to non-employees are recorded at their fair value on the measurement date and are subject to periodic adjustments as such options vest and at the end of each reporting period, and the resulting change in fair value, if any, is recognized in the Company’s consolidated statements of operations and comprehensive loss during the period the related services are rendered.</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Management makes an assessment of the likelihood that the resulting deferred tax assets will be realized. A valuation allowance is provided when it is more likely than not that some portion or all of a deferred tax asset will not be realized. Due to the Company’s historical operating performance and the recorded cumulative net losses in prior fiscal periods, the net deferred tax assets have been fully offset by a valuation allowance.</w:t>
      </w:r>
    </w:p>
    <w:p>
      <w:pPr>
        <w:spacing w:after="0" w:line="102"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taxes as a component of interest and other expense.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4" w:lineRule="exact"/>
        <w:rPr>
          <w:sz w:val="20"/>
          <w:szCs w:val="20"/>
          <w:color w:val="auto"/>
        </w:rPr>
      </w:pPr>
    </w:p>
    <w:p>
      <w:pPr>
        <w:ind w:left="200" w:right="900"/>
        <w:spacing w:after="0" w:line="239" w:lineRule="auto"/>
        <w:rPr>
          <w:sz w:val="20"/>
          <w:szCs w:val="20"/>
          <w:color w:val="auto"/>
        </w:rPr>
      </w:pPr>
      <w:r>
        <w:rPr>
          <w:rFonts w:ascii="Arial" w:cs="Arial" w:eastAsia="Arial" w:hAnsi="Arial"/>
          <w:sz w:val="18"/>
          <w:szCs w:val="18"/>
          <w:color w:val="auto"/>
        </w:rPr>
        <w:t>For the years ended December 31, 2017 and 2018, there are no components of other comprehensive loss for the Company. Thus, comprehensive loss is the same as the net loss for the periods presented.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4"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unvested restricted stock awards and early exercise of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p>
    <w:p>
      <w:pPr>
        <w:spacing w:after="0" w:line="3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24"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The Company has one operating and reportable segment. The Company’s chief operating decision maker, its Chief Executive Officer, manages the Company’s operations on a consolidated basis for the purposes of allocating resources and evaluating financial performance. All of the Company’s long-lived assets are located in the United States.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240" w:top="460"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24"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The Company maintains a 401(k) retirement plan for its employees. The Company is responsible for administrative costs of the 401(k) plan. The Company may, at its discretion, make matching or profit-sharing contributions to the 401(k) plan. For the years ended December 31, 2017 and 2018, the Company made no matching contributions under the plan.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06" w:lineRule="exact"/>
        <w:rPr>
          <w:sz w:val="20"/>
          <w:szCs w:val="20"/>
          <w:color w:val="auto"/>
        </w:rPr>
      </w:pPr>
    </w:p>
    <w:p>
      <w:pPr>
        <w:ind w:left="200" w:right="260"/>
        <w:spacing w:after="0" w:line="270" w:lineRule="auto"/>
        <w:rPr>
          <w:sz w:val="20"/>
          <w:szCs w:val="20"/>
          <w:color w:val="auto"/>
        </w:rPr>
      </w:pPr>
      <w:r>
        <w:rPr>
          <w:rFonts w:ascii="Arial" w:cs="Arial" w:eastAsia="Arial" w:hAnsi="Arial"/>
          <w:sz w:val="16"/>
          <w:szCs w:val="16"/>
          <w:color w:val="auto"/>
        </w:rPr>
        <w:t xml:space="preserve">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Subsequently, the FASB also issued ASU No.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adjusted the effective date of ASU No. 2014-09; ASU No.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Revenue Gross versus Net)</w:t>
      </w:r>
      <w:r>
        <w:rPr>
          <w:rFonts w:ascii="Arial" w:cs="Arial" w:eastAsia="Arial" w:hAnsi="Arial"/>
          <w:sz w:val="16"/>
          <w:szCs w:val="16"/>
          <w:color w:val="auto"/>
        </w:rPr>
        <w:t>, which amends the principal-versus-agent implementation guidance and illustrations in ASU</w:t>
      </w:r>
    </w:p>
    <w:p>
      <w:pPr>
        <w:ind w:left="200" w:right="260"/>
        <w:spacing w:after="0" w:line="236" w:lineRule="auto"/>
        <w:rPr>
          <w:sz w:val="20"/>
          <w:szCs w:val="20"/>
          <w:color w:val="auto"/>
        </w:rPr>
      </w:pPr>
      <w:r>
        <w:rPr>
          <w:rFonts w:ascii="Arial" w:cs="Arial" w:eastAsia="Arial" w:hAnsi="Arial"/>
          <w:sz w:val="18"/>
          <w:szCs w:val="18"/>
          <w:color w:val="auto"/>
        </w:rPr>
        <w:t xml:space="preserve">No. 2014-09;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 xml:space="preserve">, which clarifies identifying performance obligation and licensing implementation guidance and illustrations in ASU No. 2014-09; and ASU No. 2016-12, </w:t>
      </w:r>
      <w:r>
        <w:rPr>
          <w:rFonts w:ascii="Arial" w:cs="Arial" w:eastAsia="Arial" w:hAnsi="Arial"/>
          <w:sz w:val="18"/>
          <w:szCs w:val="18"/>
          <w:i w:val="1"/>
          <w:iCs w:val="1"/>
          <w:color w:val="auto"/>
        </w:rPr>
        <w:t>Revenue from Contracts with Customers (Topic 606): Narrow-Scope Improvements and Practical Expedients</w:t>
      </w:r>
      <w:r>
        <w:rPr>
          <w:rFonts w:ascii="Arial" w:cs="Arial" w:eastAsia="Arial" w:hAnsi="Arial"/>
          <w:sz w:val="18"/>
          <w:szCs w:val="18"/>
          <w:color w:val="auto"/>
        </w:rPr>
        <w:t>, which addresses implementation issues and is intended to reduce the cost and complexity of applying the new revenue standard in ASU No. 2014-09 (collectively, the Revenue ASUs).</w:t>
      </w:r>
    </w:p>
    <w:p>
      <w:pPr>
        <w:spacing w:after="0" w:line="103"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Revenue ASUs provide an accounting standard for a single comprehensive model for use in accounting for revenue arising from contracts with customers and supersedes most current revenue recognition guidance.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w:t>
      </w:r>
    </w:p>
    <w:p>
      <w:pPr>
        <w:spacing w:after="0" w:line="101"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On January 1, 2018, the Company early adopted ASC 606 using the full retrospective method. The Company did not have any arrangements with customers prior to 2018 and, accordingly, there was no impact from the adoption of ASC 606 on its consolidated financial statements as of and for the year ended December 31, 2017.</w:t>
      </w:r>
    </w:p>
    <w:p>
      <w:pPr>
        <w:spacing w:after="0" w:line="82"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 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Assets and Financial Liabilities </w:t>
      </w:r>
      <w:r>
        <w:rPr>
          <w:rFonts w:ascii="Arial" w:cs="Arial" w:eastAsia="Arial" w:hAnsi="Arial"/>
          <w:sz w:val="18"/>
          <w:szCs w:val="18"/>
          <w:color w:val="auto"/>
        </w:rPr>
        <w:t>(ASU 2016-01). ASU 2016-01 enhances the reporting model for financial instruments,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amendments to address aspects of recognition, measurement, presentation and disclosure of financial instruments. In February 2018, the FASB issued ASU 2018-03</w:t>
      </w:r>
      <w:r>
        <w:rPr>
          <w:rFonts w:ascii="Arial" w:cs="Arial" w:eastAsia="Arial" w:hAnsi="Arial"/>
          <w:sz w:val="18"/>
          <w:szCs w:val="18"/>
          <w:i w:val="1"/>
          <w:iCs w:val="1"/>
          <w:color w:val="auto"/>
        </w:rPr>
        <w:t>, Technical Corrections and Improvements to Financial Instruments—Overall (Subtopic 825-10):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and Measurement of Financial Assets and Financial Liabilities </w:t>
      </w:r>
      <w:r>
        <w:rPr>
          <w:rFonts w:ascii="Arial" w:cs="Arial" w:eastAsia="Arial" w:hAnsi="Arial"/>
          <w:sz w:val="18"/>
          <w:szCs w:val="18"/>
          <w:color w:val="auto"/>
        </w:rPr>
        <w:t>(ASC 2018-03). The adoption of this guidance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did not have an impact on the Company’s consolidated financial statements.</w:t>
      </w:r>
    </w:p>
    <w:p>
      <w:pPr>
        <w:spacing w:after="0" w:line="87" w:lineRule="exact"/>
        <w:rPr>
          <w:sz w:val="20"/>
          <w:szCs w:val="20"/>
          <w:color w:val="auto"/>
        </w:rPr>
      </w:pPr>
    </w:p>
    <w:p>
      <w:pPr>
        <w:ind w:left="200" w:right="20"/>
        <w:spacing w:after="0" w:line="272" w:lineRule="auto"/>
        <w:rPr>
          <w:sz w:val="20"/>
          <w:szCs w:val="20"/>
          <w:color w:val="auto"/>
        </w:rPr>
      </w:pPr>
      <w:r>
        <w:rPr>
          <w:rFonts w:ascii="Arial" w:cs="Arial" w:eastAsia="Arial" w:hAnsi="Arial"/>
          <w:sz w:val="16"/>
          <w:szCs w:val="16"/>
          <w:color w:val="auto"/>
        </w:rPr>
        <w:t xml:space="preserve">In March 2016, the FASB issued ASU No. 2016-09, </w:t>
      </w:r>
      <w:r>
        <w:rPr>
          <w:rFonts w:ascii="Arial" w:cs="Arial" w:eastAsia="Arial" w:hAnsi="Arial"/>
          <w:sz w:val="16"/>
          <w:szCs w:val="16"/>
          <w:i w:val="1"/>
          <w:iCs w:val="1"/>
          <w:color w:val="auto"/>
        </w:rPr>
        <w:t>Stock Compensation—Improvements to Employee Share-Based Payment Accounting</w:t>
      </w:r>
      <w:r>
        <w:rPr>
          <w:rFonts w:ascii="Arial" w:cs="Arial" w:eastAsia="Arial" w:hAnsi="Arial"/>
          <w:sz w:val="16"/>
          <w:szCs w:val="16"/>
          <w:color w:val="auto"/>
        </w:rPr>
        <w:t xml:space="preserve"> (ASU 2016-09). ASU 2016-09 was issued to simplify accounting guidance by identifying, evaluating, and improving areas for which cost and complexity can be reduced while maintaining or improving the usefulness of the information provided to users of financial statements. The areas affected by ASU 2016-09 include accounting for income taxes, classification of excess tax benefits on the statement of cash flows, minimum statutory tax withholding requirements, and classification of employee taxes paid on the statement of cash flows when an employer withholds shares for tax-withholding purposes. In addition, under this guidance, an entity can make an accounting policy election to either estimate the number of awards that are expected to vest or account for forfeitures when they occur. The adoption of this guidance during the year ended December 31, 2017 did not have a material impact on the Company’s consolidated financial statements.</w:t>
      </w:r>
    </w:p>
    <w:p>
      <w:pPr>
        <w:spacing w:after="0" w:line="119"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240" w:top="459" w:right="51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 xml:space="preserve">In August 2016, the FASB issued ASU No. 2016-18, </w:t>
      </w:r>
      <w:r>
        <w:rPr>
          <w:rFonts w:ascii="Arial" w:cs="Arial" w:eastAsia="Arial" w:hAnsi="Arial"/>
          <w:sz w:val="18"/>
          <w:szCs w:val="18"/>
          <w:i w:val="1"/>
          <w:iCs w:val="1"/>
          <w:color w:val="auto"/>
        </w:rPr>
        <w:t>Restricted Cash, Statement of Cash Flows (Topic 230): Restricted</w:t>
      </w:r>
    </w:p>
    <w:p>
      <w:pPr>
        <w:spacing w:after="0" w:line="1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i w:val="1"/>
          <w:iCs w:val="1"/>
          <w:color w:val="auto"/>
        </w:rPr>
        <w:t xml:space="preserve">Cash </w:t>
      </w:r>
      <w:r>
        <w:rPr>
          <w:rFonts w:ascii="Arial" w:cs="Arial" w:eastAsia="Arial" w:hAnsi="Arial"/>
          <w:sz w:val="18"/>
          <w:szCs w:val="18"/>
          <w:color w:val="auto"/>
        </w:rPr>
        <w:t>(ASU 2016-18). ASU 2016-18 requires that a statement of cash flows explain the change during the period in the total of cash, cash</w:t>
      </w:r>
      <w:r>
        <w:rPr>
          <w:rFonts w:ascii="Arial" w:cs="Arial" w:eastAsia="Arial" w:hAnsi="Arial"/>
          <w:sz w:val="18"/>
          <w:szCs w:val="18"/>
          <w:i w:val="1"/>
          <w:iCs w:val="1"/>
          <w:color w:val="auto"/>
        </w:rPr>
        <w:t xml:space="preserve"> </w:t>
      </w:r>
      <w:r>
        <w:rPr>
          <w:rFonts w:ascii="Arial" w:cs="Arial" w:eastAsia="Arial" w:hAnsi="Arial"/>
          <w:sz w:val="18"/>
          <w:szCs w:val="18"/>
          <w:color w:val="auto"/>
        </w:rPr>
        <w:t>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The adoption of this guidance during the year ended December 31, 2018 did not have a material impact on the Company’s consolidated financial statements.</w:t>
      </w:r>
    </w:p>
    <w:p>
      <w:pPr>
        <w:spacing w:after="0" w:line="85"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(ASU 2017-04). ASU 2017-04 simplifies the measurement of goodwill by eliminating step two of the two-step impairment test.</w:t>
      </w:r>
      <w:r>
        <w:rPr>
          <w:rFonts w:ascii="Arial" w:cs="Arial" w:eastAsia="Arial" w:hAnsi="Arial"/>
          <w:sz w:val="18"/>
          <w:szCs w:val="18"/>
          <w:i w:val="1"/>
          <w:iCs w:val="1"/>
          <w:color w:val="auto"/>
        </w:rPr>
        <w:t xml:space="preserve"> </w:t>
      </w:r>
      <w:r>
        <w:rPr>
          <w:rFonts w:ascii="Arial" w:cs="Arial" w:eastAsia="Arial" w:hAnsi="Arial"/>
          <w:sz w:val="18"/>
          <w:szCs w:val="18"/>
          <w:color w:val="auto"/>
        </w:rPr>
        <w:t>Step two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early adoption of this guidance during the year ended December 31, 2018 did not have an impact on the Company’s consolidated financial statements.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6"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ASU 2016-02 provides accounting guidance for both lessee and lessor accounting models. The principle of ASU 2016-02 is that a lessee should recognize the assets and liabilities that arise from leases. Lessees will need to recognize a right-of-use asset and a lease liability for virtually all of their leases (other than leases that meet the definition of a short-term lease). The liability will be equal to the present value of lease payments. The asset will be based on the liability. For income statement purposes, ASU 2016-02 requires leases to be classified as either operating or finance. Operating leases will result in straight-line expense while finance leases will result in a front-loaded expense pattern. ASU 2016-02 is applicable to the Company for the fiscal year beginning after December 15, 2019, and interim periods within fiscal years beginning after December 15, 2020. Early adoption is permitted. In July 2018, the FASB issued supplemental adoption guidance and clarification to ASC 842 within ASU 2018-10, </w:t>
      </w:r>
      <w:r>
        <w:rPr>
          <w:rFonts w:ascii="Arial" w:cs="Arial" w:eastAsia="Arial" w:hAnsi="Arial"/>
          <w:sz w:val="18"/>
          <w:szCs w:val="18"/>
          <w:i w:val="1"/>
          <w:iCs w:val="1"/>
          <w:color w:val="auto"/>
        </w:rPr>
        <w:t>Codification 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Topic 842, Leases</w:t>
      </w:r>
      <w:r>
        <w:rPr>
          <w:rFonts w:ascii="Arial" w:cs="Arial" w:eastAsia="Arial" w:hAnsi="Arial"/>
          <w:sz w:val="18"/>
          <w:szCs w:val="18"/>
          <w:color w:val="auto"/>
        </w:rPr>
        <w:t>, ASU 2018-11,</w:t>
      </w:r>
      <w:r>
        <w:rPr>
          <w:rFonts w:ascii="Arial" w:cs="Arial" w:eastAsia="Arial" w:hAnsi="Arial"/>
          <w:sz w:val="18"/>
          <w:szCs w:val="18"/>
          <w:i w:val="1"/>
          <w:iCs w:val="1"/>
          <w:color w:val="auto"/>
        </w:rPr>
        <w:t xml:space="preserve"> Leases (Topic 842): Targeted Improvements </w:t>
      </w:r>
      <w:r>
        <w:rPr>
          <w:rFonts w:ascii="Arial" w:cs="Arial" w:eastAsia="Arial" w:hAnsi="Arial"/>
          <w:sz w:val="18"/>
          <w:szCs w:val="18"/>
          <w:color w:val="auto"/>
        </w:rPr>
        <w:t>and ASU 2019-01,</w:t>
      </w:r>
      <w:r>
        <w:rPr>
          <w:rFonts w:ascii="Arial" w:cs="Arial" w:eastAsia="Arial" w:hAnsi="Arial"/>
          <w:sz w:val="18"/>
          <w:szCs w:val="18"/>
          <w:i w:val="1"/>
          <w:iCs w:val="1"/>
          <w:color w:val="auto"/>
        </w:rPr>
        <w:t xml:space="preserve"> Leases (Topic 842): Codification Improvements. </w:t>
      </w:r>
      <w:r>
        <w:rPr>
          <w:rFonts w:ascii="Arial" w:cs="Arial" w:eastAsia="Arial" w:hAnsi="Arial"/>
          <w:sz w:val="18"/>
          <w:szCs w:val="18"/>
          <w:color w:val="auto"/>
        </w:rPr>
        <w:t>ASU 2018-11 provides another transition method in addition to the existing modified retrospective transition method by</w:t>
      </w:r>
      <w:r>
        <w:rPr>
          <w:rFonts w:ascii="Arial" w:cs="Arial" w:eastAsia="Arial" w:hAnsi="Arial"/>
          <w:sz w:val="18"/>
          <w:szCs w:val="18"/>
          <w:i w:val="1"/>
          <w:iCs w:val="1"/>
          <w:color w:val="auto"/>
        </w:rPr>
        <w:t xml:space="preserve"> </w:t>
      </w:r>
      <w:r>
        <w:rPr>
          <w:rFonts w:ascii="Arial" w:cs="Arial" w:eastAsia="Arial" w:hAnsi="Arial"/>
          <w:sz w:val="18"/>
          <w:szCs w:val="18"/>
          <w:color w:val="auto"/>
        </w:rPr>
        <w:t>allowing entities to initially apply the new leasing standard at the adoption date and recognize a cumulative-effect adjustment to the opening balance of retained earnings in the period of adoption. The Company plans to adopt these ASUs on January 1, 2020. While the Company continues to review its current accounting policies and practices to identify potential differences that would result from applying the new guidance, the Company currently believes the most significant changes will be related to the recognition of new right-of-use assets and lease liabilities in the Company’s consolidated balance sheet for operating leases. The Company expects to elect transitional practical expedients such that the Company will not need to reassess whether contracts are leases and will retain lease classification and initial direct costs for leases existing prior to the adoption of the new lease standard.</w:t>
      </w:r>
    </w:p>
    <w:p>
      <w:pPr>
        <w:spacing w:after="0" w:line="92" w:lineRule="exact"/>
        <w:rPr>
          <w:sz w:val="20"/>
          <w:szCs w:val="20"/>
          <w:color w:val="auto"/>
        </w:rPr>
      </w:pPr>
    </w:p>
    <w:p>
      <w:pPr>
        <w:ind w:left="200" w:right="120"/>
        <w:spacing w:after="0" w:line="241"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(ASU 2016-13), which requires the measurement and recognition of expected credit losses for financial assets held at</w:t>
      </w:r>
      <w:r>
        <w:rPr>
          <w:rFonts w:ascii="Arial" w:cs="Arial" w:eastAsia="Arial" w:hAnsi="Arial"/>
          <w:sz w:val="18"/>
          <w:szCs w:val="18"/>
          <w:i w:val="1"/>
          <w:iCs w:val="1"/>
          <w:color w:val="auto"/>
        </w:rPr>
        <w:t xml:space="preserve"> </w:t>
      </w:r>
      <w:r>
        <w:rPr>
          <w:rFonts w:ascii="Arial" w:cs="Arial" w:eastAsia="Arial" w:hAnsi="Arial"/>
          <w:sz w:val="18"/>
          <w:szCs w:val="18"/>
          <w:color w:val="auto"/>
        </w:rPr>
        <w:t>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 xml:space="preserve">will result in earlier recognition of credit losses. In November 2018, the FASB issued ASU No. 2018-19, </w:t>
      </w:r>
      <w:r>
        <w:rPr>
          <w:rFonts w:ascii="Arial" w:cs="Arial" w:eastAsia="Arial" w:hAnsi="Arial"/>
          <w:sz w:val="18"/>
          <w:szCs w:val="18"/>
          <w:i w:val="1"/>
          <w:iCs w:val="1"/>
          <w:color w:val="auto"/>
        </w:rPr>
        <w:t>Codification Improvements to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326, Financial Instruments—Credit Losses </w:t>
      </w:r>
      <w:r>
        <w:rPr>
          <w:rFonts w:ascii="Arial" w:cs="Arial" w:eastAsia="Arial" w:hAnsi="Arial"/>
          <w:sz w:val="18"/>
          <w:szCs w:val="18"/>
          <w:color w:val="auto"/>
        </w:rPr>
        <w:t>(ASU 2018-19) which narrowed the scope and changed the effective date for non-public entities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ASU 2016-13. The FASB subsequently issued supplemental guidance within ASU No. 2019-05,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326): Targeted Transition Relief </w:t>
      </w:r>
      <w:r>
        <w:rPr>
          <w:rFonts w:ascii="Arial" w:cs="Arial" w:eastAsia="Arial" w:hAnsi="Arial"/>
          <w:sz w:val="18"/>
          <w:szCs w:val="18"/>
          <w:color w:val="auto"/>
        </w:rPr>
        <w:t>(ASU 2019-05). ASU 2019-05 provides an option to irrevocably elect the fair value option for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previously measured at amortized cost basis. ASU 2016-13 is applicable to the Company for the fiscal year beginning after December 15, 2021. Early adoption is permitted. The Company is currently evaluating the impact the adoption of these ASUs will have on its consolidated financial statements and related disclosures.</w:t>
      </w:r>
    </w:p>
    <w:p>
      <w:pPr>
        <w:spacing w:after="0" w:line="83"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 xml:space="preserve">Compensation—Stock Compensation (Topic 718): Improvements to Nonemployee Share-Based Payment Accounting </w:t>
      </w:r>
      <w:r>
        <w:rPr>
          <w:rFonts w:ascii="Arial" w:cs="Arial" w:eastAsia="Arial" w:hAnsi="Arial"/>
          <w:sz w:val="18"/>
          <w:szCs w:val="18"/>
          <w:color w:val="auto"/>
        </w:rPr>
        <w:t>(ASU 2018-07). ASU 2018-07 simplifies the accounting for share-based payments to nonemployees by aligning it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accounting for share-based payments to employees, with certain exceptions. ASU 2018-07 is applicable to the Company for the fiscal year beginning after December 15, 2019, and interim periods within fiscal years beginning after December 15, 2020. Early adoption is permitted. The Company is currently evaluating the impact the adoption of this ASU will have on its consolidated financial statements and related disclosures.</w:t>
      </w:r>
    </w:p>
    <w:p>
      <w:pPr>
        <w:spacing w:after="0" w:line="87" w:lineRule="exact"/>
        <w:rPr>
          <w:sz w:val="20"/>
          <w:szCs w:val="20"/>
          <w:color w:val="auto"/>
        </w:rPr>
      </w:pPr>
    </w:p>
    <w:p>
      <w:pPr>
        <w:ind w:left="200" w:right="140"/>
        <w:spacing w:after="0" w:line="241"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w:t>
      </w:r>
      <w:r>
        <w:rPr>
          <w:rFonts w:ascii="Arial" w:cs="Arial" w:eastAsia="Arial" w:hAnsi="Arial"/>
          <w:sz w:val="18"/>
          <w:szCs w:val="18"/>
          <w:color w:val="auto"/>
        </w:rPr>
        <w:t xml:space="preserve"> (ASU 2018-13). ASU 2018-13 is part of a broader disclosure framework project by the FASB to improve the effectiveness of disclosures by more clearly communicating the information to the user. ASU 2018-13 is applicable to the Company for the fiscal year beginning after December 15, 2019. Early adoption is permitted. The Company is currently evaluating the impact the adoption of this ASU will have on its consolidated financial statement disclosures.</w:t>
      </w:r>
    </w:p>
    <w:p>
      <w:pPr>
        <w:spacing w:after="0" w:line="82"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aligns the requirements for capitalizing implementation costs incurred in a cloud computing arrangement that is a service contract with the requirements for capitalizing implementation costs incurred to develop or obtain internal-use-software. This ASU is effective for the Company for the fiscal year beginning after December 31, 2020, and interim periods within fiscal years beginning after December 31, 2021. The Company is currently evaluating the impact of this ASU on the Company’s consolidated financial statements.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3. Fair value measurements</w:t>
      </w:r>
    </w:p>
    <w:p>
      <w:pPr>
        <w:spacing w:after="0" w:line="134"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The following table presents information about the Company’s financial assets that are measured at fair value and indicates the fair value hierarchy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December 31, 2017</w:t>
            </w:r>
          </w:p>
        </w:tc>
        <w:tc>
          <w:tcPr>
            <w:tcW w:w="4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152"/>
              <w:spacing w:after="0"/>
              <w:rPr>
                <w:sz w:val="20"/>
                <w:szCs w:val="20"/>
                <w:color w:val="auto"/>
              </w:rPr>
            </w:pPr>
            <w:r>
              <w:rPr>
                <w:rFonts w:ascii="Arial" w:cs="Arial" w:eastAsia="Arial" w:hAnsi="Arial"/>
                <w:sz w:val="18"/>
                <w:szCs w:val="18"/>
                <w:b w:val="1"/>
                <w:bCs w:val="1"/>
                <w:color w:val="auto"/>
                <w:w w:val="97"/>
              </w:rPr>
              <w:t>Total</w:t>
            </w: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Level 1</w:t>
            </w:r>
          </w:p>
        </w:tc>
        <w:tc>
          <w:tcPr>
            <w:tcW w:w="10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Level 2</w:t>
            </w:r>
          </w:p>
        </w:tc>
        <w:tc>
          <w:tcPr>
            <w:tcW w:w="90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rPr>
              <w:t>Level 3</w:t>
            </w:r>
          </w:p>
        </w:tc>
      </w:tr>
      <w:tr>
        <w:trPr>
          <w:trHeight w:val="226"/>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98"/>
              </w:rPr>
              <w:t>(in thousands)</w:t>
            </w: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
        </w:trPr>
        <w:tc>
          <w:tcPr>
            <w:tcW w:w="4540" w:type="dxa"/>
            <w:vAlign w:val="bottom"/>
            <w:gridSpan w:val="2"/>
          </w:tcPr>
          <w:p>
            <w:pPr>
              <w:spacing w:after="0"/>
              <w:rPr>
                <w:sz w:val="3"/>
                <w:szCs w:val="3"/>
                <w:color w:val="auto"/>
              </w:rPr>
            </w:pPr>
          </w:p>
        </w:tc>
        <w:tc>
          <w:tcPr>
            <w:tcW w:w="2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funds(1)</w:t>
            </w:r>
          </w:p>
        </w:tc>
        <w:tc>
          <w:tcPr>
            <w:tcW w:w="3500" w:type="dxa"/>
            <w:vAlign w:val="bottom"/>
            <w:gridSpan w:val="2"/>
            <w:shd w:val="clear" w:color="auto" w:fill="CCEEFF"/>
          </w:tcPr>
          <w:p>
            <w:pPr>
              <w:jc w:val="center"/>
              <w:ind w:left="2392"/>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9,054</w:t>
            </w:r>
          </w:p>
        </w:tc>
        <w:tc>
          <w:tcPr>
            <w:tcW w:w="1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$ 9,054</w:t>
            </w:r>
          </w:p>
        </w:tc>
        <w:tc>
          <w:tcPr>
            <w:tcW w:w="6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Total</w:t>
            </w:r>
          </w:p>
        </w:tc>
        <w:tc>
          <w:tcPr>
            <w:tcW w:w="3500" w:type="dxa"/>
            <w:vAlign w:val="bottom"/>
            <w:gridSpan w:val="2"/>
          </w:tcPr>
          <w:p>
            <w:pPr>
              <w:jc w:val="center"/>
              <w:ind w:left="2392"/>
              <w:spacing w:after="0"/>
              <w:rPr>
                <w:sz w:val="20"/>
                <w:szCs w:val="20"/>
                <w:color w:val="auto"/>
              </w:rPr>
            </w:pPr>
            <w:r>
              <w:rPr>
                <w:rFonts w:ascii="Arial" w:cs="Arial" w:eastAsia="Arial" w:hAnsi="Arial"/>
                <w:sz w:val="18"/>
                <w:szCs w:val="18"/>
                <w:color w:val="auto"/>
                <w:w w:val="98"/>
              </w:rPr>
              <w:t>$9,054</w:t>
            </w:r>
          </w:p>
        </w:tc>
        <w:tc>
          <w:tcPr>
            <w:tcW w:w="1040" w:type="dxa"/>
            <w:vAlign w:val="bottom"/>
          </w:tcPr>
          <w:p>
            <w:pPr>
              <w:ind w:left="220"/>
              <w:spacing w:after="0"/>
              <w:rPr>
                <w:sz w:val="20"/>
                <w:szCs w:val="20"/>
                <w:color w:val="auto"/>
              </w:rPr>
            </w:pPr>
            <w:r>
              <w:rPr>
                <w:rFonts w:ascii="Arial" w:cs="Arial" w:eastAsia="Arial" w:hAnsi="Arial"/>
                <w:sz w:val="18"/>
                <w:szCs w:val="18"/>
                <w:color w:val="auto"/>
              </w:rPr>
              <w:t>$ 9,054</w:t>
            </w:r>
          </w:p>
        </w:tc>
        <w:tc>
          <w:tcPr>
            <w:tcW w:w="640" w:type="dxa"/>
            <w:vAlign w:val="bottom"/>
          </w:tcPr>
          <w:p>
            <w:pPr>
              <w:ind w:left="220"/>
              <w:spacing w:after="0"/>
              <w:rPr>
                <w:sz w:val="20"/>
                <w:szCs w:val="20"/>
                <w:color w:val="auto"/>
              </w:rPr>
            </w:pPr>
            <w:r>
              <w:rPr>
                <w:rFonts w:ascii="Arial" w:cs="Arial" w:eastAsia="Arial" w:hAnsi="Arial"/>
                <w:sz w:val="18"/>
                <w:szCs w:val="18"/>
                <w:color w:val="auto"/>
              </w:rPr>
              <w:t>$</w:t>
            </w: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r>
      <w:tr>
        <w:trPr>
          <w:trHeight w:val="123"/>
        </w:trPr>
        <w:tc>
          <w:tcPr>
            <w:tcW w:w="20" w:type="dxa"/>
            <w:vAlign w:val="bottom"/>
          </w:tcPr>
          <w:p>
            <w:pPr>
              <w:spacing w:after="0"/>
              <w:rPr>
                <w:sz w:val="10"/>
                <w:szCs w:val="10"/>
                <w:color w:val="auto"/>
              </w:rPr>
            </w:pPr>
          </w:p>
        </w:tc>
        <w:tc>
          <w:tcPr>
            <w:tcW w:w="4520" w:type="dxa"/>
            <w:vAlign w:val="bottom"/>
            <w:tcBorders>
              <w:top w:val="single" w:sz="8" w:color="auto"/>
              <w:bottom w:val="single" w:sz="8" w:color="auto"/>
            </w:tcBorders>
          </w:tcPr>
          <w:p>
            <w:pPr>
              <w:spacing w:after="0"/>
              <w:rPr>
                <w:sz w:val="10"/>
                <w:szCs w:val="10"/>
                <w:color w:val="auto"/>
              </w:rPr>
            </w:pPr>
          </w:p>
        </w:tc>
        <w:tc>
          <w:tcPr>
            <w:tcW w:w="2720" w:type="dxa"/>
            <w:vAlign w:val="bottom"/>
            <w:tcBorders>
              <w:top w:val="single" w:sz="8" w:color="auto"/>
              <w:bottom w:val="single" w:sz="8" w:color="auto"/>
            </w:tcBorders>
          </w:tcPr>
          <w:p>
            <w:pPr>
              <w:spacing w:after="0"/>
              <w:rPr>
                <w:sz w:val="10"/>
                <w:szCs w:val="10"/>
                <w:color w:val="auto"/>
              </w:rPr>
            </w:pPr>
          </w:p>
        </w:tc>
        <w:tc>
          <w:tcPr>
            <w:tcW w:w="780" w:type="dxa"/>
            <w:vAlign w:val="bottom"/>
            <w:tcBorders>
              <w:top w:val="single" w:sz="8" w:color="auto"/>
              <w:bottom w:val="single" w:sz="8" w:color="auto"/>
            </w:tcBorders>
          </w:tcPr>
          <w:p>
            <w:pPr>
              <w:spacing w:after="0"/>
              <w:rPr>
                <w:sz w:val="10"/>
                <w:szCs w:val="10"/>
                <w:color w:val="auto"/>
              </w:rPr>
            </w:pPr>
          </w:p>
        </w:tc>
        <w:tc>
          <w:tcPr>
            <w:tcW w:w="104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spacing w:after="0"/>
              <w:rPr>
                <w:sz w:val="10"/>
                <w:szCs w:val="10"/>
                <w:color w:val="auto"/>
              </w:rPr>
            </w:pPr>
          </w:p>
        </w:tc>
        <w:tc>
          <w:tcPr>
            <w:tcW w:w="42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spacing w:after="0"/>
              <w:rPr>
                <w:sz w:val="10"/>
                <w:szCs w:val="10"/>
                <w:color w:val="auto"/>
              </w:rPr>
            </w:pPr>
          </w:p>
        </w:tc>
        <w:tc>
          <w:tcPr>
            <w:tcW w:w="360" w:type="dxa"/>
            <w:vAlign w:val="bottom"/>
            <w:tcBorders>
              <w:top w:val="single" w:sz="8" w:color="auto"/>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December 31, 2018</w:t>
            </w: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Level 1</w:t>
            </w:r>
          </w:p>
        </w:tc>
        <w:tc>
          <w:tcPr>
            <w:tcW w:w="9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Level 2</w:t>
            </w:r>
          </w:p>
        </w:tc>
        <w:tc>
          <w:tcPr>
            <w:tcW w:w="8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26"/>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
        </w:trPr>
        <w:tc>
          <w:tcPr>
            <w:tcW w:w="4460" w:type="dxa"/>
            <w:vAlign w:val="bottom"/>
            <w:gridSpan w:val="2"/>
          </w:tcPr>
          <w:p>
            <w:pPr>
              <w:spacing w:after="0"/>
              <w:rPr>
                <w:sz w:val="3"/>
                <w:szCs w:val="3"/>
                <w:color w:val="auto"/>
              </w:rPr>
            </w:pPr>
          </w:p>
        </w:tc>
        <w:tc>
          <w:tcPr>
            <w:tcW w:w="29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Money market funds(1)</w:t>
            </w:r>
          </w:p>
        </w:tc>
        <w:tc>
          <w:tcPr>
            <w:tcW w:w="3760" w:type="dxa"/>
            <w:vAlign w:val="bottom"/>
            <w:gridSpan w:val="2"/>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$69,353</w:t>
            </w:r>
          </w:p>
        </w:tc>
        <w:tc>
          <w:tcPr>
            <w:tcW w:w="10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$69,353</w:t>
            </w:r>
          </w:p>
        </w:tc>
        <w:tc>
          <w:tcPr>
            <w:tcW w:w="6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7"/>
        </w:trPr>
        <w:tc>
          <w:tcPr>
            <w:tcW w:w="4460" w:type="dxa"/>
            <w:vAlign w:val="bottom"/>
            <w:gridSpan w:val="2"/>
          </w:tcPr>
          <w:p>
            <w:pPr>
              <w:spacing w:after="0"/>
              <w:rPr>
                <w:sz w:val="20"/>
                <w:szCs w:val="20"/>
                <w:color w:val="auto"/>
              </w:rPr>
            </w:pPr>
            <w:r>
              <w:rPr>
                <w:rFonts w:ascii="Arial" w:cs="Arial" w:eastAsia="Arial" w:hAnsi="Arial"/>
                <w:sz w:val="18"/>
                <w:szCs w:val="18"/>
                <w:color w:val="auto"/>
              </w:rPr>
              <w:t>Contingently returnable consideration asset(2)</w:t>
            </w:r>
          </w:p>
        </w:tc>
        <w:tc>
          <w:tcPr>
            <w:tcW w:w="2960" w:type="dxa"/>
            <w:vAlign w:val="bottom"/>
          </w:tcPr>
          <w:p>
            <w:pPr>
              <w:spacing w:after="0"/>
              <w:rPr>
                <w:sz w:val="24"/>
                <w:szCs w:val="24"/>
                <w:color w:val="auto"/>
              </w:rPr>
            </w:pPr>
          </w:p>
        </w:tc>
        <w:tc>
          <w:tcPr>
            <w:tcW w:w="8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310</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4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3760" w:type="dxa"/>
            <w:vAlign w:val="bottom"/>
            <w:gridSpan w:val="2"/>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$69,663</w:t>
            </w:r>
          </w:p>
        </w:tc>
        <w:tc>
          <w:tcPr>
            <w:tcW w:w="10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$69,353</w:t>
            </w:r>
          </w:p>
        </w:tc>
        <w:tc>
          <w:tcPr>
            <w:tcW w:w="6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gridSpan w:val="2"/>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760" w:type="dxa"/>
            <w:vAlign w:val="bottom"/>
            <w:gridSpan w:val="2"/>
          </w:tcPr>
          <w:p>
            <w:pPr>
              <w:jc w:val="right"/>
              <w:ind w:right="2432"/>
              <w:spacing w:after="0"/>
              <w:rPr>
                <w:sz w:val="20"/>
                <w:szCs w:val="20"/>
                <w:color w:val="auto"/>
              </w:rPr>
            </w:pPr>
            <w:r>
              <w:rPr>
                <w:rFonts w:ascii="Arial" w:cs="Arial" w:eastAsia="Arial" w:hAnsi="Arial"/>
                <w:sz w:val="18"/>
                <w:szCs w:val="18"/>
                <w:color w:val="auto"/>
              </w:rPr>
              <w:t>F-16</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20" w:hanging="316"/>
        <w:spacing w:after="0"/>
        <w:tabs>
          <w:tab w:leader="none" w:pos="52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Included in cash and cash equivalents on the consolidated balance sheets.</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Included in prepaid expenses and other current assets on the consolidated balance sheets.</w:t>
      </w:r>
    </w:p>
    <w:p>
      <w:pPr>
        <w:spacing w:after="0" w:line="45"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Money market funds are measured at fair value on a recurring basis using quoted prices. The contingently returnable consideration asset relates to the fair value of the Warp Drive acquisition holdback, which was determined using an income-based approach. The key assumptions in determining the fair value are the discount rate and the probability assigned to the potential holdback. There were no transfers between Levels 1, 2 or 3 for any of the periods presented. There were no changes in the fair value of the contingently returnable consideration asset between the date of the Warp Drive acquisition and December 31, 2018.</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4. Consolidated balance sheet components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net consists of the following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gridSpan w:val="2"/>
          </w:tcPr>
          <w:p>
            <w:pPr>
              <w:jc w:val="center"/>
              <w:ind w:left="352"/>
              <w:spacing w:after="0"/>
              <w:rPr>
                <w:sz w:val="20"/>
                <w:szCs w:val="20"/>
                <w:color w:val="auto"/>
              </w:rPr>
            </w:pPr>
            <w:r>
              <w:rPr>
                <w:rFonts w:ascii="Arial" w:cs="Arial" w:eastAsia="Arial" w:hAnsi="Arial"/>
                <w:sz w:val="18"/>
                <w:szCs w:val="18"/>
                <w:b w:val="1"/>
                <w:bCs w:val="1"/>
                <w:color w:val="auto"/>
                <w:w w:val="96"/>
              </w:rPr>
              <w:t>Weighted-</w:t>
            </w: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gridSpan w:val="2"/>
          </w:tcPr>
          <w:p>
            <w:pPr>
              <w:jc w:val="center"/>
              <w:ind w:left="372"/>
              <w:spacing w:after="0" w:line="202" w:lineRule="exact"/>
              <w:rPr>
                <w:sz w:val="20"/>
                <w:szCs w:val="20"/>
                <w:color w:val="auto"/>
              </w:rPr>
            </w:pPr>
            <w:r>
              <w:rPr>
                <w:rFonts w:ascii="Arial" w:cs="Arial" w:eastAsia="Arial" w:hAnsi="Arial"/>
                <w:sz w:val="18"/>
                <w:szCs w:val="18"/>
                <w:b w:val="1"/>
                <w:bCs w:val="1"/>
                <w:color w:val="auto"/>
                <w:w w:val="96"/>
              </w:rPr>
              <w:t>average</w:t>
            </w: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gridSpan w:val="2"/>
          </w:tcPr>
          <w:p>
            <w:pPr>
              <w:ind w:left="300"/>
              <w:spacing w:after="0" w:line="202" w:lineRule="exact"/>
              <w:rPr>
                <w:sz w:val="20"/>
                <w:szCs w:val="20"/>
                <w:color w:val="auto"/>
              </w:rPr>
            </w:pPr>
            <w:r>
              <w:rPr>
                <w:rFonts w:ascii="Arial" w:cs="Arial" w:eastAsia="Arial" w:hAnsi="Arial"/>
                <w:sz w:val="18"/>
                <w:szCs w:val="18"/>
                <w:b w:val="1"/>
                <w:bCs w:val="1"/>
                <w:color w:val="auto"/>
              </w:rPr>
              <w:t>Accumulated</w:t>
            </w:r>
          </w:p>
        </w:tc>
        <w:tc>
          <w:tcPr>
            <w:tcW w:w="460" w:type="dxa"/>
            <w:vAlign w:val="bottom"/>
          </w:tcPr>
          <w:p>
            <w:pPr>
              <w:spacing w:after="0"/>
              <w:rPr>
                <w:sz w:val="17"/>
                <w:szCs w:val="17"/>
                <w:color w:val="auto"/>
              </w:rPr>
            </w:pPr>
          </w:p>
        </w:tc>
        <w:tc>
          <w:tcPr>
            <w:tcW w:w="7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Net</w:t>
            </w:r>
          </w:p>
        </w:tc>
        <w:tc>
          <w:tcPr>
            <w:tcW w:w="1440" w:type="dxa"/>
            <w:vAlign w:val="bottom"/>
            <w:gridSpan w:val="2"/>
          </w:tcPr>
          <w:p>
            <w:pPr>
              <w:jc w:val="center"/>
              <w:ind w:left="352"/>
              <w:spacing w:after="0" w:line="202" w:lineRule="exact"/>
              <w:rPr>
                <w:sz w:val="20"/>
                <w:szCs w:val="20"/>
                <w:color w:val="auto"/>
              </w:rPr>
            </w:pPr>
            <w:r>
              <w:rPr>
                <w:rFonts w:ascii="Arial" w:cs="Arial" w:eastAsia="Arial" w:hAnsi="Arial"/>
                <w:sz w:val="18"/>
                <w:szCs w:val="18"/>
                <w:b w:val="1"/>
                <w:bCs w:val="1"/>
                <w:color w:val="auto"/>
                <w:w w:val="97"/>
              </w:rPr>
              <w:t>remaining</w:t>
            </w:r>
          </w:p>
        </w:tc>
      </w:tr>
      <w:tr>
        <w:trPr>
          <w:trHeight w:val="221"/>
        </w:trPr>
        <w:tc>
          <w:tcPr>
            <w:tcW w:w="20" w:type="dxa"/>
            <w:vAlign w:val="bottom"/>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ind w:left="600"/>
              <w:spacing w:after="0"/>
              <w:rPr>
                <w:sz w:val="20"/>
                <w:szCs w:val="20"/>
                <w:color w:val="auto"/>
              </w:rPr>
            </w:pPr>
            <w:r>
              <w:rPr>
                <w:rFonts w:ascii="Arial" w:cs="Arial" w:eastAsia="Arial" w:hAnsi="Arial"/>
                <w:sz w:val="18"/>
                <w:szCs w:val="18"/>
                <w:b w:val="1"/>
                <w:bCs w:val="1"/>
                <w:color w:val="auto"/>
              </w:rPr>
              <w:t>Gross value</w:t>
            </w:r>
          </w:p>
        </w:tc>
        <w:tc>
          <w:tcPr>
            <w:tcW w:w="17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amortization</w:t>
            </w:r>
          </w:p>
        </w:tc>
        <w:tc>
          <w:tcPr>
            <w:tcW w:w="1180" w:type="dxa"/>
            <w:vAlign w:val="bottom"/>
            <w:tcBorders>
              <w:bottom w:val="single" w:sz="8" w:color="auto"/>
            </w:tcBorders>
            <w:gridSpan w:val="2"/>
          </w:tcPr>
          <w:p>
            <w:pPr>
              <w:ind w:left="260"/>
              <w:spacing w:after="0"/>
              <w:rPr>
                <w:sz w:val="20"/>
                <w:szCs w:val="20"/>
                <w:color w:val="auto"/>
              </w:rPr>
            </w:pPr>
            <w:r>
              <w:rPr>
                <w:rFonts w:ascii="Arial" w:cs="Arial" w:eastAsia="Arial" w:hAnsi="Arial"/>
                <w:sz w:val="18"/>
                <w:szCs w:val="18"/>
                <w:b w:val="1"/>
                <w:bCs w:val="1"/>
                <w:color w:val="auto"/>
                <w:w w:val="95"/>
              </w:rPr>
              <w:t>book value</w:t>
            </w:r>
          </w:p>
        </w:tc>
        <w:tc>
          <w:tcPr>
            <w:tcW w:w="1440" w:type="dxa"/>
            <w:vAlign w:val="bottom"/>
            <w:tcBorders>
              <w:bottom w:val="single" w:sz="8" w:color="auto"/>
            </w:tcBorders>
            <w:gridSpan w:val="2"/>
          </w:tcPr>
          <w:p>
            <w:pPr>
              <w:jc w:val="center"/>
              <w:ind w:left="372"/>
              <w:spacing w:after="0"/>
              <w:rPr>
                <w:sz w:val="20"/>
                <w:szCs w:val="20"/>
                <w:color w:val="auto"/>
              </w:rPr>
            </w:pPr>
            <w:r>
              <w:rPr>
                <w:rFonts w:ascii="Arial" w:cs="Arial" w:eastAsia="Arial" w:hAnsi="Arial"/>
                <w:sz w:val="18"/>
                <w:szCs w:val="18"/>
                <w:b w:val="1"/>
                <w:bCs w:val="1"/>
                <w:color w:val="auto"/>
                <w:w w:val="97"/>
              </w:rPr>
              <w:t>useful life</w:t>
            </w: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74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96"/>
              </w:rPr>
              <w:t>(in thousands)</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40" w:type="dxa"/>
            <w:vAlign w:val="bottom"/>
            <w:gridSpan w:val="2"/>
          </w:tcPr>
          <w:p>
            <w:pPr>
              <w:jc w:val="center"/>
              <w:ind w:left="372"/>
              <w:spacing w:after="0" w:line="196" w:lineRule="exact"/>
              <w:rPr>
                <w:sz w:val="20"/>
                <w:szCs w:val="20"/>
                <w:color w:val="auto"/>
              </w:rPr>
            </w:pPr>
            <w:r>
              <w:rPr>
                <w:rFonts w:ascii="Arial" w:cs="Arial" w:eastAsia="Arial" w:hAnsi="Arial"/>
                <w:sz w:val="18"/>
                <w:szCs w:val="18"/>
                <w:b w:val="1"/>
                <w:bCs w:val="1"/>
                <w:color w:val="auto"/>
                <w:w w:val="97"/>
              </w:rPr>
              <w:t>(in years)</w:t>
            </w: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8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55,800</w:t>
            </w:r>
          </w:p>
        </w:tc>
        <w:tc>
          <w:tcPr>
            <w:tcW w:w="7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55,800</w:t>
            </w:r>
          </w:p>
        </w:tc>
        <w:tc>
          <w:tcPr>
            <w:tcW w:w="1440" w:type="dxa"/>
            <w:vAlign w:val="bottom"/>
            <w:gridSpan w:val="2"/>
            <w:shd w:val="clear" w:color="auto" w:fill="CCEEFF"/>
          </w:tcPr>
          <w:p>
            <w:pPr>
              <w:ind w:left="1120"/>
              <w:spacing w:after="0" w:line="202" w:lineRule="exact"/>
              <w:rPr>
                <w:sz w:val="20"/>
                <w:szCs w:val="20"/>
                <w:color w:val="auto"/>
              </w:rPr>
            </w:pPr>
            <w:r>
              <w:rPr>
                <w:rFonts w:ascii="Arial" w:cs="Arial" w:eastAsia="Arial" w:hAnsi="Arial"/>
                <w:sz w:val="18"/>
                <w:szCs w:val="18"/>
                <w:color w:val="auto"/>
              </w:rPr>
              <w:t>n/a</w:t>
            </w:r>
          </w:p>
        </w:tc>
      </w:tr>
      <w:tr>
        <w:trPr>
          <w:trHeight w:val="210"/>
        </w:trPr>
        <w:tc>
          <w:tcPr>
            <w:tcW w:w="4860" w:type="dxa"/>
            <w:vAlign w:val="bottom"/>
            <w:gridSpan w:val="2"/>
          </w:tcPr>
          <w:p>
            <w:pPr>
              <w:spacing w:after="0" w:line="202" w:lineRule="exact"/>
              <w:rPr>
                <w:sz w:val="20"/>
                <w:szCs w:val="20"/>
                <w:color w:val="auto"/>
              </w:rPr>
            </w:pPr>
            <w:r>
              <w:rPr>
                <w:rFonts w:ascii="Arial" w:cs="Arial" w:eastAsia="Arial" w:hAnsi="Arial"/>
                <w:sz w:val="18"/>
                <w:szCs w:val="18"/>
                <w:color w:val="auto"/>
              </w:rPr>
              <w:t>Developed technology—tri-complex platform</w:t>
            </w:r>
          </w:p>
        </w:tc>
        <w:tc>
          <w:tcPr>
            <w:tcW w:w="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7,480</w:t>
            </w:r>
          </w:p>
        </w:tc>
        <w:tc>
          <w:tcPr>
            <w:tcW w:w="7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(198)</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7,282</w:t>
            </w:r>
          </w:p>
        </w:tc>
        <w:tc>
          <w:tcPr>
            <w:tcW w:w="1380" w:type="dxa"/>
            <w:vAlign w:val="bottom"/>
          </w:tcPr>
          <w:p>
            <w:pPr>
              <w:ind w:left="1120"/>
              <w:spacing w:after="0" w:line="202" w:lineRule="exact"/>
              <w:rPr>
                <w:sz w:val="20"/>
                <w:szCs w:val="20"/>
                <w:color w:val="auto"/>
              </w:rPr>
            </w:pPr>
            <w:r>
              <w:rPr>
                <w:rFonts w:ascii="Arial" w:cs="Arial" w:eastAsia="Arial" w:hAnsi="Arial"/>
                <w:sz w:val="18"/>
                <w:szCs w:val="18"/>
                <w:color w:val="auto"/>
                <w:w w:val="95"/>
              </w:rPr>
              <w:t>6.8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880" w:type="dxa"/>
            <w:vAlign w:val="bottom"/>
            <w:gridSpan w:val="2"/>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63,280</w:t>
            </w:r>
          </w:p>
        </w:tc>
        <w:tc>
          <w:tcPr>
            <w:tcW w:w="740" w:type="dxa"/>
            <w:vAlign w:val="bottom"/>
            <w:shd w:val="clear" w:color="auto" w:fill="CCEEFF"/>
          </w:tcPr>
          <w:p>
            <w:pPr>
              <w:ind w:left="30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(198)</w:t>
            </w:r>
          </w:p>
        </w:tc>
        <w:tc>
          <w:tcPr>
            <w:tcW w:w="46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63,082</w:t>
            </w:r>
          </w:p>
        </w:tc>
        <w:tc>
          <w:tcPr>
            <w:tcW w:w="1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The Company had no intangible assets as of December 31, 2017. See Note 7, “Acquisition of Warp Drive,” for a description of the assets acquired as part of the Warp Drive acquisition. Amortization expense for the year ended December 31, 2018 was $0.2 million. There was no amortization expense for the year ended December 31, 2017.</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expected future amortization related to intangible assets as of December 31, 2018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r>
      <w:tr>
        <w:trPr>
          <w:trHeight w:val="196"/>
        </w:trPr>
        <w:tc>
          <w:tcPr>
            <w:tcW w:w="20" w:type="dxa"/>
            <w:vAlign w:val="bottom"/>
          </w:tcPr>
          <w:p>
            <w:pPr>
              <w:spacing w:after="0"/>
              <w:rPr>
                <w:sz w:val="17"/>
                <w:szCs w:val="17"/>
                <w:color w:val="auto"/>
              </w:rPr>
            </w:pPr>
          </w:p>
        </w:tc>
        <w:tc>
          <w:tcPr>
            <w:tcW w:w="3960" w:type="dxa"/>
            <w:vAlign w:val="bottom"/>
            <w:tcBorders>
              <w:top w:val="single" w:sz="8" w:color="auto"/>
            </w:tcBorders>
          </w:tcPr>
          <w:p>
            <w:pPr>
              <w:spacing w:after="0"/>
              <w:rPr>
                <w:sz w:val="17"/>
                <w:szCs w:val="17"/>
                <w:color w:val="auto"/>
              </w:rPr>
            </w:pPr>
          </w:p>
        </w:tc>
        <w:tc>
          <w:tcPr>
            <w:tcW w:w="4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4"/>
          </w:tcPr>
          <w:p>
            <w:pPr>
              <w:ind w:left="4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jc w:val="right"/>
              <w:ind w:right="3492"/>
              <w:spacing w:after="0" w:line="202" w:lineRule="exact"/>
              <w:rPr>
                <w:sz w:val="20"/>
                <w:szCs w:val="20"/>
                <w:color w:val="auto"/>
              </w:rPr>
            </w:pPr>
            <w:r>
              <w:rPr>
                <w:rFonts w:ascii="Arial" w:cs="Arial" w:eastAsia="Arial" w:hAnsi="Arial"/>
                <w:sz w:val="18"/>
                <w:szCs w:val="18"/>
                <w:color w:val="auto"/>
                <w:w w:val="89"/>
              </w:rPr>
              <w:t>2019</w:t>
            </w: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7"/>
                <w:szCs w:val="17"/>
                <w:color w:val="auto"/>
              </w:rPr>
            </w:pPr>
          </w:p>
        </w:tc>
      </w:tr>
      <w:tr>
        <w:trPr>
          <w:trHeight w:val="203"/>
        </w:trPr>
        <w:tc>
          <w:tcPr>
            <w:tcW w:w="3980" w:type="dxa"/>
            <w:vAlign w:val="bottom"/>
            <w:gridSpan w:val="2"/>
          </w:tcPr>
          <w:p>
            <w:pPr>
              <w:jc w:val="right"/>
              <w:ind w:right="3492"/>
              <w:spacing w:after="0" w:line="202" w:lineRule="exact"/>
              <w:rPr>
                <w:sz w:val="20"/>
                <w:szCs w:val="20"/>
                <w:color w:val="auto"/>
              </w:rPr>
            </w:pPr>
            <w:r>
              <w:rPr>
                <w:rFonts w:ascii="Arial" w:cs="Arial" w:eastAsia="Arial" w:hAnsi="Arial"/>
                <w:sz w:val="18"/>
                <w:szCs w:val="18"/>
                <w:color w:val="auto"/>
                <w:w w:val="94"/>
              </w:rPr>
              <w:t>2020</w:t>
            </w: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jc w:val="right"/>
              <w:ind w:right="3492"/>
              <w:spacing w:after="0" w:line="202" w:lineRule="exact"/>
              <w:rPr>
                <w:sz w:val="20"/>
                <w:szCs w:val="20"/>
                <w:color w:val="auto"/>
              </w:rPr>
            </w:pPr>
            <w:r>
              <w:rPr>
                <w:rFonts w:ascii="Arial" w:cs="Arial" w:eastAsia="Arial" w:hAnsi="Arial"/>
                <w:sz w:val="18"/>
                <w:szCs w:val="18"/>
                <w:color w:val="auto"/>
                <w:w w:val="89"/>
              </w:rPr>
              <w:t>2021</w:t>
            </w: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7"/>
                <w:szCs w:val="17"/>
                <w:color w:val="auto"/>
              </w:rPr>
            </w:pPr>
          </w:p>
        </w:tc>
      </w:tr>
      <w:tr>
        <w:trPr>
          <w:trHeight w:val="203"/>
        </w:trPr>
        <w:tc>
          <w:tcPr>
            <w:tcW w:w="3980" w:type="dxa"/>
            <w:vAlign w:val="bottom"/>
            <w:gridSpan w:val="2"/>
          </w:tcPr>
          <w:p>
            <w:pPr>
              <w:jc w:val="right"/>
              <w:ind w:right="3492"/>
              <w:spacing w:after="0" w:line="202" w:lineRule="exact"/>
              <w:rPr>
                <w:sz w:val="20"/>
                <w:szCs w:val="20"/>
                <w:color w:val="auto"/>
              </w:rPr>
            </w:pPr>
            <w:r>
              <w:rPr>
                <w:rFonts w:ascii="Arial" w:cs="Arial" w:eastAsia="Arial" w:hAnsi="Arial"/>
                <w:sz w:val="18"/>
                <w:szCs w:val="18"/>
                <w:color w:val="auto"/>
                <w:w w:val="94"/>
              </w:rPr>
              <w:t>2022</w:t>
            </w: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jc w:val="right"/>
              <w:ind w:right="3492"/>
              <w:spacing w:after="0" w:line="202" w:lineRule="exact"/>
              <w:rPr>
                <w:sz w:val="20"/>
                <w:szCs w:val="20"/>
                <w:color w:val="auto"/>
              </w:rPr>
            </w:pPr>
            <w:r>
              <w:rPr>
                <w:rFonts w:ascii="Arial" w:cs="Arial" w:eastAsia="Arial" w:hAnsi="Arial"/>
                <w:sz w:val="18"/>
                <w:szCs w:val="18"/>
                <w:color w:val="auto"/>
                <w:w w:val="89"/>
              </w:rPr>
              <w:t>2023</w:t>
            </w: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7"/>
                <w:szCs w:val="17"/>
                <w:color w:val="auto"/>
              </w:rPr>
            </w:pPr>
          </w:p>
        </w:tc>
      </w:tr>
      <w:tr>
        <w:trPr>
          <w:trHeight w:val="210"/>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Thereafter</w:t>
            </w: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1,937</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ind w:left="90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7,282</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7"/>
        </w:trPr>
        <w:tc>
          <w:tcPr>
            <w:tcW w:w="3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w:t>
            </w: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3980" w:type="dxa"/>
            <w:vAlign w:val="bottom"/>
            <w:gridSpan w:val="2"/>
          </w:tcPr>
          <w:p>
            <w:pPr>
              <w:spacing w:after="0"/>
              <w:rPr>
                <w:sz w:val="20"/>
                <w:szCs w:val="20"/>
                <w:color w:val="auto"/>
              </w:rPr>
            </w:pPr>
            <w:r>
              <w:rPr>
                <w:rFonts w:ascii="Arial" w:cs="Arial" w:eastAsia="Arial" w:hAnsi="Arial"/>
                <w:sz w:val="18"/>
                <w:szCs w:val="18"/>
                <w:color w:val="auto"/>
              </w:rPr>
              <w:t>Goodwill consists of the following:</w:t>
            </w:r>
          </w:p>
        </w:tc>
        <w:tc>
          <w:tcPr>
            <w:tcW w:w="4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740" w:type="dxa"/>
            <w:vAlign w:val="bottom"/>
            <w:tcBorders>
              <w:bottom w:val="single" w:sz="8" w:color="auto"/>
            </w:tcBorders>
            <w:gridSpan w:val="6"/>
          </w:tcPr>
          <w:p>
            <w:pPr>
              <w:spacing w:after="0"/>
              <w:rPr>
                <w:sz w:val="10"/>
                <w:szCs w:val="10"/>
                <w:color w:val="auto"/>
              </w:rPr>
            </w:pPr>
          </w:p>
        </w:tc>
      </w:tr>
      <w:tr>
        <w:trPr>
          <w:trHeight w:val="243"/>
        </w:trPr>
        <w:tc>
          <w:tcPr>
            <w:tcW w:w="2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4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7"/>
              </w:rPr>
              <w:t>Year ended December 31,</w:t>
            </w:r>
          </w:p>
        </w:tc>
      </w:tr>
      <w:tr>
        <w:trPr>
          <w:trHeight w:val="223"/>
        </w:trPr>
        <w:tc>
          <w:tcPr>
            <w:tcW w:w="20" w:type="dxa"/>
            <w:vAlign w:val="bottom"/>
          </w:tcPr>
          <w:p>
            <w:pPr>
              <w:spacing w:after="0"/>
              <w:rPr>
                <w:sz w:val="19"/>
                <w:szCs w:val="19"/>
                <w:color w:val="auto"/>
              </w:rPr>
            </w:pPr>
          </w:p>
        </w:tc>
        <w:tc>
          <w:tcPr>
            <w:tcW w:w="396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2017</w:t>
            </w:r>
          </w:p>
        </w:tc>
        <w:tc>
          <w:tcPr>
            <w:tcW w:w="86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180" w:type="dxa"/>
            <w:vAlign w:val="bottom"/>
            <w:gridSpan w:val="5"/>
          </w:tcPr>
          <w:p>
            <w:pPr>
              <w:jc w:val="center"/>
              <w:ind w:right="760"/>
              <w:spacing w:after="0" w:line="196" w:lineRule="exact"/>
              <w:rPr>
                <w:sz w:val="20"/>
                <w:szCs w:val="20"/>
                <w:color w:val="auto"/>
              </w:rPr>
            </w:pPr>
            <w:r>
              <w:rPr>
                <w:rFonts w:ascii="Arial" w:cs="Arial" w:eastAsia="Arial" w:hAnsi="Arial"/>
                <w:sz w:val="18"/>
                <w:szCs w:val="18"/>
                <w:b w:val="1"/>
                <w:bCs w:val="1"/>
                <w:color w:val="auto"/>
                <w:w w:val="98"/>
              </w:rPr>
              <w:t>(in thousands)</w:t>
            </w: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4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88"/>
              </w:rPr>
              <w:t>—</w:t>
            </w:r>
          </w:p>
        </w:tc>
        <w:tc>
          <w:tcPr>
            <w:tcW w:w="10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3980" w:type="dxa"/>
            <w:vAlign w:val="bottom"/>
            <w:gridSpan w:val="2"/>
          </w:tcPr>
          <w:p>
            <w:pPr>
              <w:spacing w:after="0" w:line="202" w:lineRule="exact"/>
              <w:rPr>
                <w:sz w:val="20"/>
                <w:szCs w:val="20"/>
                <w:color w:val="auto"/>
              </w:rPr>
            </w:pPr>
            <w:r>
              <w:rPr>
                <w:rFonts w:ascii="Arial" w:cs="Arial" w:eastAsia="Arial" w:hAnsi="Arial"/>
                <w:sz w:val="18"/>
                <w:szCs w:val="18"/>
                <w:color w:val="auto"/>
              </w:rPr>
              <w:t>Goodwill acquired (Note 7)</w:t>
            </w:r>
          </w:p>
        </w:tc>
        <w:tc>
          <w:tcPr>
            <w:tcW w:w="4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ind w:left="380"/>
              <w:spacing w:after="0" w:line="202" w:lineRule="exact"/>
              <w:rPr>
                <w:sz w:val="20"/>
                <w:szCs w:val="20"/>
                <w:color w:val="auto"/>
              </w:rPr>
            </w:pPr>
            <w:r>
              <w:rPr>
                <w:rFonts w:ascii="Arial" w:cs="Arial" w:eastAsia="Arial" w:hAnsi="Arial"/>
                <w:sz w:val="18"/>
                <w:szCs w:val="18"/>
                <w:color w:val="auto"/>
                <w:w w:val="88"/>
              </w:rPr>
              <w:t>—</w:t>
            </w:r>
          </w:p>
        </w:tc>
        <w:tc>
          <w:tcPr>
            <w:tcW w:w="8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432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88"/>
              </w:rPr>
              <w:t>—</w:t>
            </w:r>
          </w:p>
        </w:tc>
        <w:tc>
          <w:tcPr>
            <w:tcW w:w="10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4320" w:type="dxa"/>
            <w:vAlign w:val="bottom"/>
            <w:tcBorders>
              <w:bottom w:val="single" w:sz="8" w:color="auto"/>
            </w:tcBorders>
            <w:gridSpan w:val="2"/>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4320" w:type="dxa"/>
            <w:vAlign w:val="bottom"/>
            <w:gridSpan w:val="2"/>
          </w:tcPr>
          <w:p>
            <w:pPr>
              <w:jc w:val="right"/>
              <w:ind w:right="2600"/>
              <w:spacing w:after="0"/>
              <w:rPr>
                <w:sz w:val="20"/>
                <w:szCs w:val="20"/>
                <w:color w:val="auto"/>
              </w:rPr>
            </w:pPr>
            <w:r>
              <w:rPr>
                <w:rFonts w:ascii="Arial" w:cs="Arial" w:eastAsia="Arial" w:hAnsi="Arial"/>
                <w:sz w:val="18"/>
                <w:szCs w:val="18"/>
                <w:color w:val="auto"/>
              </w:rPr>
              <w:t>F-17</w:t>
            </w: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and equipment, net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78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60" w:type="dxa"/>
            <w:vAlign w:val="bottom"/>
            <w:tcBorders>
              <w:bottom w:val="single" w:sz="8" w:color="auto"/>
            </w:tcBorders>
          </w:tcPr>
          <w:p>
            <w:pPr>
              <w:spacing w:after="0"/>
              <w:rPr>
                <w:sz w:val="19"/>
                <w:szCs w:val="19"/>
                <w:color w:val="auto"/>
              </w:rPr>
            </w:pPr>
          </w:p>
        </w:tc>
        <w:tc>
          <w:tcPr>
            <w:tcW w:w="3560" w:type="dxa"/>
            <w:vAlign w:val="bottom"/>
            <w:tcBorders>
              <w:bottom w:val="single" w:sz="8" w:color="auto"/>
            </w:tcBorders>
            <w:gridSpan w:val="2"/>
          </w:tcPr>
          <w:p>
            <w:pPr>
              <w:jc w:val="right"/>
              <w:ind w:right="312"/>
              <w:spacing w:after="0"/>
              <w:rPr>
                <w:sz w:val="20"/>
                <w:szCs w:val="20"/>
                <w:color w:val="auto"/>
              </w:rPr>
            </w:pPr>
            <w:r>
              <w:rPr>
                <w:rFonts w:ascii="Arial" w:cs="Arial" w:eastAsia="Arial" w:hAnsi="Arial"/>
                <w:sz w:val="18"/>
                <w:szCs w:val="18"/>
                <w:b w:val="1"/>
                <w:bCs w:val="1"/>
                <w:color w:val="auto"/>
              </w:rPr>
              <w:t>2017</w:t>
            </w:r>
          </w:p>
        </w:tc>
        <w:tc>
          <w:tcPr>
            <w:tcW w:w="3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4"/>
              </w:rPr>
              <w:t>2018</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900" w:type="dxa"/>
            <w:vAlign w:val="bottom"/>
            <w:gridSpan w:val="4"/>
          </w:tcPr>
          <w:p>
            <w:pPr>
              <w:jc w:val="right"/>
              <w:ind w:right="42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Laboratory equipment</w:t>
            </w:r>
          </w:p>
        </w:tc>
        <w:tc>
          <w:tcPr>
            <w:tcW w:w="356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$ 3,587</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6,181</w:t>
            </w:r>
          </w:p>
        </w:tc>
        <w:tc>
          <w:tcPr>
            <w:tcW w:w="120" w:type="dxa"/>
            <w:vAlign w:val="bottom"/>
            <w:shd w:val="clear" w:color="auto" w:fill="CCEEFF"/>
          </w:tcPr>
          <w:p>
            <w:pPr>
              <w:spacing w:after="0"/>
              <w:rPr>
                <w:sz w:val="17"/>
                <w:szCs w:val="17"/>
                <w:color w:val="auto"/>
              </w:rPr>
            </w:pPr>
          </w:p>
        </w:tc>
      </w:tr>
      <w:tr>
        <w:trPr>
          <w:trHeight w:val="203"/>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3560" w:type="dxa"/>
            <w:vAlign w:val="bottom"/>
            <w:gridSpan w:val="2"/>
          </w:tcPr>
          <w:p>
            <w:pPr>
              <w:jc w:val="right"/>
              <w:ind w:right="212"/>
              <w:spacing w:after="0" w:line="202" w:lineRule="exact"/>
              <w:rPr>
                <w:sz w:val="20"/>
                <w:szCs w:val="20"/>
                <w:color w:val="auto"/>
              </w:rPr>
            </w:pPr>
            <w:r>
              <w:rPr>
                <w:rFonts w:ascii="Arial" w:cs="Arial" w:eastAsia="Arial" w:hAnsi="Arial"/>
                <w:sz w:val="18"/>
                <w:szCs w:val="18"/>
                <w:color w:val="auto"/>
              </w:rPr>
              <w:t>3,217</w:t>
            </w:r>
          </w:p>
        </w:tc>
        <w:tc>
          <w:tcPr>
            <w:tcW w:w="34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3,304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356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617</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7"/>
                <w:szCs w:val="17"/>
                <w:color w:val="auto"/>
              </w:rPr>
            </w:pPr>
          </w:p>
        </w:tc>
      </w:tr>
      <w:tr>
        <w:trPr>
          <w:trHeight w:val="210"/>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Furniture and fixtures</w:t>
            </w:r>
          </w:p>
        </w:tc>
        <w:tc>
          <w:tcPr>
            <w:tcW w:w="2660" w:type="dxa"/>
            <w:vAlign w:val="bottom"/>
          </w:tcPr>
          <w:p>
            <w:pPr>
              <w:spacing w:after="0"/>
              <w:rPr>
                <w:sz w:val="18"/>
                <w:szCs w:val="18"/>
                <w:color w:val="auto"/>
              </w:rPr>
            </w:pPr>
          </w:p>
        </w:tc>
        <w:tc>
          <w:tcPr>
            <w:tcW w:w="90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rPr>
                <w:sz w:val="17"/>
                <w:szCs w:val="17"/>
                <w:color w:val="auto"/>
              </w:rPr>
            </w:pPr>
          </w:p>
        </w:tc>
        <w:tc>
          <w:tcPr>
            <w:tcW w:w="356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7,437</w:t>
            </w:r>
          </w:p>
        </w:tc>
        <w:tc>
          <w:tcPr>
            <w:tcW w:w="3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10,495</w:t>
            </w:r>
          </w:p>
        </w:tc>
        <w:tc>
          <w:tcPr>
            <w:tcW w:w="120" w:type="dxa"/>
            <w:vAlign w:val="bottom"/>
            <w:shd w:val="clear" w:color="auto" w:fill="CCEEFF"/>
          </w:tcPr>
          <w:p>
            <w:pPr>
              <w:spacing w:after="0"/>
              <w:rPr>
                <w:sz w:val="17"/>
                <w:szCs w:val="17"/>
                <w:color w:val="auto"/>
              </w:rPr>
            </w:pPr>
          </w:p>
        </w:tc>
      </w:tr>
      <w:tr>
        <w:trPr>
          <w:trHeight w:val="203"/>
        </w:trPr>
        <w:tc>
          <w:tcPr>
            <w:tcW w:w="6480" w:type="dxa"/>
            <w:vAlign w:val="bottom"/>
            <w:gridSpan w:val="2"/>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2660" w:type="dxa"/>
            <w:vAlign w:val="bottom"/>
          </w:tcPr>
          <w:p>
            <w:pPr>
              <w:spacing w:after="0"/>
              <w:rPr>
                <w:sz w:val="17"/>
                <w:szCs w:val="17"/>
                <w:color w:val="auto"/>
              </w:rPr>
            </w:pPr>
          </w:p>
        </w:tc>
        <w:tc>
          <w:tcPr>
            <w:tcW w:w="90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(2,184)</w:t>
            </w:r>
          </w:p>
        </w:tc>
        <w:tc>
          <w:tcPr>
            <w:tcW w:w="340" w:type="dxa"/>
            <w:vAlign w:val="bottom"/>
          </w:tcPr>
          <w:p>
            <w:pPr>
              <w:spacing w:after="0"/>
              <w:rPr>
                <w:sz w:val="17"/>
                <w:szCs w:val="17"/>
                <w:color w:val="auto"/>
              </w:rPr>
            </w:pPr>
          </w:p>
        </w:tc>
        <w:tc>
          <w:tcPr>
            <w:tcW w:w="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(3,623)</w:t>
            </w:r>
          </w:p>
        </w:tc>
      </w:tr>
      <w:tr>
        <w:trPr>
          <w:trHeight w:val="27"/>
        </w:trPr>
        <w:tc>
          <w:tcPr>
            <w:tcW w:w="20" w:type="dxa"/>
            <w:vAlign w:val="bottom"/>
          </w:tcPr>
          <w:p>
            <w:pPr>
              <w:spacing w:after="0"/>
              <w:rPr>
                <w:sz w:val="2"/>
                <w:szCs w:val="2"/>
                <w:color w:val="auto"/>
              </w:rPr>
            </w:pPr>
          </w:p>
        </w:tc>
        <w:tc>
          <w:tcPr>
            <w:tcW w:w="64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3560" w:type="dxa"/>
            <w:vAlign w:val="bottom"/>
            <w:gridSpan w:val="2"/>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$ 5,253</w:t>
            </w: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6,872</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During the year ended December 31, 2018, the Company acquired $2.2 million of property and equipment as part of its acquisition of Warp Drive.</w:t>
      </w:r>
    </w:p>
    <w:p>
      <w:pPr>
        <w:spacing w:after="0" w:line="101" w:lineRule="exact"/>
        <w:rPr>
          <w:sz w:val="20"/>
          <w:szCs w:val="20"/>
          <w:color w:val="auto"/>
        </w:rPr>
      </w:pPr>
    </w:p>
    <w:p>
      <w:pPr>
        <w:ind w:left="200" w:right="1040"/>
        <w:spacing w:after="0" w:line="239" w:lineRule="auto"/>
        <w:rPr>
          <w:sz w:val="20"/>
          <w:szCs w:val="20"/>
          <w:color w:val="auto"/>
        </w:rPr>
      </w:pPr>
      <w:r>
        <w:rPr>
          <w:rFonts w:ascii="Arial" w:cs="Arial" w:eastAsia="Arial" w:hAnsi="Arial"/>
          <w:sz w:val="18"/>
          <w:szCs w:val="18"/>
          <w:color w:val="auto"/>
        </w:rPr>
        <w:t>Depreciation and amortization expense for property and equipment amounted to $1.2 million and $1.6 million for the years ended December 31, 2017 and 2018, respectively.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December 31,</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0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rPr>
              <w:t>2017</w:t>
            </w: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40" w:type="dxa"/>
            <w:vAlign w:val="bottom"/>
            <w:gridSpan w:val="3"/>
          </w:tcPr>
          <w:p>
            <w:pPr>
              <w:jc w:val="center"/>
              <w:ind w:right="80"/>
              <w:spacing w:after="0" w:line="196" w:lineRule="exact"/>
              <w:rPr>
                <w:sz w:val="20"/>
                <w:szCs w:val="20"/>
                <w:color w:val="auto"/>
              </w:rPr>
            </w:pPr>
            <w:r>
              <w:rPr>
                <w:rFonts w:ascii="Arial" w:cs="Arial" w:eastAsia="Arial" w:hAnsi="Arial"/>
                <w:sz w:val="18"/>
                <w:szCs w:val="18"/>
                <w:b w:val="1"/>
                <w:bCs w:val="1"/>
                <w:color w:val="auto"/>
                <w:w w:val="98"/>
              </w:rPr>
              <w:t>(in thousands)</w:t>
            </w: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350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$1,468</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$4,861</w:t>
            </w:r>
          </w:p>
        </w:tc>
        <w:tc>
          <w:tcPr>
            <w:tcW w:w="60" w:type="dxa"/>
            <w:vAlign w:val="bottom"/>
            <w:shd w:val="clear" w:color="auto" w:fill="CCEEFF"/>
          </w:tcPr>
          <w:p>
            <w:pPr>
              <w:spacing w:after="0"/>
              <w:rPr>
                <w:sz w:val="17"/>
                <w:szCs w:val="17"/>
                <w:color w:val="auto"/>
              </w:rPr>
            </w:pPr>
          </w:p>
        </w:tc>
      </w:tr>
      <w:tr>
        <w:trPr>
          <w:trHeight w:val="203"/>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Accrued research and development</w:t>
            </w:r>
          </w:p>
        </w:tc>
        <w:tc>
          <w:tcPr>
            <w:tcW w:w="350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1,525</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2,016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current</w:t>
            </w:r>
          </w:p>
        </w:tc>
        <w:tc>
          <w:tcPr>
            <w:tcW w:w="350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496</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552</w:t>
            </w:r>
          </w:p>
        </w:tc>
        <w:tc>
          <w:tcPr>
            <w:tcW w:w="60" w:type="dxa"/>
            <w:vAlign w:val="bottom"/>
            <w:shd w:val="clear" w:color="auto" w:fill="CCEEFF"/>
          </w:tcPr>
          <w:p>
            <w:pPr>
              <w:spacing w:after="0"/>
              <w:rPr>
                <w:sz w:val="17"/>
                <w:szCs w:val="17"/>
                <w:color w:val="auto"/>
              </w:rPr>
            </w:pPr>
          </w:p>
        </w:tc>
      </w:tr>
      <w:tr>
        <w:trPr>
          <w:trHeight w:val="203"/>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350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173</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264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 current</w:t>
            </w:r>
          </w:p>
        </w:tc>
        <w:tc>
          <w:tcPr>
            <w:tcW w:w="278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7"/>
                <w:szCs w:val="17"/>
                <w:color w:val="auto"/>
              </w:rPr>
            </w:pPr>
          </w:p>
        </w:tc>
      </w:tr>
      <w:tr>
        <w:trPr>
          <w:trHeight w:val="210"/>
        </w:trPr>
        <w:tc>
          <w:tcPr>
            <w:tcW w:w="672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780" w:type="dxa"/>
            <w:vAlign w:val="bottom"/>
          </w:tcPr>
          <w:p>
            <w:pPr>
              <w:spacing w:after="0"/>
              <w:rPr>
                <w:sz w:val="18"/>
                <w:szCs w:val="18"/>
                <w:color w:val="auto"/>
              </w:rPr>
            </w:pPr>
          </w:p>
        </w:tc>
        <w:tc>
          <w:tcPr>
            <w:tcW w:w="7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583</w:t>
            </w: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646</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accrued expenses and other current liabilities</w:t>
            </w:r>
          </w:p>
        </w:tc>
        <w:tc>
          <w:tcPr>
            <w:tcW w:w="350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$4,245</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$8,486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5. Commitments and contingencies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In January 2015, as amended in September 2016, the Company entered into a facility lease for office and laboratory space located in Redwood City, California (Redwood City Lease) which expires in April 2023. The landlord provided the Company with tenant improvement allowances of $3.4 million. The Company has assessed the tenant improvement allowance to be a lease incentive and has capitalized the full amount to property and equipment and recognized a corresponding lease financing obligation included in deferred rent on the consolidated balance sheets. The lease financing obligation is amortized as an offset to rent expense over the lease term in the consolidated statements of operations and comprehensive loss.</w:t>
      </w:r>
    </w:p>
    <w:p>
      <w:pPr>
        <w:spacing w:after="0" w:line="102"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In conjunction with the lease agreement, the Company paid a security deposit of $0.3 million which is included in other noncurrent assets on the consolidated balance sheets as of December 31, 2017 and 2018.</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60" w:right="41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520"/>
        <w:spacing w:after="0" w:line="237" w:lineRule="auto"/>
        <w:rPr>
          <w:sz w:val="20"/>
          <w:szCs w:val="20"/>
          <w:color w:val="auto"/>
        </w:rPr>
      </w:pPr>
      <w:r>
        <w:rPr>
          <w:rFonts w:ascii="Arial" w:cs="Arial" w:eastAsia="Arial" w:hAnsi="Arial"/>
          <w:sz w:val="18"/>
          <w:szCs w:val="18"/>
          <w:color w:val="auto"/>
        </w:rPr>
        <w:t>In July 2015, as amended in March 2016 and September 2016, the Company subleased a portion of the Redwood City Lease to Pliant Therapeutics, Inc., a related party, which expired in June 2018. Sublease income of $0.9 million and $0.5 million for the years ended December 31, 2017 and 2018, respectively, was recorded as an offset to rent expense in the consolidated statements of operations and comprehensive loss.</w:t>
      </w:r>
    </w:p>
    <w:p>
      <w:pPr>
        <w:spacing w:after="0" w:line="101" w:lineRule="exact"/>
        <w:rPr>
          <w:sz w:val="20"/>
          <w:szCs w:val="20"/>
          <w:color w:val="auto"/>
        </w:rPr>
      </w:pPr>
    </w:p>
    <w:p>
      <w:pPr>
        <w:ind w:left="200" w:right="100"/>
        <w:spacing w:after="0" w:line="271" w:lineRule="auto"/>
        <w:rPr>
          <w:sz w:val="20"/>
          <w:szCs w:val="20"/>
          <w:color w:val="auto"/>
        </w:rPr>
      </w:pPr>
      <w:r>
        <w:rPr>
          <w:rFonts w:ascii="Arial" w:cs="Arial" w:eastAsia="Arial" w:hAnsi="Arial"/>
          <w:sz w:val="16"/>
          <w:szCs w:val="16"/>
          <w:color w:val="auto"/>
        </w:rPr>
        <w:t>As part of the Warp Drive acquisition in October 2018, the Company assumed a facility lease for office and laboratory space located in Cambridge, Massachusetts (Cambridge Lease) which expires in February 2023. In March 2019, the Company fully subleased the Cambridge Lease to Casma Therapeutics, Inc. (Casma), a related party, on financial terms substantially the same as the original lease. The sublease term with Casma is through the remainder of the Cambridge Lease term. The sublease by Casma and related sublease payments by Casma to the Company are fully guaranteed by Third Rock Ventures, LLC, a related party. In conjunction with the Cambridge Lease, the Company issued a letter of credit for $0.2 million, which is included in restricted cash on the consolidated balance sheet as of December 31, 2018.</w:t>
      </w:r>
    </w:p>
    <w:p>
      <w:pPr>
        <w:spacing w:after="0" w:line="7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Rent expense for the years ended December 31, 2017 and 2018 was $0.7 million and $1.5 million, respectively, net of sublease income and tenant improvement allowance credits. The terms of the facility leases provide for rental payments on a graduated scale; however, rent expense is recognized on a straight-line basis over the lease term. At December 31, 2017 and 2018, $3.3 million and $2.8 million was included as deferred rent, respectively, which includes the deferred tenant improvement allowance and straight-line rent. The current portion of deferred rent is included in accrued expenses and other current liabilities and the noncurrent portion of deferred rent is included in deferred rent, noncurrent on the consolidated balance sheets.</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2018, future minimum payments under the Company’s operating and capital leases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4700" w:type="dxa"/>
            <w:vAlign w:val="bottom"/>
            <w:gridSpan w:val="4"/>
          </w:tcPr>
          <w:p>
            <w:pPr>
              <w:ind w:left="3420"/>
              <w:spacing w:after="0"/>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jc w:val="right"/>
              <w:ind w:right="5852"/>
              <w:spacing w:after="0" w:line="202" w:lineRule="exact"/>
              <w:rPr>
                <w:sz w:val="20"/>
                <w:szCs w:val="20"/>
                <w:color w:val="auto"/>
              </w:rPr>
            </w:pPr>
            <w:r>
              <w:rPr>
                <w:rFonts w:ascii="Arial" w:cs="Arial" w:eastAsia="Arial" w:hAnsi="Arial"/>
                <w:sz w:val="18"/>
                <w:szCs w:val="18"/>
                <w:color w:val="auto"/>
                <w:w w:val="89"/>
              </w:rPr>
              <w:t>2019</w:t>
            </w:r>
          </w:p>
        </w:tc>
        <w:tc>
          <w:tcPr>
            <w:tcW w:w="3800" w:type="dxa"/>
            <w:vAlign w:val="bottom"/>
            <w:gridSpan w:val="2"/>
            <w:shd w:val="clear" w:color="auto" w:fill="CCEEFF"/>
          </w:tcPr>
          <w:p>
            <w:pPr>
              <w:ind w:left="342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3,714</w:t>
            </w:r>
          </w:p>
        </w:tc>
        <w:tc>
          <w:tcPr>
            <w:tcW w:w="60" w:type="dxa"/>
            <w:vAlign w:val="bottom"/>
            <w:shd w:val="clear" w:color="auto" w:fill="CCEEFF"/>
          </w:tcPr>
          <w:p>
            <w:pPr>
              <w:spacing w:after="0"/>
              <w:rPr>
                <w:sz w:val="17"/>
                <w:szCs w:val="17"/>
                <w:color w:val="auto"/>
              </w:rPr>
            </w:pPr>
          </w:p>
        </w:tc>
      </w:tr>
      <w:tr>
        <w:trPr>
          <w:trHeight w:val="203"/>
        </w:trPr>
        <w:tc>
          <w:tcPr>
            <w:tcW w:w="6340" w:type="dxa"/>
            <w:vAlign w:val="bottom"/>
            <w:gridSpan w:val="2"/>
          </w:tcPr>
          <w:p>
            <w:pPr>
              <w:jc w:val="right"/>
              <w:ind w:right="5852"/>
              <w:spacing w:after="0" w:line="202" w:lineRule="exact"/>
              <w:rPr>
                <w:sz w:val="20"/>
                <w:szCs w:val="20"/>
                <w:color w:val="auto"/>
              </w:rPr>
            </w:pPr>
            <w:r>
              <w:rPr>
                <w:rFonts w:ascii="Arial" w:cs="Arial" w:eastAsia="Arial" w:hAnsi="Arial"/>
                <w:sz w:val="18"/>
                <w:szCs w:val="18"/>
                <w:color w:val="auto"/>
                <w:w w:val="94"/>
              </w:rPr>
              <w:t>2020</w:t>
            </w:r>
          </w:p>
        </w:tc>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3,820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jc w:val="right"/>
              <w:ind w:right="5852"/>
              <w:spacing w:after="0" w:line="202" w:lineRule="exact"/>
              <w:rPr>
                <w:sz w:val="20"/>
                <w:szCs w:val="20"/>
                <w:color w:val="auto"/>
              </w:rPr>
            </w:pPr>
            <w:r>
              <w:rPr>
                <w:rFonts w:ascii="Arial" w:cs="Arial" w:eastAsia="Arial" w:hAnsi="Arial"/>
                <w:sz w:val="18"/>
                <w:szCs w:val="18"/>
                <w:color w:val="auto"/>
                <w:w w:val="89"/>
              </w:rPr>
              <w:t>2021</w:t>
            </w:r>
          </w:p>
        </w:tc>
        <w:tc>
          <w:tcPr>
            <w:tcW w:w="3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3,786</w:t>
            </w:r>
          </w:p>
        </w:tc>
        <w:tc>
          <w:tcPr>
            <w:tcW w:w="60" w:type="dxa"/>
            <w:vAlign w:val="bottom"/>
            <w:shd w:val="clear" w:color="auto" w:fill="CCEEFF"/>
          </w:tcPr>
          <w:p>
            <w:pPr>
              <w:spacing w:after="0"/>
              <w:rPr>
                <w:sz w:val="17"/>
                <w:szCs w:val="17"/>
                <w:color w:val="auto"/>
              </w:rPr>
            </w:pPr>
          </w:p>
        </w:tc>
      </w:tr>
      <w:tr>
        <w:trPr>
          <w:trHeight w:val="203"/>
        </w:trPr>
        <w:tc>
          <w:tcPr>
            <w:tcW w:w="6340" w:type="dxa"/>
            <w:vAlign w:val="bottom"/>
            <w:gridSpan w:val="2"/>
          </w:tcPr>
          <w:p>
            <w:pPr>
              <w:jc w:val="right"/>
              <w:ind w:right="5852"/>
              <w:spacing w:after="0" w:line="202" w:lineRule="exact"/>
              <w:rPr>
                <w:sz w:val="20"/>
                <w:szCs w:val="20"/>
                <w:color w:val="auto"/>
              </w:rPr>
            </w:pPr>
            <w:r>
              <w:rPr>
                <w:rFonts w:ascii="Arial" w:cs="Arial" w:eastAsia="Arial" w:hAnsi="Arial"/>
                <w:sz w:val="18"/>
                <w:szCs w:val="18"/>
                <w:color w:val="auto"/>
                <w:w w:val="94"/>
              </w:rPr>
              <w:t>2022</w:t>
            </w:r>
          </w:p>
        </w:tc>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3,886</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20" w:type="dxa"/>
            <w:vAlign w:val="bottom"/>
            <w:shd w:val="clear" w:color="auto" w:fill="CCEEFF"/>
          </w:tcPr>
          <w:p>
            <w:pPr>
              <w:jc w:val="right"/>
              <w:ind w:right="5852"/>
              <w:spacing w:after="0" w:line="202" w:lineRule="exact"/>
              <w:rPr>
                <w:sz w:val="20"/>
                <w:szCs w:val="20"/>
                <w:color w:val="auto"/>
              </w:rPr>
            </w:pPr>
            <w:r>
              <w:rPr>
                <w:rFonts w:ascii="Arial" w:cs="Arial" w:eastAsia="Arial" w:hAnsi="Arial"/>
                <w:sz w:val="18"/>
                <w:szCs w:val="18"/>
                <w:color w:val="auto"/>
                <w:w w:val="89"/>
              </w:rPr>
              <w:t>2023</w:t>
            </w:r>
          </w:p>
        </w:tc>
        <w:tc>
          <w:tcPr>
            <w:tcW w:w="34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1,003</w:t>
            </w:r>
          </w:p>
        </w:tc>
        <w:tc>
          <w:tcPr>
            <w:tcW w:w="60" w:type="dxa"/>
            <w:vAlign w:val="bottom"/>
            <w:shd w:val="clear" w:color="auto" w:fill="CCEEFF"/>
          </w:tcPr>
          <w:p>
            <w:pPr>
              <w:spacing w:after="0"/>
              <w:rPr>
                <w:sz w:val="17"/>
                <w:szCs w:val="17"/>
                <w:color w:val="auto"/>
              </w:rPr>
            </w:pPr>
          </w:p>
        </w:tc>
      </w:tr>
      <w:tr>
        <w:trPr>
          <w:trHeight w:val="222"/>
        </w:trPr>
        <w:tc>
          <w:tcPr>
            <w:tcW w:w="6340" w:type="dxa"/>
            <w:vAlign w:val="bottom"/>
            <w:tcBorders>
              <w:bottom w:val="single" w:sz="8" w:color="auto"/>
            </w:tcBorders>
            <w:gridSpan w:val="2"/>
          </w:tcPr>
          <w:p>
            <w:pPr>
              <w:jc w:val="right"/>
              <w:ind w:right="3332"/>
              <w:spacing w:after="0"/>
              <w:rPr>
                <w:sz w:val="20"/>
                <w:szCs w:val="20"/>
                <w:color w:val="auto"/>
              </w:rPr>
            </w:pPr>
            <w:r>
              <w:rPr>
                <w:rFonts w:ascii="Arial" w:cs="Arial" w:eastAsia="Arial" w:hAnsi="Arial"/>
                <w:sz w:val="18"/>
                <w:szCs w:val="18"/>
                <w:color w:val="auto"/>
                <w:w w:val="96"/>
              </w:rPr>
              <w:t>Total future minimum lease payments</w:t>
            </w:r>
          </w:p>
        </w:tc>
        <w:tc>
          <w:tcPr>
            <w:tcW w:w="3800" w:type="dxa"/>
            <w:vAlign w:val="bottom"/>
            <w:tcBorders>
              <w:bottom w:val="single" w:sz="8" w:color="auto"/>
            </w:tcBorders>
            <w:gridSpan w:val="2"/>
          </w:tcPr>
          <w:p>
            <w:pPr>
              <w:ind w:left="34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16,209</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Included in the amounts above are $0.3 million of capital lease obligations.</w:t>
      </w:r>
    </w:p>
    <w:p>
      <w:pPr>
        <w:spacing w:after="0" w:line="104"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The amounts reflected in the table above incorporate the Company’s lease payments for the Cambridge Lease, but do not reflect any offset for the sublease payments the Company will receive from Casma.</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matters</w:t>
      </w:r>
    </w:p>
    <w:p>
      <w:pPr>
        <w:spacing w:after="0" w:line="124" w:lineRule="exact"/>
        <w:rPr>
          <w:sz w:val="20"/>
          <w:szCs w:val="20"/>
          <w:color w:val="auto"/>
        </w:rPr>
      </w:pPr>
    </w:p>
    <w:p>
      <w:pPr>
        <w:ind w:left="200" w:right="220"/>
        <w:spacing w:after="0" w:line="275" w:lineRule="auto"/>
        <w:rPr>
          <w:sz w:val="20"/>
          <w:szCs w:val="20"/>
          <w:color w:val="auto"/>
        </w:rPr>
      </w:pPr>
      <w:r>
        <w:rPr>
          <w:rFonts w:ascii="Arial" w:cs="Arial" w:eastAsia="Arial" w:hAnsi="Arial"/>
          <w:sz w:val="16"/>
          <w:szCs w:val="16"/>
          <w:color w:val="auto"/>
        </w:rPr>
        <w:t>From time to time, the Company may be involved in litigation related to claims that arise in the ordinary course of its business activities. The Company accrues for these matters when it is probable that future expenditures will be made and these expenditures can be reasonably estimated. As of December 31, 2017 and December 31, 2018, the Company does not believe that any such matters, individually or in the aggregate, will have a material adverse effect on the Company’s financial position, results of operations or cash flows.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4"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The Company enters into standard indemnification arrangements in the ordinary course of business. Pursuant to these arrangements, the Company indemnifies, holds harmless and agrees to reimburse the indemnified</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240" w:top="459" w:right="4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fair value of these agreements is minimal.</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6. Sanofi collaboration agreement</w:t>
      </w:r>
    </w:p>
    <w:p>
      <w:pPr>
        <w:spacing w:after="0" w:line="13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In June 2018, the Company entered into a collaborative research, development and commercialization agreement with Aventis, Inc. (an affiliate of Sanofi), or the Sanofi Agreement, to research and develop SHP2 inhibitors, including RMC-4630 for any indications. Pursuant to the Sanofi Agreement, the Company granted Sanofi a worldwide, exclusive, sublicensable (subject to the Company’s consent in certain circumstances) license under certain of the Company’s patents and know-how to research, develop, manufacture, use, sell, offer for sale, import and otherwise commercialize SHP2 inhibitors, including RMC-4630, for any and all uses, subject to the Company’s exercise of rights and performance obligations under the Sanofi Agreement.</w:t>
      </w:r>
    </w:p>
    <w:p>
      <w:pPr>
        <w:spacing w:after="0" w:line="102" w:lineRule="exact"/>
        <w:rPr>
          <w:sz w:val="20"/>
          <w:szCs w:val="20"/>
          <w:color w:val="auto"/>
        </w:rPr>
      </w:pPr>
    </w:p>
    <w:p>
      <w:pPr>
        <w:ind w:left="200" w:right="300"/>
        <w:spacing w:after="0" w:line="238" w:lineRule="auto"/>
        <w:rPr>
          <w:sz w:val="20"/>
          <w:szCs w:val="20"/>
          <w:color w:val="auto"/>
        </w:rPr>
      </w:pPr>
      <w:r>
        <w:rPr>
          <w:rFonts w:ascii="Arial" w:cs="Arial" w:eastAsia="Arial" w:hAnsi="Arial"/>
          <w:sz w:val="18"/>
          <w:szCs w:val="18"/>
          <w:color w:val="auto"/>
        </w:rPr>
        <w:t>In October 2018, the Company acquired Warp Drive in exchange for the Company’s Series B redeemable convertible preferred stock and cash. Sanofi was a stockholder of Warp Drive and received the Company’s Series B redeemable convertible preferred stock during the transaction and accordingly became an investor and related party of the Company.</w:t>
      </w:r>
    </w:p>
    <w:p>
      <w:pPr>
        <w:spacing w:after="0" w:line="100"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Under the Sanofi Agreement, the Company received a non-refundable, upfront cash payment of $50 million in July 2018 and could also receive up to $520 million in development and regulatory milestone payments, including up to $235 million upon the achievement of specified development milestones and up to $285 million upon the achievement of certain marketing approval milestones. Sanofi also agreed to reimburse the Company for 80% of all internal and external research costs and expenses incurred under the research plan for 2019 and 2020, and for all other internal and external costs and expenses incurred to perform activities under the research and development plans for the SHP2 program. The Company is responsible for 20% of all internal and external research costs incurred under the research plan for 2019 and 2020. In the United States, the Company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the Company tiered royalties on annual net sales of each product outside the United States ranging from high single digit to mid-teen percentages.</w:t>
      </w:r>
    </w:p>
    <w:p>
      <w:pPr>
        <w:spacing w:after="0" w:line="107"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The Company has primary responsibility for early clinical development of RMC-4630 pursuant to an initial development plan and also has primary responsibility for the manufacture of SHP2 inhibitors for Phase 1 and Phase 2 non-registrational clinical trials, while Sanofi is responsible for manufacturing SHP2 inhibitors for all other clinical trials and commercial supply.</w:t>
      </w:r>
    </w:p>
    <w:p>
      <w:pPr>
        <w:spacing w:after="0" w:line="100"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Unless terminated earlier, the Sanofi Agreement will continue in effect until the later of the expiration of all of Sanofi’s milestone and royalty payment obligations and the expiration of the profit/loss share agreement. Sanofi may terminate the Sanofi Agreement in its entirety or on a country-by-country or product-by-product basis for any reason or for significant safety concerns, upon prior notice to the Company. Sanofi may terminate the Sanofi Agreement in its entirety upon a change of control in the Company, with prior notice. Either party may terminate the Sanofi Agreement if an undisputed material breach by the other party is not cured within a defined period of time, or immediately upon notice for insolvency-related events of the other party. The Company may terminate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60"/>
          </w:cols>
          <w:pgMar w:left="240" w:top="460" w:right="49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Sanofi Agreement after a certain number of years if Sanofi develops a competing program without commencing a registrational clinical trial for a SHP2 inhibitor product candidate, and subject to certain other conditions. The Company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the Company.</w:t>
      </w:r>
    </w:p>
    <w:p>
      <w:pPr>
        <w:spacing w:after="0" w:line="102"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Company identified the following promises in the agreement (1) the license related to SHP2 inhibitors, (2) the performance of research and development services for Phase 1 clinical studies and Phase 2 clinical trials that are non-registrational clinical trials and (3) the performance of manufacturing services for the non-registrational clinical trials. The Company determined that the license is not distinct from the services within the context of the agreement because the research, development and manufacturing significantly increase the utility of the intellectual property. The intellectual property (IP) related to SHP2 inhibitors, which is proprietary to the Company, is the foundation for the research and development activities. The manufacturing services are a necessary and integral part of the research and development services as they could only be conducted utilizing the outcomes of these services. Given the research and development services under the Sanofi Agreement are expected to involve significant further development of the initial IP, the Company has concluded that the research, development and manufacturing services are not distinct from the license, and thus the license, research and development services and manufacturing services are combined into a single performance obligation.</w:t>
      </w:r>
    </w:p>
    <w:p>
      <w:pPr>
        <w:spacing w:after="0" w:line="107" w:lineRule="exact"/>
        <w:rPr>
          <w:sz w:val="20"/>
          <w:szCs w:val="20"/>
          <w:color w:val="auto"/>
        </w:rPr>
      </w:pPr>
    </w:p>
    <w:p>
      <w:pPr>
        <w:ind w:left="200" w:right="300"/>
        <w:spacing w:after="0" w:line="275" w:lineRule="auto"/>
        <w:rPr>
          <w:sz w:val="20"/>
          <w:szCs w:val="20"/>
          <w:color w:val="auto"/>
        </w:rPr>
      </w:pPr>
      <w:r>
        <w:rPr>
          <w:rFonts w:ascii="Arial" w:cs="Arial" w:eastAsia="Arial" w:hAnsi="Arial"/>
          <w:sz w:val="16"/>
          <w:szCs w:val="16"/>
          <w:color w:val="auto"/>
        </w:rPr>
        <w:t>For revenue recognition purposes, the Company determined that the duration of the contract begins on the effective date of the Sanofi Agreement in July 2018 and ends upon completion of the non-registrational clinical trials. The contract duration is defined as the period in which parties to the contract have present enforceable rights and obligations. The Company analyzed the impact of Sanofi terminating the agreement prior to the completion of these trials and determined that there were significant economic costs to Sanofi for doing so.</w:t>
      </w:r>
    </w:p>
    <w:p>
      <w:pPr>
        <w:spacing w:after="0" w:line="75"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Company determined that the transaction price of the Sanofi Agreement was $197.2 million as of December 31, 2018. In order to determine the transaction price, the Company evaluated all the payments to be received during the duration of the contract. The Company determined that the $50.0 million upfront payment and $147.2 million of estimated variable consideration for expense reimbursements from Sanofi for agreed upon research and development services as of December 31, 2018 constituted consideration to be included in the transaction price, which is to be allocated to the combined performance obligation. Development and regulatory milestones under the Sanofi Agreement were considered but not included in the transaction price, as it is probable that a significant revenue reversal could occur if they were included. The Company will re-evaluate the transaction price in each reporting period and as uncertain events are resolved or other changes in circumstances occur.</w:t>
      </w:r>
    </w:p>
    <w:p>
      <w:pPr>
        <w:spacing w:after="0" w:line="100"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license, research, development and manufacturing services are combined as one performance obligation that will be performed over the duration of the contract, which is from the effective date of the Sanofi Agreement through to the completion of studies. The Company concluded that it will utilize a cost-based input method to measure proportional performance and to calculate the corresponding amount of revenue to recognize. In applying the cost-based input method of revenue recognition, the Company uses actual costs incurred relative to estimated costs to fulfill the combined performance obligation. These costs consist primarily of internal full-time equivalent efforts and third-party costs. Revenue is recognized based on actual costs incurred as a percentage of total estimated costs as the Company completes its performance obligations. The cumulative effect of revisions to estimated costs to complete the Company’s performance obligations will be recorded in the period in which changes are identified and amounts can be reasonably estimated.</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80"/>
          </w:cols>
          <w:pgMar w:left="240" w:top="460" w:right="47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During the year ended December 31, 2018, the Company recognized $19.4 million of collaboration revenue associated with this agreement.</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 of December 31, 2018, $16.8 million of deferred revenue, related party is classified as current and $28.4 million is classified as noncurrent.</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7. Acquisition of Warp Drive</w:t>
      </w:r>
    </w:p>
    <w:p>
      <w:pPr>
        <w:spacing w:after="0" w:line="134" w:lineRule="exact"/>
        <w:rPr>
          <w:sz w:val="20"/>
          <w:szCs w:val="20"/>
          <w:color w:val="auto"/>
        </w:rPr>
      </w:pPr>
    </w:p>
    <w:p>
      <w:pPr>
        <w:jc w:val="both"/>
        <w:ind w:left="200" w:right="300"/>
        <w:spacing w:after="0" w:line="238" w:lineRule="auto"/>
        <w:rPr>
          <w:sz w:val="20"/>
          <w:szCs w:val="20"/>
          <w:color w:val="auto"/>
        </w:rPr>
      </w:pPr>
      <w:r>
        <w:rPr>
          <w:rFonts w:ascii="Arial" w:cs="Arial" w:eastAsia="Arial" w:hAnsi="Arial"/>
          <w:sz w:val="18"/>
          <w:szCs w:val="18"/>
          <w:color w:val="auto"/>
        </w:rPr>
        <w:t>In October 2018, the Company acquired all outstanding shares of Warp Drive in exchange for issuing 6,797,915 shares of the Company’s Series B redeemable convertible preferred stock and $0.9 million in other consideration, for total consideration of $69.0 million. Warp Drive was a privately held biotechnology company based in Cambridge, Massachusetts.</w:t>
      </w:r>
    </w:p>
    <w:p>
      <w:pPr>
        <w:spacing w:after="0" w:line="100" w:lineRule="exact"/>
        <w:rPr>
          <w:sz w:val="20"/>
          <w:szCs w:val="20"/>
          <w:color w:val="auto"/>
        </w:rPr>
      </w:pPr>
    </w:p>
    <w:p>
      <w:pPr>
        <w:jc w:val="both"/>
        <w:ind w:left="200" w:right="260"/>
        <w:spacing w:after="0" w:line="238" w:lineRule="auto"/>
        <w:rPr>
          <w:sz w:val="20"/>
          <w:szCs w:val="20"/>
          <w:color w:val="auto"/>
        </w:rPr>
      </w:pPr>
      <w:r>
        <w:rPr>
          <w:rFonts w:ascii="Arial" w:cs="Arial" w:eastAsia="Arial" w:hAnsi="Arial"/>
          <w:sz w:val="18"/>
          <w:szCs w:val="18"/>
          <w:color w:val="auto"/>
        </w:rPr>
        <w:t>Warp Drive’s RAS programs include compounds targeting various cancer indications, while its tri-complex platform is targeted at identifying presenter proteins for binding with small molecules and a target. Additionally, Warp Drive had a genome mining platform that is subject to a collaboration agreement with Hoffman-La Roche Ltd. (Roche) involving research in the area of neomorph antibiotics.</w:t>
      </w:r>
    </w:p>
    <w:p>
      <w:pPr>
        <w:spacing w:after="0" w:line="82" w:lineRule="exact"/>
        <w:rPr>
          <w:sz w:val="20"/>
          <w:szCs w:val="20"/>
          <w:color w:val="auto"/>
        </w:rPr>
      </w:pPr>
    </w:p>
    <w:p>
      <w:pPr>
        <w:jc w:val="both"/>
        <w:ind w:left="200" w:right="260"/>
        <w:spacing w:after="0" w:line="322" w:lineRule="auto"/>
        <w:rPr>
          <w:sz w:val="20"/>
          <w:szCs w:val="20"/>
          <w:color w:val="auto"/>
        </w:rPr>
      </w:pPr>
      <w:r>
        <w:rPr>
          <w:rFonts w:ascii="Arial" w:cs="Arial" w:eastAsia="Arial" w:hAnsi="Arial"/>
          <w:sz w:val="16"/>
          <w:szCs w:val="16"/>
          <w:color w:val="auto"/>
        </w:rPr>
        <w:t xml:space="preserve">Pursuant to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transaction was determined to be a business combination and was accounted for using the acquisition method of accounting. The following table presents a summary of the purchase price consideration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30480</wp:posOffset>
            </wp:positionV>
            <wp:extent cx="699770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77"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4300" w:type="dxa"/>
            <w:vAlign w:val="bottom"/>
            <w:gridSpan w:val="4"/>
          </w:tcPr>
          <w:p>
            <w:pPr>
              <w:ind w:left="2960"/>
              <w:spacing w:after="0"/>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redeemable convertible preferred stock</w:t>
            </w:r>
          </w:p>
        </w:tc>
        <w:tc>
          <w:tcPr>
            <w:tcW w:w="3340" w:type="dxa"/>
            <w:vAlign w:val="bottom"/>
            <w:gridSpan w:val="2"/>
            <w:shd w:val="clear" w:color="auto" w:fill="CCEEFF"/>
          </w:tcPr>
          <w:p>
            <w:pPr>
              <w:ind w:left="29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68,144</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Cash</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1,172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Contingently returnable consideration asset</w:t>
            </w:r>
          </w:p>
        </w:tc>
        <w:tc>
          <w:tcPr>
            <w:tcW w:w="2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(310)</w:t>
            </w:r>
          </w:p>
        </w:tc>
      </w:tr>
      <w:tr>
        <w:trPr>
          <w:trHeight w:val="222"/>
        </w:trPr>
        <w:tc>
          <w:tcPr>
            <w:tcW w:w="20" w:type="dxa"/>
            <w:vAlign w:val="bottom"/>
          </w:tcPr>
          <w:p>
            <w:pPr>
              <w:spacing w:after="0"/>
              <w:rPr>
                <w:sz w:val="19"/>
                <w:szCs w:val="19"/>
                <w:color w:val="auto"/>
              </w:rPr>
            </w:pPr>
          </w:p>
        </w:tc>
        <w:tc>
          <w:tcPr>
            <w:tcW w:w="6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consideration</w:t>
            </w:r>
          </w:p>
        </w:tc>
        <w:tc>
          <w:tcPr>
            <w:tcW w:w="296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69,006</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The fair value of $10.03 per share of Series B redeemable convertible preferred stock was determined using a discounted cash flow model to estimate the value of the Company’s equity, and subsequently allocated to the Series B redeemable convertible preferred stock using an option pricing method.</w:t>
      </w:r>
    </w:p>
    <w:p>
      <w:pPr>
        <w:spacing w:after="0" w:line="10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shares and cash issued as part of the transaction include 494,771 shares and less than $0.1 million of cash subject to a holdback based on certain events associated with Warp Drive’s agreement with Roche. The shares and cash subject to the holdback were issued on closing of the acquisition, but would be required to be returned to the Company if the holdback events did not occur. On the acquisition date, the Company determined the fair value of the holdback provision was $0.3 million and recorded it as a contingently returnable consideration asset on its consolidated balance sheet. The shares subject to the holdback retained their voting rights. In March 2019, the events subject to the holdback occurred and the issued shares and cash were no longer subject to the holdback provision. See Note 3, “Fair value measurements,” for a description of the determination of the fair value of the contingently returnable consideration asset.</w:t>
      </w:r>
    </w:p>
    <w:p>
      <w:pPr>
        <w:spacing w:after="0" w:line="101"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During the year ended December 31, 2018, the Company incurred $0.4 million of acquisition-related costs as a result of the Warp Drive acquisition, which were recorded as general and administrative expenses in the consolidated statements of operations and comprehensive loss. The Company also paid $0.6 million in transaction costs incurred by Warp Drive related to Warp Drive’s advisors, which was included as part of the purchase price consideration.</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59" w:right="41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acquisition date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920" w:type="dxa"/>
            <w:vAlign w:val="bottom"/>
            <w:gridSpan w:val="4"/>
          </w:tcPr>
          <w:p>
            <w:pPr>
              <w:ind w:left="2640"/>
              <w:spacing w:after="0"/>
              <w:rPr>
                <w:sz w:val="20"/>
                <w:szCs w:val="20"/>
                <w:color w:val="auto"/>
              </w:rPr>
            </w:pPr>
            <w:r>
              <w:rPr>
                <w:rFonts w:ascii="Arial" w:cs="Arial" w:eastAsia="Arial" w:hAnsi="Arial"/>
                <w:sz w:val="18"/>
                <w:szCs w:val="18"/>
                <w:b w:val="1"/>
                <w:bCs w:val="1"/>
                <w:color w:val="auto"/>
              </w:rPr>
              <w:t>(in thousands)</w:t>
            </w:r>
          </w:p>
        </w:tc>
      </w:tr>
      <w:tr>
        <w:trPr>
          <w:trHeight w:val="56"/>
        </w:trPr>
        <w:tc>
          <w:tcPr>
            <w:tcW w:w="7120" w:type="dxa"/>
            <w:vAlign w:val="bottom"/>
            <w:gridSpan w:val="2"/>
          </w:tcPr>
          <w:p>
            <w:pPr>
              <w:spacing w:after="0"/>
              <w:rPr>
                <w:sz w:val="4"/>
                <w:szCs w:val="4"/>
                <w:color w:val="auto"/>
              </w:rPr>
            </w:pPr>
          </w:p>
        </w:tc>
        <w:tc>
          <w:tcPr>
            <w:tcW w:w="2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acquired: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Cash and other current assets</w:t>
            </w:r>
          </w:p>
        </w:tc>
        <w:tc>
          <w:tcPr>
            <w:tcW w:w="3020" w:type="dxa"/>
            <w:vAlign w:val="bottom"/>
            <w:gridSpan w:val="2"/>
          </w:tcPr>
          <w:p>
            <w:pPr>
              <w:ind w:left="26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1,594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55,800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technology—tri-complex platform</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7,480</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Developed technology—genome mining platform</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6,100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assets acquired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73,125</w:t>
            </w:r>
          </w:p>
        </w:tc>
        <w:tc>
          <w:tcPr>
            <w:tcW w:w="60" w:type="dxa"/>
            <w:vAlign w:val="bottom"/>
            <w:shd w:val="clear" w:color="auto" w:fill="CCEEFF"/>
          </w:tcPr>
          <w:p>
            <w:pPr>
              <w:spacing w:after="0"/>
              <w:rPr>
                <w:sz w:val="17"/>
                <w:szCs w:val="17"/>
                <w:color w:val="auto"/>
              </w:rPr>
            </w:pPr>
          </w:p>
        </w:tc>
      </w:tr>
      <w:tr>
        <w:trPr>
          <w:trHeight w:val="270"/>
        </w:trPr>
        <w:tc>
          <w:tcPr>
            <w:tcW w:w="712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 and other accrued liabilities</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Convertible note payable, related party</w:t>
            </w: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Deferred tax liability</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12,192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 assumed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18,727</w:t>
            </w:r>
          </w:p>
        </w:tc>
        <w:tc>
          <w:tcPr>
            <w:tcW w:w="60" w:type="dxa"/>
            <w:vAlign w:val="bottom"/>
            <w:shd w:val="clear" w:color="auto" w:fill="CCEEFF"/>
          </w:tcPr>
          <w:p>
            <w:pPr>
              <w:spacing w:after="0"/>
              <w:rPr>
                <w:sz w:val="17"/>
                <w:szCs w:val="17"/>
                <w:color w:val="auto"/>
              </w:rPr>
            </w:pPr>
          </w:p>
        </w:tc>
      </w:tr>
      <w:tr>
        <w:trPr>
          <w:trHeight w:val="210"/>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CCEEFF"/>
          </w:tcPr>
          <w:p>
            <w:pPr>
              <w:ind w:left="26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69,006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valuations of the IPR&amp;D—RAS programs and developed technology—genome mining platform were determined using the income approach, which discounts expected future cash flows to present value. The discount rates used were between 13% and 14%. The projected cash flows were based on key assumptions such as: estimates of revenues and operating profits related to each program or platform considering its stage of development on the acquisition date; the time and resources needed to complete the development and approval of product candidates; the life of the potential commercialized products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101"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Intangible assets associated with acquired IPR&amp;D relate to the RAS programs. Management determined that the estimated acquisition-date fair value of the intangible asset related to IPR&amp;D was $55.8 million, which was comprised of $44.1 million related to the KRAS</w:t>
      </w:r>
      <w:r>
        <w:rPr>
          <w:rFonts w:ascii="Arial" w:cs="Arial" w:eastAsia="Arial" w:hAnsi="Arial"/>
          <w:sz w:val="11"/>
          <w:szCs w:val="11"/>
          <w:color w:val="auto"/>
        </w:rPr>
        <w:t>G12C</w:t>
      </w:r>
      <w:r>
        <w:rPr>
          <w:rFonts w:ascii="Arial" w:cs="Arial" w:eastAsia="Arial" w:hAnsi="Arial"/>
          <w:sz w:val="18"/>
          <w:szCs w:val="18"/>
          <w:color w:val="auto"/>
        </w:rPr>
        <w:t xml:space="preserve"> program and $11.7 million related to the KRAS</w:t>
      </w:r>
      <w:r>
        <w:rPr>
          <w:rFonts w:ascii="Arial" w:cs="Arial" w:eastAsia="Arial" w:hAnsi="Arial"/>
          <w:sz w:val="11"/>
          <w:szCs w:val="11"/>
          <w:color w:val="auto"/>
        </w:rPr>
        <w:t>G12D</w:t>
      </w:r>
      <w:r>
        <w:rPr>
          <w:rFonts w:ascii="Arial" w:cs="Arial" w:eastAsia="Arial" w:hAnsi="Arial"/>
          <w:sz w:val="18"/>
          <w:szCs w:val="18"/>
          <w:color w:val="auto"/>
        </w:rPr>
        <w:t xml:space="preserve"> program. The KRAS</w:t>
      </w:r>
      <w:r>
        <w:rPr>
          <w:rFonts w:ascii="Arial" w:cs="Arial" w:eastAsia="Arial" w:hAnsi="Arial"/>
          <w:sz w:val="11"/>
          <w:szCs w:val="11"/>
          <w:color w:val="auto"/>
        </w:rPr>
        <w:t>G12C</w:t>
      </w:r>
      <w:r>
        <w:rPr>
          <w:rFonts w:ascii="Arial" w:cs="Arial" w:eastAsia="Arial" w:hAnsi="Arial"/>
          <w:sz w:val="18"/>
          <w:szCs w:val="18"/>
          <w:color w:val="auto"/>
        </w:rPr>
        <w:t xml:space="preserve"> and the KRAS</w:t>
      </w:r>
      <w:r>
        <w:rPr>
          <w:rFonts w:ascii="Arial" w:cs="Arial" w:eastAsia="Arial" w:hAnsi="Arial"/>
          <w:sz w:val="11"/>
          <w:szCs w:val="11"/>
          <w:color w:val="auto"/>
        </w:rPr>
        <w:t>G12D</w:t>
      </w:r>
      <w:r>
        <w:rPr>
          <w:rFonts w:ascii="Arial" w:cs="Arial" w:eastAsia="Arial" w:hAnsi="Arial"/>
          <w:sz w:val="18"/>
          <w:szCs w:val="18"/>
          <w:color w:val="auto"/>
        </w:rPr>
        <w:t xml:space="preserve"> programs are each focused on developing inhibitors which target specific mutations of KRAS(ON) proteins. The acquired IPR&amp;D is considered to be an indefinite-lived asset until the completion or abandonment of the research and development efforts. The acquired IPR&amp;D will not be amortized until completion of the related products, which is determined by when the underlying programs reach technological feasibility and commence commercial production. Upon completion, the acquired IPR&amp;D will be amortized over its useful life.</w:t>
      </w:r>
    </w:p>
    <w:p>
      <w:pPr>
        <w:spacing w:after="0" w:line="10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The valuation of the developed technology—tri-complex platform was based on a replacement cost approach as the Company’s management intends to leverage the platform internally, but does not have the ability to assign a specific income stream to the asset. The tri-complex platform was accounted for as developed technology and is being amortized over 7 years. Amortization expense for the year ended December 31, 2018 was $0.2 million.</w:t>
      </w:r>
    </w:p>
    <w:p>
      <w:pPr>
        <w:spacing w:after="0" w:line="101" w:lineRule="exact"/>
        <w:rPr>
          <w:sz w:val="20"/>
          <w:szCs w:val="20"/>
          <w:color w:val="auto"/>
        </w:rPr>
      </w:pPr>
    </w:p>
    <w:p>
      <w:pPr>
        <w:ind w:left="200" w:right="720"/>
        <w:spacing w:after="0" w:line="239" w:lineRule="auto"/>
        <w:rPr>
          <w:sz w:val="20"/>
          <w:szCs w:val="20"/>
          <w:color w:val="auto"/>
        </w:rPr>
      </w:pPr>
      <w:r>
        <w:rPr>
          <w:rFonts w:ascii="Arial" w:cs="Arial" w:eastAsia="Arial" w:hAnsi="Arial"/>
          <w:sz w:val="18"/>
          <w:szCs w:val="18"/>
          <w:color w:val="auto"/>
        </w:rPr>
        <w:t>The genome mining platform, including the associated Roche collaboration agreement, was accounted for as held for sale developed technology and was divested in January 2019.</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60" w:right="41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The Company assumed a convertible promissory note (Convertible Note) as part of the Company’s acquisition of Warp Drive. See Note 13, “Related party relationships.”</w:t>
      </w:r>
    </w:p>
    <w:p>
      <w:pPr>
        <w:spacing w:after="0" w:line="101"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Deferred revenue consists of the remaining estimated cost obligations, including mark-up, associated with the collaboration with Roche. The entire amount was recognized as revenue during the year ended December 31, 2018 and included under collaboration revenue, other in the consolidated statements of operations and comprehensive loss.</w:t>
      </w:r>
    </w:p>
    <w:p>
      <w:pPr>
        <w:spacing w:after="0" w:line="100"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The Company recorded $14.6 million in goodwill associated with this acquisition, which relates to the establishment of a deferred tax liability for the non-deductible in-process research and development intangible assets acquired and synergies resulting from the acquisition. Goodwill will not be amortized but will be tested at least annually for impairment. No impairment has been recognized as of December 31, 2018. Goodwill recorded is not deductible for income tax purposes.</w:t>
      </w:r>
    </w:p>
    <w:p>
      <w:pPr>
        <w:spacing w:after="0" w:line="101" w:lineRule="exact"/>
        <w:rPr>
          <w:sz w:val="20"/>
          <w:szCs w:val="20"/>
          <w:color w:val="auto"/>
        </w:rPr>
      </w:pPr>
    </w:p>
    <w:p>
      <w:pPr>
        <w:ind w:left="200" w:right="580"/>
        <w:spacing w:after="0" w:line="239" w:lineRule="auto"/>
        <w:rPr>
          <w:sz w:val="20"/>
          <w:szCs w:val="20"/>
          <w:color w:val="auto"/>
        </w:rPr>
      </w:pPr>
      <w:r>
        <w:rPr>
          <w:rFonts w:ascii="Arial" w:cs="Arial" w:eastAsia="Arial" w:hAnsi="Arial"/>
          <w:sz w:val="18"/>
          <w:szCs w:val="18"/>
          <w:color w:val="auto"/>
        </w:rPr>
        <w:t>Subsequent to the acquisition, the Company recorded $1.4 million of severance costs during the year ended December 31, 2018 in the consolidated statement of operations and comprehensive loss.</w:t>
      </w:r>
    </w:p>
    <w:p>
      <w:pPr>
        <w:spacing w:after="0" w:line="101" w:lineRule="exact"/>
        <w:rPr>
          <w:sz w:val="20"/>
          <w:szCs w:val="20"/>
          <w:color w:val="auto"/>
        </w:rPr>
      </w:pPr>
    </w:p>
    <w:p>
      <w:pPr>
        <w:ind w:left="200" w:right="80"/>
        <w:spacing w:after="0" w:line="264" w:lineRule="auto"/>
        <w:rPr>
          <w:sz w:val="20"/>
          <w:szCs w:val="20"/>
          <w:color w:val="auto"/>
        </w:rPr>
      </w:pPr>
      <w:r>
        <w:rPr>
          <w:rFonts w:ascii="Arial" w:cs="Arial" w:eastAsia="Arial" w:hAnsi="Arial"/>
          <w:sz w:val="16"/>
          <w:szCs w:val="16"/>
          <w:color w:val="auto"/>
        </w:rPr>
        <w:t>The acquisition is considered a material business combination and accordingly unaudited pro forma information presented below for the year ended December 31, 2018, includes the effects of pro forma adjustments as if the acquisition of Warp Drive occurred on January 1, 2017, the beginning of the comparable prior annual reporting period. The unaudited pro forma results include adjustments related to the following: (i) amortization expense related to the fair value of identifiable intangible assets acquired, (ii) impact of the genome mining deposition,</w:t>
      </w:r>
    </w:p>
    <w:p>
      <w:pPr>
        <w:spacing w:after="0" w:line="1" w:lineRule="exact"/>
        <w:rPr>
          <w:sz w:val="20"/>
          <w:szCs w:val="20"/>
          <w:color w:val="auto"/>
        </w:rPr>
      </w:pPr>
    </w:p>
    <w:p>
      <w:pPr>
        <w:ind w:left="200" w:right="220" w:firstLine="4"/>
        <w:spacing w:after="0" w:line="264" w:lineRule="auto"/>
        <w:tabs>
          <w:tab w:leader="none" w:pos="48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alignment of Warp Drive’s revenue recognition policy to the Company’s adoption method and adoption date of ASC 606, (iv) inclusion of incurred acquisition-related and severance costs as of the earliest period presented, (v) elimination of interest expense and gain related to Warp Drive’s convertible note payable, which was converted into Warp Drive common stock immediately prior to the acquisition and subsequently converted into the Company’s Series B redeemable convertible preferred stock in connection with the acquisition, and</w:t>
      </w:r>
    </w:p>
    <w:p>
      <w:pPr>
        <w:ind w:left="500" w:hanging="296"/>
        <w:spacing w:after="0"/>
        <w:tabs>
          <w:tab w:leader="none" w:pos="50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adjustment of depreciation expense related to the estimated useful lives of property and equipment acquired.</w:t>
      </w:r>
    </w:p>
    <w:p>
      <w:pPr>
        <w:spacing w:after="0" w:line="104"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pro forma financial information presented below is not necessarily indicative of the results of operations that would have been achieved if the acquisition occurred at the beginning of the earliest period presented, nor is it intended to be a projection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7"/>
              </w:rPr>
              <w:t>Year ended December 31,</w:t>
            </w:r>
          </w:p>
        </w:tc>
      </w:tr>
      <w:tr>
        <w:trPr>
          <w:trHeight w:val="223"/>
        </w:trPr>
        <w:tc>
          <w:tcPr>
            <w:tcW w:w="20" w:type="dxa"/>
            <w:vAlign w:val="bottom"/>
          </w:tcPr>
          <w:p>
            <w:pPr>
              <w:spacing w:after="0"/>
              <w:rPr>
                <w:sz w:val="19"/>
                <w:szCs w:val="19"/>
                <w:color w:val="auto"/>
              </w:rPr>
            </w:pPr>
          </w:p>
        </w:tc>
        <w:tc>
          <w:tcPr>
            <w:tcW w:w="476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8"/>
                <w:szCs w:val="18"/>
                <w:b w:val="1"/>
                <w:bCs w:val="1"/>
                <w:color w:val="auto"/>
              </w:rPr>
              <w:t>2017</w:t>
            </w:r>
          </w:p>
        </w:tc>
        <w:tc>
          <w:tcPr>
            <w:tcW w:w="4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gridSpan w:val="4"/>
          </w:tcPr>
          <w:p>
            <w:pPr>
              <w:jc w:val="right"/>
              <w:ind w:right="260"/>
              <w:spacing w:after="0" w:line="196" w:lineRule="exact"/>
              <w:rPr>
                <w:sz w:val="20"/>
                <w:szCs w:val="20"/>
                <w:color w:val="auto"/>
              </w:rPr>
            </w:pPr>
            <w:r>
              <w:rPr>
                <w:rFonts w:ascii="Arial" w:cs="Arial" w:eastAsia="Arial" w:hAnsi="Arial"/>
                <w:sz w:val="18"/>
                <w:szCs w:val="18"/>
                <w:b w:val="1"/>
                <w:bCs w:val="1"/>
                <w:color w:val="auto"/>
                <w:w w:val="97"/>
              </w:rPr>
              <w:t>(unaudited, in thousands)</w:t>
            </w:r>
          </w:p>
        </w:tc>
      </w:tr>
      <w:tr>
        <w:trPr>
          <w:trHeight w:val="203"/>
        </w:trPr>
        <w:tc>
          <w:tcPr>
            <w:tcW w:w="20" w:type="dxa"/>
            <w:vAlign w:val="bottom"/>
          </w:tcPr>
          <w:p>
            <w:pPr>
              <w:spacing w:after="0"/>
              <w:rPr>
                <w:sz w:val="17"/>
                <w:szCs w:val="17"/>
                <w:color w:val="auto"/>
              </w:rPr>
            </w:pPr>
          </w:p>
        </w:tc>
        <w:tc>
          <w:tcPr>
            <w:tcW w:w="4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revenue</w:t>
            </w:r>
          </w:p>
        </w:tc>
        <w:tc>
          <w:tcPr>
            <w:tcW w:w="38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13,318</w:t>
            </w:r>
          </w:p>
        </w:tc>
        <w:tc>
          <w:tcPr>
            <w:tcW w:w="40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20,302</w:t>
            </w:r>
          </w:p>
        </w:tc>
        <w:tc>
          <w:tcPr>
            <w:tcW w:w="120" w:type="dxa"/>
            <w:vAlign w:val="bottom"/>
            <w:shd w:val="clear" w:color="auto" w:fill="CCEEFF"/>
          </w:tcPr>
          <w:p>
            <w:pPr>
              <w:spacing w:after="0"/>
              <w:rPr>
                <w:sz w:val="17"/>
                <w:szCs w:val="17"/>
                <w:color w:val="auto"/>
              </w:rPr>
            </w:pPr>
          </w:p>
        </w:tc>
      </w:tr>
      <w:tr>
        <w:trPr>
          <w:trHeight w:val="215"/>
        </w:trPr>
        <w:tc>
          <w:tcPr>
            <w:tcW w:w="4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112"/>
              <w:spacing w:after="0"/>
              <w:rPr>
                <w:sz w:val="20"/>
                <w:szCs w:val="20"/>
                <w:color w:val="auto"/>
              </w:rPr>
            </w:pPr>
            <w:r>
              <w:rPr>
                <w:rFonts w:ascii="Arial" w:cs="Arial" w:eastAsia="Arial" w:hAnsi="Arial"/>
                <w:sz w:val="18"/>
                <w:szCs w:val="18"/>
                <w:color w:val="auto"/>
              </w:rPr>
              <w:t>(49,887)</w:t>
            </w:r>
          </w:p>
        </w:tc>
        <w:tc>
          <w:tcPr>
            <w:tcW w:w="4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(57,151)</w:t>
            </w:r>
          </w:p>
        </w:tc>
      </w:tr>
      <w:tr>
        <w:trPr>
          <w:trHeight w:val="20"/>
        </w:trPr>
        <w:tc>
          <w:tcPr>
            <w:tcW w:w="20" w:type="dxa"/>
            <w:vAlign w:val="bottom"/>
            <w:shd w:val="clear" w:color="auto" w:fill="000000"/>
          </w:tcPr>
          <w:p>
            <w:pPr>
              <w:spacing w:after="0" w:line="20" w:lineRule="exact"/>
              <w:rPr>
                <w:sz w:val="1"/>
                <w:szCs w:val="1"/>
                <w:color w:val="auto"/>
              </w:rPr>
            </w:pPr>
          </w:p>
        </w:tc>
        <w:tc>
          <w:tcPr>
            <w:tcW w:w="476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40"/>
        <w:spacing w:after="0" w:line="281" w:lineRule="auto"/>
        <w:rPr>
          <w:sz w:val="20"/>
          <w:szCs w:val="20"/>
          <w:color w:val="auto"/>
        </w:rPr>
      </w:pPr>
      <w:r>
        <w:rPr>
          <w:rFonts w:ascii="Arial" w:cs="Arial" w:eastAsia="Arial" w:hAnsi="Arial"/>
          <w:sz w:val="16"/>
          <w:szCs w:val="16"/>
          <w:color w:val="auto"/>
        </w:rPr>
        <w:t>Revenues associated with Warp Drive included in the Company’s consolidated statement of operations and comprehensive loss were $0.7 million for the period from acquisition date to December 31, 2018. Net loss associated with Warp Drive included in the Company’s consolidated statement of operations and comprehensive loss was $4.2 million for the period from the acquisition date to December 31, 2018.</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8. Redeemable convertible preferred stock</w:t>
      </w:r>
    </w:p>
    <w:p>
      <w:pPr>
        <w:spacing w:after="0" w:line="134" w:lineRule="exact"/>
        <w:rPr>
          <w:sz w:val="20"/>
          <w:szCs w:val="20"/>
          <w:color w:val="auto"/>
        </w:rPr>
      </w:pPr>
    </w:p>
    <w:p>
      <w:pPr>
        <w:ind w:left="200" w:right="40"/>
        <w:spacing w:after="0" w:line="237" w:lineRule="auto"/>
        <w:rPr>
          <w:sz w:val="20"/>
          <w:szCs w:val="20"/>
          <w:color w:val="auto"/>
        </w:rPr>
      </w:pPr>
      <w:r>
        <w:rPr>
          <w:rFonts w:ascii="Arial" w:cs="Arial" w:eastAsia="Arial" w:hAnsi="Arial"/>
          <w:sz w:val="18"/>
          <w:szCs w:val="18"/>
          <w:color w:val="auto"/>
        </w:rPr>
        <w:t>From December 2014 to May 2017, the Company issued a total of 14,430,799 shares of Series A redeemable convertible preferred stock at a price per share of $4.87 for proceeds of $70.1 million, net of issuance costs. In March and June 2018, the Company issued a total of 7,731,155 shares of Series B redeemable convertible preferred stock at a price per share of $7.30 for proceeds of $56.2 million, net of issuance costs. In October</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240" w:top="459" w:right="4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75" w:lineRule="auto"/>
        <w:rPr>
          <w:sz w:val="20"/>
          <w:szCs w:val="20"/>
          <w:color w:val="auto"/>
        </w:rPr>
      </w:pPr>
      <w:r>
        <w:rPr>
          <w:rFonts w:ascii="Arial" w:cs="Arial" w:eastAsia="Arial" w:hAnsi="Arial"/>
          <w:sz w:val="16"/>
          <w:szCs w:val="16"/>
          <w:color w:val="auto"/>
        </w:rPr>
        <w:t>2018, the Company issued 6,797,915 shares of Series B redeemable convertible preferred stock in conjunction with acquiring Warp Drive. As part of the Warp Drive acquisition, the Company assumed $2.0 million in convertible notes payable, which was fully converted into 200,493 shares of Series B redeemable convertible preferred stock in October 2018. In November 2018, the Company issued 435,547 shares of Series B redeemable convertible preferred stock at a price per share of $10.03 for proceeds of $4.3 million, net of issuance costs.</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Redeemable convertible preferred stock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gridSpan w:val="3"/>
          </w:tcPr>
          <w:p>
            <w:pPr>
              <w:jc w:val="right"/>
              <w:ind w:right="352"/>
              <w:spacing w:after="0"/>
              <w:rPr>
                <w:sz w:val="20"/>
                <w:szCs w:val="20"/>
                <w:color w:val="auto"/>
              </w:rPr>
            </w:pPr>
            <w:r>
              <w:rPr>
                <w:rFonts w:ascii="Arial" w:cs="Arial" w:eastAsia="Arial" w:hAnsi="Arial"/>
                <w:sz w:val="18"/>
                <w:szCs w:val="18"/>
                <w:b w:val="1"/>
                <w:bCs w:val="1"/>
                <w:color w:val="auto"/>
              </w:rPr>
              <w:t>As of December 31, 2017</w:t>
            </w: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80" w:type="dxa"/>
            <w:vAlign w:val="bottom"/>
          </w:tcPr>
          <w:p>
            <w:pPr>
              <w:jc w:val="right"/>
              <w:ind w:right="52"/>
              <w:spacing w:after="0" w:line="177" w:lineRule="exact"/>
              <w:rPr>
                <w:sz w:val="20"/>
                <w:szCs w:val="20"/>
                <w:color w:val="auto"/>
              </w:rPr>
            </w:pPr>
            <w:r>
              <w:rPr>
                <w:rFonts w:ascii="Arial" w:cs="Arial" w:eastAsia="Arial" w:hAnsi="Arial"/>
                <w:sz w:val="18"/>
                <w:szCs w:val="18"/>
                <w:b w:val="1"/>
                <w:bCs w:val="1"/>
                <w:color w:val="auto"/>
              </w:rPr>
              <w:t>Shares issued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gridSpan w:val="2"/>
          </w:tcPr>
          <w:p>
            <w:pPr>
              <w:ind w:left="80"/>
              <w:spacing w:after="0" w:line="177" w:lineRule="exact"/>
              <w:rPr>
                <w:sz w:val="20"/>
                <w:szCs w:val="20"/>
                <w:color w:val="auto"/>
              </w:rPr>
            </w:pPr>
            <w:r>
              <w:rPr>
                <w:rFonts w:ascii="Arial" w:cs="Arial" w:eastAsia="Arial" w:hAnsi="Arial"/>
                <w:sz w:val="18"/>
                <w:szCs w:val="18"/>
                <w:b w:val="1"/>
                <w:bCs w:val="1"/>
                <w:color w:val="auto"/>
                <w:w w:val="98"/>
              </w:rPr>
              <w:t>Aggregate</w:t>
            </w: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132"/>
              <w:spacing w:after="0" w:line="202" w:lineRule="exact"/>
              <w:rPr>
                <w:sz w:val="20"/>
                <w:szCs w:val="20"/>
                <w:color w:val="auto"/>
              </w:rPr>
            </w:pPr>
            <w:r>
              <w:rPr>
                <w:rFonts w:ascii="Arial" w:cs="Arial" w:eastAsia="Arial" w:hAnsi="Arial"/>
                <w:sz w:val="18"/>
                <w:szCs w:val="18"/>
                <w:b w:val="1"/>
                <w:bCs w:val="1"/>
                <w:color w:val="auto"/>
              </w:rPr>
              <w:t>Shares</w:t>
            </w:r>
          </w:p>
        </w:tc>
        <w:tc>
          <w:tcPr>
            <w:tcW w:w="1580" w:type="dxa"/>
            <w:vAlign w:val="bottom"/>
          </w:tcPr>
          <w:p>
            <w:pPr>
              <w:jc w:val="center"/>
              <w:ind w:left="12"/>
              <w:spacing w:after="0" w:line="202" w:lineRule="exact"/>
              <w:rPr>
                <w:sz w:val="20"/>
                <w:szCs w:val="20"/>
                <w:color w:val="auto"/>
              </w:rPr>
            </w:pPr>
            <w:r>
              <w:rPr>
                <w:rFonts w:ascii="Arial" w:cs="Arial" w:eastAsia="Arial" w:hAnsi="Arial"/>
                <w:sz w:val="18"/>
                <w:szCs w:val="18"/>
                <w:b w:val="1"/>
                <w:bCs w:val="1"/>
                <w:color w:val="auto"/>
                <w:w w:val="99"/>
              </w:rPr>
              <w:t>and</w:t>
            </w:r>
          </w:p>
        </w:tc>
        <w:tc>
          <w:tcPr>
            <w:tcW w:w="136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Net carrying</w:t>
            </w:r>
          </w:p>
        </w:tc>
        <w:tc>
          <w:tcPr>
            <w:tcW w:w="1040" w:type="dxa"/>
            <w:vAlign w:val="bottom"/>
            <w:gridSpan w:val="3"/>
          </w:tcPr>
          <w:p>
            <w:pPr>
              <w:ind w:left="80"/>
              <w:spacing w:after="0" w:line="202" w:lineRule="exact"/>
              <w:rPr>
                <w:sz w:val="20"/>
                <w:szCs w:val="20"/>
                <w:color w:val="auto"/>
              </w:rPr>
            </w:pPr>
            <w:r>
              <w:rPr>
                <w:rFonts w:ascii="Arial" w:cs="Arial" w:eastAsia="Arial" w:hAnsi="Arial"/>
                <w:sz w:val="18"/>
                <w:szCs w:val="18"/>
                <w:b w:val="1"/>
                <w:bCs w:val="1"/>
                <w:color w:val="auto"/>
              </w:rPr>
              <w:t>liquidation</w:t>
            </w:r>
          </w:p>
        </w:tc>
      </w:tr>
      <w:tr>
        <w:trPr>
          <w:trHeight w:val="221"/>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authorized</w:t>
            </w:r>
          </w:p>
        </w:tc>
        <w:tc>
          <w:tcPr>
            <w:tcW w:w="15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7"/>
              </w:rPr>
              <w:t>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value</w:t>
            </w: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preference</w:t>
            </w:r>
          </w:p>
        </w:tc>
      </w:tr>
      <w:tr>
        <w:trPr>
          <w:trHeight w:val="196"/>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40" w:type="dxa"/>
            <w:vAlign w:val="bottom"/>
            <w:gridSpan w:val="3"/>
          </w:tcPr>
          <w:p>
            <w:pPr>
              <w:jc w:val="right"/>
              <w:spacing w:after="0" w:line="196" w:lineRule="exact"/>
              <w:rPr>
                <w:sz w:val="20"/>
                <w:szCs w:val="20"/>
                <w:color w:val="auto"/>
              </w:rPr>
            </w:pPr>
            <w:r>
              <w:rPr>
                <w:rFonts w:ascii="Arial" w:cs="Arial" w:eastAsia="Arial" w:hAnsi="Arial"/>
                <w:sz w:val="18"/>
                <w:szCs w:val="18"/>
                <w:b w:val="1"/>
                <w:bCs w:val="1"/>
                <w:color w:val="auto"/>
                <w:w w:val="99"/>
              </w:rPr>
              <w:t>(in thousands, except share data)</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jc w:val="right"/>
              <w:ind w:right="5252"/>
              <w:spacing w:after="0" w:line="202" w:lineRule="exact"/>
              <w:rPr>
                <w:sz w:val="20"/>
                <w:szCs w:val="20"/>
                <w:color w:val="auto"/>
              </w:rPr>
            </w:pPr>
            <w:r>
              <w:rPr>
                <w:rFonts w:ascii="Arial" w:cs="Arial" w:eastAsia="Arial" w:hAnsi="Arial"/>
                <w:sz w:val="18"/>
                <w:szCs w:val="18"/>
                <w:color w:val="auto"/>
                <w:w w:val="91"/>
              </w:rPr>
              <w:t>Series A</w:t>
            </w:r>
          </w:p>
        </w:tc>
        <w:tc>
          <w:tcPr>
            <w:tcW w:w="8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70,221,732</w:t>
            </w:r>
          </w:p>
        </w:tc>
        <w:tc>
          <w:tcPr>
            <w:tcW w:w="158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14,430,799</w:t>
            </w:r>
          </w:p>
        </w:tc>
        <w:tc>
          <w:tcPr>
            <w:tcW w:w="320" w:type="dxa"/>
            <w:vAlign w:val="bottom"/>
            <w:tcBorders>
              <w:bottom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72,248</w:t>
            </w:r>
          </w:p>
        </w:tc>
        <w:tc>
          <w:tcPr>
            <w:tcW w:w="240" w:type="dxa"/>
            <w:vAlign w:val="bottom"/>
            <w:tcBorders>
              <w:bottom w:val="single" w:sz="8" w:color="auto"/>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181,760</w:t>
            </w:r>
          </w:p>
        </w:tc>
        <w:tc>
          <w:tcPr>
            <w:tcW w:w="6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70,221,732</w:t>
            </w:r>
          </w:p>
        </w:tc>
        <w:tc>
          <w:tcPr>
            <w:tcW w:w="15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14,430,799</w:t>
            </w: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72,248</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181,760</w:t>
            </w:r>
          </w:p>
        </w:tc>
        <w:tc>
          <w:tcPr>
            <w:tcW w:w="60" w:type="dxa"/>
            <w:vAlign w:val="bottom"/>
          </w:tcPr>
          <w:p>
            <w:pPr>
              <w:spacing w:after="0"/>
              <w:rPr>
                <w:sz w:val="19"/>
                <w:szCs w:val="19"/>
                <w:color w:val="auto"/>
              </w:rPr>
            </w:pPr>
          </w:p>
        </w:tc>
      </w:tr>
      <w:tr>
        <w:trPr>
          <w:trHeight w:val="123"/>
        </w:trPr>
        <w:tc>
          <w:tcPr>
            <w:tcW w:w="20" w:type="dxa"/>
            <w:vAlign w:val="bottom"/>
          </w:tcPr>
          <w:p>
            <w:pPr>
              <w:spacing w:after="0"/>
              <w:rPr>
                <w:sz w:val="10"/>
                <w:szCs w:val="10"/>
                <w:color w:val="auto"/>
              </w:rPr>
            </w:pPr>
          </w:p>
        </w:tc>
        <w:tc>
          <w:tcPr>
            <w:tcW w:w="59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940" w:type="dxa"/>
            <w:vAlign w:val="bottom"/>
            <w:tcBorders>
              <w:bottom w:val="single" w:sz="8" w:color="auto"/>
            </w:tcBorders>
            <w:gridSpan w:val="3"/>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r>
        <w:trPr>
          <w:trHeight w:val="243"/>
        </w:trPr>
        <w:tc>
          <w:tcPr>
            <w:tcW w:w="20" w:type="dxa"/>
            <w:vAlign w:val="bottom"/>
          </w:tcPr>
          <w:p>
            <w:pPr>
              <w:spacing w:after="0"/>
              <w:rPr>
                <w:sz w:val="21"/>
                <w:szCs w:val="21"/>
                <w:color w:val="auto"/>
              </w:rPr>
            </w:pPr>
          </w:p>
        </w:tc>
        <w:tc>
          <w:tcPr>
            <w:tcW w:w="59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8"/>
                <w:szCs w:val="18"/>
                <w:b w:val="1"/>
                <w:bCs w:val="1"/>
                <w:color w:val="auto"/>
              </w:rPr>
              <w:t>As of December 31, 2018</w:t>
            </w: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177"/>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80" w:type="dxa"/>
            <w:vAlign w:val="bottom"/>
          </w:tcPr>
          <w:p>
            <w:pPr>
              <w:jc w:val="right"/>
              <w:ind w:right="52"/>
              <w:spacing w:after="0" w:line="177" w:lineRule="exact"/>
              <w:rPr>
                <w:sz w:val="20"/>
                <w:szCs w:val="20"/>
                <w:color w:val="auto"/>
              </w:rPr>
            </w:pPr>
            <w:r>
              <w:rPr>
                <w:rFonts w:ascii="Arial" w:cs="Arial" w:eastAsia="Arial" w:hAnsi="Arial"/>
                <w:sz w:val="18"/>
                <w:szCs w:val="18"/>
                <w:b w:val="1"/>
                <w:bCs w:val="1"/>
                <w:color w:val="auto"/>
              </w:rPr>
              <w:t>Shares issued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80" w:type="dxa"/>
            <w:vAlign w:val="bottom"/>
            <w:gridSpan w:val="2"/>
          </w:tcPr>
          <w:p>
            <w:pPr>
              <w:ind w:left="80"/>
              <w:spacing w:after="0" w:line="177" w:lineRule="exact"/>
              <w:rPr>
                <w:sz w:val="20"/>
                <w:szCs w:val="20"/>
                <w:color w:val="auto"/>
              </w:rPr>
            </w:pPr>
            <w:r>
              <w:rPr>
                <w:rFonts w:ascii="Arial" w:cs="Arial" w:eastAsia="Arial" w:hAnsi="Arial"/>
                <w:sz w:val="18"/>
                <w:szCs w:val="18"/>
                <w:b w:val="1"/>
                <w:bCs w:val="1"/>
                <w:color w:val="auto"/>
                <w:w w:val="98"/>
              </w:rPr>
              <w:t>Aggregate</w:t>
            </w: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right"/>
              <w:ind w:right="172"/>
              <w:spacing w:after="0" w:line="202" w:lineRule="exact"/>
              <w:rPr>
                <w:sz w:val="20"/>
                <w:szCs w:val="20"/>
                <w:color w:val="auto"/>
              </w:rPr>
            </w:pPr>
            <w:r>
              <w:rPr>
                <w:rFonts w:ascii="Arial" w:cs="Arial" w:eastAsia="Arial" w:hAnsi="Arial"/>
                <w:sz w:val="18"/>
                <w:szCs w:val="18"/>
                <w:b w:val="1"/>
                <w:bCs w:val="1"/>
                <w:color w:val="auto"/>
              </w:rPr>
              <w:t>Shares</w:t>
            </w:r>
          </w:p>
        </w:tc>
        <w:tc>
          <w:tcPr>
            <w:tcW w:w="1580" w:type="dxa"/>
            <w:vAlign w:val="bottom"/>
          </w:tcPr>
          <w:p>
            <w:pPr>
              <w:jc w:val="center"/>
              <w:ind w:left="12"/>
              <w:spacing w:after="0" w:line="202" w:lineRule="exact"/>
              <w:rPr>
                <w:sz w:val="20"/>
                <w:szCs w:val="20"/>
                <w:color w:val="auto"/>
              </w:rPr>
            </w:pPr>
            <w:r>
              <w:rPr>
                <w:rFonts w:ascii="Arial" w:cs="Arial" w:eastAsia="Arial" w:hAnsi="Arial"/>
                <w:sz w:val="18"/>
                <w:szCs w:val="18"/>
                <w:b w:val="1"/>
                <w:bCs w:val="1"/>
                <w:color w:val="auto"/>
                <w:w w:val="99"/>
              </w:rPr>
              <w:t>and</w:t>
            </w:r>
          </w:p>
        </w:tc>
        <w:tc>
          <w:tcPr>
            <w:tcW w:w="1360" w:type="dxa"/>
            <w:vAlign w:val="bottom"/>
            <w:gridSpan w:val="2"/>
          </w:tcPr>
          <w:p>
            <w:pPr>
              <w:ind w:left="120"/>
              <w:spacing w:after="0" w:line="202" w:lineRule="exact"/>
              <w:rPr>
                <w:sz w:val="20"/>
                <w:szCs w:val="20"/>
                <w:color w:val="auto"/>
              </w:rPr>
            </w:pPr>
            <w:r>
              <w:rPr>
                <w:rFonts w:ascii="Arial" w:cs="Arial" w:eastAsia="Arial" w:hAnsi="Arial"/>
                <w:sz w:val="18"/>
                <w:szCs w:val="18"/>
                <w:b w:val="1"/>
                <w:bCs w:val="1"/>
                <w:color w:val="auto"/>
              </w:rPr>
              <w:t>Net carrying</w:t>
            </w:r>
          </w:p>
        </w:tc>
        <w:tc>
          <w:tcPr>
            <w:tcW w:w="1040" w:type="dxa"/>
            <w:vAlign w:val="bottom"/>
            <w:gridSpan w:val="3"/>
          </w:tcPr>
          <w:p>
            <w:pPr>
              <w:ind w:left="80"/>
              <w:spacing w:after="0" w:line="202" w:lineRule="exact"/>
              <w:rPr>
                <w:sz w:val="20"/>
                <w:szCs w:val="20"/>
                <w:color w:val="auto"/>
              </w:rPr>
            </w:pPr>
            <w:r>
              <w:rPr>
                <w:rFonts w:ascii="Arial" w:cs="Arial" w:eastAsia="Arial" w:hAnsi="Arial"/>
                <w:sz w:val="18"/>
                <w:szCs w:val="18"/>
                <w:b w:val="1"/>
                <w:bCs w:val="1"/>
                <w:color w:val="auto"/>
              </w:rPr>
              <w:t>liquidation</w:t>
            </w:r>
          </w:p>
        </w:tc>
      </w:tr>
      <w:tr>
        <w:trPr>
          <w:trHeight w:val="221"/>
        </w:trPr>
        <w:tc>
          <w:tcPr>
            <w:tcW w:w="20" w:type="dxa"/>
            <w:vAlign w:val="bottom"/>
          </w:tcPr>
          <w:p>
            <w:pPr>
              <w:spacing w:after="0"/>
              <w:rPr>
                <w:sz w:val="19"/>
                <w:szCs w:val="19"/>
                <w:color w:val="auto"/>
              </w:rPr>
            </w:pPr>
          </w:p>
        </w:tc>
        <w:tc>
          <w:tcPr>
            <w:tcW w:w="59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authorized</w:t>
            </w:r>
          </w:p>
        </w:tc>
        <w:tc>
          <w:tcPr>
            <w:tcW w:w="1580" w:type="dxa"/>
            <w:vAlign w:val="bottom"/>
            <w:tcBorders>
              <w:bottom w:val="single" w:sz="8" w:color="auto"/>
            </w:tcBorders>
          </w:tcPr>
          <w:p>
            <w:pPr>
              <w:jc w:val="center"/>
              <w:ind w:left="12"/>
              <w:spacing w:after="0"/>
              <w:rPr>
                <w:sz w:val="20"/>
                <w:szCs w:val="20"/>
                <w:color w:val="auto"/>
              </w:rPr>
            </w:pPr>
            <w:r>
              <w:rPr>
                <w:rFonts w:ascii="Arial" w:cs="Arial" w:eastAsia="Arial" w:hAnsi="Arial"/>
                <w:sz w:val="18"/>
                <w:szCs w:val="18"/>
                <w:b w:val="1"/>
                <w:bCs w:val="1"/>
                <w:color w:val="auto"/>
                <w:w w:val="97"/>
              </w:rPr>
              <w:t>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value</w:t>
            </w:r>
          </w:p>
        </w:tc>
        <w:tc>
          <w:tcPr>
            <w:tcW w:w="10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preference</w:t>
            </w:r>
          </w:p>
        </w:tc>
      </w:tr>
      <w:tr>
        <w:trPr>
          <w:trHeight w:val="196"/>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940" w:type="dxa"/>
            <w:vAlign w:val="bottom"/>
            <w:gridSpan w:val="3"/>
          </w:tcPr>
          <w:p>
            <w:pPr>
              <w:jc w:val="right"/>
              <w:ind w:right="32"/>
              <w:spacing w:after="0" w:line="196" w:lineRule="exact"/>
              <w:rPr>
                <w:sz w:val="20"/>
                <w:szCs w:val="20"/>
                <w:color w:val="auto"/>
              </w:rPr>
            </w:pPr>
            <w:r>
              <w:rPr>
                <w:rFonts w:ascii="Arial" w:cs="Arial" w:eastAsia="Arial" w:hAnsi="Arial"/>
                <w:sz w:val="18"/>
                <w:szCs w:val="18"/>
                <w:b w:val="1"/>
                <w:bCs w:val="1"/>
                <w:color w:val="auto"/>
                <w:w w:val="97"/>
              </w:rPr>
              <w:t>(in thousands, except share data)</w:t>
            </w: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jc w:val="right"/>
              <w:ind w:right="5252"/>
              <w:spacing w:after="0" w:line="202" w:lineRule="exact"/>
              <w:rPr>
                <w:sz w:val="20"/>
                <w:szCs w:val="20"/>
                <w:color w:val="auto"/>
              </w:rPr>
            </w:pPr>
            <w:r>
              <w:rPr>
                <w:rFonts w:ascii="Arial" w:cs="Arial" w:eastAsia="Arial" w:hAnsi="Arial"/>
                <w:sz w:val="18"/>
                <w:szCs w:val="18"/>
                <w:color w:val="auto"/>
                <w:w w:val="91"/>
              </w:rPr>
              <w:t>Series A</w:t>
            </w: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70,221,732</w:t>
            </w:r>
          </w:p>
        </w:tc>
        <w:tc>
          <w:tcPr>
            <w:tcW w:w="15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14,430,799</w:t>
            </w:r>
          </w:p>
        </w:tc>
        <w:tc>
          <w:tcPr>
            <w:tcW w:w="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72,248</w:t>
            </w:r>
          </w:p>
        </w:tc>
        <w:tc>
          <w:tcPr>
            <w:tcW w:w="2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80,641</w:t>
            </w:r>
          </w:p>
        </w:tc>
        <w:tc>
          <w:tcPr>
            <w:tcW w:w="60" w:type="dxa"/>
            <w:vAlign w:val="bottom"/>
            <w:shd w:val="clear" w:color="auto" w:fill="CCEEFF"/>
          </w:tcPr>
          <w:p>
            <w:pPr>
              <w:spacing w:after="0"/>
              <w:rPr>
                <w:sz w:val="17"/>
                <w:szCs w:val="17"/>
                <w:color w:val="auto"/>
              </w:rPr>
            </w:pPr>
          </w:p>
        </w:tc>
      </w:tr>
      <w:tr>
        <w:trPr>
          <w:trHeight w:val="210"/>
        </w:trPr>
        <w:tc>
          <w:tcPr>
            <w:tcW w:w="6000" w:type="dxa"/>
            <w:vAlign w:val="bottom"/>
            <w:gridSpan w:val="2"/>
          </w:tcPr>
          <w:p>
            <w:pPr>
              <w:jc w:val="right"/>
              <w:ind w:right="5252"/>
              <w:spacing w:after="0" w:line="202" w:lineRule="exact"/>
              <w:rPr>
                <w:sz w:val="20"/>
                <w:szCs w:val="20"/>
                <w:color w:val="auto"/>
              </w:rPr>
            </w:pPr>
            <w:r>
              <w:rPr>
                <w:rFonts w:ascii="Arial" w:cs="Arial" w:eastAsia="Arial" w:hAnsi="Arial"/>
                <w:sz w:val="18"/>
                <w:szCs w:val="18"/>
                <w:color w:val="auto"/>
                <w:w w:val="94"/>
              </w:rPr>
              <w:t>Series B</w:t>
            </w: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76,000,000</w:t>
            </w:r>
          </w:p>
        </w:tc>
        <w:tc>
          <w:tcPr>
            <w:tcW w:w="158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15,165,110</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132,833</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113,492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146,221,732</w:t>
            </w:r>
          </w:p>
        </w:tc>
        <w:tc>
          <w:tcPr>
            <w:tcW w:w="158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29,595,909</w:t>
            </w:r>
          </w:p>
        </w:tc>
        <w:tc>
          <w:tcPr>
            <w:tcW w:w="32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205,081</w:t>
            </w:r>
          </w:p>
        </w:tc>
        <w:tc>
          <w:tcPr>
            <w:tcW w:w="2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194,133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100"/>
        <w:spacing w:after="0" w:line="273" w:lineRule="auto"/>
        <w:rPr>
          <w:sz w:val="20"/>
          <w:szCs w:val="20"/>
          <w:color w:val="auto"/>
        </w:rPr>
      </w:pPr>
      <w:r>
        <w:rPr>
          <w:rFonts w:ascii="Arial" w:cs="Arial" w:eastAsia="Arial" w:hAnsi="Arial"/>
          <w:sz w:val="16"/>
          <w:szCs w:val="16"/>
          <w:color w:val="auto"/>
        </w:rPr>
        <w:t>The net carrying value of Series A redeemable convertible preferred stock as of December 31, 2017 and 2018 includes $2.2 million of accretion of the redemption value and cumulative dividends on convertible preferred stock prior to January 1, 2017. No accretion of the redemption value was recorded for the years ended December 31, 2017 and 2018 as the redemption provisions were changed on December 1, 2016. The net carrying value of Series B redeemable convertible preferred stock as of December 31, 2018 includes $2.1 million related to the change in the fair value of the redeemable convertible preferred stock tranche liability during the year ended December 31, 2018.</w:t>
      </w:r>
    </w:p>
    <w:p>
      <w:pPr>
        <w:spacing w:after="0" w:line="75" w:lineRule="exact"/>
        <w:rPr>
          <w:sz w:val="20"/>
          <w:szCs w:val="20"/>
          <w:color w:val="auto"/>
        </w:rPr>
      </w:pPr>
    </w:p>
    <w:p>
      <w:pPr>
        <w:ind w:left="200" w:right="280"/>
        <w:spacing w:after="0" w:line="281" w:lineRule="auto"/>
        <w:rPr>
          <w:sz w:val="20"/>
          <w:szCs w:val="20"/>
          <w:color w:val="auto"/>
        </w:rPr>
      </w:pPr>
      <w:r>
        <w:rPr>
          <w:rFonts w:ascii="Arial" w:cs="Arial" w:eastAsia="Arial" w:hAnsi="Arial"/>
          <w:sz w:val="16"/>
          <w:szCs w:val="16"/>
          <w:color w:val="auto"/>
        </w:rPr>
        <w:t>The redeemable convertible preferred stock is recorded outside of permanent equity because while it is not mandatorily redeemable, it will become redeemable upon the occurrence of certain liquidation events that are considered not solely within the Company’s control. Accordingly, the redeemable convertible preferred stock has been presented in the mezzanine section on the consolidated balance sheets.</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holders of the Company’s redeemable convertible preferred stock have various rights, preferences, and privileges as follows: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2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Each share of redeemable convertible preferred stock shall be convertible, at the option of the holder, into such number of fully paid shares of common stock as is determined by dividing the original issue price by the conversion price in effect at the time of conversion. As of December 31, 2017 and 2018, the initial conversion price per share of redeemable convertible preferred stock is equivalent to the original issue price. The original issuance price was $4.87 per share for the Series A redeemable convertible preferred stock and $7.30 per share for the Series B redeemable convertible preferred stock.</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60" w:right="4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The respective applicable conversion price is subject to adjustment upon any future stock splits or stock combinations, reclassifications or exchanges of similar stock, upon a reorganization, recapitalization, merger or consolidation of the Company, or upon the issuance or sale by the Company of common stock for consideration less than the applicable conversion price.</w:t>
      </w:r>
    </w:p>
    <w:p>
      <w:pPr>
        <w:spacing w:after="0" w:line="100" w:lineRule="exact"/>
        <w:rPr>
          <w:sz w:val="20"/>
          <w:szCs w:val="20"/>
          <w:color w:val="auto"/>
        </w:rPr>
      </w:pPr>
    </w:p>
    <w:p>
      <w:pPr>
        <w:ind w:left="200" w:right="320"/>
        <w:spacing w:after="0" w:line="237" w:lineRule="auto"/>
        <w:rPr>
          <w:sz w:val="20"/>
          <w:szCs w:val="20"/>
          <w:color w:val="auto"/>
        </w:rPr>
      </w:pPr>
      <w:r>
        <w:rPr>
          <w:rFonts w:ascii="Arial" w:cs="Arial" w:eastAsia="Arial" w:hAnsi="Arial"/>
          <w:sz w:val="18"/>
          <w:szCs w:val="18"/>
          <w:color w:val="auto"/>
        </w:rPr>
        <w:t>Each share of Series A and B redeemable convertible preferred stock automatically converts into the number of shares of common stock determined in accordance with the conversion rate upon the earlier of (a) written consent of a majority of the then outstanding shares of Series A and B redeemable convertible preferred stock, voting together as a single class or (b) the closing of a public offering in which the gross cash proceeds are at least $50.0 million. See Note 14, “Subsequent events.”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The holders of the outstanding shares of each series of redeemable convertible preferred stock are entitled to receive, when and if declared by the Board of Directors, a cumulative cash dividend at the rate of 6% of the applicable original issue price per annum on each outstanding share of redeemable convertible preferred stock. Such dividends are payable in preference to any dividends for common stock declared by the Board of Directors. In the case of a dividend on common stock, the dividend per share of redeemable convertible preferred stock would also include the dividend payable on each share determined, if applicable, as if all redeemable convertible preferred stock had been converted to common stock. No dividends had been declared or paid to holders of redeemable convertible preferred stock as of December 31, 2018.</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the event of any liquidation, dissolution, winding up, or deemed liquidation event of the Company, either voluntary or involuntary, the holders of redeemable convertible preferred stock shall be entitled to receive pro rata, prior and in preference to any distribution to the holders of the common stock, an amount equal to the original issuance prices of each series (in each case, as adjusted for stock splits, stock dividends or distributions, recapitalizations, and similar events) and all declared but unpaid dividends, if any. If the assets and funds to be distributed among the holders of redeemable convertible preferred stock are insufficient to permit the payment to such holders, then the entire assets and funds of the Company legally available for distribution will be distributed ratably among the holders of redeemable convertible preferred stock in proportion to the preferential amount each such holder is otherwise entitled to receive.</w:t>
      </w:r>
    </w:p>
    <w:p>
      <w:pPr>
        <w:spacing w:after="0" w:line="101"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Upon the payment of the full liquidation preference of redeemable convertible preferred stock, the remaining assets of the Company, if any, shall be distributed ratably to the holders of common stock.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Each share of redeemable convertible preferred stock has a number of votes equal to the number of shares of common stock into which it is convertible. The holders of Series A redeemable convertible preferred stock have the right to elect two members of the Company’s Board of Directors. The holders of Series B redeemable convertible preferred stock have the right to elect one member of the Company’s Board of Directors. The holders of common stock have the right to elect one member of the Company’s Board of Directors. The holders of common stock and redeemable convertible preferred stock, voting together as a single class on an as-converted basis, are entitled to elect one member of the Board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9. Common stock</w:t>
      </w:r>
    </w:p>
    <w:p>
      <w:pPr>
        <w:spacing w:after="0" w:line="134"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As of December 31, 2017 and December 31, 2018, the Company’s certificate of incorporation authorized the Company to issue 94,695,000 and 172,000,000 shares of common stock, respectively, at a par value of</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00"/>
          </w:cols>
          <w:pgMar w:left="240" w:top="460" w:right="45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00"/>
        <w:spacing w:after="0" w:line="236" w:lineRule="auto"/>
        <w:rPr>
          <w:sz w:val="20"/>
          <w:szCs w:val="20"/>
          <w:color w:val="auto"/>
        </w:rPr>
      </w:pPr>
      <w:r>
        <w:rPr>
          <w:rFonts w:ascii="Arial" w:cs="Arial" w:eastAsia="Arial" w:hAnsi="Arial"/>
          <w:sz w:val="18"/>
          <w:szCs w:val="18"/>
          <w:color w:val="auto"/>
        </w:rPr>
        <w:t>$0.0001 per share. As of December 31, 2018, the Company has reserved shares of common stock for issuance upon conversion of redeemable convertible preferred stock and exercise of stock options. Each share of common stock is entitled to one vote. The holders of common stock are also entitled to receive dividends whenever funds are legally available and when declared by the Board of Directors, subject to prior rights of the redeemable convertible preferred stockholders. As of December 31, 2018, no dividends have been declared to date.</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has reserved shares of common stock, on an as-converted basis, for future issuance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2540" w:type="dxa"/>
            <w:vAlign w:val="bottom"/>
            <w:gridSpan w:val="3"/>
          </w:tcPr>
          <w:p>
            <w:pPr>
              <w:ind w:left="64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2017</w:t>
            </w: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134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14,430,799</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29,595,909</w:t>
            </w:r>
          </w:p>
        </w:tc>
        <w:tc>
          <w:tcPr>
            <w:tcW w:w="100" w:type="dxa"/>
            <w:vAlign w:val="bottom"/>
            <w:shd w:val="clear" w:color="auto" w:fill="CCEEFF"/>
          </w:tcPr>
          <w:p>
            <w:pPr>
              <w:spacing w:after="0"/>
              <w:rPr>
                <w:sz w:val="17"/>
                <w:szCs w:val="17"/>
                <w:color w:val="auto"/>
              </w:rPr>
            </w:pPr>
          </w:p>
        </w:tc>
      </w:tr>
      <w:tr>
        <w:trPr>
          <w:trHeight w:val="203"/>
        </w:trPr>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rPr>
              <w:t>Outstanding options to purchase common stock</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981,176</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1,632,797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Available for future issuance under the 2014 Equity Incentive Plan</w:t>
            </w:r>
          </w:p>
        </w:tc>
        <w:tc>
          <w:tcPr>
            <w:tcW w:w="1340" w:type="dxa"/>
            <w:vAlign w:val="bottom"/>
            <w:tcBorders>
              <w:bottom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149,667</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401,447</w:t>
            </w:r>
          </w:p>
        </w:tc>
        <w:tc>
          <w:tcPr>
            <w:tcW w:w="10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8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15,561,642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31,630,153</w:t>
            </w:r>
          </w:p>
        </w:tc>
        <w:tc>
          <w:tcPr>
            <w:tcW w:w="100" w:type="dxa"/>
            <w:vAlign w:val="bottom"/>
          </w:tcPr>
          <w:p>
            <w:pPr>
              <w:spacing w:after="0"/>
              <w:rPr>
                <w:sz w:val="19"/>
                <w:szCs w:val="19"/>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10. Stock-based compensation</w:t>
      </w:r>
    </w:p>
    <w:p>
      <w:pPr>
        <w:spacing w:after="0" w:line="134"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In December 2014, the Company adopted the 2014 Equity Incentive Plan (2014 Plan). The 2014 Plan provides for the Company to issue restricted common stock, or to grant incentive stock options or nonqualified stock options for the purchase of common stock, to employees, members of the Board of Directors and consultants of the Company under terms and provisions established by the Board of Directors. The Company generally grants stock-based awards with service-based vesting conditions only. Options granted typically vest over a four-year period but may be granted with different vesting terms.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summarizes option activity under the 2014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8"/>
              </w:rPr>
              <w:t>Weighted-</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average</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1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6"/>
              </w:rPr>
              <w:t>Number</w:t>
            </w:r>
          </w:p>
        </w:tc>
        <w:tc>
          <w:tcPr>
            <w:tcW w:w="360" w:type="dxa"/>
            <w:vAlign w:val="bottom"/>
          </w:tcPr>
          <w:p>
            <w:pPr>
              <w:spacing w:after="0"/>
              <w:rPr>
                <w:sz w:val="17"/>
                <w:szCs w:val="17"/>
                <w:color w:val="auto"/>
              </w:rPr>
            </w:pPr>
          </w:p>
        </w:tc>
        <w:tc>
          <w:tcPr>
            <w:tcW w:w="128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w w:val="98"/>
              </w:rPr>
              <w:t>Weighted-</w:t>
            </w: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remaining</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11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3"/>
              </w:rPr>
              <w:t>of</w:t>
            </w:r>
          </w:p>
        </w:tc>
        <w:tc>
          <w:tcPr>
            <w:tcW w:w="360" w:type="dxa"/>
            <w:vAlign w:val="bottom"/>
          </w:tcPr>
          <w:p>
            <w:pPr>
              <w:spacing w:after="0"/>
              <w:rPr>
                <w:sz w:val="17"/>
                <w:szCs w:val="17"/>
                <w:color w:val="auto"/>
              </w:rPr>
            </w:pPr>
          </w:p>
        </w:tc>
        <w:tc>
          <w:tcPr>
            <w:tcW w:w="1280" w:type="dxa"/>
            <w:vAlign w:val="bottom"/>
          </w:tcPr>
          <w:p>
            <w:pPr>
              <w:jc w:val="right"/>
              <w:ind w:right="412"/>
              <w:spacing w:after="0" w:line="202" w:lineRule="exact"/>
              <w:rPr>
                <w:sz w:val="20"/>
                <w:szCs w:val="20"/>
                <w:color w:val="auto"/>
              </w:rPr>
            </w:pPr>
            <w:r>
              <w:rPr>
                <w:rFonts w:ascii="Arial" w:cs="Arial" w:eastAsia="Arial" w:hAnsi="Arial"/>
                <w:sz w:val="18"/>
                <w:szCs w:val="18"/>
                <w:b w:val="1"/>
                <w:bCs w:val="1"/>
                <w:color w:val="auto"/>
              </w:rPr>
              <w:t>average</w:t>
            </w:r>
          </w:p>
        </w:tc>
        <w:tc>
          <w:tcPr>
            <w:tcW w:w="14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contractual</w:t>
            </w:r>
          </w:p>
        </w:tc>
        <w:tc>
          <w:tcPr>
            <w:tcW w:w="380" w:type="dxa"/>
            <w:vAlign w:val="bottom"/>
          </w:tcPr>
          <w:p>
            <w:pPr>
              <w:spacing w:after="0"/>
              <w:rPr>
                <w:sz w:val="17"/>
                <w:szCs w:val="17"/>
                <w:color w:val="auto"/>
              </w:rPr>
            </w:pPr>
          </w:p>
        </w:tc>
        <w:tc>
          <w:tcPr>
            <w:tcW w:w="114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Aggregate</w:t>
            </w:r>
          </w:p>
        </w:tc>
      </w:tr>
      <w:tr>
        <w:trPr>
          <w:trHeight w:val="221"/>
        </w:trPr>
        <w:tc>
          <w:tcPr>
            <w:tcW w:w="20" w:type="dxa"/>
            <w:vAlign w:val="bottom"/>
          </w:tcPr>
          <w:p>
            <w:pPr>
              <w:spacing w:after="0"/>
              <w:rPr>
                <w:sz w:val="19"/>
                <w:szCs w:val="19"/>
                <w:color w:val="auto"/>
              </w:rPr>
            </w:pPr>
          </w:p>
        </w:tc>
        <w:tc>
          <w:tcPr>
            <w:tcW w:w="5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8"/>
              </w:rPr>
              <w:t>options</w:t>
            </w:r>
          </w:p>
        </w:tc>
        <w:tc>
          <w:tcPr>
            <w:tcW w:w="16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exercise price</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term</w:t>
            </w:r>
          </w:p>
        </w:tc>
        <w:tc>
          <w:tcPr>
            <w:tcW w:w="1520" w:type="dxa"/>
            <w:vAlign w:val="bottom"/>
            <w:tcBorders>
              <w:bottom w:val="single" w:sz="8" w:color="auto"/>
            </w:tcBorders>
            <w:gridSpan w:val="3"/>
          </w:tcPr>
          <w:p>
            <w:pPr>
              <w:ind w:left="260"/>
              <w:spacing w:after="0"/>
              <w:rPr>
                <w:sz w:val="20"/>
                <w:szCs w:val="20"/>
                <w:color w:val="auto"/>
              </w:rPr>
            </w:pPr>
            <w:r>
              <w:rPr>
                <w:rFonts w:ascii="Arial" w:cs="Arial" w:eastAsia="Arial" w:hAnsi="Arial"/>
                <w:sz w:val="18"/>
                <w:szCs w:val="18"/>
                <w:b w:val="1"/>
                <w:bCs w:val="1"/>
                <w:color w:val="auto"/>
              </w:rPr>
              <w:t>intrinsic value</w:t>
            </w:r>
          </w:p>
        </w:tc>
      </w:tr>
      <w:tr>
        <w:trPr>
          <w:trHeight w:val="196"/>
        </w:trPr>
        <w:tc>
          <w:tcPr>
            <w:tcW w:w="20" w:type="dxa"/>
            <w:vAlign w:val="bottom"/>
          </w:tcPr>
          <w:p>
            <w:pPr>
              <w:spacing w:after="0"/>
              <w:rPr>
                <w:sz w:val="17"/>
                <w:szCs w:val="17"/>
                <w:color w:val="auto"/>
              </w:rPr>
            </w:pPr>
          </w:p>
        </w:tc>
        <w:tc>
          <w:tcPr>
            <w:tcW w:w="5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6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7"/>
              </w:rPr>
              <w:t>(in years)</w:t>
            </w:r>
          </w:p>
        </w:tc>
        <w:tc>
          <w:tcPr>
            <w:tcW w:w="152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2017</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521,749</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0.39</w:t>
            </w: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9"/>
              </w:rPr>
              <w:t>1,079,285</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0.49</w:t>
            </w: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Options exercised</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(577,646)</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0.47</w:t>
            </w: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Options cancelled</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(42,212)</w:t>
            </w:r>
          </w:p>
        </w:tc>
        <w:tc>
          <w:tcPr>
            <w:tcW w:w="360" w:type="dxa"/>
            <w:vAlign w:val="bottom"/>
          </w:tcPr>
          <w:p>
            <w:pPr>
              <w:spacing w:after="0"/>
              <w:rPr>
                <w:sz w:val="18"/>
                <w:szCs w:val="18"/>
                <w:color w:val="auto"/>
              </w:rPr>
            </w:pPr>
          </w:p>
        </w:tc>
        <w:tc>
          <w:tcPr>
            <w:tcW w:w="12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0.42</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2017</w:t>
            </w: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981,176</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0.45</w:t>
            </w:r>
          </w:p>
        </w:tc>
        <w:tc>
          <w:tcPr>
            <w:tcW w:w="14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8.94</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1,439,800</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ind w:right="152"/>
              <w:spacing w:after="0"/>
              <w:rPr>
                <w:sz w:val="20"/>
                <w:szCs w:val="20"/>
                <w:color w:val="auto"/>
              </w:rPr>
            </w:pPr>
            <w:r>
              <w:rPr>
                <w:rFonts w:ascii="Arial" w:cs="Arial" w:eastAsia="Arial" w:hAnsi="Arial"/>
                <w:sz w:val="18"/>
                <w:szCs w:val="18"/>
                <w:color w:val="auto"/>
              </w:rPr>
              <w:t>1.18</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Options exercised</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(653,796)</w:t>
            </w: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0.64</w:t>
            </w:r>
          </w:p>
        </w:tc>
        <w:tc>
          <w:tcPr>
            <w:tcW w:w="14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Options cancelled</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(134,383)</w:t>
            </w:r>
          </w:p>
        </w:tc>
        <w:tc>
          <w:tcPr>
            <w:tcW w:w="360" w:type="dxa"/>
            <w:vAlign w:val="bottom"/>
          </w:tcPr>
          <w:p>
            <w:pPr>
              <w:spacing w:after="0"/>
              <w:rPr>
                <w:sz w:val="18"/>
                <w:szCs w:val="18"/>
                <w:color w:val="auto"/>
              </w:rPr>
            </w:pPr>
          </w:p>
        </w:tc>
        <w:tc>
          <w:tcPr>
            <w:tcW w:w="12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0.92</w:t>
            </w: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December 31, 2018</w:t>
            </w:r>
          </w:p>
        </w:tc>
        <w:tc>
          <w:tcPr>
            <w:tcW w:w="82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1,632,797</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0.98</w:t>
            </w:r>
          </w:p>
        </w:tc>
        <w:tc>
          <w:tcPr>
            <w:tcW w:w="14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8.76</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5,085</w:t>
            </w:r>
          </w:p>
        </w:tc>
        <w:tc>
          <w:tcPr>
            <w:tcW w:w="60" w:type="dxa"/>
            <w:vAlign w:val="bottom"/>
            <w:shd w:val="clear" w:color="auto" w:fill="CCEEFF"/>
          </w:tcPr>
          <w:p>
            <w:pPr>
              <w:spacing w:after="0"/>
              <w:rPr>
                <w:sz w:val="17"/>
                <w:szCs w:val="17"/>
                <w:color w:val="auto"/>
              </w:rPr>
            </w:pPr>
          </w:p>
        </w:tc>
      </w:tr>
      <w:tr>
        <w:trPr>
          <w:trHeight w:val="213"/>
        </w:trPr>
        <w:tc>
          <w:tcPr>
            <w:tcW w:w="5300" w:type="dxa"/>
            <w:vAlign w:val="bottom"/>
            <w:gridSpan w:val="2"/>
          </w:tcPr>
          <w:p>
            <w:pPr>
              <w:spacing w:after="0"/>
              <w:rPr>
                <w:sz w:val="20"/>
                <w:szCs w:val="20"/>
                <w:color w:val="auto"/>
              </w:rPr>
            </w:pPr>
            <w:r>
              <w:rPr>
                <w:rFonts w:ascii="Arial" w:cs="Arial" w:eastAsia="Arial" w:hAnsi="Arial"/>
                <w:sz w:val="18"/>
                <w:szCs w:val="18"/>
                <w:color w:val="auto"/>
              </w:rPr>
              <w:t>Options vested and expected to vest as of December 31,</w:t>
            </w: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530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2018</w:t>
            </w: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w w:val="99"/>
              </w:rPr>
              <w:t>1,632,797</w:t>
            </w:r>
          </w:p>
        </w:tc>
        <w:tc>
          <w:tcPr>
            <w:tcW w:w="300" w:type="dxa"/>
            <w:vAlign w:val="bottom"/>
          </w:tcPr>
          <w:p>
            <w:pPr>
              <w:spacing w:after="0"/>
              <w:rPr>
                <w:sz w:val="17"/>
                <w:szCs w:val="17"/>
                <w:color w:val="auto"/>
              </w:rPr>
            </w:pPr>
          </w:p>
        </w:tc>
        <w:tc>
          <w:tcPr>
            <w:tcW w:w="360" w:type="dxa"/>
            <w:vAlign w:val="bottom"/>
          </w:tcPr>
          <w:p>
            <w:pPr>
              <w:ind w:left="220"/>
              <w:spacing w:after="0" w:line="200" w:lineRule="exact"/>
              <w:rPr>
                <w:sz w:val="20"/>
                <w:szCs w:val="20"/>
                <w:color w:val="auto"/>
              </w:rPr>
            </w:pPr>
            <w:r>
              <w:rPr>
                <w:rFonts w:ascii="Arial" w:cs="Arial" w:eastAsia="Arial" w:hAnsi="Arial"/>
                <w:sz w:val="18"/>
                <w:szCs w:val="18"/>
                <w:color w:val="auto"/>
              </w:rPr>
              <w:t>$</w:t>
            </w:r>
          </w:p>
        </w:tc>
        <w:tc>
          <w:tcPr>
            <w:tcW w:w="128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0.98</w:t>
            </w:r>
          </w:p>
        </w:tc>
        <w:tc>
          <w:tcPr>
            <w:tcW w:w="14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8.76</w:t>
            </w:r>
          </w:p>
        </w:tc>
        <w:tc>
          <w:tcPr>
            <w:tcW w:w="380" w:type="dxa"/>
            <w:vAlign w:val="bottom"/>
          </w:tcPr>
          <w:p>
            <w:pPr>
              <w:ind w:left="240"/>
              <w:spacing w:after="0" w:line="200"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5,085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vested and exercisable as of December 31, 2018</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486,397</w:t>
            </w:r>
          </w:p>
        </w:tc>
        <w:tc>
          <w:tcPr>
            <w:tcW w:w="300" w:type="dxa"/>
            <w:vAlign w:val="bottom"/>
            <w:shd w:val="clear" w:color="auto" w:fill="CCEEFF"/>
          </w:tcPr>
          <w:p>
            <w:pPr>
              <w:spacing w:after="0"/>
              <w:rPr>
                <w:sz w:val="17"/>
                <w:szCs w:val="17"/>
                <w:color w:val="auto"/>
              </w:rPr>
            </w:pP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0.54</w:t>
            </w:r>
          </w:p>
        </w:tc>
        <w:tc>
          <w:tcPr>
            <w:tcW w:w="14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8.10</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60" w:right="4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common stock, as determined by the Board of Directors. The intrinsic value of options exercised for the years ended December 31, 2017 and 2018 was less than $0.1 million and $0.4 million, respectively.</w:t>
      </w:r>
    </w:p>
    <w:p>
      <w:pPr>
        <w:spacing w:after="0" w:line="101"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During the years ended December 31, 2017 and 2018, the weighted-average grant-date fair value of options granted was $0.34 and $1.90 per share, respectively. As of December 31, 2018, there was $2.1 million of unrecognized stock-based compensation expense related to unvested stock options that is expected to be recognized over a weighted-average period of 2.7 years.</w:t>
      </w:r>
    </w:p>
    <w:p>
      <w:pPr>
        <w:spacing w:after="0" w:line="100" w:lineRule="exact"/>
        <w:rPr>
          <w:sz w:val="20"/>
          <w:szCs w:val="20"/>
          <w:color w:val="auto"/>
        </w:rPr>
      </w:pPr>
    </w:p>
    <w:p>
      <w:pPr>
        <w:ind w:left="200" w:right="500"/>
        <w:spacing w:after="0" w:line="239" w:lineRule="auto"/>
        <w:rPr>
          <w:sz w:val="20"/>
          <w:szCs w:val="20"/>
          <w:color w:val="auto"/>
        </w:rPr>
      </w:pPr>
      <w:r>
        <w:rPr>
          <w:rFonts w:ascii="Arial" w:cs="Arial" w:eastAsia="Arial" w:hAnsi="Arial"/>
          <w:sz w:val="18"/>
          <w:szCs w:val="18"/>
          <w:color w:val="auto"/>
        </w:rPr>
        <w:t>The total fair value of options vested for the years ended December 31, 2017 and December 31, 2018 was $0.1 million and $0.7 million, respectively.</w:t>
      </w:r>
    </w:p>
    <w:p>
      <w:pPr>
        <w:spacing w:after="0" w:line="101"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The fair value of employee and director stock option awards was estimated at the date of grant using a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2017</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2018</w:t>
            </w: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1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5–6</w:t>
            </w:r>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5–6</w:t>
            </w:r>
          </w:p>
        </w:tc>
      </w:tr>
      <w:tr>
        <w:trPr>
          <w:trHeight w:val="203"/>
        </w:trPr>
        <w:tc>
          <w:tcPr>
            <w:tcW w:w="870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7"/>
              </w:rPr>
              <w:t>79%–81%</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7"/>
              </w:rPr>
              <w:t>79%–81%</w:t>
            </w: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1.8%–2.2%</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2.5%–3.0%</w:t>
            </w:r>
          </w:p>
        </w:tc>
      </w:tr>
      <w:tr>
        <w:trPr>
          <w:trHeight w:val="215"/>
        </w:trPr>
        <w:tc>
          <w:tcPr>
            <w:tcW w:w="8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Dividend yield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bl>
    <w:p>
      <w:pPr>
        <w:spacing w:after="0" w:line="111" w:lineRule="exact"/>
        <w:rPr>
          <w:sz w:val="20"/>
          <w:szCs w:val="20"/>
          <w:color w:val="auto"/>
        </w:rPr>
      </w:pPr>
    </w:p>
    <w:p>
      <w:pPr>
        <w:jc w:val="both"/>
        <w:ind w:left="200" w:right="120"/>
        <w:spacing w:after="0" w:line="239" w:lineRule="auto"/>
        <w:rPr>
          <w:sz w:val="20"/>
          <w:szCs w:val="20"/>
          <w:color w:val="auto"/>
        </w:rPr>
      </w:pPr>
      <w:r>
        <w:rPr>
          <w:rFonts w:ascii="Arial" w:cs="Arial" w:eastAsia="Arial" w:hAnsi="Arial"/>
          <w:sz w:val="18"/>
          <w:szCs w:val="18"/>
          <w:color w:val="auto"/>
        </w:rPr>
        <w:t>Non-employee stock option awards were measured at fair value at each reporting period using a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23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2017</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2018</w:t>
            </w:r>
          </w:p>
        </w:tc>
      </w:tr>
      <w:tr>
        <w:trPr>
          <w:trHeight w:val="196"/>
        </w:trPr>
        <w:tc>
          <w:tcPr>
            <w:tcW w:w="20" w:type="dxa"/>
            <w:vAlign w:val="bottom"/>
          </w:tcPr>
          <w:p>
            <w:pPr>
              <w:spacing w:after="0"/>
              <w:rPr>
                <w:sz w:val="17"/>
                <w:szCs w:val="17"/>
                <w:color w:val="auto"/>
              </w:rPr>
            </w:pPr>
          </w:p>
        </w:tc>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11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8–10</w:t>
            </w:r>
          </w:p>
        </w:tc>
        <w:tc>
          <w:tcPr>
            <w:tcW w:w="11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7–10</w:t>
            </w:r>
          </w:p>
        </w:tc>
      </w:tr>
      <w:tr>
        <w:trPr>
          <w:trHeight w:val="203"/>
        </w:trPr>
        <w:tc>
          <w:tcPr>
            <w:tcW w:w="870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1160" w:type="dxa"/>
            <w:vAlign w:val="bottom"/>
          </w:tcPr>
          <w:p>
            <w:pPr>
              <w:jc w:val="center"/>
              <w:spacing w:after="0" w:line="202" w:lineRule="exact"/>
              <w:rPr>
                <w:sz w:val="20"/>
                <w:szCs w:val="20"/>
                <w:color w:val="auto"/>
              </w:rPr>
            </w:pPr>
            <w:r>
              <w:rPr>
                <w:rFonts w:ascii="Arial" w:cs="Arial" w:eastAsia="Arial" w:hAnsi="Arial"/>
                <w:sz w:val="18"/>
                <w:szCs w:val="18"/>
                <w:color w:val="auto"/>
                <w:w w:val="97"/>
              </w:rPr>
              <w:t>79%–81%</w:t>
            </w:r>
          </w:p>
        </w:tc>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99"/>
              </w:rPr>
              <w:t>80%</w:t>
            </w: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116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2.0%–2.4%</w:t>
            </w:r>
          </w:p>
        </w:tc>
        <w:tc>
          <w:tcPr>
            <w:tcW w:w="11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7"/>
              </w:rPr>
              <w:t>2.9%–3.0%</w:t>
            </w:r>
          </w:p>
        </w:tc>
      </w:tr>
      <w:tr>
        <w:trPr>
          <w:trHeight w:val="215"/>
        </w:trPr>
        <w:tc>
          <w:tcPr>
            <w:tcW w:w="8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Dividend yield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0%</w:t>
            </w:r>
          </w:p>
        </w:tc>
      </w:tr>
    </w:tbl>
    <w:p>
      <w:pPr>
        <w:spacing w:after="0" w:line="111" w:lineRule="exact"/>
        <w:rPr>
          <w:sz w:val="20"/>
          <w:szCs w:val="20"/>
          <w:color w:val="auto"/>
        </w:rPr>
      </w:pPr>
    </w:p>
    <w:p>
      <w:pPr>
        <w:ind w:left="200" w:right="80"/>
        <w:spacing w:after="0" w:line="271" w:lineRule="auto"/>
        <w:rPr>
          <w:sz w:val="20"/>
          <w:szCs w:val="20"/>
          <w:color w:val="auto"/>
        </w:rPr>
      </w:pPr>
      <w:r>
        <w:rPr>
          <w:rFonts w:ascii="Arial" w:cs="Arial" w:eastAsia="Arial" w:hAnsi="Arial"/>
          <w:sz w:val="16"/>
          <w:szCs w:val="16"/>
          <w:color w:val="auto"/>
        </w:rPr>
        <w:t>The fair value of the shares of common stock underlying stock options has historically been determined by the Company’s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redeemable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Black-Scholes model assumptions that determine the fair value of stock-based awards include:</w:t>
      </w:r>
    </w:p>
    <w:p>
      <w:pPr>
        <w:spacing w:after="0" w:line="86" w:lineRule="exact"/>
        <w:rPr>
          <w:sz w:val="20"/>
          <w:szCs w:val="20"/>
          <w:color w:val="auto"/>
        </w:rPr>
      </w:pPr>
    </w:p>
    <w:p>
      <w:pPr>
        <w:jc w:val="both"/>
        <w:ind w:left="420" w:right="140"/>
        <w:spacing w:after="0" w:line="247"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weighted-average period the stock options are expected to remain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options’ vesting terms, contractual terms and industry peers, as the Company did not have sufficient historical information to develop reasonable expectations about future exercise patterns and post-vesting employment termination behavior.</w:t>
      </w:r>
    </w:p>
    <w:p>
      <w:pPr>
        <w:spacing w:after="0" w:line="77" w:lineRule="exact"/>
        <w:rPr>
          <w:sz w:val="20"/>
          <w:szCs w:val="20"/>
          <w:color w:val="auto"/>
        </w:rPr>
      </w:pPr>
    </w:p>
    <w:p>
      <w:pPr>
        <w:ind w:left="420" w:right="40"/>
        <w:spacing w:after="0" w:line="243"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the Company is privately held and does not have any trading history for its common stock, the expected volatility</w:t>
      </w:r>
      <w:r>
        <w:rPr>
          <w:rFonts w:ascii="Arial" w:cs="Arial" w:eastAsia="Arial" w:hAnsi="Arial"/>
          <w:sz w:val="18"/>
          <w:szCs w:val="18"/>
          <w:i w:val="1"/>
          <w:iCs w:val="1"/>
          <w:color w:val="auto"/>
        </w:rPr>
        <w:t xml:space="preserve"> </w:t>
      </w:r>
      <w:r>
        <w:rPr>
          <w:rFonts w:ascii="Arial" w:cs="Arial" w:eastAsia="Arial" w:hAnsi="Arial"/>
          <w:sz w:val="18"/>
          <w:szCs w:val="18"/>
          <w:color w:val="auto"/>
        </w:rPr>
        <w:t>was estimated based on the average volatility for comparable publicly traded biotechnology companies over a period equal to the expected term of the stock option grants. The comparable companies were chosen based on their similar size, stage in the life cycle or area of specialty.</w:t>
      </w:r>
    </w:p>
    <w:p>
      <w:pPr>
        <w:spacing w:after="0" w:line="1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60" w:right="41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20" w:right="20"/>
        <w:spacing w:after="0" w:line="260"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65"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Expected dividend</w:t>
      </w:r>
      <w:r>
        <w:rPr>
          <w:rFonts w:ascii="Arial" w:cs="Arial" w:eastAsia="Arial" w:hAnsi="Arial"/>
          <w:sz w:val="16"/>
          <w:szCs w:val="16"/>
          <w:color w:val="auto"/>
        </w:rPr>
        <w:t>—The Company has never paid dividends on its common stock and has no plans to pay dividends on its common stock.</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Therefore, the Company used an expected dividend yield of zero.</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stock-based compensation expense by function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p>
      <w:pPr>
        <w:jc w:val="center"/>
        <w:ind w:left="952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95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6205220</wp:posOffset>
            </wp:positionH>
            <wp:positionV relativeFrom="paragraph">
              <wp:posOffset>-4445</wp:posOffset>
            </wp:positionV>
            <wp:extent cx="89217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840" w:type="dxa"/>
            <w:vAlign w:val="bottom"/>
            <w:tcBorders>
              <w:bottom w:val="single" w:sz="8" w:color="auto"/>
            </w:tcBorders>
          </w:tcPr>
          <w:p>
            <w:pPr>
              <w:spacing w:after="0"/>
              <w:rPr>
                <w:sz w:val="19"/>
                <w:szCs w:val="19"/>
                <w:color w:val="auto"/>
              </w:rPr>
            </w:pPr>
          </w:p>
        </w:tc>
        <w:tc>
          <w:tcPr>
            <w:tcW w:w="4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94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460" w:type="dxa"/>
            <w:vAlign w:val="bottom"/>
            <w:gridSpan w:val="5"/>
          </w:tcPr>
          <w:p>
            <w:pPr>
              <w:ind w:left="8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$ 107</w:t>
            </w: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563</w:t>
            </w:r>
          </w:p>
        </w:tc>
        <w:tc>
          <w:tcPr>
            <w:tcW w:w="60" w:type="dxa"/>
            <w:vAlign w:val="bottom"/>
            <w:shd w:val="clear" w:color="auto" w:fill="CCEEFF"/>
          </w:tcPr>
          <w:p>
            <w:pPr>
              <w:spacing w:after="0"/>
              <w:rPr>
                <w:sz w:val="17"/>
                <w:szCs w:val="17"/>
                <w:color w:val="auto"/>
              </w:rPr>
            </w:pPr>
          </w:p>
        </w:tc>
      </w:tr>
      <w:tr>
        <w:trPr>
          <w:trHeight w:val="210"/>
        </w:trPr>
        <w:tc>
          <w:tcPr>
            <w:tcW w:w="586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w:t>
            </w:r>
          </w:p>
        </w:tc>
        <w:tc>
          <w:tcPr>
            <w:tcW w:w="3720" w:type="dxa"/>
            <w:vAlign w:val="bottom"/>
          </w:tcPr>
          <w:p>
            <w:pPr>
              <w:spacing w:after="0"/>
              <w:rPr>
                <w:sz w:val="18"/>
                <w:szCs w:val="18"/>
                <w:color w:val="auto"/>
              </w:rPr>
            </w:pPr>
          </w:p>
        </w:tc>
        <w:tc>
          <w:tcPr>
            <w:tcW w:w="4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3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4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$ 141</w:t>
            </w:r>
          </w:p>
        </w:tc>
        <w:tc>
          <w:tcPr>
            <w:tcW w:w="5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855</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Stock-based compensation related to options granted to non-employees was less than $0.1 million and $0.3 million for the years ended December 31, 2017 and 2018, respectively.</w:t>
      </w:r>
    </w:p>
    <w:p>
      <w:pPr>
        <w:spacing w:after="0" w:line="101"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Company allows its employees, non-employees and directors to exercise options granted under the 2014 Plan prior to vesting. The shares related to early exercised stock options are subject to the Company’s lapsing repurchase right upon termination of employment at the original purchase price. In order to vest, the holders are required to provide continued service to the Company. The proceeds are initially recorded in other noncurrent liabilities and are reclassified to common stock and additional paid-in capital as the repurchase right lapses. As of December 31, 2017 and 2018, there were 541,476 and 615,742 shares, respectively, and $0.3 million and $0.3 million, respectively, recorded in other noncurrent liabilities, related to early exercised shares that were subject to repurchase.</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24"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In 2014, the Company issued restricted stock awards to employees and directors under the 2014 Plan at a purchase price of $0.0001 per share. The shares related to restricted stock awards vest over a four-year period and are subject to a lapsing repurchase right upon termination of employment at the original purchase price. Recipients of restricted stock awards have voting and dividend rights with respect to such shares upon grant without regard to vesting.</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summary of restricted stock activity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7"/>
              </w:rPr>
              <w:t>Number of</w:t>
            </w:r>
          </w:p>
        </w:tc>
      </w:tr>
      <w:tr>
        <w:trPr>
          <w:trHeight w:val="203"/>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4480" w:type="dxa"/>
            <w:vAlign w:val="bottom"/>
            <w:gridSpan w:val="3"/>
          </w:tcPr>
          <w:p>
            <w:pPr>
              <w:jc w:val="center"/>
              <w:ind w:left="2732"/>
              <w:spacing w:after="0" w:line="202" w:lineRule="exact"/>
              <w:rPr>
                <w:sz w:val="20"/>
                <w:szCs w:val="20"/>
                <w:color w:val="auto"/>
              </w:rPr>
            </w:pPr>
            <w:r>
              <w:rPr>
                <w:rFonts w:ascii="Arial" w:cs="Arial" w:eastAsia="Arial" w:hAnsi="Arial"/>
                <w:sz w:val="18"/>
                <w:szCs w:val="18"/>
                <w:b w:val="1"/>
                <w:bCs w:val="1"/>
                <w:color w:val="auto"/>
                <w:w w:val="97"/>
              </w:rPr>
              <w:t>restricted shares</w:t>
            </w:r>
          </w:p>
        </w:tc>
      </w:tr>
      <w:tr>
        <w:trPr>
          <w:trHeight w:val="221"/>
        </w:trPr>
        <w:tc>
          <w:tcPr>
            <w:tcW w:w="20" w:type="dxa"/>
            <w:vAlign w:val="bottom"/>
          </w:tcPr>
          <w:p>
            <w:pPr>
              <w:spacing w:after="0"/>
              <w:rPr>
                <w:sz w:val="19"/>
                <w:szCs w:val="19"/>
                <w:color w:val="auto"/>
              </w:rPr>
            </w:pPr>
          </w:p>
        </w:tc>
        <w:tc>
          <w:tcPr>
            <w:tcW w:w="654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8"/>
                <w:szCs w:val="18"/>
                <w:b w:val="1"/>
                <w:bCs w:val="1"/>
                <w:color w:val="auto"/>
                <w:w w:val="97"/>
              </w:rPr>
              <w:t>outstanding</w:t>
            </w: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Unvested restricted stock, January 1, 2017</w:t>
            </w:r>
          </w:p>
        </w:tc>
        <w:tc>
          <w:tcPr>
            <w:tcW w:w="43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711,983</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200"/>
              <w:spacing w:after="0" w:line="202" w:lineRule="exact"/>
              <w:rPr>
                <w:sz w:val="20"/>
                <w:szCs w:val="20"/>
                <w:color w:val="auto"/>
              </w:rPr>
            </w:pPr>
            <w:r>
              <w:rPr>
                <w:rFonts w:ascii="Arial" w:cs="Arial" w:eastAsia="Arial" w:hAnsi="Arial"/>
                <w:sz w:val="18"/>
                <w:szCs w:val="18"/>
                <w:color w:val="auto"/>
              </w:rPr>
              <w:t>Restricted stock vested</w:t>
            </w:r>
          </w:p>
        </w:tc>
        <w:tc>
          <w:tcPr>
            <w:tcW w:w="448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(259,554)</w:t>
            </w: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Unvested stock repurchased</w:t>
            </w:r>
          </w:p>
        </w:tc>
        <w:tc>
          <w:tcPr>
            <w:tcW w:w="29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(269,616)</w:t>
            </w:r>
          </w:p>
        </w:tc>
      </w:tr>
      <w:tr>
        <w:trPr>
          <w:trHeight w:val="210"/>
        </w:trPr>
        <w:tc>
          <w:tcPr>
            <w:tcW w:w="6560" w:type="dxa"/>
            <w:vAlign w:val="bottom"/>
            <w:gridSpan w:val="2"/>
          </w:tcPr>
          <w:p>
            <w:pPr>
              <w:spacing w:after="0"/>
              <w:rPr>
                <w:sz w:val="20"/>
                <w:szCs w:val="20"/>
                <w:color w:val="auto"/>
              </w:rPr>
            </w:pPr>
            <w:r>
              <w:rPr>
                <w:rFonts w:ascii="Arial" w:cs="Arial" w:eastAsia="Arial" w:hAnsi="Arial"/>
                <w:sz w:val="18"/>
                <w:szCs w:val="18"/>
                <w:color w:val="auto"/>
              </w:rPr>
              <w:t>Unvested restricted stock, December 31, 2017</w:t>
            </w:r>
          </w:p>
        </w:tc>
        <w:tc>
          <w:tcPr>
            <w:tcW w:w="2940" w:type="dxa"/>
            <w:vAlign w:val="bottom"/>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182,813</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Restricted stock vested</w:t>
            </w:r>
          </w:p>
        </w:tc>
        <w:tc>
          <w:tcPr>
            <w:tcW w:w="29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(182,813)</w:t>
            </w:r>
          </w:p>
        </w:tc>
      </w:tr>
      <w:tr>
        <w:trPr>
          <w:trHeight w:val="222"/>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Unvested restricted stock, December 31, 2018</w:t>
            </w:r>
          </w:p>
        </w:tc>
        <w:tc>
          <w:tcPr>
            <w:tcW w:w="2940" w:type="dxa"/>
            <w:vAlign w:val="bottom"/>
            <w:tcBorders>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The total fair value of restricted stock vested during the years ended December 31, 2017 and 2018 was less than $0.1 million for both years presented. As of December 31, 2017 and 2018, the liability for unvested restricted stock that was subject to repurchase was less than $0.1 million and zero, respectively.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240" w:top="459" w:right="4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11. Income taxes</w:t>
      </w:r>
    </w:p>
    <w:p>
      <w:pPr>
        <w:spacing w:after="0" w:line="134"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No provision for income taxes was recorded for the years ended December 31, 2017 and 2018. The Company has incurred net pre-tax losses in the United States only for all periods presented. The Company has not reflected any benefit of such net operating loss carryforwards in the accompanying consolidated financial statements.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provision for income taxes differs from the amount expected by applying the federal statutory rate to the loss before taxes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p>
      <w:pPr>
        <w:jc w:val="center"/>
        <w:ind w:left="946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946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6214110</wp:posOffset>
            </wp:positionH>
            <wp:positionV relativeFrom="paragraph">
              <wp:posOffset>-4445</wp:posOffset>
            </wp:positionV>
            <wp:extent cx="84074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9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72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34.0%</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21.0%</w:t>
            </w:r>
          </w:p>
        </w:tc>
        <w:tc>
          <w:tcPr>
            <w:tcW w:w="140" w:type="dxa"/>
            <w:vAlign w:val="bottom"/>
            <w:shd w:val="clear" w:color="auto" w:fill="CCEEFF"/>
          </w:tcPr>
          <w:p>
            <w:pPr>
              <w:spacing w:after="0"/>
              <w:rPr>
                <w:sz w:val="17"/>
                <w:szCs w:val="17"/>
                <w:color w:val="auto"/>
              </w:rPr>
            </w:pP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 rate, net of federal benefit</w:t>
            </w: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5.9</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(17.2)</w:t>
            </w: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tax credits</w:t>
            </w: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2.2</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7"/>
                <w:szCs w:val="17"/>
                <w:color w:val="auto"/>
              </w:rPr>
            </w:pP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(17.0)</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(7.0)</w:t>
            </w: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Non-deductible permanent expenses</w:t>
            </w:r>
          </w:p>
        </w:tc>
        <w:tc>
          <w:tcPr>
            <w:tcW w:w="7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(0.2)</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w:t>
            </w: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Remeasurement of deferred tax due to tax law change</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(24.6)</w:t>
            </w: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720" w:type="dxa"/>
            <w:vAlign w:val="bottom"/>
            <w:tcBorders>
              <w:bottom w:val="single" w:sz="8" w:color="auto"/>
            </w:tcBorders>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(0.3)</w:t>
            </w: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7"/>
                <w:szCs w:val="17"/>
                <w:color w:val="auto"/>
              </w:rPr>
            </w:pPr>
          </w:p>
        </w:tc>
      </w:tr>
      <w:tr>
        <w:trPr>
          <w:trHeight w:val="222"/>
        </w:trPr>
        <w:tc>
          <w:tcPr>
            <w:tcW w:w="9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0.0%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9"/>
                <w:szCs w:val="19"/>
                <w:color w:val="auto"/>
              </w:rPr>
            </w:pPr>
          </w:p>
        </w:tc>
      </w:tr>
    </w:tbl>
    <w:p>
      <w:pPr>
        <w:spacing w:after="0" w:line="111" w:lineRule="exact"/>
        <w:rPr>
          <w:sz w:val="20"/>
          <w:szCs w:val="20"/>
          <w:color w:val="auto"/>
        </w:rPr>
      </w:pPr>
    </w:p>
    <w:p>
      <w:pPr>
        <w:ind w:left="200" w:right="160"/>
        <w:spacing w:after="0" w:line="235" w:lineRule="auto"/>
        <w:rPr>
          <w:sz w:val="20"/>
          <w:szCs w:val="20"/>
          <w:color w:val="auto"/>
        </w:rPr>
      </w:pPr>
      <w:r>
        <w:rPr>
          <w:rFonts w:ascii="Arial" w:cs="Arial" w:eastAsia="Arial" w:hAnsi="Arial"/>
          <w:sz w:val="18"/>
          <w:szCs w:val="18"/>
          <w:color w:val="auto"/>
        </w:rPr>
        <w:t>In December 2017, the U.S. government enacted comprehensive tax legislation through the Tax Cuts and Jobs Act (Tax Act). The Tax Act significantly revises the future ongoing U.S. corporate income tax by, among other things, lowering the U.S. corporate income tax rates and implementing a modified territorial tax system. The corporate tax rate was reduced from 34% to 21% for tax years beginning after December 31, 2017. Changes in tax law are accounted for in the period of enactment. As such, the Company’s consolidated financial statements as of December 31, 2017 reflect the impact of this Tax Act, which primarily consisted of remeasuring the Company’s deferred tax assets and valuation allowance using the newly enacted U.S. corporate tax rate. This rate change resulted in a $7.7 million reduction in the Company’s net deferred tax assets from the prior year with a corresponding offset to the valuation allowance. Under the Tax Act, net operating losses arising after December 31, 2017 do not expire and cannot be carried back. However, the Tax Act limits the amount of net operating losses that can be used annually to 80% of taxable income for periods beginning after December 31, 2017. Existing net operating losses arising in years ending on or before December 31, 2017 are not affected by these provisions.</w:t>
      </w:r>
    </w:p>
    <w:p>
      <w:pPr>
        <w:spacing w:after="0" w:line="107"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In December 2017, the SEC staff issued Staff Accounting Bulletin No. 118 (SAB 118), which provides guidance for the tax effects of the 2018 Tax Act. SAB 118 provides a measurement period that should not extend beyond one year from the Tax Act’s enactment date for companies to complete the accounting under ASC 740. In accordance with SAB 118, the Company must reflect the income tax effects of those aspects of the Tax Act for which the accounting under ASC 740 is complete. To the extent that the Company’s accounting for certain income tax effects of the Tax Act is incomplete, but is it able to determine a reasonable estimate, the Company must record a provisional estimate in its financial statements. If the Company cannot determine a provisional estimate to be included in its financial statements, it should continue to apply ASC 740 on the basis of the provisions of the tax laws that were in effect immediately before the enactment of the Tax Act. The amounts of the tax effects related to the Tax Act reflected in the Company’s consolidated financial statements as of December 31, 2017 represented the Company’s reasonable estimates and were provisional amounts within the meaning of SAB 118. The Company completed its analysis of the Tax Act’s income tax effects during the year ended December 31, 2018. There was no material impact to the consolidated financial statements as of and for the year ended December 31, 2018.</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59" w:right="41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The Company has established a valuation allowance against its deferred tax assets due to the uncertainty surrounding the realization of such assets. Significant components of the Company’s deferred tax assets and liabilities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63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9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gridSpan w:val="3"/>
          </w:tcPr>
          <w:p>
            <w:pPr>
              <w:jc w:val="right"/>
              <w:ind w:right="46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assets: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2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16,448</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$ 19,579</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Accruals and reserves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1,331</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11,338</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 credits</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1,403</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6,707</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Fixed assets and finite-lived intangible assets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524</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35</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Other</w:t>
            </w:r>
          </w:p>
        </w:tc>
        <w:tc>
          <w:tcPr>
            <w:tcW w:w="26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15</w:t>
            </w: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7"/>
                <w:szCs w:val="17"/>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Gross deferred tax assets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19,756</w:t>
            </w:r>
          </w:p>
        </w:tc>
        <w:tc>
          <w:tcPr>
            <w:tcW w:w="900" w:type="dxa"/>
            <w:vAlign w:val="bottom"/>
          </w:tcPr>
          <w:p>
            <w:pPr>
              <w:jc w:val="right"/>
              <w:spacing w:after="0"/>
              <w:rPr>
                <w:sz w:val="20"/>
                <w:szCs w:val="20"/>
                <w:color w:val="auto"/>
              </w:rPr>
            </w:pPr>
            <w:r>
              <w:rPr>
                <w:rFonts w:ascii="Arial" w:cs="Arial" w:eastAsia="Arial" w:hAnsi="Arial"/>
                <w:sz w:val="18"/>
                <w:szCs w:val="18"/>
                <w:color w:val="auto"/>
              </w:rPr>
              <w:t>37,784</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valuation allowance</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w w:val="95"/>
              </w:rPr>
              <w:t>(19,756)</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(34,870)</w:t>
            </w:r>
          </w:p>
        </w:tc>
      </w:tr>
      <w:tr>
        <w:trPr>
          <w:trHeight w:val="221"/>
        </w:trPr>
        <w:tc>
          <w:tcPr>
            <w:tcW w:w="640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2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20" w:type="dxa"/>
            <w:vAlign w:val="bottom"/>
          </w:tcPr>
          <w:p>
            <w:pPr>
              <w:spacing w:after="0"/>
              <w:rPr>
                <w:sz w:val="19"/>
                <w:szCs w:val="19"/>
                <w:color w:val="auto"/>
              </w:rPr>
            </w:pPr>
          </w:p>
        </w:tc>
      </w:tr>
      <w:tr>
        <w:trPr>
          <w:trHeight w:val="56"/>
        </w:trPr>
        <w:tc>
          <w:tcPr>
            <w:tcW w:w="6400" w:type="dxa"/>
            <w:vAlign w:val="bottom"/>
            <w:gridSpan w:val="2"/>
          </w:tcPr>
          <w:p>
            <w:pPr>
              <w:spacing w:after="0"/>
              <w:rPr>
                <w:sz w:val="4"/>
                <w:szCs w:val="4"/>
                <w:color w:val="auto"/>
              </w:rPr>
            </w:pPr>
          </w:p>
        </w:tc>
        <w:tc>
          <w:tcPr>
            <w:tcW w:w="2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380" w:type="dxa"/>
            <w:vAlign w:val="bottom"/>
          </w:tcPr>
          <w:p>
            <w:pPr>
              <w:ind w:left="200"/>
              <w:spacing w:after="0" w:line="202" w:lineRule="exact"/>
              <w:rPr>
                <w:sz w:val="20"/>
                <w:szCs w:val="20"/>
                <w:color w:val="auto"/>
              </w:rPr>
            </w:pPr>
            <w:r>
              <w:rPr>
                <w:rFonts w:ascii="Arial" w:cs="Arial" w:eastAsia="Arial" w:hAnsi="Arial"/>
                <w:sz w:val="18"/>
                <w:szCs w:val="18"/>
                <w:color w:val="auto"/>
              </w:rPr>
              <w:t>Fixed assets and finite-lived intangible assets</w:t>
            </w:r>
          </w:p>
        </w:tc>
        <w:tc>
          <w:tcPr>
            <w:tcW w:w="2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(2,914)</w:t>
            </w: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Indefinite-lived intangible asset</w:t>
            </w:r>
          </w:p>
        </w:tc>
        <w:tc>
          <w:tcPr>
            <w:tcW w:w="2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(12,192)</w:t>
            </w:r>
          </w:p>
        </w:tc>
      </w:tr>
      <w:tr>
        <w:trPr>
          <w:trHeight w:val="20"/>
        </w:trPr>
        <w:tc>
          <w:tcPr>
            <w:tcW w:w="6400" w:type="dxa"/>
            <w:vAlign w:val="bottom"/>
            <w:gridSpan w:val="2"/>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400" w:type="dxa"/>
            <w:vAlign w:val="bottom"/>
            <w:gridSpan w:val="2"/>
          </w:tcPr>
          <w:p>
            <w:pPr>
              <w:spacing w:after="0"/>
              <w:rPr>
                <w:sz w:val="20"/>
                <w:szCs w:val="20"/>
                <w:color w:val="auto"/>
              </w:rPr>
            </w:pPr>
            <w:r>
              <w:rPr>
                <w:rFonts w:ascii="Arial" w:cs="Arial" w:eastAsia="Arial" w:hAnsi="Arial"/>
                <w:sz w:val="18"/>
                <w:szCs w:val="18"/>
                <w:color w:val="auto"/>
              </w:rPr>
              <w:t>Gross deferred tax liabilities</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(15,106)</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6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deferred tax liability</w:t>
            </w:r>
          </w:p>
        </w:tc>
        <w:tc>
          <w:tcPr>
            <w:tcW w:w="2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 (12,192)</w:t>
            </w:r>
          </w:p>
        </w:tc>
      </w:tr>
      <w:tr>
        <w:trPr>
          <w:trHeight w:val="20"/>
        </w:trPr>
        <w:tc>
          <w:tcPr>
            <w:tcW w:w="20" w:type="dxa"/>
            <w:vAlign w:val="bottom"/>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 realization of deferred tax assets is dependent upon future earnings, if any, the timing and amount of which are uncertain. Due to the lack of earnings history, the net deferred tax assets have been offset by a valuation allowance. The valuation allowance increased by $5.3 million and $15.1 million during the years ended December 31, 2017 and 2018, respectively.</w:t>
      </w:r>
    </w:p>
    <w:p>
      <w:pPr>
        <w:spacing w:after="0" w:line="100"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The net deferred tax liability represents the difference between the book and tax basis for in-process research and development acquired in connection with the acquisition of Warp Drive. See Note 7, “Acquisition of Warp Drive.”</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had net operating loss carryforwards for federal, California and Massachusetts income tax purposes of $93.2 million,</w:t>
      </w:r>
    </w:p>
    <w:p>
      <w:pPr>
        <w:ind w:left="200" w:right="20"/>
        <w:spacing w:after="0" w:line="273" w:lineRule="auto"/>
        <w:rPr>
          <w:sz w:val="20"/>
          <w:szCs w:val="20"/>
          <w:color w:val="auto"/>
        </w:rPr>
      </w:pPr>
      <w:r>
        <w:rPr>
          <w:rFonts w:ascii="Arial" w:cs="Arial" w:eastAsia="Arial" w:hAnsi="Arial"/>
          <w:sz w:val="16"/>
          <w:szCs w:val="16"/>
          <w:color w:val="auto"/>
        </w:rPr>
        <w:t>$58.8 million and $38.2 million, respectively, as of December 31, 2018. The federal and Massachusetts net operating loss carryforwards, if not utilized, will expire beginning in 2031. California net operating loss carryforwards, if not utilized, will expire beginning in 2034. Under the Tax Act, federal net operating losses arising after December 31, 2017 do not expire and cannot be carried back. However, the Tax Act limits the amount of federal net operating losses that can be used annually to 80% of taxable income for periods beginning after December 31, 2017. Existing federal net operating losses arising in years ending on or before December 31, 2017 are not affected by these provisions.</w:t>
      </w:r>
    </w:p>
    <w:p>
      <w:pPr>
        <w:spacing w:after="0" w:line="75"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The Company also had federal and state research and development credit carryforwards of $5.9 million and $3.9 million, respectively, as of December 31, 2018. The federal credits will expire starting in 2030 if not utilized and the state research credits will expire beginning in 2026, with the exception of $2.8 million in California research credits, which can be carried forward indefinitely.</w:t>
      </w:r>
    </w:p>
    <w:p>
      <w:pPr>
        <w:spacing w:after="0" w:line="100" w:lineRule="exact"/>
        <w:rPr>
          <w:sz w:val="20"/>
          <w:szCs w:val="20"/>
          <w:color w:val="auto"/>
        </w:rPr>
      </w:pPr>
    </w:p>
    <w:p>
      <w:pPr>
        <w:ind w:left="200" w:right="80"/>
        <w:spacing w:after="0" w:line="275" w:lineRule="auto"/>
        <w:rPr>
          <w:sz w:val="20"/>
          <w:szCs w:val="20"/>
          <w:color w:val="auto"/>
        </w:rPr>
      </w:pPr>
      <w:r>
        <w:rPr>
          <w:rFonts w:ascii="Arial" w:cs="Arial" w:eastAsia="Arial" w:hAnsi="Arial"/>
          <w:sz w:val="16"/>
          <w:szCs w:val="16"/>
          <w:color w:val="auto"/>
        </w:rPr>
        <w:t>Federal, California and Massachusetts tax laws impose significant restrictions on the utilization of net operating loss carryforwards in the event of a change in ownership of the Company, as defined by Internal Revenue Code Section 382 (Section 382). The Company performed a study in which it determined that it had experienced a change in ownership in June 2018 as defined by Section 382. No federal or state net operating losses are expected to expire unutilized as a result of the limitation. In addition, in the future the Company may</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40"/>
          </w:cols>
          <w:pgMar w:left="240" w:top="460" w:right="41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experience ownership changes, which may limit the utilization of net operating loss carryforwards or other tax attributes.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Unrecognized tax benefits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No liability related to uncertain tax positions has been recorded in the consolidated financial statements.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7"/>
              </w:rPr>
              <w:t>December 31,</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4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89"/>
              </w:rPr>
              <w:t>2018</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70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380" w:type="dxa"/>
            <w:vAlign w:val="bottom"/>
            <w:gridSpan w:val="4"/>
          </w:tcPr>
          <w:p>
            <w:pPr>
              <w:jc w:val="center"/>
              <w:ind w:right="80"/>
              <w:spacing w:after="0" w:line="196" w:lineRule="exact"/>
              <w:rPr>
                <w:sz w:val="20"/>
                <w:szCs w:val="20"/>
                <w:color w:val="auto"/>
              </w:rPr>
            </w:pPr>
            <w:r>
              <w:rPr>
                <w:rFonts w:ascii="Arial" w:cs="Arial" w:eastAsia="Arial" w:hAnsi="Arial"/>
                <w:sz w:val="18"/>
                <w:szCs w:val="18"/>
                <w:b w:val="1"/>
                <w:bCs w:val="1"/>
                <w:color w:val="auto"/>
                <w:w w:val="98"/>
              </w:rPr>
              <w:t>(in thousands)</w:t>
            </w: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3180" w:type="dxa"/>
            <w:vAlign w:val="bottom"/>
            <w:gridSpan w:val="2"/>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$261</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tcPr>
          <w:p>
            <w:pPr>
              <w:ind w:left="200"/>
              <w:spacing w:after="0" w:line="202" w:lineRule="exact"/>
              <w:rPr>
                <w:sz w:val="20"/>
                <w:szCs w:val="20"/>
                <w:color w:val="auto"/>
              </w:rPr>
            </w:pPr>
            <w:r>
              <w:rPr>
                <w:rFonts w:ascii="Arial" w:cs="Arial" w:eastAsia="Arial" w:hAnsi="Arial"/>
                <w:sz w:val="18"/>
                <w:szCs w:val="18"/>
                <w:color w:val="auto"/>
              </w:rPr>
              <w:t>Changes related to tax positions taken in the prior year</w:t>
            </w:r>
          </w:p>
        </w:tc>
        <w:tc>
          <w:tcPr>
            <w:tcW w:w="3180" w:type="dxa"/>
            <w:vAlign w:val="bottom"/>
            <w:gridSpan w:val="2"/>
          </w:tcPr>
          <w:p>
            <w:pPr>
              <w:jc w:val="right"/>
              <w:ind w:right="32"/>
              <w:spacing w:after="0" w:line="202" w:lineRule="exact"/>
              <w:rPr>
                <w:sz w:val="20"/>
                <w:szCs w:val="20"/>
                <w:color w:val="auto"/>
              </w:rPr>
            </w:pPr>
            <w:r>
              <w:rPr>
                <w:rFonts w:ascii="Arial" w:cs="Arial" w:eastAsia="Arial" w:hAnsi="Arial"/>
                <w:sz w:val="18"/>
                <w:szCs w:val="18"/>
                <w:color w:val="auto"/>
              </w:rPr>
              <w:t>(15)</w:t>
            </w:r>
          </w:p>
        </w:tc>
        <w:tc>
          <w:tcPr>
            <w:tcW w:w="2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872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related to tax positions taken in current year</w:t>
            </w:r>
          </w:p>
        </w:tc>
        <w:tc>
          <w:tcPr>
            <w:tcW w:w="2600" w:type="dxa"/>
            <w:vAlign w:val="bottom"/>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279</w:t>
            </w:r>
          </w:p>
        </w:tc>
        <w:tc>
          <w:tcPr>
            <w:tcW w:w="2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1,044</w:t>
            </w:r>
          </w:p>
        </w:tc>
        <w:tc>
          <w:tcPr>
            <w:tcW w:w="60" w:type="dxa"/>
            <w:vAlign w:val="bottom"/>
            <w:shd w:val="clear" w:color="auto" w:fill="CCEEFF"/>
          </w:tcPr>
          <w:p>
            <w:pPr>
              <w:spacing w:after="0"/>
              <w:rPr>
                <w:sz w:val="17"/>
                <w:szCs w:val="17"/>
                <w:color w:val="auto"/>
              </w:rPr>
            </w:pPr>
          </w:p>
        </w:tc>
      </w:tr>
      <w:tr>
        <w:trPr>
          <w:trHeight w:val="222"/>
        </w:trPr>
        <w:tc>
          <w:tcPr>
            <w:tcW w:w="7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Ending balance</w:t>
            </w:r>
          </w:p>
        </w:tc>
        <w:tc>
          <w:tcPr>
            <w:tcW w:w="318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$525</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 Company has unrecognized tax benefits of $0.5 million and $2.2 million as of December 31, 2017 and 2018, which would affect the effective tax rate if recognized; however, recognition would be in the form of a deferred tax attribute which would likely be offset by a valuation allowance.</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does not anticipate any significant changes to unrecognized tax benefits over the next 12 months.</w:t>
      </w:r>
    </w:p>
    <w:p>
      <w:pPr>
        <w:spacing w:after="0" w:line="104"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Income tax returns are filed in the United States, California and Massachusetts. The years 2010 through 2018 remain open to examination by the domestic taxing jurisdictions to which the Company is subject. Net operating losses generated on a tax return basis by the Company for 2010 through 2018 remain open to examination by the domestic taxing jurisdictions.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 Net loss per share attributable to common stockholders and unaudited pro forma net Loss per share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6"/>
              </w:rPr>
              <w:t>Year ended December 31,</w:t>
            </w:r>
          </w:p>
        </w:tc>
      </w:tr>
      <w:tr>
        <w:trPr>
          <w:trHeight w:val="223"/>
        </w:trPr>
        <w:tc>
          <w:tcPr>
            <w:tcW w:w="20" w:type="dxa"/>
            <w:vAlign w:val="bottom"/>
          </w:tcPr>
          <w:p>
            <w:pPr>
              <w:spacing w:after="0"/>
              <w:rPr>
                <w:sz w:val="19"/>
                <w:szCs w:val="19"/>
                <w:color w:val="auto"/>
              </w:rPr>
            </w:pPr>
          </w:p>
        </w:tc>
        <w:tc>
          <w:tcPr>
            <w:tcW w:w="7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40" w:type="dxa"/>
            <w:vAlign w:val="bottom"/>
            <w:gridSpan w:val="4"/>
          </w:tcPr>
          <w:p>
            <w:pPr>
              <w:jc w:val="center"/>
              <w:ind w:right="300"/>
              <w:spacing w:after="0" w:line="177" w:lineRule="exact"/>
              <w:rPr>
                <w:sz w:val="20"/>
                <w:szCs w:val="20"/>
                <w:color w:val="auto"/>
              </w:rPr>
            </w:pPr>
            <w:r>
              <w:rPr>
                <w:rFonts w:ascii="Arial" w:cs="Arial" w:eastAsia="Arial" w:hAnsi="Arial"/>
                <w:sz w:val="18"/>
                <w:szCs w:val="18"/>
                <w:b w:val="1"/>
                <w:bCs w:val="1"/>
                <w:color w:val="auto"/>
                <w:w w:val="97"/>
              </w:rPr>
              <w:t>(in thousands, except share</w:t>
            </w:r>
          </w:p>
        </w:tc>
      </w:tr>
      <w:tr>
        <w:trPr>
          <w:trHeight w:val="233"/>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40" w:type="dxa"/>
            <w:vAlign w:val="bottom"/>
            <w:gridSpan w:val="4"/>
          </w:tcPr>
          <w:p>
            <w:pPr>
              <w:jc w:val="center"/>
              <w:ind w:right="280"/>
              <w:spacing w:after="0"/>
              <w:rPr>
                <w:sz w:val="20"/>
                <w:szCs w:val="20"/>
                <w:color w:val="auto"/>
              </w:rPr>
            </w:pPr>
            <w:r>
              <w:rPr>
                <w:rFonts w:ascii="Arial" w:cs="Arial" w:eastAsia="Arial" w:hAnsi="Arial"/>
                <w:sz w:val="18"/>
                <w:szCs w:val="18"/>
                <w:b w:val="1"/>
                <w:bCs w:val="1"/>
                <w:color w:val="auto"/>
                <w:w w:val="97"/>
              </w:rPr>
              <w:t>and per share data)</w:t>
            </w:r>
          </w:p>
        </w:tc>
      </w:tr>
      <w:tr>
        <w:trPr>
          <w:trHeight w:val="56"/>
        </w:trPr>
        <w:tc>
          <w:tcPr>
            <w:tcW w:w="74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(31,127)</w:t>
            </w:r>
          </w:p>
        </w:tc>
        <w:tc>
          <w:tcPr>
            <w:tcW w:w="48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(41,789)</w:t>
            </w: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dividends—undeclared and cumulative</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(3,763)</w:t>
            </w:r>
          </w:p>
        </w:tc>
        <w:tc>
          <w:tcPr>
            <w:tcW w:w="4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(7,031)</w:t>
            </w:r>
          </w:p>
        </w:tc>
      </w:tr>
      <w:tr>
        <w:trPr>
          <w:trHeight w:val="20"/>
        </w:trPr>
        <w:tc>
          <w:tcPr>
            <w:tcW w:w="74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40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(34,890)</w:t>
            </w:r>
          </w:p>
        </w:tc>
        <w:tc>
          <w:tcPr>
            <w:tcW w:w="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(48,820)</w:t>
            </w:r>
          </w:p>
        </w:tc>
      </w:tr>
      <w:tr>
        <w:trPr>
          <w:trHeight w:val="75"/>
        </w:trPr>
        <w:tc>
          <w:tcPr>
            <w:tcW w:w="20" w:type="dxa"/>
            <w:vAlign w:val="bottom"/>
          </w:tcPr>
          <w:p>
            <w:pPr>
              <w:spacing w:after="0"/>
              <w:rPr>
                <w:sz w:val="6"/>
                <w:szCs w:val="6"/>
                <w:color w:val="auto"/>
              </w:rPr>
            </w:pPr>
          </w:p>
        </w:tc>
        <w:tc>
          <w:tcPr>
            <w:tcW w:w="73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40" w:type="dxa"/>
            <w:vAlign w:val="bottom"/>
            <w:tcBorders>
              <w:top w:val="single" w:sz="8" w:color="auto"/>
            </w:tcBorders>
          </w:tcPr>
          <w:p>
            <w:pPr>
              <w:spacing w:after="0"/>
              <w:rPr>
                <w:sz w:val="6"/>
                <w:szCs w:val="6"/>
                <w:color w:val="auto"/>
              </w:rPr>
            </w:pPr>
          </w:p>
        </w:tc>
        <w:tc>
          <w:tcPr>
            <w:tcW w:w="480" w:type="dxa"/>
            <w:vAlign w:val="bottom"/>
            <w:tcBorders>
              <w:top w:val="single" w:sz="8" w:color="auto"/>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40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shares outstanding</w:t>
            </w: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2,469,805</w:t>
            </w:r>
          </w:p>
        </w:tc>
        <w:tc>
          <w:tcPr>
            <w:tcW w:w="4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3,140,848</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Less: Weighted-average unvested restricted shares and shares subject to repurchase</w:t>
            </w: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(746,418)</w:t>
            </w:r>
          </w:p>
        </w:tc>
        <w:tc>
          <w:tcPr>
            <w:tcW w:w="4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(842,028)</w:t>
            </w:r>
          </w:p>
        </w:tc>
      </w:tr>
      <w:tr>
        <w:trPr>
          <w:trHeight w:val="213"/>
        </w:trPr>
        <w:tc>
          <w:tcPr>
            <w:tcW w:w="7400" w:type="dxa"/>
            <w:vAlign w:val="bottom"/>
            <w:gridSpan w:val="2"/>
          </w:tcPr>
          <w:p>
            <w:pPr>
              <w:spacing w:after="0"/>
              <w:rPr>
                <w:sz w:val="20"/>
                <w:szCs w:val="20"/>
                <w:color w:val="auto"/>
              </w:rPr>
            </w:pPr>
            <w:r>
              <w:rPr>
                <w:rFonts w:ascii="Arial" w:cs="Arial" w:eastAsia="Arial" w:hAnsi="Arial"/>
                <w:sz w:val="18"/>
                <w:szCs w:val="18"/>
                <w:color w:val="auto"/>
              </w:rPr>
              <w:t>Weighted-average shares used to compute net loss per share attributable to common</w:t>
            </w:r>
          </w:p>
        </w:tc>
        <w:tc>
          <w:tcPr>
            <w:tcW w:w="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7380" w:type="dxa"/>
            <w:vAlign w:val="bottom"/>
          </w:tcPr>
          <w:p>
            <w:pPr>
              <w:ind w:left="200"/>
              <w:spacing w:after="0" w:line="200" w:lineRule="exact"/>
              <w:rPr>
                <w:sz w:val="20"/>
                <w:szCs w:val="20"/>
                <w:color w:val="auto"/>
              </w:rPr>
            </w:pPr>
            <w:r>
              <w:rPr>
                <w:rFonts w:ascii="Arial" w:cs="Arial" w:eastAsia="Arial" w:hAnsi="Arial"/>
                <w:sz w:val="18"/>
                <w:szCs w:val="18"/>
                <w:color w:val="auto"/>
              </w:rPr>
              <w:t>stockholders—basic and diluted</w:t>
            </w:r>
          </w:p>
        </w:tc>
        <w:tc>
          <w:tcPr>
            <w:tcW w:w="7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52"/>
              <w:spacing w:after="0" w:line="200" w:lineRule="exact"/>
              <w:rPr>
                <w:sz w:val="20"/>
                <w:szCs w:val="20"/>
                <w:color w:val="auto"/>
              </w:rPr>
            </w:pPr>
            <w:r>
              <w:rPr>
                <w:rFonts w:ascii="Arial" w:cs="Arial" w:eastAsia="Arial" w:hAnsi="Arial"/>
                <w:sz w:val="18"/>
                <w:szCs w:val="18"/>
                <w:color w:val="auto"/>
              </w:rPr>
              <w:t>1,723,387</w:t>
            </w:r>
          </w:p>
        </w:tc>
        <w:tc>
          <w:tcPr>
            <w:tcW w:w="4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2,298,820</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(20.25)</w:t>
            </w:r>
          </w:p>
        </w:tc>
        <w:tc>
          <w:tcPr>
            <w:tcW w:w="48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(21.24)</w:t>
            </w:r>
          </w:p>
        </w:tc>
      </w:tr>
      <w:tr>
        <w:trPr>
          <w:trHeight w:val="20"/>
        </w:trPr>
        <w:tc>
          <w:tcPr>
            <w:tcW w:w="20" w:type="dxa"/>
            <w:vAlign w:val="bottom"/>
          </w:tcPr>
          <w:p>
            <w:pPr>
              <w:spacing w:after="0" w:line="20" w:lineRule="exact"/>
              <w:rPr>
                <w:sz w:val="1"/>
                <w:szCs w:val="1"/>
                <w:color w:val="auto"/>
              </w:rPr>
            </w:pPr>
          </w:p>
        </w:tc>
        <w:tc>
          <w:tcPr>
            <w:tcW w:w="7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7380" w:type="dxa"/>
            <w:vAlign w:val="bottom"/>
          </w:tcPr>
          <w:p>
            <w:pPr>
              <w:ind w:left="5320"/>
              <w:spacing w:after="0"/>
              <w:rPr>
                <w:sz w:val="20"/>
                <w:szCs w:val="20"/>
                <w:color w:val="auto"/>
              </w:rPr>
            </w:pPr>
            <w:r>
              <w:rPr>
                <w:rFonts w:ascii="Arial" w:cs="Arial" w:eastAsia="Arial" w:hAnsi="Arial"/>
                <w:sz w:val="18"/>
                <w:szCs w:val="18"/>
                <w:color w:val="auto"/>
              </w:rPr>
              <w:t>F-32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60"/>
        <w:spacing w:after="0" w:line="239"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254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20" w:type="dxa"/>
            <w:vAlign w:val="bottom"/>
          </w:tcPr>
          <w:p>
            <w:pPr>
              <w:spacing w:after="0"/>
              <w:rPr>
                <w:sz w:val="19"/>
                <w:szCs w:val="19"/>
                <w:color w:val="auto"/>
              </w:rPr>
            </w:pPr>
          </w:p>
        </w:tc>
        <w:tc>
          <w:tcPr>
            <w:tcW w:w="8480" w:type="dxa"/>
            <w:vAlign w:val="bottom"/>
            <w:tcBorders>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2017</w:t>
            </w:r>
          </w:p>
        </w:tc>
        <w:tc>
          <w:tcPr>
            <w:tcW w:w="110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8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1340" w:type="dxa"/>
            <w:vAlign w:val="bottom"/>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14,430,799</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29,595,909</w:t>
            </w:r>
          </w:p>
        </w:tc>
        <w:tc>
          <w:tcPr>
            <w:tcW w:w="100" w:type="dxa"/>
            <w:vAlign w:val="bottom"/>
            <w:shd w:val="clear" w:color="auto" w:fill="CCEEFF"/>
          </w:tcPr>
          <w:p>
            <w:pPr>
              <w:spacing w:after="0"/>
              <w:rPr>
                <w:sz w:val="17"/>
                <w:szCs w:val="17"/>
                <w:color w:val="auto"/>
              </w:rPr>
            </w:pPr>
          </w:p>
        </w:tc>
      </w:tr>
      <w:tr>
        <w:trPr>
          <w:trHeight w:val="203"/>
        </w:trPr>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981,176</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1,632,797</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early exercised subject to future vesting</w:t>
            </w:r>
          </w:p>
        </w:tc>
        <w:tc>
          <w:tcPr>
            <w:tcW w:w="134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541,476</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615,742</w:t>
            </w:r>
          </w:p>
        </w:tc>
        <w:tc>
          <w:tcPr>
            <w:tcW w:w="100" w:type="dxa"/>
            <w:vAlign w:val="bottom"/>
            <w:shd w:val="clear" w:color="auto" w:fill="CCEEFF"/>
          </w:tcPr>
          <w:p>
            <w:pPr>
              <w:spacing w:after="0"/>
              <w:rPr>
                <w:sz w:val="17"/>
                <w:szCs w:val="17"/>
                <w:color w:val="auto"/>
              </w:rPr>
            </w:pPr>
          </w:p>
        </w:tc>
      </w:tr>
      <w:tr>
        <w:trPr>
          <w:trHeight w:val="210"/>
        </w:trPr>
        <w:tc>
          <w:tcPr>
            <w:tcW w:w="8500" w:type="dxa"/>
            <w:vAlign w:val="bottom"/>
            <w:gridSpan w:val="2"/>
          </w:tcPr>
          <w:p>
            <w:pPr>
              <w:spacing w:after="0" w:line="202" w:lineRule="exact"/>
              <w:rPr>
                <w:sz w:val="20"/>
                <w:szCs w:val="20"/>
                <w:color w:val="auto"/>
              </w:rPr>
            </w:pPr>
            <w:r>
              <w:rPr>
                <w:rFonts w:ascii="Arial" w:cs="Arial" w:eastAsia="Arial" w:hAnsi="Arial"/>
                <w:sz w:val="18"/>
                <w:szCs w:val="18"/>
                <w:color w:val="auto"/>
              </w:rPr>
              <w:t>Restricted stock subject to future vesting</w:t>
            </w: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182,813</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340" w:type="dxa"/>
            <w:vAlign w:val="bottom"/>
            <w:tcBorders>
              <w:top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16,136,264</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31,844,448</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net loss per share</w:t>
      </w:r>
    </w:p>
    <w:p>
      <w:pPr>
        <w:spacing w:after="0" w:line="124"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The following table sets forth the computation of unaudited pro forma basic and diluted net loss per share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Year ended December 31,</w:t>
            </w:r>
          </w:p>
        </w:tc>
      </w:tr>
      <w:tr>
        <w:trPr>
          <w:trHeight w:val="221"/>
        </w:trPr>
        <w:tc>
          <w:tcPr>
            <w:tcW w:w="2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7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140" w:type="dxa"/>
            <w:vAlign w:val="bottom"/>
            <w:gridSpan w:val="2"/>
          </w:tcPr>
          <w:p>
            <w:pPr>
              <w:spacing w:after="0" w:line="177" w:lineRule="exact"/>
              <w:rPr>
                <w:sz w:val="20"/>
                <w:szCs w:val="20"/>
                <w:color w:val="auto"/>
              </w:rPr>
            </w:pPr>
            <w:r>
              <w:rPr>
                <w:rFonts w:ascii="Arial" w:cs="Arial" w:eastAsia="Arial" w:hAnsi="Arial"/>
                <w:sz w:val="18"/>
                <w:szCs w:val="18"/>
                <w:b w:val="1"/>
                <w:bCs w:val="1"/>
                <w:color w:val="auto"/>
                <w:w w:val="96"/>
              </w:rPr>
              <w:t>(unaudited, in thousands,</w:t>
            </w:r>
          </w:p>
        </w:tc>
        <w:tc>
          <w:tcPr>
            <w:tcW w:w="1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79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7"/>
              </w:rPr>
              <w:t>except share and per</w:t>
            </w:r>
          </w:p>
        </w:tc>
      </w:tr>
      <w:tr>
        <w:trPr>
          <w:trHeight w:val="221"/>
        </w:trPr>
        <w:tc>
          <w:tcPr>
            <w:tcW w:w="20" w:type="dxa"/>
            <w:vAlign w:val="bottom"/>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7"/>
              </w:rPr>
              <w:t>share data)</w:t>
            </w:r>
          </w:p>
        </w:tc>
      </w:tr>
      <w:tr>
        <w:trPr>
          <w:trHeight w:val="48"/>
        </w:trPr>
        <w:tc>
          <w:tcPr>
            <w:tcW w:w="20" w:type="dxa"/>
            <w:vAlign w:val="bottom"/>
          </w:tcPr>
          <w:p>
            <w:pPr>
              <w:spacing w:after="0"/>
              <w:rPr>
                <w:sz w:val="4"/>
                <w:szCs w:val="4"/>
                <w:color w:val="auto"/>
              </w:rPr>
            </w:pPr>
          </w:p>
        </w:tc>
        <w:tc>
          <w:tcPr>
            <w:tcW w:w="79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920" w:type="dxa"/>
            <w:vAlign w:val="bottom"/>
            <w:gridSpan w:val="2"/>
          </w:tcPr>
          <w:p>
            <w:pPr>
              <w:ind w:left="760"/>
              <w:spacing w:after="0" w:line="202" w:lineRule="exact"/>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(48,820)</w:t>
            </w: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Redeemable convertible preferred stock dividends—undeclared and cumulative</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7,031</w:t>
            </w:r>
          </w:p>
        </w:tc>
        <w:tc>
          <w:tcPr>
            <w:tcW w:w="120" w:type="dxa"/>
            <w:vAlign w:val="bottom"/>
            <w:shd w:val="clear" w:color="auto" w:fill="CCEEFF"/>
          </w:tcPr>
          <w:p>
            <w:pPr>
              <w:spacing w:after="0"/>
              <w:rPr>
                <w:sz w:val="17"/>
                <w:szCs w:val="17"/>
                <w:color w:val="auto"/>
              </w:rPr>
            </w:pPr>
          </w:p>
        </w:tc>
      </w:tr>
      <w:tr>
        <w:trPr>
          <w:trHeight w:val="210"/>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Adjust: Change in fair value of redeemable convertible preferred stock liability</w:t>
            </w:r>
          </w:p>
        </w:tc>
        <w:tc>
          <w:tcPr>
            <w:tcW w:w="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2,121</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w:t>
            </w:r>
          </w:p>
        </w:tc>
        <w:tc>
          <w:tcPr>
            <w:tcW w:w="920" w:type="dxa"/>
            <w:vAlign w:val="bottom"/>
            <w:gridSpan w:val="2"/>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(39,668)</w:t>
            </w:r>
          </w:p>
        </w:tc>
      </w:tr>
      <w:tr>
        <w:trPr>
          <w:trHeight w:val="203"/>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Denominator:</w:t>
            </w: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798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 average shares used to compute net loss per share attributable to common</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798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stockholders—basic and diluted</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2,298,820</w:t>
            </w:r>
          </w:p>
        </w:tc>
        <w:tc>
          <w:tcPr>
            <w:tcW w:w="120" w:type="dxa"/>
            <w:vAlign w:val="bottom"/>
            <w:shd w:val="clear" w:color="auto" w:fill="CCEEFF"/>
          </w:tcPr>
          <w:p>
            <w:pPr>
              <w:spacing w:after="0"/>
              <w:rPr>
                <w:sz w:val="17"/>
                <w:szCs w:val="17"/>
                <w:color w:val="auto"/>
              </w:rPr>
            </w:pPr>
          </w:p>
        </w:tc>
      </w:tr>
      <w:tr>
        <w:trPr>
          <w:trHeight w:val="210"/>
        </w:trPr>
        <w:tc>
          <w:tcPr>
            <w:tcW w:w="8000" w:type="dxa"/>
            <w:vAlign w:val="bottom"/>
            <w:gridSpan w:val="2"/>
          </w:tcPr>
          <w:p>
            <w:pPr>
              <w:spacing w:after="0" w:line="202" w:lineRule="exact"/>
              <w:rPr>
                <w:sz w:val="20"/>
                <w:szCs w:val="20"/>
                <w:color w:val="auto"/>
              </w:rPr>
            </w:pPr>
            <w:r>
              <w:rPr>
                <w:rFonts w:ascii="Arial" w:cs="Arial" w:eastAsia="Arial" w:hAnsi="Arial"/>
                <w:sz w:val="18"/>
                <w:szCs w:val="18"/>
                <w:color w:val="auto"/>
              </w:rPr>
              <w:t>Pro forma adjustment to reflect conversion of redeemable convertible preferred stock</w:t>
            </w:r>
          </w:p>
        </w:tc>
        <w:tc>
          <w:tcPr>
            <w:tcW w:w="7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20,864,440</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Weighted average shares used in computing pro forma net loss per share—basic and diluted</w:t>
            </w:r>
          </w:p>
        </w:tc>
        <w:tc>
          <w:tcPr>
            <w:tcW w:w="7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2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23,163,260</w:t>
            </w:r>
          </w:p>
        </w:tc>
        <w:tc>
          <w:tcPr>
            <w:tcW w:w="120" w:type="dxa"/>
            <w:vAlign w:val="bottom"/>
            <w:shd w:val="clear" w:color="auto" w:fill="CCEEFF"/>
          </w:tcPr>
          <w:p>
            <w:pPr>
              <w:spacing w:after="0"/>
              <w:rPr>
                <w:sz w:val="17"/>
                <w:szCs w:val="17"/>
                <w:color w:val="auto"/>
              </w:rPr>
            </w:pPr>
          </w:p>
        </w:tc>
      </w:tr>
      <w:tr>
        <w:trPr>
          <w:trHeight w:val="222"/>
        </w:trPr>
        <w:tc>
          <w:tcPr>
            <w:tcW w:w="8000" w:type="dxa"/>
            <w:vAlign w:val="bottom"/>
            <w:gridSpan w:val="2"/>
          </w:tcPr>
          <w:p>
            <w:pPr>
              <w:spacing w:after="0"/>
              <w:rPr>
                <w:sz w:val="20"/>
                <w:szCs w:val="20"/>
                <w:color w:val="auto"/>
              </w:rPr>
            </w:pPr>
            <w:r>
              <w:rPr>
                <w:rFonts w:ascii="Arial" w:cs="Arial" w:eastAsia="Arial" w:hAnsi="Arial"/>
                <w:sz w:val="18"/>
                <w:szCs w:val="18"/>
                <w:color w:val="auto"/>
              </w:rPr>
              <w:t>Pro forma net loss per share—basic and diluted</w:t>
            </w:r>
          </w:p>
        </w:tc>
        <w:tc>
          <w:tcPr>
            <w:tcW w:w="9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60"/>
              <w:spacing w:after="0"/>
              <w:rPr>
                <w:sz w:val="20"/>
                <w:szCs w:val="20"/>
                <w:color w:val="auto"/>
              </w:rPr>
            </w:pPr>
            <w:r>
              <w:rPr>
                <w:rFonts w:ascii="Arial" w:cs="Arial" w:eastAsia="Arial" w:hAnsi="Arial"/>
                <w:sz w:val="18"/>
                <w:szCs w:val="18"/>
                <w:color w:val="auto"/>
              </w:rPr>
              <w:t>(1.71)</w:t>
            </w:r>
          </w:p>
        </w:tc>
      </w:tr>
      <w:tr>
        <w:trPr>
          <w:trHeight w:val="20"/>
        </w:trPr>
        <w:tc>
          <w:tcPr>
            <w:tcW w:w="20" w:type="dxa"/>
            <w:vAlign w:val="bottom"/>
            <w:shd w:val="clear" w:color="auto" w:fill="000000"/>
          </w:tcPr>
          <w:p>
            <w:pPr>
              <w:spacing w:after="0" w:line="20" w:lineRule="exact"/>
              <w:rPr>
                <w:sz w:val="1"/>
                <w:szCs w:val="1"/>
                <w:color w:val="auto"/>
              </w:rPr>
            </w:pPr>
          </w:p>
        </w:tc>
        <w:tc>
          <w:tcPr>
            <w:tcW w:w="79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13. Related party relationships</w:t>
      </w:r>
    </w:p>
    <w:p>
      <w:pPr>
        <w:spacing w:after="0" w:line="13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In October 2018, the Company acquired all outstanding shares of Warp Drive Bio, Inc., or Warp Drive. In connection with the acquisition, the Company issued 6,797,915 shares of Series B redeemable convertible preferred stock (the Acquisition Shares). Of the Acquisition Shares, 1,708,824 shares of Series B redeemable convertible preferred stock were issued to entities affiliated with Third Rock Ventures, a related party. In addition, Alexis Borisy, who is currently a member of the Company’s board of directors and was a member of the Company’s board of directors at the time of the acquisition of Warp Drive, was then an affiliate of Third Rock Ventures. Of the Acquisition Shares, 3,363,050 shares of Series B redeemable convertible preferred stock were issued to Sanofi, which became a related party following the acquisition. See Note 6, “Sanofi collaboration agreement,” for a discussion of the Sanofi collaboration agreement.</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59" w:right="41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connection with the Company’s acquisition of Warp Drive, the Company assumed a Convertible Note issued by Warp Drive to an entity affiliated with Third Rock Ventures, dated October 8, 2018. The Convertible Note was issued in a principal amount of $2.0 million, with interest at an annual rate of 8% computed on the basis of a 360-day year. On October 30, 2018, at the Company’s election, the Company converted the Convertible Note into 200,493 shares of Series B redeemable convertible preferred stock which were issued to an entity affiliated with Third Rock Ventures pursuant to the terms of the Convertible Note.</w:t>
      </w:r>
    </w:p>
    <w:p>
      <w:pPr>
        <w:spacing w:after="0" w:line="103"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Following the Company’s acquisition of Warp Drive, in January 2019, the Company entered into a sublease agreement with Casma to sublease the Cambridge Lease. The sublease by Casma and related sublease payments by Casma to the Company are fully guaranteed by an affiliate of Third Rock Ventures.</w:t>
      </w:r>
    </w:p>
    <w:p>
      <w:pPr>
        <w:spacing w:after="0" w:line="100"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From July 2015 to June 2018, the Company subleased a portion of its Redwood City Lease to Pliant Therapeutics, Inc., an entity affiliated with Third Rock Ventures.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14. Subsequent events</w:t>
      </w:r>
    </w:p>
    <w:p>
      <w:pPr>
        <w:spacing w:after="0" w:line="134"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Subsequent events have been evaluated through September 19, 2019, which is the date that these annual consolidated financial statements were available to be issued. The Company has also evaluated subsequent events through February 3, 2020 for the effects of the reverse stock split described in Note 2.</w:t>
      </w:r>
    </w:p>
    <w:p>
      <w:pPr>
        <w:spacing w:after="0" w:line="100" w:lineRule="exact"/>
        <w:rPr>
          <w:sz w:val="20"/>
          <w:szCs w:val="20"/>
          <w:color w:val="auto"/>
        </w:rPr>
      </w:pPr>
    </w:p>
    <w:p>
      <w:pPr>
        <w:ind w:left="200" w:right="20"/>
        <w:spacing w:after="0" w:line="271" w:lineRule="auto"/>
        <w:rPr>
          <w:sz w:val="20"/>
          <w:szCs w:val="20"/>
          <w:color w:val="auto"/>
        </w:rPr>
      </w:pPr>
      <w:r>
        <w:rPr>
          <w:rFonts w:ascii="Arial" w:cs="Arial" w:eastAsia="Arial" w:hAnsi="Arial"/>
          <w:sz w:val="16"/>
          <w:szCs w:val="16"/>
          <w:color w:val="auto"/>
        </w:rPr>
        <w:t>During June and July 2019, the Company issued a total of 10,004,514 shares of Series C redeemable convertible preferred stock at a price of $10.03 per share for total proceeds of $100.0 million, net of issuance costs. The original issue price for the conversion and liquidation preference calculations described in Note 8, “Redeemable Convertible Preferred Stock” for the Series C redeemable convertible preferred stock is $10.03. The automatic conversion feature for all series of redeemable convertible preferred stock related to the closing of an IPO of common stock resulting in at least $50 million in gross proceeds, was adjusted to also require a minimum IPO price of $10.03 per share of common stock, subject to adjustment for stock dividends, stock splits, combinations or other similar recapitalizations.</w:t>
      </w:r>
    </w:p>
    <w:p>
      <w:pPr>
        <w:spacing w:after="0" w:line="77"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In March 2019, the Company granted options to purchase an aggregate of 1,212,639 shares of common stock with an exercise price of $4.09 per share. In August 2019, the Company granted options to purchase an aggregate of 2,020,048 shares of common stock with an exercise price of $4.73 per share.</w:t>
      </w:r>
    </w:p>
    <w:p>
      <w:pPr>
        <w:spacing w:after="0" w:line="100"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In January 2019, the Company sold the genome mining platform and related Roche collaboration agreement acquired during the Warp Drive acquisition to Gingko Bioworks (Gingko). The Company received $6.0 million in cash consideration from Gingko and Roche as part of the transaction, and is entitled to receive up to 25% of future milestones earned by Gingko under the collaboration agreement with Roche included as part of this sale. The Company recognized a loss on disposal of $0.6 million in 2019 as a result of this sale.</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Events Subsequent to Original Issuance of Consolidated Financial Statements (unaudited)</w:t>
      </w:r>
    </w:p>
    <w:p>
      <w:pPr>
        <w:spacing w:after="0" w:line="126"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In November 2019, the Company entered into a clinical trial collaboration agreement with Amgen, Inc. (Amgen) to evaluate the combination of the Company’s SHP2 inhibitor, RMC-4630, with Amgen’s KRAS</w:t>
      </w:r>
      <w:r>
        <w:rPr>
          <w:rFonts w:ascii="Arial" w:cs="Arial" w:eastAsia="Arial" w:hAnsi="Arial"/>
          <w:sz w:val="11"/>
          <w:szCs w:val="11"/>
          <w:color w:val="auto"/>
        </w:rPr>
        <w:t>G12C</w:t>
      </w:r>
      <w:r>
        <w:rPr>
          <w:rFonts w:ascii="Arial" w:cs="Arial" w:eastAsia="Arial" w:hAnsi="Arial"/>
          <w:sz w:val="18"/>
          <w:szCs w:val="18"/>
          <w:color w:val="auto"/>
        </w:rPr>
        <w:t xml:space="preserve"> inhibitor, AMG 510, in a clinical study. Amgen will be responsible for conducting the clinical study at their cost. The Company will be responsible for providing Amgen with clinical supply of RMC-4630 for the planned study.</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December 2019, the Company granted options to purchase 277,012 shares of common stock with an exercise price of $7.50.</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240" w:top="460" w:right="43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Condensed consolidated balance sheets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 except share and per share data)</w:t>
      </w:r>
    </w:p>
    <w:p>
      <w:pPr>
        <w:ind w:left="2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Pro forma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620" w:type="dxa"/>
            <w:vAlign w:val="bottom"/>
            <w:gridSpan w:val="4"/>
          </w:tcPr>
          <w:p>
            <w:pPr>
              <w:ind w:left="200"/>
              <w:spacing w:after="0" w:line="202" w:lineRule="exact"/>
              <w:rPr>
                <w:sz w:val="20"/>
                <w:szCs w:val="20"/>
                <w:color w:val="auto"/>
              </w:rPr>
            </w:pPr>
            <w:r>
              <w:rPr>
                <w:rFonts w:ascii="Arial" w:cs="Arial" w:eastAsia="Arial" w:hAnsi="Arial"/>
                <w:sz w:val="18"/>
                <w:szCs w:val="18"/>
                <w:b w:val="1"/>
                <w:bCs w:val="1"/>
                <w:color w:val="auto"/>
              </w:rPr>
              <w:t>December 31,</w:t>
            </w:r>
          </w:p>
        </w:tc>
        <w:tc>
          <w:tcPr>
            <w:tcW w:w="1660" w:type="dxa"/>
            <w:vAlign w:val="bottom"/>
            <w:gridSpan w:val="4"/>
          </w:tcPr>
          <w:p>
            <w:pPr>
              <w:ind w:left="200"/>
              <w:spacing w:after="0" w:line="202" w:lineRule="exact"/>
              <w:rPr>
                <w:sz w:val="20"/>
                <w:szCs w:val="20"/>
                <w:color w:val="auto"/>
              </w:rPr>
            </w:pPr>
            <w:r>
              <w:rPr>
                <w:rFonts w:ascii="Arial" w:cs="Arial" w:eastAsia="Arial" w:hAnsi="Arial"/>
                <w:sz w:val="18"/>
                <w:szCs w:val="18"/>
                <w:b w:val="1"/>
                <w:bCs w:val="1"/>
                <w:color w:val="auto"/>
              </w:rPr>
              <w:t>September 30,</w:t>
            </w:r>
          </w:p>
        </w:tc>
        <w:tc>
          <w:tcPr>
            <w:tcW w:w="1540" w:type="dxa"/>
            <w:vAlign w:val="bottom"/>
            <w:gridSpan w:val="4"/>
          </w:tcPr>
          <w:p>
            <w:pPr>
              <w:ind w:left="220"/>
              <w:spacing w:after="0" w:line="202" w:lineRule="exact"/>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2018</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69,586</w:t>
            </w: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21,824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Marketable securities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114,464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Receivable from related party</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7,303</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8,950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1,945</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3,879</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Assets held for sale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85,431</w:t>
            </w:r>
          </w:p>
        </w:tc>
        <w:tc>
          <w:tcPr>
            <w:tcW w:w="2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149,117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6,780</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tcPr>
          <w:p>
            <w:pPr>
              <w:spacing w:after="0" w:line="202" w:lineRule="exact"/>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63,082</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62,280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14,608</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14,608</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tcPr>
          <w:p>
            <w:pPr>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noncurrent assets</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379</w:t>
            </w:r>
          </w:p>
        </w:tc>
        <w:tc>
          <w:tcPr>
            <w:tcW w:w="2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1,746</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170,586</w:t>
            </w:r>
          </w:p>
        </w:tc>
        <w:tc>
          <w:tcPr>
            <w:tcW w:w="260" w:type="dxa"/>
            <w:vAlign w:val="bottom"/>
          </w:tcPr>
          <w:p>
            <w:pPr>
              <w:spacing w:after="0"/>
              <w:rPr>
                <w:sz w:val="18"/>
                <w:szCs w:val="18"/>
                <w:color w:val="auto"/>
              </w:rPr>
            </w:pPr>
          </w:p>
        </w:tc>
        <w:tc>
          <w:tcPr>
            <w:tcW w:w="4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234,745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92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620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Liabilities, redeemable convertible preferred stock and stockholders’</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2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(deficit) equity</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44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5,236</w:t>
            </w:r>
          </w:p>
        </w:tc>
        <w:tc>
          <w:tcPr>
            <w:tcW w:w="26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6,013</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8,486</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13,118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revenue, related party, current</w:t>
            </w:r>
          </w:p>
        </w:tc>
        <w:tc>
          <w:tcPr>
            <w:tcW w:w="2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16,830</w:t>
            </w:r>
          </w:p>
        </w:tc>
        <w:tc>
          <w:tcPr>
            <w:tcW w:w="26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19,509</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30,552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38,640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noncurrent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2,254</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1,881</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2"/>
          </w:tcPr>
          <w:p>
            <w:pPr>
              <w:spacing w:after="0" w:line="202" w:lineRule="exact"/>
              <w:rPr>
                <w:sz w:val="20"/>
                <w:szCs w:val="20"/>
                <w:color w:val="auto"/>
              </w:rPr>
            </w:pPr>
            <w:r>
              <w:rPr>
                <w:rFonts w:ascii="Arial" w:cs="Arial" w:eastAsia="Arial" w:hAnsi="Arial"/>
                <w:sz w:val="18"/>
                <w:szCs w:val="18"/>
                <w:color w:val="auto"/>
              </w:rPr>
              <w:t>Deferred revenue, related party, noncurrent</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28,413</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15,598</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12,192</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12,192</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220" w:type="dxa"/>
            <w:vAlign w:val="bottom"/>
            <w:gridSpan w:val="2"/>
          </w:tcPr>
          <w:p>
            <w:pPr>
              <w:spacing w:after="0" w:line="202" w:lineRule="exact"/>
              <w:rPr>
                <w:sz w:val="20"/>
                <w:szCs w:val="20"/>
                <w:color w:val="auto"/>
              </w:rPr>
            </w:pPr>
            <w:r>
              <w:rPr>
                <w:rFonts w:ascii="Arial" w:cs="Arial" w:eastAsia="Arial" w:hAnsi="Arial"/>
                <w:sz w:val="18"/>
                <w:szCs w:val="18"/>
                <w:color w:val="auto"/>
              </w:rPr>
              <w:t>Other noncurrent liabilities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516</w:t>
            </w:r>
          </w:p>
        </w:tc>
        <w:tc>
          <w:tcPr>
            <w:tcW w:w="2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73,927</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69,077</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220" w:type="dxa"/>
            <w:vAlign w:val="bottom"/>
            <w:gridSpan w:val="2"/>
          </w:tcPr>
          <w:p>
            <w:pPr>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9"/>
              </w:rPr>
              <w:t>Redeemable convertible preferred stock, $0.0001 par value; 146,221,732 and</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192,904,770 shares authorized at December 31, 2018 and September 30,</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2019, respectively; 29,595,909 and 39,600,423 shares issued and</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outstanding at December 31, 2018 and September 30, 2019, respectively;</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aggregate liquidation preference of $194,133 and $303,928 at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December 31, 2018 and September 30, 2019, respectively; no shares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issued and outstanding, September 30, 2019, pro forma</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205,081</w:t>
            </w: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305,114</w:t>
            </w:r>
          </w:p>
        </w:tc>
        <w:tc>
          <w:tcPr>
            <w:tcW w:w="260" w:type="dxa"/>
            <w:vAlign w:val="bottom"/>
            <w:shd w:val="clear" w:color="auto" w:fill="CCEEFF"/>
          </w:tcPr>
          <w:p>
            <w:pPr>
              <w:spacing w:after="0"/>
              <w:rPr>
                <w:sz w:val="17"/>
                <w:szCs w:val="17"/>
                <w:color w:val="auto"/>
              </w:rPr>
            </w:pPr>
          </w:p>
        </w:tc>
        <w:tc>
          <w:tcPr>
            <w:tcW w:w="360" w:type="dxa"/>
            <w:vAlign w:val="bottom"/>
            <w:gridSpan w:val="2"/>
            <w:shd w:val="clear" w:color="auto" w:fill="CCEEFF"/>
          </w:tcPr>
          <w:p>
            <w:pPr>
              <w:ind w:left="220"/>
              <w:spacing w:after="0" w:line="200"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line="20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220" w:type="dxa"/>
            <w:vAlign w:val="bottom"/>
            <w:gridSpan w:val="2"/>
          </w:tcPr>
          <w:p>
            <w:pPr>
              <w:spacing w:after="0"/>
              <w:rPr>
                <w:sz w:val="20"/>
                <w:szCs w:val="20"/>
                <w:color w:val="auto"/>
              </w:rPr>
            </w:pPr>
            <w:r>
              <w:rPr>
                <w:rFonts w:ascii="Arial" w:cs="Arial" w:eastAsia="Arial" w:hAnsi="Arial"/>
                <w:sz w:val="18"/>
                <w:szCs w:val="18"/>
                <w:color w:val="auto"/>
              </w:rPr>
              <w:t>Stockholders’ (deficit) equity:</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Common stock, $0.0001 par value; 172,000,000 and 249,000,000 shares</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authorized at December 31, 2018 and September 30, 2019,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respectively; 3,208,924 and 3,301,886 shares issued and outstanding at</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December 31, 2018 and September 30, 3019, respectively; 42,902,309</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20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shares issued and outstanding, September 30, 2019, pro forma</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1,300</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3,290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308,400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Accumulated other comprehensive income</w:t>
            </w: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(109,722)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(142,790)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(142,790)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(deficit) equity</w:t>
            </w:r>
          </w:p>
        </w:tc>
        <w:tc>
          <w:tcPr>
            <w:tcW w:w="200" w:type="dxa"/>
            <w:vAlign w:val="bottom"/>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(108,422)</w:t>
            </w: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1200" w:type="dxa"/>
            <w:vAlign w:val="bottom"/>
            <w:tcBorders>
              <w:top w:val="single" w:sz="8" w:color="auto"/>
              <w:bottom w:val="single" w:sz="8" w:color="auto"/>
            </w:tcBorders>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(139,446)</w:t>
            </w:r>
          </w:p>
        </w:tc>
        <w:tc>
          <w:tcPr>
            <w:tcW w:w="360" w:type="dxa"/>
            <w:vAlign w:val="bottom"/>
            <w:tcBorders>
              <w:top w:val="single" w:sz="8" w:color="auto"/>
              <w:bottom w:val="single" w:sz="8" w:color="auto"/>
            </w:tcBorders>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165,668</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20" w:type="dxa"/>
            <w:vAlign w:val="bottom"/>
            <w:gridSpan w:val="2"/>
          </w:tcPr>
          <w:p>
            <w:pPr>
              <w:spacing w:after="0"/>
              <w:rPr>
                <w:sz w:val="20"/>
                <w:szCs w:val="20"/>
                <w:color w:val="auto"/>
              </w:rPr>
            </w:pPr>
            <w:r>
              <w:rPr>
                <w:rFonts w:ascii="Arial" w:cs="Arial" w:eastAsia="Arial" w:hAnsi="Arial"/>
                <w:sz w:val="18"/>
                <w:szCs w:val="18"/>
                <w:color w:val="auto"/>
              </w:rPr>
              <w:t>Total liabilities, redeemable convertible preferred stock and stockholders’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2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(deficit) equity</w:t>
            </w:r>
          </w:p>
        </w:tc>
        <w:tc>
          <w:tcPr>
            <w:tcW w:w="44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170,586</w:t>
            </w:r>
          </w:p>
        </w:tc>
        <w:tc>
          <w:tcPr>
            <w:tcW w:w="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234,745</w:t>
            </w: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59" w:right="41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100"/>
        <w:spacing w:after="0" w:line="246" w:lineRule="auto"/>
        <w:rPr>
          <w:sz w:val="20"/>
          <w:szCs w:val="20"/>
          <w:color w:val="auto"/>
        </w:rPr>
      </w:pPr>
      <w:r>
        <w:rPr>
          <w:rFonts w:ascii="Arial" w:cs="Arial" w:eastAsia="Arial" w:hAnsi="Arial"/>
          <w:sz w:val="32"/>
          <w:szCs w:val="32"/>
          <w:b w:val="1"/>
          <w:bCs w:val="1"/>
          <w:color w:val="auto"/>
        </w:rPr>
        <w:t>Condensed consolidated statements of operations and comprehensive loss</w:t>
      </w:r>
    </w:p>
    <w:p>
      <w:pPr>
        <w:ind w:left="200"/>
        <w:spacing w:after="0" w:line="236" w:lineRule="auto"/>
        <w:rPr>
          <w:sz w:val="20"/>
          <w:szCs w:val="20"/>
          <w:color w:val="auto"/>
        </w:rPr>
      </w:pPr>
      <w:r>
        <w:rPr>
          <w:rFonts w:ascii="Arial" w:cs="Arial" w:eastAsia="Arial" w:hAnsi="Arial"/>
          <w:sz w:val="18"/>
          <w:szCs w:val="18"/>
          <w:b w:val="1"/>
          <w:bCs w:val="1"/>
          <w:color w:val="auto"/>
        </w:rPr>
        <w:t>(in thousands, except share and per share data)</w:t>
      </w:r>
    </w:p>
    <w:p>
      <w:pPr>
        <w:ind w:left="2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4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8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r>
      <w:tr>
        <w:trPr>
          <w:trHeight w:val="48"/>
        </w:trPr>
        <w:tc>
          <w:tcPr>
            <w:tcW w:w="20" w:type="dxa"/>
            <w:vAlign w:val="bottom"/>
          </w:tcPr>
          <w:p>
            <w:pPr>
              <w:spacing w:after="0"/>
              <w:rPr>
                <w:sz w:val="4"/>
                <w:szCs w:val="4"/>
                <w:color w:val="auto"/>
              </w:rPr>
            </w:pPr>
          </w:p>
        </w:tc>
        <w:tc>
          <w:tcPr>
            <w:tcW w:w="8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Collaboration revenue, related party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52"/>
              <w:spacing w:after="0"/>
              <w:rPr>
                <w:sz w:val="20"/>
                <w:szCs w:val="20"/>
                <w:color w:val="auto"/>
              </w:rPr>
            </w:pPr>
            <w:r>
              <w:rPr>
                <w:rFonts w:ascii="Arial" w:cs="Arial" w:eastAsia="Arial" w:hAnsi="Arial"/>
                <w:sz w:val="18"/>
                <w:szCs w:val="18"/>
                <w:color w:val="auto"/>
              </w:rPr>
              <w:t>9,818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37,953</w:t>
            </w:r>
          </w:p>
        </w:tc>
        <w:tc>
          <w:tcPr>
            <w:tcW w:w="120" w:type="dxa"/>
            <w:vAlign w:val="bottom"/>
          </w:tcPr>
          <w:p>
            <w:pPr>
              <w:spacing w:after="0"/>
              <w:rPr>
                <w:sz w:val="18"/>
                <w:szCs w:val="18"/>
                <w:color w:val="auto"/>
              </w:rPr>
            </w:pPr>
          </w:p>
        </w:tc>
      </w:tr>
      <w:tr>
        <w:trPr>
          <w:trHeight w:val="56"/>
        </w:trPr>
        <w:tc>
          <w:tcPr>
            <w:tcW w:w="812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32,903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64,265</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5,575</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8,244</w:t>
            </w:r>
          </w:p>
        </w:tc>
        <w:tc>
          <w:tcPr>
            <w:tcW w:w="120" w:type="dxa"/>
            <w:vAlign w:val="bottom"/>
            <w:shd w:val="clear" w:color="auto" w:fill="CCEEFF"/>
          </w:tcPr>
          <w:p>
            <w:pPr>
              <w:spacing w:after="0"/>
              <w:rPr>
                <w:sz w:val="17"/>
                <w:szCs w:val="17"/>
                <w:color w:val="auto"/>
              </w:rPr>
            </w:pPr>
          </w:p>
        </w:tc>
      </w:tr>
      <w:tr>
        <w:trPr>
          <w:trHeight w:val="217"/>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38,478</w:t>
            </w: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72,509</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(28,660)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(34,556)</w:t>
            </w:r>
          </w:p>
        </w:tc>
      </w:tr>
      <w:tr>
        <w:trPr>
          <w:trHeight w:val="270"/>
        </w:trPr>
        <w:tc>
          <w:tcPr>
            <w:tcW w:w="812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Interest income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414</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tcPr>
          <w:p>
            <w:pPr>
              <w:ind w:left="200"/>
              <w:spacing w:after="0" w:line="202" w:lineRule="exact"/>
              <w:rPr>
                <w:sz w:val="20"/>
                <w:szCs w:val="20"/>
                <w:color w:val="auto"/>
              </w:rPr>
            </w:pPr>
            <w:r>
              <w:rPr>
                <w:rFonts w:ascii="Arial" w:cs="Arial" w:eastAsia="Arial" w:hAnsi="Arial"/>
                <w:sz w:val="18"/>
                <w:szCs w:val="18"/>
                <w:color w:val="auto"/>
              </w:rPr>
              <w:t>Interest and other expense</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(83)</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(83)</w:t>
            </w: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(2,121)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8100" w:type="dxa"/>
            <w:vAlign w:val="bottom"/>
          </w:tcPr>
          <w:p>
            <w:pPr>
              <w:ind w:left="20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rPr>
              <w:t>(1,790)</w:t>
            </w: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1,488</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(30,450)</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(33,068)</w:t>
            </w:r>
          </w:p>
        </w:tc>
      </w:tr>
      <w:tr>
        <w:trPr>
          <w:trHeight w:val="270"/>
        </w:trPr>
        <w:tc>
          <w:tcPr>
            <w:tcW w:w="812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unrealized gains on marketable securities</w:t>
            </w:r>
          </w:p>
        </w:tc>
        <w:tc>
          <w:tcPr>
            <w:tcW w:w="3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120" w:type="dxa"/>
            <w:vAlign w:val="bottom"/>
            <w:shd w:val="clear" w:color="auto" w:fill="CCEEFF"/>
          </w:tcPr>
          <w:p>
            <w:pPr>
              <w:spacing w:after="0"/>
              <w:rPr>
                <w:sz w:val="17"/>
                <w:szCs w:val="17"/>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(30,450)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(33,014)</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dividends—undeclared and cumulative</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(4,512)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(9,987)</w:t>
            </w:r>
          </w:p>
        </w:tc>
      </w:tr>
      <w:tr>
        <w:trPr>
          <w:trHeight w:val="20"/>
        </w:trPr>
        <w:tc>
          <w:tcPr>
            <w:tcW w:w="8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12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2"/>
              <w:spacing w:after="0"/>
              <w:rPr>
                <w:sz w:val="20"/>
                <w:szCs w:val="20"/>
                <w:color w:val="auto"/>
              </w:rPr>
            </w:pPr>
            <w:r>
              <w:rPr>
                <w:rFonts w:ascii="Arial" w:cs="Arial" w:eastAsia="Arial" w:hAnsi="Arial"/>
                <w:sz w:val="18"/>
                <w:szCs w:val="18"/>
                <w:color w:val="auto"/>
              </w:rPr>
              <w:t>(34,962)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(43,055)</w:t>
            </w:r>
          </w:p>
        </w:tc>
      </w:tr>
      <w:tr>
        <w:trPr>
          <w:trHeight w:val="27"/>
        </w:trPr>
        <w:tc>
          <w:tcPr>
            <w:tcW w:w="20" w:type="dxa"/>
            <w:vAlign w:val="bottom"/>
          </w:tcPr>
          <w:p>
            <w:pPr>
              <w:spacing w:after="0"/>
              <w:rPr>
                <w:sz w:val="2"/>
                <w:szCs w:val="2"/>
                <w:color w:val="auto"/>
              </w:rPr>
            </w:pPr>
          </w:p>
        </w:tc>
        <w:tc>
          <w:tcPr>
            <w:tcW w:w="8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(15.77)</w:t>
            </w: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(15.81)</w:t>
            </w:r>
          </w:p>
        </w:tc>
      </w:tr>
      <w:tr>
        <w:trPr>
          <w:trHeight w:val="213"/>
        </w:trPr>
        <w:tc>
          <w:tcPr>
            <w:tcW w:w="8120" w:type="dxa"/>
            <w:vAlign w:val="bottom"/>
            <w:gridSpan w:val="2"/>
          </w:tcPr>
          <w:p>
            <w:pPr>
              <w:spacing w:after="0"/>
              <w:rPr>
                <w:sz w:val="20"/>
                <w:szCs w:val="20"/>
                <w:color w:val="auto"/>
              </w:rPr>
            </w:pPr>
            <w:r>
              <w:rPr>
                <w:rFonts w:ascii="Arial" w:cs="Arial" w:eastAsia="Arial" w:hAnsi="Arial"/>
                <w:sz w:val="18"/>
                <w:szCs w:val="18"/>
                <w:color w:val="auto"/>
              </w:rPr>
              <w:t>Weighted-average shares used to compute net loss per share attributable to common stockholders—</w:t>
            </w: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8100" w:type="dxa"/>
            <w:vAlign w:val="bottom"/>
          </w:tcPr>
          <w:p>
            <w:pPr>
              <w:ind w:left="200"/>
              <w:spacing w:after="0" w:line="200" w:lineRule="exact"/>
              <w:rPr>
                <w:sz w:val="20"/>
                <w:szCs w:val="20"/>
                <w:color w:val="auto"/>
              </w:rPr>
            </w:pPr>
            <w:r>
              <w:rPr>
                <w:rFonts w:ascii="Arial" w:cs="Arial" w:eastAsia="Arial" w:hAnsi="Arial"/>
                <w:sz w:val="18"/>
                <w:szCs w:val="18"/>
                <w:color w:val="auto"/>
              </w:rPr>
              <w:t>basic and diluted</w:t>
            </w:r>
          </w:p>
        </w:tc>
        <w:tc>
          <w:tcPr>
            <w:tcW w:w="3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52"/>
              <w:spacing w:after="0" w:line="200" w:lineRule="exact"/>
              <w:rPr>
                <w:sz w:val="20"/>
                <w:szCs w:val="20"/>
                <w:color w:val="auto"/>
              </w:rPr>
            </w:pPr>
            <w:r>
              <w:rPr>
                <w:rFonts w:ascii="Arial" w:cs="Arial" w:eastAsia="Arial" w:hAnsi="Arial"/>
                <w:sz w:val="18"/>
                <w:szCs w:val="18"/>
                <w:color w:val="auto"/>
                <w:w w:val="97"/>
              </w:rPr>
              <w:t>2,217,159</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2,723,541</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(0.91)</w:t>
            </w:r>
          </w:p>
        </w:tc>
      </w:tr>
      <w:tr>
        <w:trPr>
          <w:trHeight w:val="222"/>
        </w:trPr>
        <w:tc>
          <w:tcPr>
            <w:tcW w:w="8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Weighted-average shares used in computing pro forma net loss per share—basic and diluted</w:t>
            </w: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36,473,121</w:t>
            </w:r>
          </w:p>
        </w:tc>
        <w:tc>
          <w:tcPr>
            <w:tcW w:w="1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40"/>
          </w:cols>
          <w:pgMar w:left="240" w:top="460" w:right="419" w:bottom="1440" w:gutter="0" w:footer="0" w:header="0"/>
        </w:sectPr>
      </w:pPr>
    </w:p>
    <w:bookmarkStart w:id="268" w:name="page269"/>
    <w:bookmarkEnd w:id="268"/>
    <w:p>
      <w:pPr>
        <w:spacing w:after="0" w:line="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right="1280"/>
        <w:spacing w:after="0" w:line="246" w:lineRule="auto"/>
        <w:rPr>
          <w:sz w:val="20"/>
          <w:szCs w:val="20"/>
          <w:color w:val="auto"/>
        </w:rPr>
      </w:pPr>
      <w:r>
        <w:rPr>
          <w:rFonts w:ascii="Arial" w:cs="Arial" w:eastAsia="Arial" w:hAnsi="Arial"/>
          <w:sz w:val="32"/>
          <w:szCs w:val="32"/>
          <w:b w:val="1"/>
          <w:bCs w:val="1"/>
          <w:color w:val="auto"/>
        </w:rPr>
        <w:t>Condensed consolidated statements of redeemable convertible preferred stock and stockholders’ deficit</w:t>
      </w:r>
    </w:p>
    <w:p>
      <w:pPr>
        <w:ind w:left="200"/>
        <w:spacing w:after="0" w:line="236" w:lineRule="auto"/>
        <w:rPr>
          <w:sz w:val="20"/>
          <w:szCs w:val="20"/>
          <w:color w:val="auto"/>
        </w:rPr>
      </w:pPr>
      <w:r>
        <w:rPr>
          <w:rFonts w:ascii="Arial" w:cs="Arial" w:eastAsia="Arial" w:hAnsi="Arial"/>
          <w:sz w:val="18"/>
          <w:szCs w:val="18"/>
          <w:b w:val="1"/>
          <w:bCs w:val="1"/>
          <w:color w:val="auto"/>
        </w:rPr>
        <w:t>(in thousands, except share data)</w:t>
      </w:r>
    </w:p>
    <w:p>
      <w:pPr>
        <w:ind w:left="200"/>
        <w:spacing w:after="0"/>
        <w:rPr>
          <w:sz w:val="20"/>
          <w:szCs w:val="20"/>
          <w:color w:val="auto"/>
        </w:rPr>
      </w:pPr>
      <w:r>
        <w:rPr>
          <w:rFonts w:ascii="Arial" w:cs="Arial" w:eastAsia="Arial" w:hAnsi="Arial"/>
          <w:sz w:val="18"/>
          <w:szCs w:val="18"/>
          <w:b w:val="1"/>
          <w:bCs w:val="1"/>
          <w:color w:val="auto"/>
        </w:rPr>
        <w:t>(unaudited)</w:t>
      </w: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251"/>
        </w:trPr>
        <w:tc>
          <w:tcPr>
            <w:tcW w:w="20" w:type="dxa"/>
            <w:vAlign w:val="bottom"/>
          </w:tcPr>
          <w:p>
            <w:pPr>
              <w:spacing w:after="0"/>
              <w:rPr>
                <w:sz w:val="21"/>
                <w:szCs w:val="21"/>
                <w:color w:val="auto"/>
              </w:rPr>
            </w:pPr>
          </w:p>
        </w:tc>
        <w:tc>
          <w:tcPr>
            <w:tcW w:w="198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260" w:type="dxa"/>
            <w:vAlign w:val="bottom"/>
            <w:tcBorders>
              <w:top w:val="single" w:sz="8" w:color="auto"/>
              <w:right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7"/>
              </w:rPr>
              <w:t>Accumulated</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300" w:type="dxa"/>
            <w:vAlign w:val="bottom"/>
            <w:tcBorders>
              <w:right w:val="single" w:sz="8" w:color="auto"/>
            </w:tcBorders>
            <w:gridSpan w:val="4"/>
          </w:tcPr>
          <w:p>
            <w:pPr>
              <w:spacing w:after="0" w:line="202" w:lineRule="exact"/>
              <w:rPr>
                <w:sz w:val="20"/>
                <w:szCs w:val="20"/>
                <w:color w:val="auto"/>
              </w:rPr>
            </w:pPr>
            <w:r>
              <w:rPr>
                <w:rFonts w:ascii="Arial" w:cs="Arial" w:eastAsia="Arial" w:hAnsi="Arial"/>
                <w:sz w:val="18"/>
                <w:szCs w:val="18"/>
                <w:b w:val="1"/>
                <w:bCs w:val="1"/>
                <w:color w:val="auto"/>
              </w:rPr>
              <w:t>Redeemable convertible</w:t>
            </w: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ind w:left="100"/>
              <w:spacing w:after="0" w:line="202" w:lineRule="exact"/>
              <w:rPr>
                <w:sz w:val="20"/>
                <w:szCs w:val="20"/>
                <w:color w:val="auto"/>
              </w:rPr>
            </w:pPr>
            <w:r>
              <w:rPr>
                <w:rFonts w:ascii="Arial" w:cs="Arial" w:eastAsia="Arial" w:hAnsi="Arial"/>
                <w:sz w:val="18"/>
                <w:szCs w:val="18"/>
                <w:b w:val="1"/>
                <w:bCs w:val="1"/>
                <w:color w:val="auto"/>
              </w:rPr>
              <w:t>Additional</w:t>
            </w:r>
          </w:p>
        </w:tc>
        <w:tc>
          <w:tcPr>
            <w:tcW w:w="160" w:type="dxa"/>
            <w:vAlign w:val="bottom"/>
          </w:tcPr>
          <w:p>
            <w:pPr>
              <w:spacing w:after="0"/>
              <w:rPr>
                <w:sz w:val="17"/>
                <w:szCs w:val="17"/>
                <w:color w:val="auto"/>
              </w:rPr>
            </w:pPr>
          </w:p>
        </w:tc>
        <w:tc>
          <w:tcPr>
            <w:tcW w:w="1240" w:type="dxa"/>
            <w:vAlign w:val="bottom"/>
          </w:tcPr>
          <w:p>
            <w:pPr>
              <w:jc w:val="center"/>
              <w:ind w:right="72"/>
              <w:spacing w:after="0" w:line="202" w:lineRule="exact"/>
              <w:rPr>
                <w:sz w:val="20"/>
                <w:szCs w:val="20"/>
                <w:color w:val="auto"/>
              </w:rPr>
            </w:pPr>
            <w:r>
              <w:rPr>
                <w:rFonts w:ascii="Arial" w:cs="Arial" w:eastAsia="Arial" w:hAnsi="Arial"/>
                <w:sz w:val="18"/>
                <w:szCs w:val="18"/>
                <w:b w:val="1"/>
                <w:bCs w:val="1"/>
                <w:color w:val="auto"/>
                <w:w w:val="97"/>
              </w:rPr>
              <w:t>other</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500"/>
              <w:spacing w:after="0" w:line="202" w:lineRule="exact"/>
              <w:rPr>
                <w:sz w:val="20"/>
                <w:szCs w:val="20"/>
                <w:color w:val="auto"/>
              </w:rPr>
            </w:pPr>
            <w:r>
              <w:rPr>
                <w:rFonts w:ascii="Arial" w:cs="Arial" w:eastAsia="Arial" w:hAnsi="Arial"/>
                <w:sz w:val="18"/>
                <w:szCs w:val="18"/>
                <w:b w:val="1"/>
                <w:bCs w:val="1"/>
                <w:color w:val="auto"/>
              </w:rPr>
              <w:t>Total</w:t>
            </w:r>
          </w:p>
        </w:tc>
      </w:tr>
      <w:tr>
        <w:trPr>
          <w:trHeight w:val="221"/>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04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8"/>
                <w:szCs w:val="18"/>
                <w:b w:val="1"/>
                <w:bCs w:val="1"/>
                <w:color w:val="auto"/>
              </w:rPr>
              <w:t>preferred stock</w:t>
            </w:r>
          </w:p>
        </w:tc>
        <w:tc>
          <w:tcPr>
            <w:tcW w:w="26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48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w w:val="96"/>
              </w:rPr>
              <w:t>Common stock</w:t>
            </w:r>
          </w:p>
        </w:tc>
        <w:tc>
          <w:tcPr>
            <w:tcW w:w="2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b w:val="1"/>
                <w:bCs w:val="1"/>
                <w:color w:val="auto"/>
                <w:w w:val="98"/>
              </w:rPr>
              <w:t>paid-in</w:t>
            </w:r>
          </w:p>
        </w:tc>
        <w:tc>
          <w:tcPr>
            <w:tcW w:w="1400" w:type="dxa"/>
            <w:vAlign w:val="bottom"/>
            <w:gridSpan w:val="2"/>
          </w:tcPr>
          <w:p>
            <w:pPr>
              <w:ind w:left="60"/>
              <w:spacing w:after="0"/>
              <w:rPr>
                <w:sz w:val="20"/>
                <w:szCs w:val="20"/>
                <w:color w:val="auto"/>
              </w:rPr>
            </w:pPr>
            <w:r>
              <w:rPr>
                <w:rFonts w:ascii="Arial" w:cs="Arial" w:eastAsia="Arial" w:hAnsi="Arial"/>
                <w:sz w:val="18"/>
                <w:szCs w:val="18"/>
                <w:b w:val="1"/>
                <w:bCs w:val="1"/>
                <w:color w:val="auto"/>
                <w:w w:val="99"/>
              </w:rPr>
              <w:t>comprehensive</w:t>
            </w: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320" w:type="dxa"/>
            <w:vAlign w:val="bottom"/>
            <w:gridSpan w:val="3"/>
          </w:tcPr>
          <w:p>
            <w:pPr>
              <w:ind w:left="60"/>
              <w:spacing w:after="0"/>
              <w:rPr>
                <w:sz w:val="20"/>
                <w:szCs w:val="20"/>
                <w:color w:val="auto"/>
              </w:rPr>
            </w:pPr>
            <w:r>
              <w:rPr>
                <w:rFonts w:ascii="Arial" w:cs="Arial" w:eastAsia="Arial" w:hAnsi="Arial"/>
                <w:sz w:val="18"/>
                <w:szCs w:val="18"/>
                <w:b w:val="1"/>
                <w:bCs w:val="1"/>
                <w:color w:val="auto"/>
              </w:rPr>
              <w:t>stockholders’</w:t>
            </w:r>
          </w:p>
        </w:tc>
      </w:tr>
      <w:tr>
        <w:trPr>
          <w:trHeight w:val="223"/>
        </w:trPr>
        <w:tc>
          <w:tcPr>
            <w:tcW w:w="2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Shares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Amount</w:t>
            </w: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Shares</w:t>
            </w:r>
          </w:p>
        </w:tc>
        <w:tc>
          <w:tcPr>
            <w:tcW w:w="7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7"/>
              </w:rPr>
              <w:t>Amount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capital</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2"/>
              <w:spacing w:after="0"/>
              <w:rPr>
                <w:sz w:val="20"/>
                <w:szCs w:val="20"/>
                <w:color w:val="auto"/>
              </w:rPr>
            </w:pPr>
            <w:r>
              <w:rPr>
                <w:rFonts w:ascii="Arial" w:cs="Arial" w:eastAsia="Arial" w:hAnsi="Arial"/>
                <w:sz w:val="18"/>
                <w:szCs w:val="18"/>
                <w:b w:val="1"/>
                <w:bCs w:val="1"/>
                <w:color w:val="auto"/>
                <w:w w:val="95"/>
              </w:rPr>
              <w:t>income</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deficit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r>
      <w:tr>
        <w:trPr>
          <w:trHeight w:val="177"/>
        </w:trPr>
        <w:tc>
          <w:tcPr>
            <w:tcW w:w="20" w:type="dxa"/>
            <w:vAlign w:val="bottom"/>
          </w:tcPr>
          <w:p>
            <w:pPr>
              <w:spacing w:after="0"/>
              <w:rPr>
                <w:sz w:val="15"/>
                <w:szCs w:val="15"/>
                <w:color w:val="auto"/>
              </w:rPr>
            </w:pPr>
          </w:p>
        </w:tc>
        <w:tc>
          <w:tcPr>
            <w:tcW w:w="198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at January 1,</w:t>
            </w: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2018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14,430,799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72,248</w:t>
            </w:r>
          </w:p>
        </w:tc>
        <w:tc>
          <w:tcPr>
            <w:tcW w:w="260" w:type="dxa"/>
            <w:vAlign w:val="bottom"/>
            <w:tcBorders>
              <w:right w:val="single" w:sz="8" w:color="auto"/>
            </w:tcBorders>
            <w:shd w:val="clear" w:color="auto" w:fill="CCEEFF"/>
          </w:tcPr>
          <w:p>
            <w:pPr>
              <w:spacing w:after="0"/>
              <w:rPr>
                <w:sz w:val="19"/>
                <w:szCs w:val="19"/>
                <w:color w:val="auto"/>
              </w:rPr>
            </w:pPr>
          </w:p>
        </w:tc>
        <w:tc>
          <w:tcPr>
            <w:tcW w:w="9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2,673,828</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(67,933)</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(67,717)</w:t>
            </w: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Issuance of Series B</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redeemable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convertible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preferred stock for</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cash at $7.30 per</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share, net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issuance costs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$204, adjusted for</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the redeemable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convertible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preferred stock</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420"/>
              <w:spacing w:after="0" w:line="200" w:lineRule="exact"/>
              <w:rPr>
                <w:sz w:val="20"/>
                <w:szCs w:val="20"/>
                <w:color w:val="auto"/>
              </w:rPr>
            </w:pPr>
            <w:r>
              <w:rPr>
                <w:rFonts w:ascii="Arial" w:cs="Arial" w:eastAsia="Arial" w:hAnsi="Arial"/>
                <w:sz w:val="18"/>
                <w:szCs w:val="18"/>
                <w:color w:val="auto"/>
              </w:rPr>
              <w:t>liability of $2,121</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7,731,155</w:t>
            </w:r>
          </w:p>
        </w:tc>
        <w:tc>
          <w:tcPr>
            <w:tcW w:w="14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58,347</w:t>
            </w: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Issuance of common</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stock pursuant to</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stock option</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exercises</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69,970</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Issuance of common</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stock pursuant to</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early exercised</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420"/>
              <w:spacing w:after="0" w:line="200" w:lineRule="exact"/>
              <w:rPr>
                <w:sz w:val="20"/>
                <w:szCs w:val="20"/>
                <w:color w:val="auto"/>
              </w:rPr>
            </w:pPr>
            <w:r>
              <w:rPr>
                <w:rFonts w:ascii="Arial" w:cs="Arial" w:eastAsia="Arial" w:hAnsi="Arial"/>
                <w:sz w:val="18"/>
                <w:szCs w:val="18"/>
                <w:color w:val="auto"/>
              </w:rPr>
              <w:t>stock options</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
              <w:spacing w:after="0" w:line="200" w:lineRule="exact"/>
              <w:rPr>
                <w:sz w:val="20"/>
                <w:szCs w:val="20"/>
                <w:color w:val="auto"/>
              </w:rPr>
            </w:pPr>
            <w:r>
              <w:rPr>
                <w:rFonts w:ascii="Arial" w:cs="Arial" w:eastAsia="Arial" w:hAnsi="Arial"/>
                <w:sz w:val="18"/>
                <w:szCs w:val="18"/>
                <w:color w:val="auto"/>
              </w:rPr>
              <w:t>538,725</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Vesting of early</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exercised stock</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options and</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restricted stock</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Stock-based</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compensation</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420"/>
              <w:spacing w:after="0" w:line="200" w:lineRule="exact"/>
              <w:rPr>
                <w:sz w:val="20"/>
                <w:szCs w:val="20"/>
                <w:color w:val="auto"/>
              </w:rPr>
            </w:pPr>
            <w:r>
              <w:rPr>
                <w:rFonts w:ascii="Arial" w:cs="Arial" w:eastAsia="Arial" w:hAnsi="Arial"/>
                <w:sz w:val="18"/>
                <w:szCs w:val="18"/>
                <w:color w:val="auto"/>
              </w:rPr>
              <w:t>expense</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9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574</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574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(30,450)</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(30,450)</w:t>
            </w:r>
          </w:p>
        </w:tc>
      </w:tr>
      <w:tr>
        <w:trPr>
          <w:trHeight w:val="191"/>
        </w:trPr>
        <w:tc>
          <w:tcPr>
            <w:tcW w:w="20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Balance at</w:t>
            </w:r>
          </w:p>
        </w:tc>
        <w:tc>
          <w:tcPr>
            <w:tcW w:w="1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auto"/>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1980" w:type="dxa"/>
            <w:vAlign w:val="bottom"/>
          </w:tcPr>
          <w:p>
            <w:pPr>
              <w:ind w:left="200"/>
              <w:spacing w:after="0"/>
              <w:rPr>
                <w:sz w:val="20"/>
                <w:szCs w:val="20"/>
                <w:color w:val="auto"/>
              </w:rPr>
            </w:pPr>
            <w:r>
              <w:rPr>
                <w:rFonts w:ascii="Arial" w:cs="Arial" w:eastAsia="Arial" w:hAnsi="Arial"/>
                <w:sz w:val="18"/>
                <w:szCs w:val="18"/>
                <w:b w:val="1"/>
                <w:bCs w:val="1"/>
                <w:color w:val="auto"/>
              </w:rPr>
              <w:t>September 30, 2018</w:t>
            </w:r>
          </w:p>
        </w:tc>
        <w:tc>
          <w:tcPr>
            <w:tcW w:w="1120" w:type="dxa"/>
            <w:vAlign w:val="bottom"/>
          </w:tcPr>
          <w:p>
            <w:pPr>
              <w:jc w:val="right"/>
              <w:spacing w:after="0"/>
              <w:rPr>
                <w:sz w:val="20"/>
                <w:szCs w:val="20"/>
                <w:color w:val="auto"/>
              </w:rPr>
            </w:pPr>
            <w:r>
              <w:rPr>
                <w:rFonts w:ascii="Arial" w:cs="Arial" w:eastAsia="Arial" w:hAnsi="Arial"/>
                <w:sz w:val="18"/>
                <w:szCs w:val="18"/>
                <w:color w:val="auto"/>
              </w:rPr>
              <w:t>22,161,954</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130,595</w:t>
            </w:r>
          </w:p>
        </w:tc>
        <w:tc>
          <w:tcPr>
            <w:tcW w:w="260" w:type="dxa"/>
            <w:vAlign w:val="bottom"/>
            <w:tcBorders>
              <w:right w:val="single" w:sz="8" w:color="auto"/>
            </w:tcBorders>
          </w:tcPr>
          <w:p>
            <w:pPr>
              <w:spacing w:after="0"/>
              <w:rPr>
                <w:sz w:val="19"/>
                <w:szCs w:val="19"/>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3,282,523</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942</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(98,383)</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(97,441)</w:t>
            </w:r>
          </w:p>
        </w:tc>
      </w:tr>
      <w:tr>
        <w:trPr>
          <w:trHeight w:val="184"/>
        </w:trPr>
        <w:tc>
          <w:tcPr>
            <w:tcW w:w="20" w:type="dxa"/>
            <w:vAlign w:val="bottom"/>
          </w:tcPr>
          <w:p>
            <w:pPr>
              <w:spacing w:after="0"/>
              <w:rPr>
                <w:sz w:val="15"/>
                <w:szCs w:val="15"/>
                <w:color w:val="auto"/>
              </w:rPr>
            </w:pPr>
          </w:p>
        </w:tc>
        <w:tc>
          <w:tcPr>
            <w:tcW w:w="1980" w:type="dxa"/>
            <w:vAlign w:val="bottom"/>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Balance at January 1,</w:t>
            </w:r>
          </w:p>
        </w:tc>
        <w:tc>
          <w:tcPr>
            <w:tcW w:w="11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right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21"/>
        </w:trPr>
        <w:tc>
          <w:tcPr>
            <w:tcW w:w="20" w:type="dxa"/>
            <w:vAlign w:val="bottom"/>
          </w:tcPr>
          <w:p>
            <w:pPr>
              <w:spacing w:after="0"/>
              <w:rPr>
                <w:sz w:val="19"/>
                <w:szCs w:val="19"/>
                <w:color w:val="auto"/>
              </w:rPr>
            </w:pPr>
          </w:p>
        </w:tc>
        <w:tc>
          <w:tcPr>
            <w:tcW w:w="19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2019</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29,595,909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205,081</w:t>
            </w:r>
          </w:p>
        </w:tc>
        <w:tc>
          <w:tcPr>
            <w:tcW w:w="260" w:type="dxa"/>
            <w:vAlign w:val="bottom"/>
            <w:tcBorders>
              <w:right w:val="single" w:sz="8" w:color="auto"/>
            </w:tcBorders>
            <w:shd w:val="clear" w:color="auto" w:fill="CCEEFF"/>
          </w:tcPr>
          <w:p>
            <w:pPr>
              <w:spacing w:after="0"/>
              <w:rPr>
                <w:sz w:val="19"/>
                <w:szCs w:val="19"/>
                <w:color w:val="auto"/>
              </w:rPr>
            </w:pPr>
          </w:p>
        </w:tc>
        <w:tc>
          <w:tcPr>
            <w:tcW w:w="9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3,208,924</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(109,722)</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(108,422)</w:t>
            </w: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Issuance of Series C</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redeemable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convertible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preferred stock for</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cash at $10.03 per</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share, net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issuance costs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0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$254</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10,004,514</w:t>
            </w:r>
          </w:p>
        </w:tc>
        <w:tc>
          <w:tcPr>
            <w:tcW w:w="140" w:type="dxa"/>
            <w:vAlign w:val="bottom"/>
          </w:tcPr>
          <w:p>
            <w:pPr>
              <w:spacing w:after="0"/>
              <w:rPr>
                <w:sz w:val="17"/>
                <w:szCs w:val="17"/>
                <w:color w:val="auto"/>
              </w:rPr>
            </w:pPr>
          </w:p>
        </w:tc>
        <w:tc>
          <w:tcPr>
            <w:tcW w:w="780" w:type="dxa"/>
            <w:vAlign w:val="bottom"/>
          </w:tcPr>
          <w:p>
            <w:pPr>
              <w:jc w:val="right"/>
              <w:spacing w:after="0" w:line="200" w:lineRule="exact"/>
              <w:rPr>
                <w:sz w:val="20"/>
                <w:szCs w:val="20"/>
                <w:color w:val="auto"/>
              </w:rPr>
            </w:pPr>
            <w:r>
              <w:rPr>
                <w:rFonts w:ascii="Arial" w:cs="Arial" w:eastAsia="Arial" w:hAnsi="Arial"/>
                <w:sz w:val="18"/>
                <w:szCs w:val="18"/>
                <w:color w:val="auto"/>
              </w:rPr>
              <w:t>100,033</w:t>
            </w: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Issuance of common</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stock pursuant to</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stock option</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exercises</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70,165</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Issuance of common</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stock pursuant to</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early exercised</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420"/>
              <w:spacing w:after="0" w:line="200" w:lineRule="exact"/>
              <w:rPr>
                <w:sz w:val="20"/>
                <w:szCs w:val="20"/>
                <w:color w:val="auto"/>
              </w:rPr>
            </w:pPr>
            <w:r>
              <w:rPr>
                <w:rFonts w:ascii="Arial" w:cs="Arial" w:eastAsia="Arial" w:hAnsi="Arial"/>
                <w:sz w:val="18"/>
                <w:szCs w:val="18"/>
                <w:color w:val="auto"/>
              </w:rPr>
              <w:t>stock options</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
              <w:spacing w:after="0" w:line="200" w:lineRule="exact"/>
              <w:rPr>
                <w:sz w:val="20"/>
                <w:szCs w:val="20"/>
                <w:color w:val="auto"/>
              </w:rPr>
            </w:pPr>
            <w:r>
              <w:rPr>
                <w:rFonts w:ascii="Arial" w:cs="Arial" w:eastAsia="Arial" w:hAnsi="Arial"/>
                <w:sz w:val="18"/>
                <w:szCs w:val="18"/>
                <w:color w:val="auto"/>
              </w:rPr>
              <w:t>100,860</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Vesting of early</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exercised stock</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options</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Repurchases of early</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420"/>
              <w:spacing w:after="0" w:line="200" w:lineRule="exact"/>
              <w:rPr>
                <w:sz w:val="20"/>
                <w:szCs w:val="20"/>
                <w:color w:val="auto"/>
              </w:rPr>
            </w:pPr>
            <w:r>
              <w:rPr>
                <w:rFonts w:ascii="Arial" w:cs="Arial" w:eastAsia="Arial" w:hAnsi="Arial"/>
                <w:sz w:val="18"/>
                <w:szCs w:val="18"/>
                <w:color w:val="auto"/>
              </w:rPr>
              <w:t>exercised stock</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(78,063)</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w:t>
            </w:r>
          </w:p>
        </w:tc>
      </w:tr>
      <w:tr>
        <w:trPr>
          <w:trHeight w:val="206"/>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6" w:lineRule="exact"/>
              <w:rPr>
                <w:sz w:val="20"/>
                <w:szCs w:val="20"/>
                <w:color w:val="auto"/>
              </w:rPr>
            </w:pPr>
            <w:r>
              <w:rPr>
                <w:rFonts w:ascii="Arial" w:cs="Arial" w:eastAsia="Arial" w:hAnsi="Arial"/>
                <w:sz w:val="18"/>
                <w:szCs w:val="18"/>
                <w:color w:val="auto"/>
              </w:rPr>
              <w:t>Stock-based</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compensation</w:t>
            </w: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shd w:val="clear" w:color="auto" w:fill="CCEEFF"/>
          </w:tcPr>
          <w:p>
            <w:pPr>
              <w:ind w:left="420"/>
              <w:spacing w:after="0" w:line="200" w:lineRule="exact"/>
              <w:rPr>
                <w:sz w:val="20"/>
                <w:szCs w:val="20"/>
                <w:color w:val="auto"/>
              </w:rPr>
            </w:pPr>
            <w:r>
              <w:rPr>
                <w:rFonts w:ascii="Arial" w:cs="Arial" w:eastAsia="Arial" w:hAnsi="Arial"/>
                <w:sz w:val="18"/>
                <w:szCs w:val="18"/>
                <w:color w:val="auto"/>
              </w:rPr>
              <w:t>expense</w:t>
            </w:r>
          </w:p>
        </w:tc>
        <w:tc>
          <w:tcPr>
            <w:tcW w:w="112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1,763</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980" w:type="dxa"/>
            <w:vAlign w:val="bottom"/>
          </w:tcPr>
          <w:p>
            <w:pPr>
              <w:ind w:left="200"/>
              <w:spacing w:after="0" w:line="206" w:lineRule="exact"/>
              <w:rPr>
                <w:sz w:val="20"/>
                <w:szCs w:val="20"/>
                <w:color w:val="auto"/>
              </w:rPr>
            </w:pPr>
            <w:r>
              <w:rPr>
                <w:rFonts w:ascii="Arial" w:cs="Arial" w:eastAsia="Arial" w:hAnsi="Arial"/>
                <w:sz w:val="18"/>
                <w:szCs w:val="18"/>
                <w:color w:val="auto"/>
              </w:rPr>
              <w:t>Net unrealized gains</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tcPr>
          <w:p>
            <w:pPr>
              <w:ind w:left="420"/>
              <w:spacing w:after="0" w:line="202" w:lineRule="exact"/>
              <w:rPr>
                <w:sz w:val="20"/>
                <w:szCs w:val="20"/>
                <w:color w:val="auto"/>
              </w:rPr>
            </w:pPr>
            <w:r>
              <w:rPr>
                <w:rFonts w:ascii="Arial" w:cs="Arial" w:eastAsia="Arial" w:hAnsi="Arial"/>
                <w:sz w:val="18"/>
                <w:szCs w:val="18"/>
                <w:color w:val="auto"/>
              </w:rPr>
              <w:t>on marketable</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1980" w:type="dxa"/>
            <w:vAlign w:val="bottom"/>
          </w:tcPr>
          <w:p>
            <w:pPr>
              <w:ind w:left="420"/>
              <w:spacing w:after="0" w:line="200" w:lineRule="exact"/>
              <w:rPr>
                <w:sz w:val="20"/>
                <w:szCs w:val="20"/>
                <w:color w:val="auto"/>
              </w:rPr>
            </w:pPr>
            <w:r>
              <w:rPr>
                <w:rFonts w:ascii="Arial" w:cs="Arial" w:eastAsia="Arial" w:hAnsi="Arial"/>
                <w:sz w:val="18"/>
                <w:szCs w:val="18"/>
                <w:color w:val="auto"/>
              </w:rPr>
              <w:t>securities</w:t>
            </w: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40" w:type="dxa"/>
            <w:vAlign w:val="bottom"/>
            <w:tcBorders>
              <w:right w:val="single" w:sz="8" w:color="auto"/>
            </w:tcBorders>
            <w:gridSpan w:val="2"/>
          </w:tcPr>
          <w:p>
            <w:pPr>
              <w:jc w:val="right"/>
              <w:ind w:right="280"/>
              <w:spacing w:after="0" w:line="20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940" w:type="dxa"/>
            <w:vAlign w:val="bottom"/>
          </w:tcPr>
          <w:p>
            <w:pPr>
              <w:jc w:val="right"/>
              <w:ind w:right="12"/>
              <w:spacing w:after="0" w:line="200" w:lineRule="exact"/>
              <w:rPr>
                <w:sz w:val="20"/>
                <w:szCs w:val="20"/>
                <w:color w:val="auto"/>
              </w:rPr>
            </w:pPr>
            <w:r>
              <w:rPr>
                <w:rFonts w:ascii="Arial" w:cs="Arial" w:eastAsia="Arial" w:hAnsi="Arial"/>
                <w:sz w:val="18"/>
                <w:szCs w:val="18"/>
                <w:color w:val="auto"/>
              </w:rPr>
              <w:t>—</w:t>
            </w:r>
          </w:p>
        </w:tc>
        <w:tc>
          <w:tcPr>
            <w:tcW w:w="540" w:type="dxa"/>
            <w:vAlign w:val="bottom"/>
          </w:tcPr>
          <w:p>
            <w:pPr>
              <w:spacing w:after="0"/>
              <w:rPr>
                <w:sz w:val="17"/>
                <w:szCs w:val="17"/>
                <w:color w:val="auto"/>
              </w:rPr>
            </w:pPr>
          </w:p>
        </w:tc>
        <w:tc>
          <w:tcPr>
            <w:tcW w:w="200" w:type="dxa"/>
            <w:vAlign w:val="bottom"/>
          </w:tcPr>
          <w:p>
            <w:pPr>
              <w:ind w:left="20"/>
              <w:spacing w:after="0" w:line="200" w:lineRule="exact"/>
              <w:rPr>
                <w:sz w:val="20"/>
                <w:szCs w:val="20"/>
                <w:color w:val="auto"/>
              </w:rPr>
            </w:pPr>
            <w:r>
              <w:rPr>
                <w:rFonts w:ascii="Arial" w:cs="Arial" w:eastAsia="Arial" w:hAnsi="Arial"/>
                <w:sz w:val="18"/>
                <w:szCs w:val="18"/>
                <w:color w:val="auto"/>
                <w:w w:val="88"/>
              </w:rPr>
              <w:t>—</w:t>
            </w:r>
          </w:p>
        </w:tc>
        <w:tc>
          <w:tcPr>
            <w:tcW w:w="220" w:type="dxa"/>
            <w:vAlign w:val="bottom"/>
          </w:tcPr>
          <w:p>
            <w:pPr>
              <w:spacing w:after="0"/>
              <w:rPr>
                <w:sz w:val="17"/>
                <w:szCs w:val="17"/>
                <w:color w:val="auto"/>
              </w:rPr>
            </w:pPr>
          </w:p>
        </w:tc>
        <w:tc>
          <w:tcPr>
            <w:tcW w:w="80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240" w:type="dxa"/>
            <w:vAlign w:val="bottom"/>
          </w:tcPr>
          <w:p>
            <w:pPr>
              <w:jc w:val="right"/>
              <w:spacing w:after="0" w:line="200" w:lineRule="exact"/>
              <w:rPr>
                <w:sz w:val="20"/>
                <w:szCs w:val="20"/>
                <w:color w:val="auto"/>
              </w:rPr>
            </w:pPr>
            <w:r>
              <w:rPr>
                <w:rFonts w:ascii="Arial" w:cs="Arial" w:eastAsia="Arial" w:hAnsi="Arial"/>
                <w:sz w:val="18"/>
                <w:szCs w:val="18"/>
                <w:color w:val="auto"/>
              </w:rPr>
              <w:t>54</w:t>
            </w:r>
          </w:p>
        </w:tc>
        <w:tc>
          <w:tcPr>
            <w:tcW w:w="260" w:type="dxa"/>
            <w:vAlign w:val="bottom"/>
          </w:tcPr>
          <w:p>
            <w:pPr>
              <w:spacing w:after="0"/>
              <w:rPr>
                <w:sz w:val="17"/>
                <w:szCs w:val="17"/>
                <w:color w:val="auto"/>
              </w:rPr>
            </w:pPr>
          </w:p>
        </w:tc>
        <w:tc>
          <w:tcPr>
            <w:tcW w:w="1020" w:type="dxa"/>
            <w:vAlign w:val="bottom"/>
          </w:tcPr>
          <w:p>
            <w:pPr>
              <w:jc w:val="right"/>
              <w:ind w:right="32"/>
              <w:spacing w:after="0" w:line="200"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54</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19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loss</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40" w:type="dxa"/>
            <w:vAlign w:val="bottom"/>
            <w:tcBorders>
              <w:right w:val="single" w:sz="8" w:color="auto"/>
            </w:tcBorders>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(33,068)</w:t>
            </w:r>
          </w:p>
        </w:tc>
        <w:tc>
          <w:tcPr>
            <w:tcW w:w="2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(33,068)</w:t>
            </w:r>
          </w:p>
        </w:tc>
      </w:tr>
      <w:tr>
        <w:trPr>
          <w:trHeight w:val="191"/>
        </w:trPr>
        <w:tc>
          <w:tcPr>
            <w:tcW w:w="2000" w:type="dxa"/>
            <w:vAlign w:val="bottom"/>
            <w:gridSpan w:val="2"/>
          </w:tcPr>
          <w:p>
            <w:pPr>
              <w:spacing w:after="0" w:line="191" w:lineRule="exact"/>
              <w:rPr>
                <w:sz w:val="20"/>
                <w:szCs w:val="20"/>
                <w:color w:val="auto"/>
              </w:rPr>
            </w:pPr>
            <w:r>
              <w:rPr>
                <w:rFonts w:ascii="Arial" w:cs="Arial" w:eastAsia="Arial" w:hAnsi="Arial"/>
                <w:sz w:val="18"/>
                <w:szCs w:val="18"/>
                <w:b w:val="1"/>
                <w:bCs w:val="1"/>
                <w:color w:val="auto"/>
              </w:rPr>
              <w:t>Balance at</w:t>
            </w:r>
          </w:p>
        </w:tc>
        <w:tc>
          <w:tcPr>
            <w:tcW w:w="1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60" w:type="dxa"/>
            <w:vAlign w:val="bottom"/>
            <w:tcBorders>
              <w:top w:val="single" w:sz="8" w:color="auto"/>
              <w:right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20" w:type="dxa"/>
            <w:vAlign w:val="bottom"/>
          </w:tcPr>
          <w:p>
            <w:pPr>
              <w:spacing w:after="0"/>
              <w:rPr>
                <w:sz w:val="19"/>
                <w:szCs w:val="19"/>
                <w:color w:val="auto"/>
              </w:rPr>
            </w:pPr>
          </w:p>
        </w:tc>
        <w:tc>
          <w:tcPr>
            <w:tcW w:w="1980" w:type="dxa"/>
            <w:vAlign w:val="bottom"/>
          </w:tcPr>
          <w:p>
            <w:pPr>
              <w:ind w:left="200"/>
              <w:spacing w:after="0"/>
              <w:rPr>
                <w:sz w:val="20"/>
                <w:szCs w:val="20"/>
                <w:color w:val="auto"/>
              </w:rPr>
            </w:pPr>
            <w:r>
              <w:rPr>
                <w:rFonts w:ascii="Arial" w:cs="Arial" w:eastAsia="Arial" w:hAnsi="Arial"/>
                <w:sz w:val="18"/>
                <w:szCs w:val="18"/>
                <w:b w:val="1"/>
                <w:bCs w:val="1"/>
                <w:color w:val="auto"/>
              </w:rPr>
              <w:t>September 30, 2019</w:t>
            </w:r>
          </w:p>
        </w:tc>
        <w:tc>
          <w:tcPr>
            <w:tcW w:w="1120" w:type="dxa"/>
            <w:vAlign w:val="bottom"/>
          </w:tcPr>
          <w:p>
            <w:pPr>
              <w:jc w:val="right"/>
              <w:spacing w:after="0"/>
              <w:rPr>
                <w:sz w:val="20"/>
                <w:szCs w:val="20"/>
                <w:color w:val="auto"/>
              </w:rPr>
            </w:pPr>
            <w:r>
              <w:rPr>
                <w:rFonts w:ascii="Arial" w:cs="Arial" w:eastAsia="Arial" w:hAnsi="Arial"/>
                <w:sz w:val="18"/>
                <w:szCs w:val="18"/>
                <w:color w:val="auto"/>
              </w:rPr>
              <w:t>39,600,423</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305,114</w:t>
            </w:r>
          </w:p>
        </w:tc>
        <w:tc>
          <w:tcPr>
            <w:tcW w:w="260" w:type="dxa"/>
            <w:vAlign w:val="bottom"/>
            <w:tcBorders>
              <w:right w:val="single" w:sz="8" w:color="auto"/>
            </w:tcBorders>
          </w:tcPr>
          <w:p>
            <w:pPr>
              <w:spacing w:after="0"/>
              <w:rPr>
                <w:sz w:val="19"/>
                <w:szCs w:val="19"/>
                <w:color w:val="auto"/>
              </w:rPr>
            </w:pPr>
          </w:p>
        </w:tc>
        <w:tc>
          <w:tcPr>
            <w:tcW w:w="980" w:type="dxa"/>
            <w:vAlign w:val="bottom"/>
            <w:gridSpan w:val="2"/>
          </w:tcPr>
          <w:p>
            <w:pPr>
              <w:jc w:val="right"/>
              <w:ind w:right="12"/>
              <w:spacing w:after="0"/>
              <w:rPr>
                <w:sz w:val="20"/>
                <w:szCs w:val="20"/>
                <w:color w:val="auto"/>
              </w:rPr>
            </w:pPr>
            <w:r>
              <w:rPr>
                <w:rFonts w:ascii="Arial" w:cs="Arial" w:eastAsia="Arial" w:hAnsi="Arial"/>
                <w:sz w:val="18"/>
                <w:szCs w:val="18"/>
                <w:color w:val="auto"/>
              </w:rPr>
              <w:t>3,301,886</w:t>
            </w:r>
          </w:p>
        </w:tc>
        <w:tc>
          <w:tcPr>
            <w:tcW w:w="540" w:type="dxa"/>
            <w:vAlign w:val="bottom"/>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220" w:type="dxa"/>
            <w:vAlign w:val="bottom"/>
          </w:tcPr>
          <w:p>
            <w:pPr>
              <w:ind w:left="1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3,290</w:t>
            </w:r>
          </w:p>
        </w:tc>
        <w:tc>
          <w:tcPr>
            <w:tcW w:w="160" w:type="dxa"/>
            <w:vAlign w:val="bottom"/>
          </w:tcPr>
          <w:p>
            <w:pPr>
              <w:ind w:left="6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26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(142,790)</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(139,446)</w:t>
            </w:r>
          </w:p>
        </w:tc>
      </w:tr>
      <w:tr>
        <w:trPr>
          <w:trHeight w:val="20"/>
        </w:trPr>
        <w:tc>
          <w:tcPr>
            <w:tcW w:w="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57" w:orient="portrait"/>
          <w:cols w:equalWidth="0" w:num="1">
            <w:col w:w="11240"/>
          </w:cols>
          <w:pgMar w:left="240" w:top="460" w:right="419" w:bottom="0" w:gutter="0" w:footer="0" w:header="0"/>
        </w:sectPr>
      </w:pPr>
    </w:p>
    <w:bookmarkStart w:id="269" w:name="page270"/>
    <w:bookmarkEnd w:id="269"/>
    <w:p>
      <w:pPr>
        <w:spacing w:after="0"/>
        <w:rPr>
          <w:sz w:val="20"/>
          <w:szCs w:val="20"/>
          <w:color w:val="auto"/>
        </w:rPr>
      </w:pPr>
      <w:r>
        <w:rPr>
          <w:rFonts w:ascii="Arial" w:cs="Arial" w:eastAsia="Arial" w:hAnsi="Arial"/>
          <w:sz w:val="12"/>
          <w:szCs w:val="12"/>
          <w:i w:val="1"/>
          <w:iCs w:val="1"/>
          <w:color w:val="auto"/>
        </w:rPr>
        <w:t>The accompanying notes are an integral part of these unaudited condensed consolidated financial statements</w:t>
      </w:r>
    </w:p>
    <w:p>
      <w:pPr>
        <w:sectPr>
          <w:pgSz w:w="11900" w:h="16838" w:orient="portrait"/>
          <w:cols w:equalWidth="0" w:num="1">
            <w:col w:w="10019"/>
          </w:cols>
          <w:pgMar w:left="440" w:top="126" w:right="1440" w:bottom="1440" w:gutter="0" w:footer="0" w:header="0"/>
        </w:sectPr>
      </w:pPr>
    </w:p>
    <w:p>
      <w:pPr>
        <w:spacing w:after="0" w:line="176" w:lineRule="exact"/>
        <w:rPr>
          <w:sz w:val="20"/>
          <w:szCs w:val="20"/>
          <w:color w:val="auto"/>
        </w:rPr>
      </w:pPr>
    </w:p>
    <w:p>
      <w:pPr>
        <w:ind w:left="5340"/>
        <w:spacing w:after="0"/>
        <w:rPr>
          <w:sz w:val="20"/>
          <w:szCs w:val="20"/>
          <w:color w:val="auto"/>
        </w:rPr>
      </w:pPr>
      <w:r>
        <w:rPr>
          <w:rFonts w:ascii="Arial" w:cs="Arial" w:eastAsia="Arial" w:hAnsi="Arial"/>
          <w:sz w:val="16"/>
          <w:szCs w:val="16"/>
          <w:color w:val="auto"/>
        </w:rPr>
        <w:t>F-37</w:t>
      </w:r>
    </w:p>
    <w:p>
      <w:pPr>
        <w:sectPr>
          <w:pgSz w:w="11900" w:h="16838" w:orient="portrait"/>
          <w:cols w:equalWidth="0" w:num="1">
            <w:col w:w="10019"/>
          </w:cols>
          <w:pgMar w:left="440" w:top="126" w:right="1440" w:bottom="1440" w:gutter="0" w:footer="0" w:header="0"/>
          <w:type w:val="continuous"/>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Condensed consolidated statements of cash flows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thousands)</w:t>
      </w:r>
    </w:p>
    <w:p>
      <w:pPr>
        <w:ind w:left="200"/>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5888355</wp:posOffset>
            </wp:positionH>
            <wp:positionV relativeFrom="paragraph">
              <wp:posOffset>-4445</wp:posOffset>
            </wp:positionV>
            <wp:extent cx="117475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8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7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7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5"/>
              </w:rPr>
              <w:t>(30,450)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(33,068)</w:t>
            </w:r>
          </w:p>
        </w:tc>
        <w:tc>
          <w:tcPr>
            <w:tcW w:w="0" w:type="dxa"/>
            <w:vAlign w:val="bottom"/>
          </w:tcPr>
          <w:p>
            <w:pPr>
              <w:spacing w:after="0"/>
              <w:rPr>
                <w:sz w:val="1"/>
                <w:szCs w:val="1"/>
                <w:color w:val="auto"/>
              </w:rPr>
            </w:pPr>
          </w:p>
        </w:tc>
      </w:tr>
      <w:tr>
        <w:trPr>
          <w:trHeight w:val="56"/>
        </w:trPr>
        <w:tc>
          <w:tcPr>
            <w:tcW w:w="8760" w:type="dxa"/>
            <w:vAlign w:val="bottom"/>
            <w:gridSpan w:val="2"/>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802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Stock-based compensation expense</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574</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1,073</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1,675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Loss on disposal of property and equipment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200"/>
              <w:spacing w:after="0" w:line="202" w:lineRule="exact"/>
              <w:rPr>
                <w:sz w:val="20"/>
                <w:szCs w:val="20"/>
                <w:color w:val="auto"/>
              </w:rPr>
            </w:pPr>
            <w:r>
              <w:rPr>
                <w:rFonts w:ascii="Arial" w:cs="Arial" w:eastAsia="Arial" w:hAnsi="Arial"/>
                <w:sz w:val="18"/>
                <w:szCs w:val="18"/>
                <w:color w:val="auto"/>
              </w:rPr>
              <w:t>Loss on disposal of held for sale 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Net amortization (accretion) of premium (discount) on marketable securities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200"/>
              <w:spacing w:after="0" w:line="202" w:lineRule="exact"/>
              <w:rPr>
                <w:sz w:val="20"/>
                <w:szCs w:val="20"/>
                <w:color w:val="auto"/>
              </w:rPr>
            </w:pPr>
            <w:r>
              <w:rPr>
                <w:rFonts w:ascii="Arial" w:cs="Arial" w:eastAsia="Arial" w:hAnsi="Arial"/>
                <w:sz w:val="18"/>
                <w:szCs w:val="18"/>
                <w:color w:val="auto"/>
              </w:rPr>
              <w:t>Change in fair value of redeemable convertible preferred stock liability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2,121</w:t>
            </w:r>
          </w:p>
        </w:tc>
        <w:tc>
          <w:tcPr>
            <w:tcW w:w="24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420"/>
              <w:spacing w:after="0" w:line="202" w:lineRule="exact"/>
              <w:rPr>
                <w:sz w:val="20"/>
                <w:szCs w:val="20"/>
                <w:color w:val="auto"/>
              </w:rPr>
            </w:pPr>
            <w:r>
              <w:rPr>
                <w:rFonts w:ascii="Arial" w:cs="Arial" w:eastAsia="Arial" w:hAnsi="Arial"/>
                <w:sz w:val="18"/>
                <w:szCs w:val="18"/>
                <w:color w:val="auto"/>
              </w:rPr>
              <w:t>Receivable from related party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(5,908)</w:t>
            </w:r>
          </w:p>
        </w:tc>
        <w:tc>
          <w:tcPr>
            <w:tcW w:w="2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(1,410)</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17</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4,632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420"/>
              <w:spacing w:after="0" w:line="202" w:lineRule="exact"/>
              <w:rPr>
                <w:sz w:val="20"/>
                <w:szCs w:val="20"/>
                <w:color w:val="auto"/>
              </w:rPr>
            </w:pPr>
            <w:r>
              <w:rPr>
                <w:rFonts w:ascii="Arial" w:cs="Arial" w:eastAsia="Arial" w:hAnsi="Arial"/>
                <w:sz w:val="18"/>
                <w:szCs w:val="18"/>
                <w:color w:val="auto"/>
              </w:rPr>
              <w:t>Deferred revenue, related party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47,601</w:t>
            </w:r>
          </w:p>
        </w:tc>
        <w:tc>
          <w:tcPr>
            <w:tcW w:w="2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(10,136)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rent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(409)</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tcPr>
          <w:p>
            <w:pPr>
              <w:ind w:left="420"/>
              <w:spacing w:after="0" w:line="202" w:lineRule="exact"/>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(1,259)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(108)</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40" w:type="dxa"/>
            <w:vAlign w:val="bottom"/>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12,989</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(37,964)</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marketable securities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5"/>
              </w:rPr>
              <w:t>(143,682)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29,579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(1,283)</w:t>
            </w:r>
          </w:p>
        </w:tc>
        <w:tc>
          <w:tcPr>
            <w:tcW w:w="24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(2,079)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sale of held for sale assets</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cash used in investing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(1,283)</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5"/>
              </w:rPr>
              <w:t>(109,990)</w:t>
            </w:r>
          </w:p>
        </w:tc>
        <w:tc>
          <w:tcPr>
            <w:tcW w:w="0" w:type="dxa"/>
            <w:vAlign w:val="bottom"/>
          </w:tcPr>
          <w:p>
            <w:pPr>
              <w:spacing w:after="0"/>
              <w:rPr>
                <w:sz w:val="1"/>
                <w:szCs w:val="1"/>
                <w:color w:val="auto"/>
              </w:rPr>
            </w:pPr>
          </w:p>
        </w:tc>
      </w:tr>
      <w:tr>
        <w:trPr>
          <w:trHeight w:val="277"/>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56,225</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100,033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issuance of common stock under equity incentive plans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401</w:t>
            </w:r>
          </w:p>
        </w:tc>
        <w:tc>
          <w:tcPr>
            <w:tcW w:w="24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227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Repurchases of early exercised stock options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Payments of deferred offering costs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56,626</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100,192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760" w:type="dxa"/>
            <w:vAlign w:val="bottom"/>
            <w:gridSpan w:val="2"/>
          </w:tcPr>
          <w:p>
            <w:pPr>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68,332</w:t>
            </w: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(47,762)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restricted cash—beginning of period</w:t>
            </w: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9,079</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69,800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77,411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Reconciliation of cash, cash equivalents and restricted cash to consolidated balance sheets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Cash and cash equivalents</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77,411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21,824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Restricted cash</w:t>
            </w:r>
          </w:p>
        </w:tc>
        <w:tc>
          <w:tcPr>
            <w:tcW w:w="3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7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cash—end of period</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77,411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Vesting of early exercised options and restricted stock</w:t>
            </w:r>
          </w:p>
        </w:tc>
        <w:tc>
          <w:tcPr>
            <w:tcW w:w="4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121</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 in accounts payable and accrued expenses and other current liabilities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(24)</w:t>
            </w:r>
          </w:p>
        </w:tc>
        <w:tc>
          <w:tcPr>
            <w:tcW w:w="2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3"/>
        </w:trPr>
        <w:tc>
          <w:tcPr>
            <w:tcW w:w="8760" w:type="dxa"/>
            <w:vAlign w:val="bottom"/>
            <w:gridSpan w:val="2"/>
          </w:tcPr>
          <w:p>
            <w:pPr>
              <w:spacing w:after="0" w:line="202" w:lineRule="exact"/>
              <w:rPr>
                <w:sz w:val="20"/>
                <w:szCs w:val="20"/>
                <w:color w:val="auto"/>
              </w:rPr>
            </w:pPr>
            <w:r>
              <w:rPr>
                <w:rFonts w:ascii="Arial" w:cs="Arial" w:eastAsia="Arial" w:hAnsi="Arial"/>
                <w:sz w:val="18"/>
                <w:szCs w:val="18"/>
                <w:color w:val="auto"/>
              </w:rPr>
              <w:t>Extinguishment of redeemable convertible preferred stock liability</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2,314</w:t>
            </w:r>
          </w:p>
        </w:tc>
        <w:tc>
          <w:tcPr>
            <w:tcW w:w="24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Unpaid deferred offering costs</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unaudited condensed consolidated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240" w:top="460" w:right="41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Revolution Medicines,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Notes to unaudited condensed consolidated financial statements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 Company and liquidity</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24"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8"/>
          <w:szCs w:val="18"/>
          <w:color w:val="auto"/>
        </w:rPr>
        <w:t>Revolution Medicines, Inc. (the Company) is a clinical-stage precision oncology company focused on developing novel targeted therapies to inhibit targets primarily within the RAS and mTOR signaling pathways. The Company was founded in October 2014 and is headquartered in Redwood City, California.</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jc w:val="both"/>
        <w:ind w:left="200"/>
        <w:spacing w:after="0" w:line="264" w:lineRule="auto"/>
        <w:rPr>
          <w:sz w:val="20"/>
          <w:szCs w:val="20"/>
          <w:color w:val="auto"/>
        </w:rPr>
      </w:pPr>
      <w:r>
        <w:rPr>
          <w:rFonts w:ascii="Arial" w:cs="Arial" w:eastAsia="Arial" w:hAnsi="Arial"/>
          <w:sz w:val="16"/>
          <w:szCs w:val="16"/>
          <w:color w:val="auto"/>
        </w:rPr>
        <w:t>The Company has incurred net operating losses in all periods since inception. The Company’s net losses were $30.5 million and $33.1 million for the nine months ended September 30, 2018 and 2019, respectively. As of September 30, 2019, the Company had an accumulated deficit of $142.8 million. Management believes that its cash and cash equivalents are sufficient to continue operating activities for at least 12 months following the issuance date of these condensed consolidated financial statements. To date, the Company has been able to fund its operations through the issuance and sale of redeemable convertible preferred stock in addition to proceeds received under the Company’s collaboration agreement with Sanofi. Future capital requirements will depend on many factors, including the timing and extent of spending on research and development and payments the Company may receive under the Sanofi collaboration agreement or future collaboration agreements, if any.</w:t>
      </w:r>
    </w:p>
    <w:p>
      <w:pPr>
        <w:spacing w:after="0" w:line="1" w:lineRule="exact"/>
        <w:rPr>
          <w:sz w:val="20"/>
          <w:szCs w:val="20"/>
          <w:color w:val="auto"/>
        </w:rPr>
      </w:pPr>
    </w:p>
    <w:p>
      <w:pPr>
        <w:jc w:val="both"/>
        <w:ind w:left="200" w:right="40"/>
        <w:spacing w:after="0" w:line="237" w:lineRule="auto"/>
        <w:rPr>
          <w:sz w:val="20"/>
          <w:szCs w:val="20"/>
          <w:color w:val="auto"/>
        </w:rPr>
      </w:pPr>
      <w:r>
        <w:rPr>
          <w:rFonts w:ascii="Arial" w:cs="Arial" w:eastAsia="Arial" w:hAnsi="Arial"/>
          <w:sz w:val="18"/>
          <w:szCs w:val="18"/>
          <w:color w:val="auto"/>
        </w:rPr>
        <w:t>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intended business objectives.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(GAAP) and applicable rules and regulations of the Securities and Exchange Commission (SEC) regarding interim financial reporting. Certain information and note disclosures normally included in the financial statements prepared in accordance with GAAP have been condensed or omitted in accordance with such rules and regulations. The accompanying condensed consolidated financial statements as of and for the nine months ended September 30, 2019 include the accounts of the Company and its wholly owned subsidiary, Warp Drive Bio, Inc. (Warp Drive). The accompanying condensed consolidated financial statements as of and for the nine months ended September 30, 2018 include only the accounts of Revolution Medicines, Inc. All intercompany balances and transactions have been eliminated in consolidation. The functional and reporting currency of the Company and its subsidiary is the U.S. dollar.</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2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On January 30, 2020, the Company’s board of directors approved a 1-for-4.8661 reverse stock split of the Company’s common stock and redeemable convertible preferred stock to be consummated prior to the effectiveness of the Company’s planned initial public offering (“IPO”). The par value and authorized shares of the common stock and redeemable convertible preferred stock were not adjusted as a result of the reverse stock split. All issued and outstanding common stock, options to purchase common stock and per share amounts contained in the financial statements have been retroactively adjusted to give effect to the reverse stock split for all periods presented.</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80"/>
          </w:cols>
          <w:pgMar w:left="240" w:top="459" w:right="4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interim condensed consolidated financial statements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accompanying condensed consolidated balance sheet as of September 30, 2019 and the condensed consolidated statements of operations and comprehensive loss, the condensed consolidated statements of cash flows and the condensed consolidated statements of redeemable convertible preferred stock and stockholders’ deficit for the nine months ended September 30, 2018 and 2019 are unaudited. The financial data and other information disclosed in these notes related to the nine months ended September 30, 2018 and 2019 are also unaudited. The condensed consolidated balance sheet data as of December 31, 2018 was derived from audited financial statements as of that date, but does not include all disclosures required by GAAP.</w:t>
      </w:r>
    </w:p>
    <w:p>
      <w:pPr>
        <w:spacing w:after="0" w:line="102"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unaudited interim consolidated financial statements have been prepared on the same basis as the audited annual consolidated financial statements as of and for the year ended December 31, 2018, and, in the opinion of management, reflect all adjustments, which include only normal recurring adjustments, necessary for the fair statement of the Company’s financial position as of September 30, 2019, and the results of its operations and its cash flows for the nine months ended September 30, 2018 and 2019. These unaudited interim condensed consolidated financial statements should be read in conjunction with the audited consolidated financial statements as of and for the year ended December 31, 2018, and the notes thereto, which are included elsewhere in this Registration Statement. The results for the nine months ended September 30, 2019 are not necessarily indicative of results to be expected for the year ending December 31, 2019, any other interim periods, or any future year or periods.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clinical accruals, valuation of in-process research and development and developed technologies, valuation of the redeemable convertible preferred stock liability, income taxes, useful lives of property and equipment and intangible assets, impairment of goodwill, and stock- based compensation. Actual results could materially differ from those estimates</w:t>
      </w:r>
      <w:r>
        <w:rPr>
          <w:rFonts w:ascii="Arial" w:cs="Arial" w:eastAsia="Arial" w:hAnsi="Arial"/>
          <w:sz w:val="16"/>
          <w:szCs w:val="16"/>
          <w:i w:val="1"/>
          <w:iCs w:val="1"/>
          <w:color w:val="auto"/>
        </w:rPr>
        <w:t>.</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24"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The unaudited pro forma information as of September 30, 2019 has been prepared to give effect to the automatic conversion of all of the outstanding redeemable convertible preferred stock of the Company on a one-to-one basis into 39,600,423 shares of common stock, which will occur upon the closing of an IPO of common stock resulting in at least $50 million in gross proceeds at a minimum price of $10.03 per share of common stock, subject to adjustment for stock dividends, stock splits, combinations or other similar recapitalizations (a Qualified IPO). The unaudited pro forma information does not assume any proceeds from an IPO.</w:t>
      </w:r>
    </w:p>
    <w:p>
      <w:pPr>
        <w:spacing w:after="0" w:line="103"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unaudited pro forma basic and diluted net loss per share for the nine months ended September 30, 2019 has been computed to give effect to (1) an adjustment to the denominator in the pro forma basic and diluted net loss per share calculation for the automatic conversion of the redeemable convertible preferred stock into shares of common stock, which will occur upon the closing of a Qualified IPO, as of the beginning of the period or the date of issuance, if later and (2) an adjustment to the numerator in the pro forma basic and diluted net loss per share calculation to remove the cumulative but undeclared redeemable convertible preferred stock dividends.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240" w:top="460"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 As of December 31, 2018, cash equivalents consist of amounts invested in money market funds. As of September 30, 2019, cash equivalents consist of amounts invested in money market funds and investments in U.S. government agency bonds, commercial paper and corporate bonds with original maturities of three months or less at the date of purchase.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24" w:lineRule="exact"/>
        <w:rPr>
          <w:sz w:val="20"/>
          <w:szCs w:val="20"/>
          <w:color w:val="auto"/>
        </w:rPr>
      </w:pPr>
    </w:p>
    <w:p>
      <w:pPr>
        <w:ind w:left="200" w:right="40"/>
        <w:spacing w:after="0" w:line="268" w:lineRule="auto"/>
        <w:rPr>
          <w:sz w:val="20"/>
          <w:szCs w:val="20"/>
          <w:color w:val="auto"/>
        </w:rPr>
      </w:pPr>
      <w:r>
        <w:rPr>
          <w:rFonts w:ascii="Arial" w:cs="Arial" w:eastAsia="Arial" w:hAnsi="Arial"/>
          <w:sz w:val="16"/>
          <w:szCs w:val="16"/>
          <w:color w:val="auto"/>
        </w:rPr>
        <w:t>Investments in marketable securities primarily consist of U.S. government debt securities, U.S. government agency bonds, commercial paper and corporate bonds. The Company has classified its marketable securities as available-for-sale and may sell these securities prior to their stated maturities. The Company views these marketable securities as available to support current operations, and classifies marketable securities with maturities beyond 12 months as current assets. The Company’s investments in marketable securities are carried at estimated fair value, which is derived from independent pricing sources based on quoted prices in active markets for similar securities. Unrealized gains and losses are reported as a component of accumulated other comprehensive income on the condensed consolidated balance sheets until realized. The amortized cost of marketable securities is adjusted for amortization of premiums and accretion of discounts to maturity, which is included in interest income on the condensed consolidated statements of operations and comprehensive loss. Realized gains and losses are included in interest income on the condensed consolidated statements of operations and comprehensive loss.</w:t>
      </w:r>
    </w:p>
    <w:p>
      <w:pPr>
        <w:spacing w:after="0" w:line="8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periodically evaluates its investments to assess whether those with unrealized loss positions are other than temporarily impaired. The Company considers various factors in determining whether to recognize an impairment charge. If the Company determines that the decline in an investment’s fair value is other-than-temporary, the difference is recognized as an impairment loss in the condensed consolidated statements of operations and comprehensive loss. As of September 30, 2019, no other-than-temporary-impairment has been recorded.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4"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As of December 31, 2018 and September 30, 2019, the Company had $0.2 million of noncurrent restricted cash related to a Company-issued letter of credit in connection with a lease. The entire amount is held in a separate bank account to support a letter of credit agreement for the lease. There was no restricted cash as of September 30,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24"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Company’s cash is held by one financial institution in the United States, which management believes to be of high credit quality. Deposits at this financial institution may at times exceed federally insured limits. The Company invests in money market funds, U.S. government debt securities, U.S. government agency bonds, commercial paper and corporate bonds with high-quality accredited financial institutions. The Company has not experienced any losses on its deposits of cash and cash equivalents.</w:t>
      </w:r>
    </w:p>
    <w:p>
      <w:pPr>
        <w:spacing w:after="0" w:line="103"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The Company is subject to credit risk as its receivable from related party and collaboration revenue, related party are entirely related to its collaboration agreement with Sanofi. See Note 7, “Sanofi collaboration agreement.”</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00"/>
          </w:cols>
          <w:pgMar w:left="240" w:top="460"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24" w:lineRule="exact"/>
        <w:rPr>
          <w:sz w:val="20"/>
          <w:szCs w:val="20"/>
          <w:color w:val="auto"/>
        </w:rPr>
      </w:pPr>
    </w:p>
    <w:p>
      <w:pPr>
        <w:ind w:left="200" w:right="280"/>
        <w:spacing w:after="0" w:line="299" w:lineRule="auto"/>
        <w:rPr>
          <w:sz w:val="20"/>
          <w:szCs w:val="20"/>
          <w:color w:val="auto"/>
        </w:rPr>
      </w:pPr>
      <w:r>
        <w:rPr>
          <w:rFonts w:ascii="Arial" w:cs="Arial" w:eastAsia="Arial" w:hAnsi="Arial"/>
          <w:sz w:val="16"/>
          <w:szCs w:val="16"/>
          <w:color w:val="auto"/>
        </w:rPr>
        <w:t>The carrying amounts of the Company’s certain financial instruments, including cash equivalents, accounts payable and accrued expenses and other current liabilities approximate fair value due to their relatively short maturities and market interest rates, if applicable.</w:t>
      </w:r>
    </w:p>
    <w:p>
      <w:pPr>
        <w:spacing w:after="0" w:line="55"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Assets and liabilities recorded at fair value on a recurring basis in the condensed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1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1—Observable inputs such as unadjusted, quoted prices in active markets for identical assets or liabilities at the measurement date;</w:t>
      </w:r>
    </w:p>
    <w:p>
      <w:pPr>
        <w:spacing w:after="0" w:line="127" w:lineRule="exact"/>
        <w:rPr>
          <w:sz w:val="20"/>
          <w:szCs w:val="20"/>
          <w:color w:val="auto"/>
        </w:rPr>
      </w:pPr>
    </w:p>
    <w:p>
      <w:pPr>
        <w:ind w:left="420" w:right="20"/>
        <w:spacing w:after="0" w:line="238"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100" w:lineRule="exact"/>
        <w:rPr>
          <w:sz w:val="20"/>
          <w:szCs w:val="20"/>
          <w:color w:val="auto"/>
        </w:rPr>
      </w:pPr>
    </w:p>
    <w:p>
      <w:pPr>
        <w:ind w:left="420" w:right="420"/>
        <w:spacing w:after="0" w:line="239"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24"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on a straight-line basis over the estimated useful lives of the related assets, which is generally three to five years. Leasehold improvements are amortized using the straight-line method over the shorter of the assets’ estimated useful lives or the remaining term of the lease. Maintenance and repairs are charged to operating expenses as incurred. Upon sale or retirement of assets, the cost and related accumulated depreciation are removed from the condensed consolidated balance sheet and the resulting gain or loss is reflected in the condensed consolidated statement of operations and comprehensive loss.</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Useful lives of property and equipment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Property and equipment</w:t>
            </w:r>
          </w:p>
        </w:tc>
        <w:tc>
          <w:tcPr>
            <w:tcW w:w="716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Estimated useful life</w:t>
            </w:r>
          </w:p>
        </w:tc>
      </w:tr>
      <w:tr>
        <w:trPr>
          <w:trHeight w:val="199"/>
        </w:trPr>
        <w:tc>
          <w:tcPr>
            <w:tcW w:w="3880" w:type="dxa"/>
            <w:vAlign w:val="bottom"/>
          </w:tcPr>
          <w:p>
            <w:pPr>
              <w:spacing w:after="0" w:line="200" w:lineRule="exact"/>
              <w:rPr>
                <w:sz w:val="20"/>
                <w:szCs w:val="20"/>
                <w:color w:val="auto"/>
              </w:rPr>
            </w:pPr>
            <w:r>
              <w:rPr>
                <w:rFonts w:ascii="Arial" w:cs="Arial" w:eastAsia="Arial" w:hAnsi="Arial"/>
                <w:sz w:val="18"/>
                <w:szCs w:val="18"/>
                <w:color w:val="auto"/>
              </w:rPr>
              <w:t>Laboratory equipment</w:t>
            </w:r>
          </w:p>
        </w:tc>
        <w:tc>
          <w:tcPr>
            <w:tcW w:w="7160" w:type="dxa"/>
            <w:vAlign w:val="bottom"/>
          </w:tcPr>
          <w:p>
            <w:pPr>
              <w:ind w:left="1200"/>
              <w:spacing w:after="0" w:line="200" w:lineRule="exact"/>
              <w:rPr>
                <w:sz w:val="20"/>
                <w:szCs w:val="20"/>
                <w:color w:val="auto"/>
              </w:rPr>
            </w:pPr>
            <w:r>
              <w:rPr>
                <w:rFonts w:ascii="Arial" w:cs="Arial" w:eastAsia="Arial" w:hAnsi="Arial"/>
                <w:sz w:val="18"/>
                <w:szCs w:val="18"/>
                <w:color w:val="auto"/>
              </w:rPr>
              <w:t>4-5 years</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7160" w:type="dxa"/>
            <w:vAlign w:val="bottom"/>
          </w:tcPr>
          <w:p>
            <w:pPr>
              <w:ind w:left="1200"/>
              <w:spacing w:after="0" w:line="202" w:lineRule="exact"/>
              <w:rPr>
                <w:sz w:val="20"/>
                <w:szCs w:val="20"/>
                <w:color w:val="auto"/>
              </w:rPr>
            </w:pPr>
            <w:r>
              <w:rPr>
                <w:rFonts w:ascii="Arial" w:cs="Arial" w:eastAsia="Arial" w:hAnsi="Arial"/>
                <w:sz w:val="18"/>
                <w:szCs w:val="18"/>
                <w:color w:val="auto"/>
              </w:rPr>
              <w:t>Lesser of estimated useful life or remaining lease term</w:t>
            </w: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7160" w:type="dxa"/>
            <w:vAlign w:val="bottom"/>
          </w:tcPr>
          <w:p>
            <w:pPr>
              <w:ind w:left="1200"/>
              <w:spacing w:after="0" w:line="202" w:lineRule="exact"/>
              <w:rPr>
                <w:sz w:val="20"/>
                <w:szCs w:val="20"/>
                <w:color w:val="auto"/>
              </w:rPr>
            </w:pPr>
            <w:r>
              <w:rPr>
                <w:rFonts w:ascii="Arial" w:cs="Arial" w:eastAsia="Arial" w:hAnsi="Arial"/>
                <w:sz w:val="18"/>
                <w:szCs w:val="18"/>
                <w:color w:val="auto"/>
              </w:rPr>
              <w:t>3 years</w:t>
            </w:r>
          </w:p>
        </w:tc>
      </w:tr>
      <w:tr>
        <w:trPr>
          <w:trHeight w:val="212"/>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Furniture and fixtures</w:t>
            </w:r>
          </w:p>
        </w:tc>
        <w:tc>
          <w:tcPr>
            <w:tcW w:w="71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5 years</w:t>
            </w: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Long-lived assets are reviewed for indications of possible impairment whenever events or changes in circumstances indicate that the carrying amount of an asset or asset group may not be recoverable. Recoverability is measured by comparison of the carrying amounts of the asset group to the future undiscounted cash flows attributable to these assets. An impairment loss is recognized to the extent an asset group is not recoverable, and the carrying amount exceeds the projected discounted future cash flows arising from these assets. There were no impairments of long-lived assets for any of the periods presented.</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240" w:top="459" w:right="4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Indefinite-lived intangible assets represent the estimated fair value assigned to in-process research and development (IPR&amp;D) acquired in a business combination. The Company reviews indefinite-lived intangible assets for impairment at least annually or more frequently if events or changes in circumstances indicate that the carrying value of the assets might not be recoverable. If the carrying value of an indefinite-lived intangible asset exceeds its fair value, then it is written down to its fair value. As of September 30, 2019, no such impairment has been recorded. For IPR&amp;D, if a product candidate derived from the indefinite-lived intangible asset is developed and commercialized, the useful life will be determined, and the carrying value will be amortized prospectively over that estimated useful life. Alternatively, if a product candidate is abandoned, the carrying value of the intangible asset will be immediately charged to research and development expenses in the condensed consolidated statements of operations and comprehensive loss.</w:t>
      </w:r>
    </w:p>
    <w:p>
      <w:pPr>
        <w:spacing w:after="0" w:line="10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Finite-lived intangible assets acquired in a business combination are recognized separately from goodwill and are initially recognized at their fair value at the acquisition date and are carried at cost less accumulated amortization and impairment. Amortization is computed using the straight- line method over the estimated useful lives of the respective finite-lived intangible assets. Intangible assets are reviewed for impairment at least annually or more frequently if indicators of potential impairment exist. As of September 30, 2019, no such impairment has been recorded.</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Goodwill</w:t>
      </w:r>
    </w:p>
    <w:p>
      <w:pPr>
        <w:spacing w:after="0" w:line="124" w:lineRule="exact"/>
        <w:rPr>
          <w:sz w:val="20"/>
          <w:szCs w:val="20"/>
          <w:color w:val="auto"/>
        </w:rPr>
      </w:pPr>
    </w:p>
    <w:p>
      <w:pPr>
        <w:ind w:left="200" w:right="40"/>
        <w:spacing w:after="0" w:line="268" w:lineRule="auto"/>
        <w:rPr>
          <w:sz w:val="20"/>
          <w:szCs w:val="20"/>
          <w:color w:val="auto"/>
        </w:rPr>
      </w:pPr>
      <w:r>
        <w:rPr>
          <w:rFonts w:ascii="Arial" w:cs="Arial" w:eastAsia="Arial" w:hAnsi="Arial"/>
          <w:sz w:val="16"/>
          <w:szCs w:val="16"/>
          <w:color w:val="auto"/>
        </w:rPr>
        <w:t>Goodwill represents the excess of the purchase price over the estimated fair value of the net tangible and intangible assets acquired in a business combination. The Company reviews goodwill for impairment at least annually or more frequently if events or changes in circumstances indicate that the carrying value of goodwill may not be recoverable. Goodwill is tested for impairment at the reporting unit level by first assessing the qualitative factors to determine whether it is more likely than not that the fair value of the Company’s single reporting unit is less than its carrying amount. Qualitative indicators assessed include consideration of macroeconomic, industry and market conditions, the Company’s overall financial performance and personnel or strategy changes. Based on the qualitative assessment, if it is determined that it is more likely than not that its fair value is less than its carrying amount, the fair value of the Company’s single reporting unit is compared to its carrying value. Any excess of the goodwill carrying amount over the fair value is recognized as an impairment loss, and the carrying value of goodwill is written down to fair value. As of September 30, 2019, no goodwill impairment has been identified.</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Company records all shares of redeemable convertible preferred stock at their respective fair values on the dates of issuance, net of issuance costs. The redeemable convertible preferred stock is recorded outside of permanent equity because while it is not mandatorily redeemable, in the event of certain events considered not solely within the Company’s control, such as a merger, acquisition or sale of all or substantially all of the Company’s assets (each, a “deemed liquidation event”), the redeemable convertible preferred stock will become redeemable at the option of the holders of at least a majority of the then outstanding such shares. The Company has not adjusted the carrying values of the redeemable convertible preferred stock to the liquidation preferences of such shares because it is uncertain whether or when a deemed liquidation event would occur that would obligate the Company to pay the liquidation preferences to holders of shares of redeemable convertible preferred stock. Subsequent adjustments to the carrying values to the liquidation preferences will be made only when it becomes probable that such a deemed liquidation event will occur.</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20"/>
          </w:cols>
          <w:pgMar w:left="240" w:top="460"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Redeemable convertible preferred stock liability</w:t>
      </w:r>
    </w:p>
    <w:p>
      <w:pPr>
        <w:spacing w:after="0" w:line="12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Company’s March 2018 issuance and sale of Series B redeemable convertible preferred stock was tranched into two funding dates, a first closing in March 2018, and a second closing to purchase additional shares in June 2018. The Company classified the obligation for the future purchase of additional shares under the second closing as a liability on the Company’s condensed consolidated balance sheets as the obligation met the definition of a freestanding financial instrument. This redeemable convertible preferred stock tranche liability was initially recorded at a fair value of $0.2 million on the date of issuance and was subsequently remeasured to fair value at each reporting date using Level 3 fair value inputs. Changes in the fair value of the redeemable convertible preferred stock tranche obligation of $2.1 million were recognized as a component of other income (expense), net in the condensed consolidated statements of operations and comprehensive loss until the tranche obligation was fulfilled and extinguished upon the second closing in June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6" w:lineRule="exact"/>
        <w:rPr>
          <w:sz w:val="20"/>
          <w:szCs w:val="20"/>
          <w:color w:val="auto"/>
        </w:rPr>
      </w:pPr>
    </w:p>
    <w:p>
      <w:pPr>
        <w:ind w:left="200" w:right="100"/>
        <w:spacing w:after="0" w:line="267" w:lineRule="auto"/>
        <w:rPr>
          <w:sz w:val="20"/>
          <w:szCs w:val="20"/>
          <w:color w:val="auto"/>
        </w:rPr>
      </w:pPr>
      <w:r>
        <w:rPr>
          <w:rFonts w:ascii="Arial" w:cs="Arial" w:eastAsia="Arial" w:hAnsi="Arial"/>
          <w:sz w:val="16"/>
          <w:szCs w:val="16"/>
          <w:color w:val="auto"/>
        </w:rPr>
        <w:t xml:space="preserve">Effective January 1, 2018, the Company adopted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using the full retrospective transition method. The Company did not have any effective contracts within the scope of this guidance prior to January 1, 2018. Accordingly, the Company did not elect to use any of the practical expedients permitted related to adoption, and the adoption of ASC 606 had no impact on the Company’s financial position, results of operations or liquidity. Under ASC 606, 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w:t>
      </w:r>
    </w:p>
    <w:p>
      <w:pPr>
        <w:spacing w:after="0" w:line="3" w:lineRule="exact"/>
        <w:rPr>
          <w:sz w:val="20"/>
          <w:szCs w:val="20"/>
          <w:color w:val="auto"/>
        </w:rPr>
      </w:pPr>
    </w:p>
    <w:p>
      <w:pPr>
        <w:ind w:left="200" w:right="120" w:firstLine="4"/>
        <w:spacing w:after="0" w:line="236" w:lineRule="auto"/>
        <w:tabs>
          <w:tab w:leader="none" w:pos="444"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 (iii) determine the transaction price; (iv) allocate the transaction price to the performance obligations in the contract; and (v) recognize revenue when (or as) the Company satisfies a performance obligation.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02"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color w:val="auto"/>
        </w:rPr>
        <w:t>The Company enters into collaboration agreements under which it may obtain upfront license fees, research and development funding, and development, regulatory and commercial milestone payments and royalty payments. The Company’s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83"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the Company recognizes revenue from upfront license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The Company evaluates the measure of proportional performance each reporting period and, if necessary, adjusts the measure of performance and related revenue recognition.</w:t>
      </w:r>
    </w:p>
    <w:p>
      <w:pPr>
        <w:spacing w:after="0" w:line="83" w:lineRule="exact"/>
        <w:rPr>
          <w:sz w:val="20"/>
          <w:szCs w:val="20"/>
          <w:color w:val="auto"/>
        </w:rPr>
      </w:pPr>
    </w:p>
    <w:p>
      <w:pPr>
        <w:ind w:left="200" w:right="120"/>
        <w:spacing w:after="0" w:line="260" w:lineRule="auto"/>
        <w:rPr>
          <w:sz w:val="20"/>
          <w:szCs w:val="20"/>
          <w:color w:val="auto"/>
        </w:rPr>
      </w:pPr>
      <w:r>
        <w:rPr>
          <w:rFonts w:ascii="Arial" w:cs="Arial" w:eastAsia="Arial" w:hAnsi="Arial"/>
          <w:sz w:val="18"/>
          <w:szCs w:val="18"/>
          <w:i w:val="1"/>
          <w:iCs w:val="1"/>
          <w:color w:val="auto"/>
        </w:rPr>
        <w:t xml:space="preserve">Research, development and regulatory milestone payments: </w:t>
      </w:r>
      <w:r>
        <w:rPr>
          <w:rFonts w:ascii="Arial" w:cs="Arial" w:eastAsia="Arial" w:hAnsi="Arial"/>
          <w:sz w:val="18"/>
          <w:szCs w:val="18"/>
          <w:color w:val="auto"/>
        </w:rPr>
        <w:t>At the inception of each arrangement that includes research,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regulatory milestone payments, the Company evaluates whether the</w:t>
      </w:r>
    </w:p>
    <w:p>
      <w:pPr>
        <w:spacing w:after="0" w:line="1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00"/>
          </w:cols>
          <w:pgMar w:left="24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83" w:lineRule="exact"/>
        <w:rPr>
          <w:sz w:val="20"/>
          <w:szCs w:val="20"/>
          <w:color w:val="auto"/>
        </w:rPr>
      </w:pPr>
    </w:p>
    <w:p>
      <w:pPr>
        <w:ind w:left="200" w:right="140"/>
        <w:spacing w:after="0" w:line="241" w:lineRule="auto"/>
        <w:rPr>
          <w:sz w:val="20"/>
          <w:szCs w:val="20"/>
          <w:color w:val="auto"/>
        </w:rPr>
      </w:pPr>
      <w:r>
        <w:rPr>
          <w:rFonts w:ascii="Arial" w:cs="Arial" w:eastAsia="Arial" w:hAnsi="Arial"/>
          <w:sz w:val="18"/>
          <w:szCs w:val="18"/>
          <w:i w:val="1"/>
          <w:iCs w:val="1"/>
          <w:color w:val="auto"/>
        </w:rPr>
        <w:t xml:space="preserve">Sales-based milestones and royalties: </w:t>
      </w:r>
      <w:r>
        <w:rPr>
          <w:rFonts w:ascii="Arial" w:cs="Arial" w:eastAsia="Arial" w:hAnsi="Arial"/>
          <w:sz w:val="18"/>
          <w:szCs w:val="18"/>
          <w:color w:val="auto"/>
        </w:rPr>
        <w:t>For arrangements that include sales-based milestone or royalty payments based on the level of</w:t>
      </w:r>
      <w:r>
        <w:rPr>
          <w:rFonts w:ascii="Arial" w:cs="Arial" w:eastAsia="Arial" w:hAnsi="Arial"/>
          <w:sz w:val="18"/>
          <w:szCs w:val="18"/>
          <w:i w:val="1"/>
          <w:iCs w:val="1"/>
          <w:color w:val="auto"/>
        </w:rPr>
        <w:t xml:space="preserve"> </w:t>
      </w:r>
      <w:r>
        <w:rPr>
          <w:rFonts w:ascii="Arial" w:cs="Arial" w:eastAsia="Arial" w:hAnsi="Arial"/>
          <w:sz w:val="18"/>
          <w:szCs w:val="18"/>
          <w:color w:val="auto"/>
        </w:rPr>
        <w:t>sales, and in 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10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Deferred revenue, which is a contract liability, represents amounts received by the Company in advance of the timing of revenue recognition. The current portion of deferred revenue represents the amount to be recognized as revenue within one year from the balance sheet date based on the estimated performance period of the underlying performance obligation. The noncurrent portion of deferred revenue represents amounts to be recognized as revenue after one year from the balance sheet date through the end of the performance period of the performance obligation.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124"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Research and development expenses consist of costs incurred for the Company’s own and for collaborative research and development activities. Research and development costs are expensed as incurred. Research and development costs consist of salaries and benefits, including associated stock-based compensation, and laboratory supplies and facility costs, depreciation expense, amortization of intangible assets, as well as fees paid to other entities that conduct certain research and development activities on the Company’s behalf. The Company estimates preclinical study and clinical trial expenses based on the services performed pursuant to contracts with research institutions and contract research organizations, or CROs, and clinical manufacturing organizations, or CMOs, that conduct and manage preclinical studies and clinical trials on the Company’s behalf based on actual time and expenses incurred by them. Further, the Company accrues expenses related to clinical trials based on the level of patient activity according to the related agreement. The Company monitors patient enrollment levels and related activity to the extent reasonably possible and adjusts estimates accordingly.</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measures its stock-based awards granted to employees and directors based on the estimated fair values of the awards and recognizes the compensation over the requisite service period. The Company uses the Black-Scholes option-pricing model to estimate the fair value of its stock-based awards. Stock-based compensation is recognized on a straight-line basis over the vesting period. Stock options granted to non-employees are recorded at their fair value on the measurement date and are subject to periodic adjustments as such options vest and at the end of each reporting period, and the resulting change in fair value, if any, is recognized in the Company’s condensed consolidated statements of operations and comprehensive loss during the period the related services are rendered.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4"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For the nine months ended September 30, 2018, there were no components of other comprehensive income (loss) for the Company, and comprehensive loss is the same as the net loss. For the nine months ended September 30, 2019, other comprehensive income includes net unrealized gains on marketable securities.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20"/>
          </w:cols>
          <w:pgMar w:left="240" w:top="460"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24"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unvested restricted stock awards and early exercise of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p>
    <w:p>
      <w:pPr>
        <w:spacing w:after="0" w:line="3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in stockholders’ deficit (equity) as a reduction of additional paid-in capital generated as a result of the equity financing. Should an in-process equity financing be abandoned, the deferred offering costs will be expensed immediately as a charge to operating expenses in the condensed consolidated statements of operations and comprehensive loss. As of September 30, 2019, $1.3 million of deferred offering costs were capitalized in other noncurrent assets on the condensed consolidated balance sheets. There were no deferred offering costs as of December 31, 2018.</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24"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The Company has one operating and reportable segment. The Company’s chief operating decision maker, its Chief Executive Officer, manages the Company’s operations on a consolidated basis for the purposes of allocating resources and evaluating financial performance. All of the Company’s long-lived assets are located in the United States.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06" w:lineRule="exact"/>
        <w:rPr>
          <w:sz w:val="20"/>
          <w:szCs w:val="20"/>
          <w:color w:val="auto"/>
        </w:rPr>
      </w:pPr>
    </w:p>
    <w:p>
      <w:pPr>
        <w:ind w:left="200" w:right="340"/>
        <w:spacing w:after="0" w:line="270" w:lineRule="auto"/>
        <w:rPr>
          <w:sz w:val="20"/>
          <w:szCs w:val="20"/>
          <w:color w:val="auto"/>
        </w:rPr>
      </w:pPr>
      <w:r>
        <w:rPr>
          <w:rFonts w:ascii="Arial" w:cs="Arial" w:eastAsia="Arial" w:hAnsi="Arial"/>
          <w:sz w:val="16"/>
          <w:szCs w:val="16"/>
          <w:color w:val="auto"/>
        </w:rPr>
        <w:t xml:space="preserve">In May 2014, the FASB issued Accounting Standards Update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Subsequently, the FASB also issued ASU No. 2015-14,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 which adjusted the effective date of ASU No. 2014-09; ASU No. 2016-08, </w:t>
      </w:r>
      <w:r>
        <w:rPr>
          <w:rFonts w:ascii="Arial" w:cs="Arial" w:eastAsia="Arial" w:hAnsi="Arial"/>
          <w:sz w:val="16"/>
          <w:szCs w:val="16"/>
          <w:i w:val="1"/>
          <w:iCs w:val="1"/>
          <w:color w:val="auto"/>
        </w:rPr>
        <w:t>Revenue from Contracts with Customers (Topic 606): Principal versus Agent Considerations</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 Revenue Gross versus Net)</w:t>
      </w:r>
      <w:r>
        <w:rPr>
          <w:rFonts w:ascii="Arial" w:cs="Arial" w:eastAsia="Arial" w:hAnsi="Arial"/>
          <w:sz w:val="16"/>
          <w:szCs w:val="16"/>
          <w:color w:val="auto"/>
        </w:rPr>
        <w:t>, which amends the principal-versus-agent implementation guidance and illustrations in ASU</w:t>
      </w:r>
    </w:p>
    <w:p>
      <w:pPr>
        <w:ind w:left="200"/>
        <w:spacing w:after="0" w:line="235" w:lineRule="auto"/>
        <w:rPr>
          <w:sz w:val="20"/>
          <w:szCs w:val="20"/>
          <w:color w:val="auto"/>
        </w:rPr>
      </w:pPr>
      <w:r>
        <w:rPr>
          <w:rFonts w:ascii="Arial" w:cs="Arial" w:eastAsia="Arial" w:hAnsi="Arial"/>
          <w:sz w:val="18"/>
          <w:szCs w:val="18"/>
          <w:color w:val="auto"/>
        </w:rPr>
        <w:t xml:space="preserve">No. 2014-09; ASU No. 2016-10, </w:t>
      </w:r>
      <w:r>
        <w:rPr>
          <w:rFonts w:ascii="Arial" w:cs="Arial" w:eastAsia="Arial" w:hAnsi="Arial"/>
          <w:sz w:val="18"/>
          <w:szCs w:val="18"/>
          <w:i w:val="1"/>
          <w:iCs w:val="1"/>
          <w:color w:val="auto"/>
        </w:rPr>
        <w:t>Revenue from Contracts with Customers (Topic 606): Identifying Performance Obligations and Licensing</w:t>
      </w:r>
      <w:r>
        <w:rPr>
          <w:rFonts w:ascii="Arial" w:cs="Arial" w:eastAsia="Arial" w:hAnsi="Arial"/>
          <w:sz w:val="18"/>
          <w:szCs w:val="18"/>
          <w:color w:val="auto"/>
        </w:rPr>
        <w:t>,</w:t>
      </w:r>
    </w:p>
    <w:p>
      <w:pPr>
        <w:ind w:left="200"/>
        <w:spacing w:after="0" w:line="235" w:lineRule="auto"/>
        <w:rPr>
          <w:sz w:val="20"/>
          <w:szCs w:val="20"/>
          <w:color w:val="auto"/>
        </w:rPr>
      </w:pPr>
      <w:r>
        <w:rPr>
          <w:rFonts w:ascii="Arial" w:cs="Arial" w:eastAsia="Arial" w:hAnsi="Arial"/>
          <w:sz w:val="18"/>
          <w:szCs w:val="18"/>
          <w:color w:val="auto"/>
        </w:rPr>
        <w:t>which clarifies identifying performance obligation and licensing implementation guidance and illustrations in ASU No. 2014-09; and ASU</w:t>
      </w:r>
    </w:p>
    <w:p>
      <w:pPr>
        <w:ind w:left="200"/>
        <w:spacing w:after="0"/>
        <w:rPr>
          <w:sz w:val="20"/>
          <w:szCs w:val="20"/>
          <w:color w:val="auto"/>
        </w:rPr>
      </w:pPr>
      <w:r>
        <w:rPr>
          <w:rFonts w:ascii="Arial" w:cs="Arial" w:eastAsia="Arial" w:hAnsi="Arial"/>
          <w:sz w:val="16"/>
          <w:szCs w:val="16"/>
          <w:color w:val="auto"/>
        </w:rPr>
        <w:t xml:space="preserve">No. 2016-12, </w:t>
      </w:r>
      <w:r>
        <w:rPr>
          <w:rFonts w:ascii="Arial" w:cs="Arial" w:eastAsia="Arial" w:hAnsi="Arial"/>
          <w:sz w:val="16"/>
          <w:szCs w:val="16"/>
          <w:i w:val="1"/>
          <w:iCs w:val="1"/>
          <w:color w:val="auto"/>
        </w:rPr>
        <w:t>Revenue from Contracts with Customers (Topic 606): Narrow-Scope Improvements and Practical Expedients</w:t>
      </w:r>
      <w:r>
        <w:rPr>
          <w:rFonts w:ascii="Arial" w:cs="Arial" w:eastAsia="Arial" w:hAnsi="Arial"/>
          <w:sz w:val="16"/>
          <w:szCs w:val="16"/>
          <w:color w:val="auto"/>
        </w:rPr>
        <w:t>, which addresses</w:t>
      </w:r>
    </w:p>
    <w:p>
      <w:pPr>
        <w:spacing w:after="0" w:line="1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implementation issues and is intended</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20"/>
          </w:cols>
          <w:pgMar w:left="240" w:top="460"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reduce the cost and complexity of applying the new revenue standard in ASU No. 2014-09 (collectively, the Revenue ASUs).</w:t>
      </w:r>
    </w:p>
    <w:p>
      <w:pPr>
        <w:spacing w:after="0" w:line="104"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The Revenue ASUs provide an accounting standard for a single comprehensive model for use in accounting for revenue arising from contracts with customers and supersedes most current revenue recognition guidance.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On January 1, 2018, the Company early adopted ASC 606 using the full retrospective method.</w:t>
      </w:r>
    </w:p>
    <w:p>
      <w:pPr>
        <w:spacing w:after="0" w:line="85"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 Recognition and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Assets and Financial Liabilities </w:t>
      </w:r>
      <w:r>
        <w:rPr>
          <w:rFonts w:ascii="Arial" w:cs="Arial" w:eastAsia="Arial" w:hAnsi="Arial"/>
          <w:sz w:val="18"/>
          <w:szCs w:val="18"/>
          <w:color w:val="auto"/>
        </w:rPr>
        <w:t>(ASU 2016-01). ASU 2016-01 enhances the reporting model for financial instruments,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amendments to address aspects of recognition, measurement, presentation and disclosure of financial instruments. In February 2018, the FASB issued ASU 2018-03</w:t>
      </w:r>
      <w:r>
        <w:rPr>
          <w:rFonts w:ascii="Arial" w:cs="Arial" w:eastAsia="Arial" w:hAnsi="Arial"/>
          <w:sz w:val="18"/>
          <w:szCs w:val="18"/>
          <w:i w:val="1"/>
          <w:iCs w:val="1"/>
          <w:color w:val="auto"/>
        </w:rPr>
        <w:t>, Technical Corrections and Improvements to Financial Instruments—Overall (Subtopic 825-10):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Recognition and Measurement of Financial Assets and Financial Liabilities </w:t>
      </w:r>
      <w:r>
        <w:rPr>
          <w:rFonts w:ascii="Arial" w:cs="Arial" w:eastAsia="Arial" w:hAnsi="Arial"/>
          <w:sz w:val="18"/>
          <w:szCs w:val="18"/>
          <w:color w:val="auto"/>
        </w:rPr>
        <w:t>(ASC 2018-03). The adoption of this guidance during the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2018 did not have an impact on the Company’s consolidated financial statements.</w:t>
      </w:r>
    </w:p>
    <w:p>
      <w:pPr>
        <w:spacing w:after="0" w:line="87"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 xml:space="preserve">In August 2016, the FASB issued ASU No. 2016-18, </w:t>
      </w:r>
      <w:r>
        <w:rPr>
          <w:rFonts w:ascii="Arial" w:cs="Arial" w:eastAsia="Arial" w:hAnsi="Arial"/>
          <w:sz w:val="18"/>
          <w:szCs w:val="18"/>
          <w:i w:val="1"/>
          <w:iCs w:val="1"/>
          <w:color w:val="auto"/>
        </w:rPr>
        <w:t>Restricted Cash, Statement of Cash Flows (Topic 230): Restricted Cash</w:t>
      </w:r>
      <w:r>
        <w:rPr>
          <w:rFonts w:ascii="Arial" w:cs="Arial" w:eastAsia="Arial" w:hAnsi="Arial"/>
          <w:sz w:val="18"/>
          <w:szCs w:val="18"/>
          <w:color w:val="auto"/>
        </w:rPr>
        <w:t xml:space="preserve"> (ASU 2016-18). ASU 2016-18 requires that a statement of cash flows explain the change during the period in the total of cash, cash 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The adoption of this guidance during the year ended December 31, 2018 did not have a material impact on the Company’s consolidated financial statements.</w:t>
      </w:r>
    </w:p>
    <w:p>
      <w:pPr>
        <w:spacing w:after="0" w:line="87"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Impairment </w:t>
      </w:r>
      <w:r>
        <w:rPr>
          <w:rFonts w:ascii="Arial" w:cs="Arial" w:eastAsia="Arial" w:hAnsi="Arial"/>
          <w:sz w:val="18"/>
          <w:szCs w:val="18"/>
          <w:color w:val="auto"/>
        </w:rPr>
        <w:t>(ASU 2017-04). ASU 2017-04 simplifies the measurement of goodwill by eliminating step two of the two-step impairment test.</w:t>
      </w:r>
      <w:r>
        <w:rPr>
          <w:rFonts w:ascii="Arial" w:cs="Arial" w:eastAsia="Arial" w:hAnsi="Arial"/>
          <w:sz w:val="18"/>
          <w:szCs w:val="18"/>
          <w:i w:val="1"/>
          <w:iCs w:val="1"/>
          <w:color w:val="auto"/>
        </w:rPr>
        <w:t xml:space="preserve"> </w:t>
      </w:r>
      <w:r>
        <w:rPr>
          <w:rFonts w:ascii="Arial" w:cs="Arial" w:eastAsia="Arial" w:hAnsi="Arial"/>
          <w:sz w:val="18"/>
          <w:szCs w:val="18"/>
          <w:color w:val="auto"/>
        </w:rPr>
        <w:t>Step two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early adoption of this guidance during the year ended December 31, 2018 did not have an impact on the Company’s consolidated financial statements.</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06" w:lineRule="exact"/>
        <w:rPr>
          <w:sz w:val="20"/>
          <w:szCs w:val="20"/>
          <w:color w:val="auto"/>
        </w:rPr>
      </w:pPr>
    </w:p>
    <w:p>
      <w:pPr>
        <w:ind w:left="200"/>
        <w:spacing w:after="0" w:line="272"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ASU 2016-02 provides accounting guidance for both lessee and lessor accounting models. The principle of ASU 2016-02 is that a lessee should recognize the assets and liabilities that arise from leases. Lessees will need to recognize a right-of-use asset and a lease liability for virtually all of their leases (other than leases that meet the definition of a short-term lease). The liability will be equal to the present value of lease payments. The asset will be based on the liability. For income statement purposes, ASU 2016-02 requires leases to be classified as either operating or finance. Operating leases will result in straight-line expense while finance leases will result in a front-loaded expense pattern. ASU 2016-02 is applicable to the Company for the fiscal year beginning after December 15, 2019, and interim periods within fiscal years beginning after December 15, 2020. Early adoption is permitted. In July 2018, the FASB issued supplemental adoption guidance and clarification to ASC 842 within ASU 2018-10, </w:t>
      </w:r>
      <w:r>
        <w:rPr>
          <w:rFonts w:ascii="Arial" w:cs="Arial" w:eastAsia="Arial" w:hAnsi="Arial"/>
          <w:sz w:val="16"/>
          <w:szCs w:val="16"/>
          <w:i w:val="1"/>
          <w:iCs w:val="1"/>
          <w:color w:val="auto"/>
        </w:rPr>
        <w:t>Codification</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220"/>
          </w:cols>
          <w:pgMar w:left="240" w:top="460" w:right="43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i w:val="1"/>
          <w:iCs w:val="1"/>
          <w:color w:val="auto"/>
        </w:rPr>
        <w:t>Improvements to Topic 842, Leases</w:t>
      </w:r>
      <w:r>
        <w:rPr>
          <w:rFonts w:ascii="Arial" w:cs="Arial" w:eastAsia="Arial" w:hAnsi="Arial"/>
          <w:sz w:val="18"/>
          <w:szCs w:val="18"/>
          <w:color w:val="auto"/>
        </w:rPr>
        <w:t>, ASU 2018-11,</w:t>
      </w:r>
      <w:r>
        <w:rPr>
          <w:rFonts w:ascii="Arial" w:cs="Arial" w:eastAsia="Arial" w:hAnsi="Arial"/>
          <w:sz w:val="18"/>
          <w:szCs w:val="18"/>
          <w:i w:val="1"/>
          <w:iCs w:val="1"/>
          <w:color w:val="auto"/>
        </w:rPr>
        <w:t xml:space="preserve"> Leases (Topic 842): Targeted Improvements </w:t>
      </w:r>
      <w:r>
        <w:rPr>
          <w:rFonts w:ascii="Arial" w:cs="Arial" w:eastAsia="Arial" w:hAnsi="Arial"/>
          <w:sz w:val="18"/>
          <w:szCs w:val="18"/>
          <w:color w:val="auto"/>
        </w:rPr>
        <w:t>and ASU 2019-01,</w:t>
      </w:r>
      <w:r>
        <w:rPr>
          <w:rFonts w:ascii="Arial" w:cs="Arial" w:eastAsia="Arial" w:hAnsi="Arial"/>
          <w:sz w:val="18"/>
          <w:szCs w:val="18"/>
          <w:i w:val="1"/>
          <w:iCs w:val="1"/>
          <w:color w:val="auto"/>
        </w:rPr>
        <w:t xml:space="preserve"> Leases (Topic 842): Codification Improvements. </w:t>
      </w:r>
      <w:r>
        <w:rPr>
          <w:rFonts w:ascii="Arial" w:cs="Arial" w:eastAsia="Arial" w:hAnsi="Arial"/>
          <w:sz w:val="18"/>
          <w:szCs w:val="18"/>
          <w:color w:val="auto"/>
        </w:rPr>
        <w:t>ASU 2018-11 provides another transition method in addition to the existing modified retrospective transition</w:t>
      </w:r>
      <w:r>
        <w:rPr>
          <w:rFonts w:ascii="Arial" w:cs="Arial" w:eastAsia="Arial" w:hAnsi="Arial"/>
          <w:sz w:val="18"/>
          <w:szCs w:val="18"/>
          <w:i w:val="1"/>
          <w:iCs w:val="1"/>
          <w:color w:val="auto"/>
        </w:rPr>
        <w:t xml:space="preserve"> </w:t>
      </w:r>
      <w:r>
        <w:rPr>
          <w:rFonts w:ascii="Arial" w:cs="Arial" w:eastAsia="Arial" w:hAnsi="Arial"/>
          <w:sz w:val="18"/>
          <w:szCs w:val="18"/>
          <w:color w:val="auto"/>
        </w:rPr>
        <w:t>method by allowing entities to initially apply the new leasing standard at the adoption date and recognize a cumulative-effect adjustment to the opening balance of retained earnings in the period of adoption. The Company plans to adopt these ASUs on January 1, 2020. While the Company continues to review its current accounting policies and practices to identify potential differences that would result from applying the new guidance, the Company currently believes the most significant changes will be related to the recognition of new right-of-use assets and lease liabilities in the Company’s consolidated balance sheet for operating leases. The Company expects to elect transitional practical expedients such that the Company will not need to reassess whether contracts are leases and will retain lease classification and initial direct costs for leases existing prior to the adoption of the new lease standard.</w:t>
      </w:r>
    </w:p>
    <w:p>
      <w:pPr>
        <w:spacing w:after="0" w:line="84" w:lineRule="exact"/>
        <w:rPr>
          <w:sz w:val="20"/>
          <w:szCs w:val="20"/>
          <w:color w:val="auto"/>
        </w:rPr>
      </w:pPr>
    </w:p>
    <w:p>
      <w:pPr>
        <w:ind w:left="200" w:right="120"/>
        <w:spacing w:after="0" w:line="267"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Instruments—Credit Losses (Topic 326): Measurement of Credit Losses 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Instruments </w:t>
      </w:r>
      <w:r>
        <w:rPr>
          <w:rFonts w:ascii="Arial" w:cs="Arial" w:eastAsia="Arial" w:hAnsi="Arial"/>
          <w:sz w:val="16"/>
          <w:szCs w:val="16"/>
          <w:color w:val="auto"/>
        </w:rPr>
        <w:t>(ASU 2016-13), which requires the measurement and recognition of expected credit losses for financial assets held at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amortized cost. ASU 2016-13 replaces the existing incurred loss impairment model with an expected loss model. It also eliminates the concept of other-than-temporary impairment and requires credit losses related to available-for-sale debt securities to be recorded through an allowance for credit losses rather than as a reduction in the amortized cost basis of the securities. These changes will result in earlier recognition of credit losses. In November 2018, the FASB issued ASU No. 2018-19, </w:t>
      </w:r>
      <w:r>
        <w:rPr>
          <w:rFonts w:ascii="Arial" w:cs="Arial" w:eastAsia="Arial" w:hAnsi="Arial"/>
          <w:sz w:val="16"/>
          <w:szCs w:val="16"/>
          <w:i w:val="1"/>
          <w:iCs w:val="1"/>
          <w:color w:val="auto"/>
        </w:rPr>
        <w:t>Codification Improvements to Topic 326,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Instruments—Credit Losses </w:t>
      </w:r>
      <w:r>
        <w:rPr>
          <w:rFonts w:ascii="Arial" w:cs="Arial" w:eastAsia="Arial" w:hAnsi="Arial"/>
          <w:sz w:val="16"/>
          <w:szCs w:val="16"/>
          <w:color w:val="auto"/>
        </w:rPr>
        <w:t>(ASU 2018-19) which narrowed the scope and changed the effective date for non-public entities for ASU</w:t>
      </w:r>
    </w:p>
    <w:p>
      <w:pPr>
        <w:spacing w:after="0" w:line="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2016-13. The FASB subsequently issued supplemental guidance within ASU No. 2019-05, </w:t>
      </w:r>
      <w:r>
        <w:rPr>
          <w:rFonts w:ascii="Arial" w:cs="Arial" w:eastAsia="Arial" w:hAnsi="Arial"/>
          <w:sz w:val="18"/>
          <w:szCs w:val="18"/>
          <w:i w:val="1"/>
          <w:iCs w:val="1"/>
          <w:color w:val="auto"/>
        </w:rPr>
        <w:t>Financial Instruments—Credit Losses (Topic 326):</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Targeted Transition Relief </w:t>
      </w:r>
      <w:r>
        <w:rPr>
          <w:rFonts w:ascii="Arial" w:cs="Arial" w:eastAsia="Arial" w:hAnsi="Arial"/>
          <w:sz w:val="18"/>
          <w:szCs w:val="18"/>
          <w:color w:val="auto"/>
        </w:rPr>
        <w:t>(ASU 2019-05). ASU 2019-05 provides an option to irrevocably elect the fair value option for certain financial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measured at amortized cost basis. ASU 2016-13 is applicable to the Company for the fiscal year beginning after December 15, 2021. Early adoption is permitted. The Company is currently evaluating the impact the adoption of these ASUs will have on its consolidated financial statements and related disclosures.</w:t>
      </w:r>
    </w:p>
    <w:p>
      <w:pPr>
        <w:spacing w:after="0" w:line="85"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 xml:space="preserve">In June 2018, the FASB issued ASU No. 2018-07, </w:t>
      </w:r>
      <w:r>
        <w:rPr>
          <w:rFonts w:ascii="Arial" w:cs="Arial" w:eastAsia="Arial" w:hAnsi="Arial"/>
          <w:sz w:val="18"/>
          <w:szCs w:val="18"/>
          <w:i w:val="1"/>
          <w:iCs w:val="1"/>
          <w:color w:val="auto"/>
        </w:rPr>
        <w:t>Compensation—Stock Compensation (Topic 718): Improvements to</w:t>
      </w:r>
      <w:r>
        <w:rPr>
          <w:rFonts w:ascii="Arial" w:cs="Arial" w:eastAsia="Arial" w:hAnsi="Arial"/>
          <w:sz w:val="18"/>
          <w:szCs w:val="18"/>
          <w:color w:val="auto"/>
        </w:rPr>
        <w:t xml:space="preserve"> Nonemployee Share-Based Payment Accounting (ASU 2018-07). ASU 2018-07 simplifies the accounting for share-based payments to nonemployees by aligning it with the accounting for share-based payments to employees, with certain exceptions. ASU 2018-07 is applicable to the Company for the fiscal year beginning after December 15, 2019, and interim periods within fiscal years beginning after December 15, 2020. Early adoption is permitted. The Company is currently evaluating the impact the adoption of this ASU will have on its consolidated financial statements and related disclosures.</w:t>
      </w:r>
    </w:p>
    <w:p>
      <w:pPr>
        <w:spacing w:after="0" w:line="87" w:lineRule="exact"/>
        <w:rPr>
          <w:sz w:val="20"/>
          <w:szCs w:val="20"/>
          <w:color w:val="auto"/>
        </w:rPr>
      </w:pPr>
    </w:p>
    <w:p>
      <w:pPr>
        <w:ind w:left="200" w:right="120"/>
        <w:spacing w:after="0" w:line="241"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Disclosure Framework</w:t>
      </w:r>
      <w:r>
        <w:rPr>
          <w:rFonts w:ascii="Arial" w:cs="Arial" w:eastAsia="Arial" w:hAnsi="Arial"/>
          <w:sz w:val="18"/>
          <w:szCs w:val="18"/>
          <w:color w:val="auto"/>
        </w:rPr>
        <w:t xml:space="preserve"> (ASU 2018-13). ASU 2018-13 is part of a broader disclosure framework project by the FASB to improve the effectiveness of disclosures by more clearly communicating the information to the user. ASU 2018-13 is applicable to the Company for the fiscal year beginning after December 15, 2019. Early adoption is permitted. The Company is currently evaluating the impact the adoption of this ASU will have on its consolidated financial statement disclosures.</w:t>
      </w:r>
    </w:p>
    <w:p>
      <w:pPr>
        <w:spacing w:after="0" w:line="82" w:lineRule="exact"/>
        <w:rPr>
          <w:sz w:val="20"/>
          <w:szCs w:val="20"/>
          <w:color w:val="auto"/>
        </w:rPr>
      </w:pPr>
    </w:p>
    <w:p>
      <w:pPr>
        <w:ind w:left="200" w:right="100"/>
        <w:spacing w:after="0" w:line="241"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Intangibles—Goodwill and Other-Internal-Use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ASU 2018-15</w:t>
      </w:r>
      <w:r>
        <w:rPr>
          <w:rFonts w:ascii="Arial" w:cs="Arial" w:eastAsia="Arial" w:hAnsi="Arial"/>
          <w:sz w:val="18"/>
          <w:szCs w:val="18"/>
          <w:i w:val="1"/>
          <w:iCs w:val="1"/>
          <w:color w:val="auto"/>
        </w:rPr>
        <w:t xml:space="preserve"> </w:t>
      </w:r>
      <w:r>
        <w:rPr>
          <w:rFonts w:ascii="Arial" w:cs="Arial" w:eastAsia="Arial" w:hAnsi="Arial"/>
          <w:sz w:val="18"/>
          <w:szCs w:val="18"/>
          <w:color w:val="auto"/>
        </w:rPr>
        <w:t>aligns the requirements for capitalizing implementation costs incurred in a cloud computing arrangement that is a service contract with the requirements for capitalizing implementation costs incurred to develop or obtain internal-use-software. This ASU is effective for the Company for the fiscal year beginning after December 31, 2020, and interim periods within fiscal years</w:t>
      </w:r>
    </w:p>
    <w:p>
      <w:pPr>
        <w:spacing w:after="0" w:line="14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220"/>
          </w:cols>
          <w:pgMar w:left="240" w:top="460"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beginning after December 31, 2021. The Company is currently evaluating the impact of this ASU on the Company’s consolidated financial statements.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3. Fair value measurements</w:t>
      </w:r>
    </w:p>
    <w:p>
      <w:pPr>
        <w:spacing w:after="0" w:line="134" w:lineRule="exact"/>
        <w:rPr>
          <w:sz w:val="20"/>
          <w:szCs w:val="20"/>
          <w:color w:val="auto"/>
        </w:rPr>
      </w:pPr>
    </w:p>
    <w:p>
      <w:pPr>
        <w:ind w:left="200" w:right="420"/>
        <w:spacing w:after="0" w:line="239" w:lineRule="auto"/>
        <w:rPr>
          <w:sz w:val="20"/>
          <w:szCs w:val="20"/>
          <w:color w:val="auto"/>
        </w:rPr>
      </w:pPr>
      <w:r>
        <w:rPr>
          <w:rFonts w:ascii="Arial" w:cs="Arial" w:eastAsia="Arial" w:hAnsi="Arial"/>
          <w:sz w:val="18"/>
          <w:szCs w:val="18"/>
          <w:color w:val="auto"/>
        </w:rPr>
        <w:t>The following table presents information about the Company’s financial assets that are measured at fair value and indicates the fair value hierarchy of the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8"/>
                <w:szCs w:val="18"/>
                <w:b w:val="1"/>
                <w:bCs w:val="1"/>
                <w:color w:val="auto"/>
              </w:rPr>
              <w:t>December 31, 2018</w:t>
            </w: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Total</w:t>
            </w: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Level 1</w:t>
            </w:r>
          </w:p>
        </w:tc>
        <w:tc>
          <w:tcPr>
            <w:tcW w:w="9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b w:val="1"/>
                <w:bCs w:val="1"/>
                <w:color w:val="auto"/>
              </w:rPr>
              <w:t>Level 2</w:t>
            </w:r>
          </w:p>
        </w:tc>
        <w:tc>
          <w:tcPr>
            <w:tcW w:w="8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Level 3</w:t>
            </w:r>
          </w:p>
        </w:tc>
      </w:tr>
      <w:tr>
        <w:trPr>
          <w:trHeight w:val="226"/>
        </w:trPr>
        <w:tc>
          <w:tcPr>
            <w:tcW w:w="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
        </w:trPr>
        <w:tc>
          <w:tcPr>
            <w:tcW w:w="5600" w:type="dxa"/>
            <w:vAlign w:val="bottom"/>
            <w:gridSpan w:val="2"/>
          </w:tcPr>
          <w:p>
            <w:pPr>
              <w:spacing w:after="0"/>
              <w:rPr>
                <w:sz w:val="3"/>
                <w:szCs w:val="3"/>
                <w:color w:val="auto"/>
              </w:rPr>
            </w:pPr>
          </w:p>
        </w:tc>
        <w:tc>
          <w:tcPr>
            <w:tcW w:w="1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funds(1)</w:t>
            </w:r>
          </w:p>
        </w:tc>
        <w:tc>
          <w:tcPr>
            <w:tcW w:w="2620" w:type="dxa"/>
            <w:vAlign w:val="bottom"/>
            <w:gridSpan w:val="2"/>
          </w:tcPr>
          <w:p>
            <w:pPr>
              <w:jc w:val="right"/>
              <w:ind w:right="72"/>
              <w:spacing w:after="0" w:line="202" w:lineRule="exact"/>
              <w:rPr>
                <w:sz w:val="20"/>
                <w:szCs w:val="20"/>
                <w:color w:val="auto"/>
              </w:rPr>
            </w:pPr>
            <w:r>
              <w:rPr>
                <w:rFonts w:ascii="Arial" w:cs="Arial" w:eastAsia="Arial" w:hAnsi="Arial"/>
                <w:sz w:val="18"/>
                <w:szCs w:val="18"/>
                <w:color w:val="auto"/>
              </w:rPr>
              <w:t>$69,353</w:t>
            </w:r>
          </w:p>
        </w:tc>
        <w:tc>
          <w:tcPr>
            <w:tcW w:w="10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$69,353</w:t>
            </w:r>
          </w:p>
        </w:tc>
        <w:tc>
          <w:tcPr>
            <w:tcW w:w="60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72"/>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Pr>
          <w:p>
            <w:pPr>
              <w:ind w:left="180"/>
              <w:spacing w:after="0" w:line="202" w:lineRule="exact"/>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Contingently returnable consideration asset(2)</w:t>
            </w:r>
          </w:p>
        </w:tc>
        <w:tc>
          <w:tcPr>
            <w:tcW w:w="18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310</w:t>
            </w:r>
          </w:p>
        </w:tc>
        <w:tc>
          <w:tcPr>
            <w:tcW w:w="100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7"/>
                <w:szCs w:val="17"/>
                <w:color w:val="auto"/>
              </w:rPr>
            </w:pPr>
          </w:p>
        </w:tc>
      </w:tr>
      <w:tr>
        <w:trPr>
          <w:trHeight w:val="222"/>
        </w:trPr>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262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8"/>
                <w:szCs w:val="18"/>
                <w:color w:val="auto"/>
              </w:rPr>
              <w:t>$69,663</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$69,353</w:t>
            </w:r>
          </w:p>
        </w:tc>
        <w:tc>
          <w:tcPr>
            <w:tcW w:w="60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60" w:type="dxa"/>
            <w:vAlign w:val="bottom"/>
          </w:tcPr>
          <w:p>
            <w:pPr>
              <w:spacing w:after="0"/>
              <w:rPr>
                <w:sz w:val="19"/>
                <w:szCs w:val="19"/>
                <w:color w:val="auto"/>
              </w:rPr>
            </w:pPr>
          </w:p>
        </w:tc>
      </w:tr>
      <w:tr>
        <w:trPr>
          <w:trHeight w:val="123"/>
        </w:trPr>
        <w:tc>
          <w:tcPr>
            <w:tcW w:w="20" w:type="dxa"/>
            <w:vAlign w:val="bottom"/>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r>
    </w:tbl>
    <w:p>
      <w:pPr>
        <w:spacing w:after="0" w:line="2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8"/>
                <w:szCs w:val="18"/>
                <w:b w:val="1"/>
                <w:bCs w:val="1"/>
                <w:color w:val="auto"/>
              </w:rPr>
              <w:t>September 30, 2019</w:t>
            </w:r>
          </w:p>
        </w:tc>
        <w:tc>
          <w:tcPr>
            <w:tcW w:w="4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2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Total</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Level 1</w:t>
            </w:r>
          </w:p>
        </w:tc>
        <w:tc>
          <w:tcPr>
            <w:tcW w:w="11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8"/>
                <w:szCs w:val="18"/>
                <w:b w:val="1"/>
                <w:bCs w:val="1"/>
                <w:color w:val="auto"/>
              </w:rPr>
              <w:t>Level 2</w:t>
            </w: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Level 3</w:t>
            </w:r>
          </w:p>
        </w:tc>
      </w:tr>
      <w:tr>
        <w:trPr>
          <w:trHeight w:val="226"/>
        </w:trPr>
        <w:tc>
          <w:tcPr>
            <w:tcW w:w="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60" w:type="dxa"/>
            <w:vAlign w:val="bottom"/>
            <w:gridSpan w:val="3"/>
          </w:tcPr>
          <w:p>
            <w:pPr>
              <w:jc w:val="right"/>
              <w:ind w:right="452"/>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
        </w:trPr>
        <w:tc>
          <w:tcPr>
            <w:tcW w:w="5300" w:type="dxa"/>
            <w:vAlign w:val="bottom"/>
            <w:gridSpan w:val="2"/>
          </w:tcPr>
          <w:p>
            <w:pPr>
              <w:spacing w:after="0"/>
              <w:rPr>
                <w:sz w:val="3"/>
                <w:szCs w:val="3"/>
                <w:color w:val="auto"/>
              </w:rPr>
            </w:pPr>
          </w:p>
        </w:tc>
        <w:tc>
          <w:tcPr>
            <w:tcW w:w="1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funds(1)</w:t>
            </w:r>
          </w:p>
        </w:tc>
        <w:tc>
          <w:tcPr>
            <w:tcW w:w="1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10,817</w:t>
            </w: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$10,817</w:t>
            </w:r>
          </w:p>
        </w:tc>
        <w:tc>
          <w:tcPr>
            <w:tcW w:w="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Commercial paper(1,3)</w:t>
            </w:r>
          </w:p>
        </w:tc>
        <w:tc>
          <w:tcPr>
            <w:tcW w:w="1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47,114</w:t>
            </w:r>
          </w:p>
        </w:tc>
        <w:tc>
          <w:tcPr>
            <w:tcW w:w="10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47,114</w:t>
            </w:r>
          </w:p>
        </w:tc>
        <w:tc>
          <w:tcPr>
            <w:tcW w:w="44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80" w:type="dxa"/>
            <w:vAlign w:val="bottom"/>
          </w:tcPr>
          <w:p>
            <w:pPr>
              <w:ind w:left="200"/>
              <w:spacing w:after="0" w:line="202" w:lineRule="exact"/>
              <w:rPr>
                <w:sz w:val="20"/>
                <w:szCs w:val="20"/>
                <w:color w:val="auto"/>
              </w:rPr>
            </w:pPr>
            <w:r>
              <w:rPr>
                <w:rFonts w:ascii="Arial" w:cs="Arial" w:eastAsia="Arial" w:hAnsi="Arial"/>
                <w:sz w:val="18"/>
                <w:szCs w:val="18"/>
                <w:color w:val="auto"/>
              </w:rPr>
              <w:t>U.S. government and agency securities(3)</w:t>
            </w:r>
          </w:p>
        </w:tc>
        <w:tc>
          <w:tcPr>
            <w:tcW w:w="1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39,193</w:t>
            </w: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8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39,193</w:t>
            </w:r>
          </w:p>
        </w:tc>
        <w:tc>
          <w:tcPr>
            <w:tcW w:w="440" w:type="dxa"/>
            <w:vAlign w:val="bottom"/>
          </w:tcPr>
          <w:p>
            <w:pPr>
              <w:spacing w:after="0"/>
              <w:rPr>
                <w:sz w:val="17"/>
                <w:szCs w:val="17"/>
                <w:color w:val="auto"/>
              </w:rPr>
            </w:pPr>
          </w:p>
        </w:tc>
        <w:tc>
          <w:tcPr>
            <w:tcW w:w="4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2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Corporate bonds(3)</w:t>
            </w:r>
          </w:p>
        </w:tc>
        <w:tc>
          <w:tcPr>
            <w:tcW w:w="18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39,943</w:t>
            </w:r>
          </w:p>
        </w:tc>
        <w:tc>
          <w:tcPr>
            <w:tcW w:w="10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39,943</w:t>
            </w:r>
          </w:p>
        </w:tc>
        <w:tc>
          <w:tcPr>
            <w:tcW w:w="44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22"/>
        </w:trPr>
        <w:tc>
          <w:tcPr>
            <w:tcW w:w="5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5"/>
              </w:rPr>
              <w:t>137,067</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$10,817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5"/>
              </w:rPr>
              <w:t>126,250</w:t>
            </w:r>
          </w:p>
        </w:tc>
        <w:tc>
          <w:tcPr>
            <w:tcW w:w="4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bl>
    <w:p>
      <w:pPr>
        <w:spacing w:after="0" w:line="67" w:lineRule="exact"/>
        <w:rPr>
          <w:sz w:val="20"/>
          <w:szCs w:val="20"/>
          <w:color w:val="auto"/>
        </w:rPr>
      </w:pPr>
    </w:p>
    <w:p>
      <w:pPr>
        <w:ind w:left="520" w:hanging="316"/>
        <w:spacing w:after="0"/>
        <w:tabs>
          <w:tab w:leader="none" w:pos="5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Included in cash and cash equivalents on the condensed consolidated balance sheets.</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Included in prepaid expenses and other current assets on the condensed consolidated balance sheets.</w:t>
      </w:r>
    </w:p>
    <w:p>
      <w:pPr>
        <w:spacing w:after="0" w:line="55" w:lineRule="exact"/>
        <w:rPr>
          <w:rFonts w:ascii="Arial" w:cs="Arial" w:eastAsia="Arial" w:hAnsi="Arial"/>
          <w:sz w:val="14"/>
          <w:szCs w:val="14"/>
          <w:color w:val="auto"/>
        </w:rPr>
      </w:pPr>
    </w:p>
    <w:p>
      <w:pPr>
        <w:ind w:left="520" w:hanging="316"/>
        <w:spacing w:after="0"/>
        <w:tabs>
          <w:tab w:leader="none" w:pos="52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Included in marketable securities on the condensed consolidated balance sheets.</w:t>
      </w:r>
    </w:p>
    <w:p>
      <w:pPr>
        <w:spacing w:after="0" w:line="45"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Money market funds are measured at fair value on a recurring basis using quoted prices. U.S. government debt securities, U.S. government agency bonds, commercial paper and corporate bonds are measured at fair value, which is derived from independent pricing sources based on quoted prices in active markets for similar securities.</w:t>
      </w:r>
    </w:p>
    <w:p>
      <w:pPr>
        <w:spacing w:after="0" w:line="10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The contingently returnable consideration asset relates to the fair value of the Warp Drive acquisition holdback, which was determined using an income-based approach. The key assumptions in determining the fair value are the discount rate and the probability assigned to the potential holdback. In March 2019, the events subject to the holdback occurred and the issued shares and cash were no longer subject to the holdback provision, reducing the fair value of the contingently returnable consideration asset to zero. The Company recorded $0.3 million in research and development expense in the condensed consolidated statement of operations and comprehensive loss related to this change in fair value.</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were no transfers between Levels 1, 2 or 3 for any of the periods presented.</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240" w:top="459" w:right="4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4. Marketable securities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Marketable securities are classified as available-for-sale investments and consist of the following at September 30, 2019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7"/>
              </w:rPr>
              <w:t>September 30, 2019</w:t>
            </w:r>
          </w:p>
        </w:tc>
        <w:tc>
          <w:tcPr>
            <w:tcW w:w="4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jc w:val="right"/>
              <w:ind w:right="352"/>
              <w:spacing w:after="0" w:line="177" w:lineRule="exact"/>
              <w:rPr>
                <w:sz w:val="20"/>
                <w:szCs w:val="20"/>
                <w:color w:val="auto"/>
              </w:rPr>
            </w:pPr>
            <w:r>
              <w:rPr>
                <w:rFonts w:ascii="Arial" w:cs="Arial" w:eastAsia="Arial" w:hAnsi="Arial"/>
                <w:sz w:val="18"/>
                <w:szCs w:val="18"/>
                <w:b w:val="1"/>
                <w:bCs w:val="1"/>
                <w:color w:val="auto"/>
                <w:w w:val="99"/>
              </w:rPr>
              <w:t>Gross</w:t>
            </w:r>
          </w:p>
        </w:tc>
        <w:tc>
          <w:tcPr>
            <w:tcW w:w="960" w:type="dxa"/>
            <w:vAlign w:val="bottom"/>
          </w:tcPr>
          <w:p>
            <w:pPr>
              <w:jc w:val="center"/>
              <w:ind w:left="332"/>
              <w:spacing w:after="0" w:line="177" w:lineRule="exact"/>
              <w:rPr>
                <w:sz w:val="20"/>
                <w:szCs w:val="20"/>
                <w:color w:val="auto"/>
              </w:rPr>
            </w:pPr>
            <w:r>
              <w:rPr>
                <w:rFonts w:ascii="Arial" w:cs="Arial" w:eastAsia="Arial" w:hAnsi="Arial"/>
                <w:sz w:val="18"/>
                <w:szCs w:val="18"/>
                <w:b w:val="1"/>
                <w:bCs w:val="1"/>
                <w:color w:val="auto"/>
                <w:w w:val="96"/>
              </w:rPr>
              <w:t>Gross</w:t>
            </w: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2440" w:type="dxa"/>
            <w:vAlign w:val="bottom"/>
            <w:gridSpan w:val="3"/>
          </w:tcPr>
          <w:p>
            <w:pPr>
              <w:ind w:left="1320"/>
              <w:spacing w:after="0" w:line="202" w:lineRule="exact"/>
              <w:rPr>
                <w:sz w:val="20"/>
                <w:szCs w:val="20"/>
                <w:color w:val="auto"/>
              </w:rPr>
            </w:pPr>
            <w:r>
              <w:rPr>
                <w:rFonts w:ascii="Arial" w:cs="Arial" w:eastAsia="Arial" w:hAnsi="Arial"/>
                <w:sz w:val="18"/>
                <w:szCs w:val="18"/>
                <w:b w:val="1"/>
                <w:bCs w:val="1"/>
                <w:color w:val="auto"/>
              </w:rPr>
              <w:t>Amortized</w:t>
            </w:r>
          </w:p>
        </w:tc>
        <w:tc>
          <w:tcPr>
            <w:tcW w:w="138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unrealized</w:t>
            </w:r>
          </w:p>
        </w:tc>
        <w:tc>
          <w:tcPr>
            <w:tcW w:w="1440" w:type="dxa"/>
            <w:vAlign w:val="bottom"/>
            <w:gridSpan w:val="2"/>
          </w:tcPr>
          <w:p>
            <w:pPr>
              <w:ind w:left="260"/>
              <w:spacing w:after="0" w:line="202" w:lineRule="exact"/>
              <w:rPr>
                <w:sz w:val="20"/>
                <w:szCs w:val="20"/>
                <w:color w:val="auto"/>
              </w:rPr>
            </w:pPr>
            <w:r>
              <w:rPr>
                <w:rFonts w:ascii="Arial" w:cs="Arial" w:eastAsia="Arial" w:hAnsi="Arial"/>
                <w:sz w:val="18"/>
                <w:szCs w:val="18"/>
                <w:b w:val="1"/>
                <w:bCs w:val="1"/>
                <w:color w:val="auto"/>
              </w:rPr>
              <w:t>unrealized</w:t>
            </w:r>
          </w:p>
        </w:tc>
        <w:tc>
          <w:tcPr>
            <w:tcW w:w="1160" w:type="dxa"/>
            <w:vAlign w:val="bottom"/>
            <w:gridSpan w:val="3"/>
          </w:tcPr>
          <w:p>
            <w:pPr>
              <w:ind w:left="240"/>
              <w:spacing w:after="0" w:line="202" w:lineRule="exact"/>
              <w:rPr>
                <w:sz w:val="20"/>
                <w:szCs w:val="20"/>
                <w:color w:val="auto"/>
              </w:rPr>
            </w:pPr>
            <w:r>
              <w:rPr>
                <w:rFonts w:ascii="Arial" w:cs="Arial" w:eastAsia="Arial" w:hAnsi="Arial"/>
                <w:sz w:val="18"/>
                <w:szCs w:val="18"/>
                <w:b w:val="1"/>
                <w:bCs w:val="1"/>
                <w:color w:val="auto"/>
              </w:rPr>
              <w:t>Estimated</w:t>
            </w:r>
          </w:p>
        </w:tc>
      </w:tr>
      <w:tr>
        <w:trPr>
          <w:trHeight w:val="221"/>
        </w:trPr>
        <w:tc>
          <w:tcPr>
            <w:tcW w:w="20" w:type="dxa"/>
            <w:vAlign w:val="bottom"/>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cost</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gain</w:t>
            </w:r>
          </w:p>
        </w:tc>
        <w:tc>
          <w:tcPr>
            <w:tcW w:w="960" w:type="dxa"/>
            <w:vAlign w:val="bottom"/>
            <w:tcBorders>
              <w:bottom w:val="single" w:sz="8" w:color="auto"/>
            </w:tcBorders>
          </w:tcPr>
          <w:p>
            <w:pPr>
              <w:jc w:val="center"/>
              <w:ind w:left="332"/>
              <w:spacing w:after="0"/>
              <w:rPr>
                <w:sz w:val="20"/>
                <w:szCs w:val="20"/>
                <w:color w:val="auto"/>
              </w:rPr>
            </w:pPr>
            <w:r>
              <w:rPr>
                <w:rFonts w:ascii="Arial" w:cs="Arial" w:eastAsia="Arial" w:hAnsi="Arial"/>
                <w:sz w:val="18"/>
                <w:szCs w:val="18"/>
                <w:b w:val="1"/>
                <w:bCs w:val="1"/>
                <w:color w:val="auto"/>
                <w:w w:val="94"/>
              </w:rPr>
              <w:t>loss</w:t>
            </w: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fair value</w:t>
            </w:r>
          </w:p>
        </w:tc>
      </w:tr>
      <w:tr>
        <w:trPr>
          <w:trHeight w:val="226"/>
        </w:trPr>
        <w:tc>
          <w:tcPr>
            <w:tcW w:w="2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6"/>
              </w:rPr>
              <w:t>(in thousands)</w:t>
            </w: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37"/>
        </w:trPr>
        <w:tc>
          <w:tcPr>
            <w:tcW w:w="4620" w:type="dxa"/>
            <w:vAlign w:val="bottom"/>
            <w:gridSpan w:val="2"/>
          </w:tcPr>
          <w:p>
            <w:pPr>
              <w:spacing w:after="0"/>
              <w:rPr>
                <w:sz w:val="3"/>
                <w:szCs w:val="3"/>
                <w:color w:val="auto"/>
              </w:rPr>
            </w:pPr>
          </w:p>
        </w:tc>
        <w:tc>
          <w:tcPr>
            <w:tcW w:w="1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400" w:type="dxa"/>
            <w:vAlign w:val="bottom"/>
          </w:tcPr>
          <w:p>
            <w:pPr>
              <w:spacing w:after="0"/>
              <w:rPr>
                <w:sz w:val="3"/>
                <w:szCs w:val="3"/>
                <w:color w:val="auto"/>
              </w:rPr>
            </w:pPr>
          </w:p>
        </w:tc>
        <w:tc>
          <w:tcPr>
            <w:tcW w:w="9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Marketable securities:</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82"/>
        </w:trPr>
        <w:tc>
          <w:tcPr>
            <w:tcW w:w="20" w:type="dxa"/>
            <w:vAlign w:val="bottom"/>
          </w:tcPr>
          <w:p>
            <w:pPr>
              <w:spacing w:after="0"/>
              <w:rPr>
                <w:sz w:val="24"/>
                <w:szCs w:val="24"/>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Commercial paper</w:t>
            </w:r>
          </w:p>
        </w:tc>
        <w:tc>
          <w:tcPr>
            <w:tcW w:w="1480" w:type="dxa"/>
            <w:vAlign w:val="bottom"/>
            <w:gridSpan w:val="2"/>
          </w:tcPr>
          <w:p>
            <w:pPr>
              <w:ind w:left="13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52"/>
              <w:spacing w:after="0"/>
              <w:rPr>
                <w:sz w:val="20"/>
                <w:szCs w:val="20"/>
                <w:color w:val="auto"/>
              </w:rPr>
            </w:pPr>
            <w:r>
              <w:rPr>
                <w:rFonts w:ascii="Arial" w:cs="Arial" w:eastAsia="Arial" w:hAnsi="Arial"/>
                <w:sz w:val="18"/>
                <w:szCs w:val="18"/>
                <w:color w:val="auto"/>
              </w:rPr>
              <w:t>39,322</w:t>
            </w:r>
          </w:p>
        </w:tc>
        <w:tc>
          <w:tcPr>
            <w:tcW w:w="400" w:type="dxa"/>
            <w:vAlign w:val="bottom"/>
          </w:tcPr>
          <w:p>
            <w:pPr>
              <w:ind w:lef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2"/>
              <w:spacing w:after="0"/>
              <w:rPr>
                <w:sz w:val="20"/>
                <w:szCs w:val="20"/>
                <w:color w:val="auto"/>
              </w:rPr>
            </w:pPr>
            <w:r>
              <w:rPr>
                <w:rFonts w:ascii="Arial" w:cs="Arial" w:eastAsia="Arial" w:hAnsi="Arial"/>
                <w:sz w:val="18"/>
                <w:szCs w:val="18"/>
                <w:color w:val="auto"/>
              </w:rPr>
              <w:t>7</w:t>
            </w:r>
          </w:p>
        </w:tc>
        <w:tc>
          <w:tcPr>
            <w:tcW w:w="960" w:type="dxa"/>
            <w:vAlign w:val="bottom"/>
          </w:tcPr>
          <w:p>
            <w:pPr>
              <w:ind w:left="240"/>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72"/>
              <w:spacing w:after="0"/>
              <w:rPr>
                <w:sz w:val="20"/>
                <w:szCs w:val="20"/>
                <w:color w:val="auto"/>
              </w:rPr>
            </w:pPr>
            <w:r>
              <w:rPr>
                <w:rFonts w:ascii="Arial" w:cs="Arial" w:eastAsia="Arial" w:hAnsi="Arial"/>
                <w:sz w:val="18"/>
                <w:szCs w:val="18"/>
                <w:color w:val="auto"/>
                <w:w w:val="90"/>
              </w:rPr>
              <w:t>(1)</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39,328</w:t>
            </w:r>
          </w:p>
        </w:tc>
        <w:tc>
          <w:tcPr>
            <w:tcW w:w="60" w:type="dxa"/>
            <w:vAlign w:val="bottom"/>
          </w:tcPr>
          <w:p>
            <w:pPr>
              <w:spacing w:after="0"/>
              <w:rPr>
                <w:sz w:val="24"/>
                <w:szCs w:val="24"/>
                <w:color w:val="auto"/>
              </w:rPr>
            </w:pPr>
          </w:p>
        </w:tc>
      </w:tr>
      <w:tr>
        <w:trPr>
          <w:trHeight w:val="56"/>
        </w:trPr>
        <w:tc>
          <w:tcPr>
            <w:tcW w:w="20" w:type="dxa"/>
            <w:vAlign w:val="bottom"/>
          </w:tcPr>
          <w:p>
            <w:pPr>
              <w:spacing w:after="0"/>
              <w:rPr>
                <w:sz w:val="4"/>
                <w:szCs w:val="4"/>
                <w:color w:val="auto"/>
              </w:rPr>
            </w:pPr>
          </w:p>
        </w:tc>
        <w:tc>
          <w:tcPr>
            <w:tcW w:w="4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U.S. government and agency securities</w:t>
            </w: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37,188</w:t>
            </w: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10</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0"/>
              </w:rPr>
              <w:t>(5)</w:t>
            </w: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37,193</w:t>
            </w:r>
          </w:p>
        </w:tc>
        <w:tc>
          <w:tcPr>
            <w:tcW w:w="60" w:type="dxa"/>
            <w:vAlign w:val="bottom"/>
            <w:shd w:val="clear" w:color="auto" w:fill="CCEEFF"/>
          </w:tcPr>
          <w:p>
            <w:pPr>
              <w:spacing w:after="0"/>
              <w:rPr>
                <w:sz w:val="17"/>
                <w:szCs w:val="17"/>
                <w:color w:val="auto"/>
              </w:rPr>
            </w:pPr>
          </w:p>
        </w:tc>
      </w:tr>
      <w:tr>
        <w:trPr>
          <w:trHeight w:val="277"/>
        </w:trPr>
        <w:tc>
          <w:tcPr>
            <w:tcW w:w="20" w:type="dxa"/>
            <w:vAlign w:val="bottom"/>
          </w:tcPr>
          <w:p>
            <w:pPr>
              <w:spacing w:after="0"/>
              <w:rPr>
                <w:sz w:val="24"/>
                <w:szCs w:val="24"/>
                <w:color w:val="auto"/>
              </w:rPr>
            </w:pPr>
          </w:p>
        </w:tc>
        <w:tc>
          <w:tcPr>
            <w:tcW w:w="460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37,900</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44</w:t>
            </w: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0"/>
              </w:rPr>
              <w:t>(1)</w:t>
            </w:r>
          </w:p>
        </w:tc>
        <w:tc>
          <w:tcPr>
            <w:tcW w:w="4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37,943</w:t>
            </w:r>
          </w:p>
        </w:tc>
        <w:tc>
          <w:tcPr>
            <w:tcW w:w="6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marketable securities</w:t>
            </w:r>
          </w:p>
        </w:tc>
        <w:tc>
          <w:tcPr>
            <w:tcW w:w="1480" w:type="dxa"/>
            <w:vAlign w:val="bottom"/>
            <w:gridSpan w:val="2"/>
            <w:shd w:val="clear" w:color="auto" w:fill="CCEEFF"/>
          </w:tcPr>
          <w:p>
            <w:pPr>
              <w:ind w:left="132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114,410</w:t>
            </w:r>
          </w:p>
        </w:tc>
        <w:tc>
          <w:tcPr>
            <w:tcW w:w="40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61</w:t>
            </w:r>
          </w:p>
        </w:tc>
        <w:tc>
          <w:tcPr>
            <w:tcW w:w="9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w w:val="90"/>
              </w:rPr>
              <w:t>(7)</w:t>
            </w:r>
          </w:p>
        </w:tc>
        <w:tc>
          <w:tcPr>
            <w:tcW w:w="40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114,464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 were no marketable securities as of December 31, 2018.</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5. Condensed consolidated balance sheet components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net consist of the following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gridSpan w:val="2"/>
          </w:tcPr>
          <w:p>
            <w:pPr>
              <w:jc w:val="center"/>
              <w:ind w:left="292"/>
              <w:spacing w:after="0"/>
              <w:rPr>
                <w:sz w:val="20"/>
                <w:szCs w:val="20"/>
                <w:color w:val="auto"/>
              </w:rPr>
            </w:pPr>
            <w:r>
              <w:rPr>
                <w:rFonts w:ascii="Arial" w:cs="Arial" w:eastAsia="Arial" w:hAnsi="Arial"/>
                <w:sz w:val="18"/>
                <w:szCs w:val="18"/>
                <w:b w:val="1"/>
                <w:bCs w:val="1"/>
                <w:color w:val="auto"/>
                <w:w w:val="96"/>
              </w:rPr>
              <w:t>Weighted-</w:t>
            </w: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gridSpan w:val="2"/>
          </w:tcPr>
          <w:p>
            <w:pPr>
              <w:jc w:val="center"/>
              <w:ind w:left="312"/>
              <w:spacing w:after="0" w:line="202" w:lineRule="exact"/>
              <w:rPr>
                <w:sz w:val="20"/>
                <w:szCs w:val="20"/>
                <w:color w:val="auto"/>
              </w:rPr>
            </w:pPr>
            <w:r>
              <w:rPr>
                <w:rFonts w:ascii="Arial" w:cs="Arial" w:eastAsia="Arial" w:hAnsi="Arial"/>
                <w:sz w:val="18"/>
                <w:szCs w:val="18"/>
                <w:b w:val="1"/>
                <w:bCs w:val="1"/>
                <w:color w:val="auto"/>
                <w:w w:val="96"/>
              </w:rPr>
              <w:t>average</w:t>
            </w:r>
          </w:p>
        </w:tc>
      </w:tr>
      <w:tr>
        <w:trPr>
          <w:trHeight w:val="203"/>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gridSpan w:val="2"/>
          </w:tcPr>
          <w:p>
            <w:pPr>
              <w:ind w:left="280"/>
              <w:spacing w:after="0" w:line="202" w:lineRule="exact"/>
              <w:rPr>
                <w:sz w:val="20"/>
                <w:szCs w:val="20"/>
                <w:color w:val="auto"/>
              </w:rPr>
            </w:pPr>
            <w:r>
              <w:rPr>
                <w:rFonts w:ascii="Arial" w:cs="Arial" w:eastAsia="Arial" w:hAnsi="Arial"/>
                <w:sz w:val="18"/>
                <w:szCs w:val="18"/>
                <w:b w:val="1"/>
                <w:bCs w:val="1"/>
                <w:color w:val="auto"/>
              </w:rPr>
              <w:t>Accumulated</w:t>
            </w:r>
          </w:p>
        </w:tc>
        <w:tc>
          <w:tcPr>
            <w:tcW w:w="420" w:type="dxa"/>
            <w:vAlign w:val="bottom"/>
          </w:tcPr>
          <w:p>
            <w:pPr>
              <w:spacing w:after="0"/>
              <w:rPr>
                <w:sz w:val="17"/>
                <w:szCs w:val="17"/>
                <w:color w:val="auto"/>
              </w:rPr>
            </w:pPr>
          </w:p>
        </w:tc>
        <w:tc>
          <w:tcPr>
            <w:tcW w:w="720" w:type="dxa"/>
            <w:vAlign w:val="bottom"/>
          </w:tcPr>
          <w:p>
            <w:pPr>
              <w:jc w:val="right"/>
              <w:ind w:right="232"/>
              <w:spacing w:after="0" w:line="202" w:lineRule="exact"/>
              <w:rPr>
                <w:sz w:val="20"/>
                <w:szCs w:val="20"/>
                <w:color w:val="auto"/>
              </w:rPr>
            </w:pPr>
            <w:r>
              <w:rPr>
                <w:rFonts w:ascii="Arial" w:cs="Arial" w:eastAsia="Arial" w:hAnsi="Arial"/>
                <w:sz w:val="18"/>
                <w:szCs w:val="18"/>
                <w:b w:val="1"/>
                <w:bCs w:val="1"/>
                <w:color w:val="auto"/>
              </w:rPr>
              <w:t>Net</w:t>
            </w:r>
          </w:p>
        </w:tc>
        <w:tc>
          <w:tcPr>
            <w:tcW w:w="1380" w:type="dxa"/>
            <w:vAlign w:val="bottom"/>
            <w:gridSpan w:val="2"/>
          </w:tcPr>
          <w:p>
            <w:pPr>
              <w:jc w:val="center"/>
              <w:ind w:left="292"/>
              <w:spacing w:after="0" w:line="202" w:lineRule="exact"/>
              <w:rPr>
                <w:sz w:val="20"/>
                <w:szCs w:val="20"/>
                <w:color w:val="auto"/>
              </w:rPr>
            </w:pPr>
            <w:r>
              <w:rPr>
                <w:rFonts w:ascii="Arial" w:cs="Arial" w:eastAsia="Arial" w:hAnsi="Arial"/>
                <w:sz w:val="18"/>
                <w:szCs w:val="18"/>
                <w:b w:val="1"/>
                <w:bCs w:val="1"/>
                <w:color w:val="auto"/>
                <w:w w:val="97"/>
              </w:rPr>
              <w:t>remaining</w:t>
            </w:r>
          </w:p>
        </w:tc>
      </w:tr>
      <w:tr>
        <w:trPr>
          <w:trHeight w:val="221"/>
        </w:trPr>
        <w:tc>
          <w:tcPr>
            <w:tcW w:w="20" w:type="dxa"/>
            <w:vAlign w:val="bottom"/>
          </w:tcPr>
          <w:p>
            <w:pPr>
              <w:spacing w:after="0"/>
              <w:rPr>
                <w:sz w:val="19"/>
                <w:szCs w:val="19"/>
                <w:color w:val="auto"/>
              </w:rPr>
            </w:pPr>
          </w:p>
        </w:tc>
        <w:tc>
          <w:tcPr>
            <w:tcW w:w="496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rPr>
              <w:t>Gross value</w:t>
            </w:r>
          </w:p>
        </w:tc>
        <w:tc>
          <w:tcPr>
            <w:tcW w:w="16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amortization</w:t>
            </w: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b w:val="1"/>
                <w:bCs w:val="1"/>
                <w:color w:val="auto"/>
                <w:w w:val="95"/>
              </w:rPr>
              <w:t>book value</w:t>
            </w:r>
          </w:p>
        </w:tc>
        <w:tc>
          <w:tcPr>
            <w:tcW w:w="1380" w:type="dxa"/>
            <w:vAlign w:val="bottom"/>
            <w:tcBorders>
              <w:bottom w:val="single" w:sz="8" w:color="auto"/>
            </w:tcBorders>
            <w:gridSpan w:val="2"/>
          </w:tcPr>
          <w:p>
            <w:pPr>
              <w:jc w:val="center"/>
              <w:ind w:left="312"/>
              <w:spacing w:after="0"/>
              <w:rPr>
                <w:sz w:val="20"/>
                <w:szCs w:val="20"/>
                <w:color w:val="auto"/>
              </w:rPr>
            </w:pPr>
            <w:r>
              <w:rPr>
                <w:rFonts w:ascii="Arial" w:cs="Arial" w:eastAsia="Arial" w:hAnsi="Arial"/>
                <w:sz w:val="18"/>
                <w:szCs w:val="18"/>
                <w:b w:val="1"/>
                <w:bCs w:val="1"/>
                <w:color w:val="auto"/>
                <w:w w:val="97"/>
              </w:rPr>
              <w:t>useful life</w:t>
            </w:r>
          </w:p>
        </w:tc>
      </w:tr>
      <w:tr>
        <w:trPr>
          <w:trHeight w:val="196"/>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60" w:type="dxa"/>
            <w:vAlign w:val="bottom"/>
            <w:gridSpan w:val="2"/>
          </w:tcPr>
          <w:p>
            <w:pPr>
              <w:ind w:left="200"/>
              <w:spacing w:after="0" w:line="196" w:lineRule="exact"/>
              <w:rPr>
                <w:sz w:val="20"/>
                <w:szCs w:val="20"/>
                <w:color w:val="auto"/>
              </w:rPr>
            </w:pPr>
            <w:r>
              <w:rPr>
                <w:rFonts w:ascii="Arial" w:cs="Arial" w:eastAsia="Arial" w:hAnsi="Arial"/>
                <w:sz w:val="18"/>
                <w:szCs w:val="18"/>
                <w:b w:val="1"/>
                <w:bCs w:val="1"/>
                <w:color w:val="auto"/>
              </w:rPr>
              <w:t>(in thousands)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gridSpan w:val="2"/>
          </w:tcPr>
          <w:p>
            <w:pPr>
              <w:jc w:val="center"/>
              <w:ind w:left="312"/>
              <w:spacing w:after="0" w:line="196" w:lineRule="exact"/>
              <w:rPr>
                <w:sz w:val="20"/>
                <w:szCs w:val="20"/>
                <w:color w:val="auto"/>
              </w:rPr>
            </w:pPr>
            <w:r>
              <w:rPr>
                <w:rFonts w:ascii="Arial" w:cs="Arial" w:eastAsia="Arial" w:hAnsi="Arial"/>
                <w:sz w:val="18"/>
                <w:szCs w:val="18"/>
                <w:b w:val="1"/>
                <w:bCs w:val="1"/>
                <w:color w:val="auto"/>
                <w:w w:val="97"/>
              </w:rPr>
              <w:t>(in years)</w:t>
            </w: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96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55,800</w:t>
            </w:r>
          </w:p>
        </w:tc>
        <w:tc>
          <w:tcPr>
            <w:tcW w:w="7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92"/>
              <w:spacing w:after="0" w:line="202"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55,800</w:t>
            </w:r>
          </w:p>
        </w:tc>
        <w:tc>
          <w:tcPr>
            <w:tcW w:w="1380" w:type="dxa"/>
            <w:vAlign w:val="bottom"/>
            <w:gridSpan w:val="2"/>
            <w:shd w:val="clear" w:color="auto" w:fill="CCEEFF"/>
          </w:tcPr>
          <w:p>
            <w:pPr>
              <w:ind w:left="1060"/>
              <w:spacing w:after="0" w:line="202" w:lineRule="exact"/>
              <w:rPr>
                <w:sz w:val="20"/>
                <w:szCs w:val="20"/>
                <w:color w:val="auto"/>
              </w:rPr>
            </w:pPr>
            <w:r>
              <w:rPr>
                <w:rFonts w:ascii="Arial" w:cs="Arial" w:eastAsia="Arial" w:hAnsi="Arial"/>
                <w:sz w:val="18"/>
                <w:szCs w:val="18"/>
                <w:color w:val="auto"/>
              </w:rPr>
              <w:t>n/a</w:t>
            </w:r>
          </w:p>
        </w:tc>
      </w:tr>
      <w:tr>
        <w:trPr>
          <w:trHeight w:val="210"/>
        </w:trPr>
        <w:tc>
          <w:tcPr>
            <w:tcW w:w="4980" w:type="dxa"/>
            <w:vAlign w:val="bottom"/>
            <w:gridSpan w:val="2"/>
          </w:tcPr>
          <w:p>
            <w:pPr>
              <w:spacing w:after="0" w:line="202" w:lineRule="exact"/>
              <w:rPr>
                <w:sz w:val="20"/>
                <w:szCs w:val="20"/>
                <w:color w:val="auto"/>
              </w:rPr>
            </w:pPr>
            <w:r>
              <w:rPr>
                <w:rFonts w:ascii="Arial" w:cs="Arial" w:eastAsia="Arial" w:hAnsi="Arial"/>
                <w:sz w:val="18"/>
                <w:szCs w:val="18"/>
                <w:color w:val="auto"/>
              </w:rPr>
              <w:t>Developed technology—tri-complex platform</w:t>
            </w:r>
          </w:p>
        </w:tc>
        <w:tc>
          <w:tcPr>
            <w:tcW w:w="6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7,480</w:t>
            </w:r>
          </w:p>
        </w:tc>
        <w:tc>
          <w:tcPr>
            <w:tcW w:w="7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(198)</w:t>
            </w: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7,282</w:t>
            </w:r>
          </w:p>
        </w:tc>
        <w:tc>
          <w:tcPr>
            <w:tcW w:w="1320" w:type="dxa"/>
            <w:vAlign w:val="bottom"/>
          </w:tcPr>
          <w:p>
            <w:pPr>
              <w:ind w:left="1060"/>
              <w:spacing w:after="0" w:line="202" w:lineRule="exact"/>
              <w:rPr>
                <w:sz w:val="20"/>
                <w:szCs w:val="20"/>
                <w:color w:val="auto"/>
              </w:rPr>
            </w:pPr>
            <w:r>
              <w:rPr>
                <w:rFonts w:ascii="Arial" w:cs="Arial" w:eastAsia="Arial" w:hAnsi="Arial"/>
                <w:sz w:val="18"/>
                <w:szCs w:val="18"/>
                <w:color w:val="auto"/>
                <w:w w:val="95"/>
              </w:rPr>
              <w:t>6.8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9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ind w:left="68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63,280</w:t>
            </w:r>
          </w:p>
        </w:tc>
        <w:tc>
          <w:tcPr>
            <w:tcW w:w="700" w:type="dxa"/>
            <w:vAlign w:val="bottom"/>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(198)</w:t>
            </w:r>
          </w:p>
        </w:tc>
        <w:tc>
          <w:tcPr>
            <w:tcW w:w="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63,082</w:t>
            </w: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Intangible assets, net consist of the following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80" w:type="dxa"/>
            <w:vAlign w:val="bottom"/>
            <w:gridSpan w:val="2"/>
          </w:tcPr>
          <w:p>
            <w:pPr>
              <w:jc w:val="center"/>
              <w:ind w:left="292"/>
              <w:spacing w:after="0"/>
              <w:rPr>
                <w:sz w:val="20"/>
                <w:szCs w:val="20"/>
                <w:color w:val="auto"/>
              </w:rPr>
            </w:pPr>
            <w:r>
              <w:rPr>
                <w:rFonts w:ascii="Arial" w:cs="Arial" w:eastAsia="Arial" w:hAnsi="Arial"/>
                <w:sz w:val="18"/>
                <w:szCs w:val="18"/>
                <w:b w:val="1"/>
                <w:bCs w:val="1"/>
                <w:color w:val="auto"/>
                <w:w w:val="96"/>
              </w:rPr>
              <w:t>Weighted-</w:t>
            </w: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gridSpan w:val="2"/>
          </w:tcPr>
          <w:p>
            <w:pPr>
              <w:jc w:val="center"/>
              <w:ind w:left="312"/>
              <w:spacing w:after="0" w:line="202" w:lineRule="exact"/>
              <w:rPr>
                <w:sz w:val="20"/>
                <w:szCs w:val="20"/>
                <w:color w:val="auto"/>
              </w:rPr>
            </w:pPr>
            <w:r>
              <w:rPr>
                <w:rFonts w:ascii="Arial" w:cs="Arial" w:eastAsia="Arial" w:hAnsi="Arial"/>
                <w:sz w:val="18"/>
                <w:szCs w:val="18"/>
                <w:b w:val="1"/>
                <w:bCs w:val="1"/>
                <w:color w:val="auto"/>
                <w:w w:val="96"/>
              </w:rPr>
              <w:t>average</w:t>
            </w:r>
          </w:p>
        </w:tc>
      </w:tr>
      <w:tr>
        <w:trPr>
          <w:trHeight w:val="203"/>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gridSpan w:val="4"/>
          </w:tcPr>
          <w:p>
            <w:pPr>
              <w:ind w:left="460"/>
              <w:spacing w:after="0" w:line="202" w:lineRule="exact"/>
              <w:rPr>
                <w:sz w:val="20"/>
                <w:szCs w:val="20"/>
                <w:color w:val="auto"/>
              </w:rPr>
            </w:pPr>
            <w:r>
              <w:rPr>
                <w:rFonts w:ascii="Arial" w:cs="Arial" w:eastAsia="Arial" w:hAnsi="Arial"/>
                <w:sz w:val="18"/>
                <w:szCs w:val="18"/>
                <w:b w:val="1"/>
                <w:bCs w:val="1"/>
                <w:color w:val="auto"/>
              </w:rPr>
              <w:t>Accumulated</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ind w:right="252"/>
              <w:spacing w:after="0" w:line="202" w:lineRule="exact"/>
              <w:rPr>
                <w:sz w:val="20"/>
                <w:szCs w:val="20"/>
                <w:color w:val="auto"/>
              </w:rPr>
            </w:pPr>
            <w:r>
              <w:rPr>
                <w:rFonts w:ascii="Arial" w:cs="Arial" w:eastAsia="Arial" w:hAnsi="Arial"/>
                <w:sz w:val="18"/>
                <w:szCs w:val="18"/>
                <w:b w:val="1"/>
                <w:bCs w:val="1"/>
                <w:color w:val="auto"/>
              </w:rPr>
              <w:t>Net</w:t>
            </w:r>
          </w:p>
        </w:tc>
        <w:tc>
          <w:tcPr>
            <w:tcW w:w="1380" w:type="dxa"/>
            <w:vAlign w:val="bottom"/>
            <w:gridSpan w:val="2"/>
          </w:tcPr>
          <w:p>
            <w:pPr>
              <w:jc w:val="center"/>
              <w:ind w:left="292"/>
              <w:spacing w:after="0" w:line="202" w:lineRule="exact"/>
              <w:rPr>
                <w:sz w:val="20"/>
                <w:szCs w:val="20"/>
                <w:color w:val="auto"/>
              </w:rPr>
            </w:pPr>
            <w:r>
              <w:rPr>
                <w:rFonts w:ascii="Arial" w:cs="Arial" w:eastAsia="Arial" w:hAnsi="Arial"/>
                <w:sz w:val="18"/>
                <w:szCs w:val="18"/>
                <w:b w:val="1"/>
                <w:bCs w:val="1"/>
                <w:color w:val="auto"/>
                <w:w w:val="97"/>
              </w:rPr>
              <w:t>remaining</w:t>
            </w:r>
          </w:p>
        </w:tc>
      </w:tr>
      <w:tr>
        <w:trPr>
          <w:trHeight w:val="221"/>
        </w:trPr>
        <w:tc>
          <w:tcPr>
            <w:tcW w:w="20" w:type="dxa"/>
            <w:vAlign w:val="bottom"/>
          </w:tcPr>
          <w:p>
            <w:pPr>
              <w:spacing w:after="0"/>
              <w:rPr>
                <w:sz w:val="19"/>
                <w:szCs w:val="19"/>
                <w:color w:val="auto"/>
              </w:rPr>
            </w:pPr>
          </w:p>
        </w:tc>
        <w:tc>
          <w:tcPr>
            <w:tcW w:w="47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w w:val="96"/>
              </w:rPr>
              <w:t>Gross value</w:t>
            </w:r>
          </w:p>
        </w:tc>
        <w:tc>
          <w:tcPr>
            <w:tcW w:w="4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8"/>
                <w:szCs w:val="18"/>
                <w:b w:val="1"/>
                <w:bCs w:val="1"/>
                <w:color w:val="auto"/>
                <w:w w:val="97"/>
              </w:rPr>
              <w:t>amortization</w:t>
            </w:r>
          </w:p>
        </w:tc>
        <w:tc>
          <w:tcPr>
            <w:tcW w:w="116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b w:val="1"/>
                <w:bCs w:val="1"/>
                <w:color w:val="auto"/>
                <w:w w:val="97"/>
              </w:rPr>
              <w:t>book value</w:t>
            </w:r>
          </w:p>
        </w:tc>
        <w:tc>
          <w:tcPr>
            <w:tcW w:w="1380" w:type="dxa"/>
            <w:vAlign w:val="bottom"/>
            <w:tcBorders>
              <w:bottom w:val="single" w:sz="8" w:color="auto"/>
            </w:tcBorders>
            <w:gridSpan w:val="2"/>
          </w:tcPr>
          <w:p>
            <w:pPr>
              <w:jc w:val="center"/>
              <w:ind w:left="312"/>
              <w:spacing w:after="0"/>
              <w:rPr>
                <w:sz w:val="20"/>
                <w:szCs w:val="20"/>
                <w:color w:val="auto"/>
              </w:rPr>
            </w:pPr>
            <w:r>
              <w:rPr>
                <w:rFonts w:ascii="Arial" w:cs="Arial" w:eastAsia="Arial" w:hAnsi="Arial"/>
                <w:sz w:val="18"/>
                <w:szCs w:val="18"/>
                <w:b w:val="1"/>
                <w:bCs w:val="1"/>
                <w:color w:val="auto"/>
                <w:w w:val="97"/>
              </w:rPr>
              <w:t>useful life</w:t>
            </w:r>
          </w:p>
        </w:tc>
      </w:tr>
      <w:tr>
        <w:trPr>
          <w:trHeight w:val="196"/>
        </w:trPr>
        <w:tc>
          <w:tcPr>
            <w:tcW w:w="2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40" w:type="dxa"/>
            <w:vAlign w:val="bottom"/>
            <w:gridSpan w:val="4"/>
          </w:tcPr>
          <w:p>
            <w:pPr>
              <w:ind w:left="380"/>
              <w:spacing w:after="0" w:line="196" w:lineRule="exact"/>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380" w:type="dxa"/>
            <w:vAlign w:val="bottom"/>
            <w:gridSpan w:val="2"/>
          </w:tcPr>
          <w:p>
            <w:pPr>
              <w:jc w:val="center"/>
              <w:ind w:left="312"/>
              <w:spacing w:after="0" w:line="196" w:lineRule="exact"/>
              <w:rPr>
                <w:sz w:val="20"/>
                <w:szCs w:val="20"/>
                <w:color w:val="auto"/>
              </w:rPr>
            </w:pPr>
            <w:r>
              <w:rPr>
                <w:rFonts w:ascii="Arial" w:cs="Arial" w:eastAsia="Arial" w:hAnsi="Arial"/>
                <w:sz w:val="18"/>
                <w:szCs w:val="18"/>
                <w:b w:val="1"/>
                <w:bCs w:val="1"/>
                <w:color w:val="auto"/>
                <w:w w:val="97"/>
              </w:rPr>
              <w:t>(in years)</w:t>
            </w: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1120" w:type="dxa"/>
            <w:vAlign w:val="bottom"/>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55,800</w:t>
            </w:r>
          </w:p>
        </w:tc>
        <w:tc>
          <w:tcPr>
            <w:tcW w:w="7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55,800</w:t>
            </w:r>
          </w:p>
        </w:tc>
        <w:tc>
          <w:tcPr>
            <w:tcW w:w="1380" w:type="dxa"/>
            <w:vAlign w:val="bottom"/>
            <w:gridSpan w:val="2"/>
            <w:shd w:val="clear" w:color="auto" w:fill="CCEEFF"/>
          </w:tcPr>
          <w:p>
            <w:pPr>
              <w:ind w:left="1060"/>
              <w:spacing w:after="0" w:line="202" w:lineRule="exact"/>
              <w:rPr>
                <w:sz w:val="20"/>
                <w:szCs w:val="20"/>
                <w:color w:val="auto"/>
              </w:rPr>
            </w:pPr>
            <w:r>
              <w:rPr>
                <w:rFonts w:ascii="Arial" w:cs="Arial" w:eastAsia="Arial" w:hAnsi="Arial"/>
                <w:sz w:val="18"/>
                <w:szCs w:val="18"/>
                <w:color w:val="auto"/>
              </w:rPr>
              <w:t>n/a</w:t>
            </w:r>
          </w:p>
        </w:tc>
      </w:tr>
      <w:tr>
        <w:trPr>
          <w:trHeight w:val="203"/>
        </w:trPr>
        <w:tc>
          <w:tcPr>
            <w:tcW w:w="4800" w:type="dxa"/>
            <w:vAlign w:val="bottom"/>
            <w:gridSpan w:val="2"/>
          </w:tcPr>
          <w:p>
            <w:pPr>
              <w:spacing w:after="0" w:line="202" w:lineRule="exact"/>
              <w:rPr>
                <w:sz w:val="20"/>
                <w:szCs w:val="20"/>
                <w:color w:val="auto"/>
              </w:rPr>
            </w:pPr>
            <w:r>
              <w:rPr>
                <w:rFonts w:ascii="Arial" w:cs="Arial" w:eastAsia="Arial" w:hAnsi="Arial"/>
                <w:sz w:val="18"/>
                <w:szCs w:val="18"/>
                <w:color w:val="auto"/>
              </w:rPr>
              <w:t>Developed technology—tri-complex platform</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7,480</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6,480</w:t>
            </w:r>
          </w:p>
        </w:tc>
        <w:tc>
          <w:tcPr>
            <w:tcW w:w="1320" w:type="dxa"/>
            <w:vAlign w:val="bottom"/>
          </w:tcPr>
          <w:p>
            <w:pPr>
              <w:ind w:left="1060"/>
              <w:spacing w:after="0" w:line="202" w:lineRule="exact"/>
              <w:rPr>
                <w:sz w:val="20"/>
                <w:szCs w:val="20"/>
                <w:color w:val="auto"/>
              </w:rPr>
            </w:pPr>
            <w:r>
              <w:rPr>
                <w:rFonts w:ascii="Arial" w:cs="Arial" w:eastAsia="Arial" w:hAnsi="Arial"/>
                <w:sz w:val="18"/>
                <w:szCs w:val="18"/>
                <w:color w:val="auto"/>
                <w:w w:val="95"/>
              </w:rPr>
              <w:t>6.1</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ind w:left="84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63,280</w:t>
            </w:r>
          </w:p>
        </w:tc>
        <w:tc>
          <w:tcPr>
            <w:tcW w:w="78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(1,000)</w:t>
            </w:r>
          </w:p>
        </w:tc>
        <w:tc>
          <w:tcPr>
            <w:tcW w:w="4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62,280</w:t>
            </w:r>
          </w:p>
        </w:tc>
        <w:tc>
          <w:tcPr>
            <w:tcW w:w="1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bottom w:val="single" w:sz="8" w:color="auto"/>
            </w:tcBorders>
            <w:gridSpan w:val="6"/>
          </w:tcPr>
          <w:p>
            <w:pPr>
              <w:spacing w:after="0" w:line="20" w:lineRule="exact"/>
              <w:rPr>
                <w:sz w:val="1"/>
                <w:szCs w:val="1"/>
                <w:color w:val="auto"/>
              </w:rPr>
            </w:pPr>
          </w:p>
        </w:tc>
        <w:tc>
          <w:tcPr>
            <w:tcW w:w="2220" w:type="dxa"/>
            <w:vAlign w:val="bottom"/>
            <w:tcBorders>
              <w:bottom w:val="single" w:sz="8" w:color="auto"/>
            </w:tcBorders>
            <w:gridSpan w:val="5"/>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9"/>
        </w:trPr>
        <w:tc>
          <w:tcPr>
            <w:tcW w:w="7440" w:type="dxa"/>
            <w:vAlign w:val="bottom"/>
            <w:gridSpan w:val="7"/>
          </w:tcPr>
          <w:p>
            <w:pPr>
              <w:spacing w:after="0"/>
              <w:rPr>
                <w:sz w:val="20"/>
                <w:szCs w:val="20"/>
                <w:color w:val="auto"/>
              </w:rPr>
            </w:pPr>
            <w:r>
              <w:rPr>
                <w:rFonts w:ascii="Arial" w:cs="Arial" w:eastAsia="Arial" w:hAnsi="Arial"/>
                <w:sz w:val="18"/>
                <w:szCs w:val="18"/>
                <w:color w:val="auto"/>
                <w:w w:val="97"/>
              </w:rPr>
              <w:t>Amortization expense for the nine months ended September 30, 2018 and 2019 was zero and $</w:t>
            </w:r>
          </w:p>
        </w:tc>
        <w:tc>
          <w:tcPr>
            <w:tcW w:w="2220" w:type="dxa"/>
            <w:vAlign w:val="bottom"/>
            <w:gridSpan w:val="5"/>
          </w:tcPr>
          <w:p>
            <w:pPr>
              <w:jc w:val="right"/>
              <w:ind w:right="272"/>
              <w:spacing w:after="0"/>
              <w:rPr>
                <w:sz w:val="20"/>
                <w:szCs w:val="20"/>
                <w:color w:val="auto"/>
              </w:rPr>
            </w:pPr>
            <w:r>
              <w:rPr>
                <w:rFonts w:ascii="Arial" w:cs="Arial" w:eastAsia="Arial" w:hAnsi="Arial"/>
                <w:sz w:val="18"/>
                <w:szCs w:val="18"/>
                <w:color w:val="auto"/>
                <w:w w:val="96"/>
              </w:rPr>
              <w:t>0.8 million, respectively.</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1"/>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120" w:type="dxa"/>
            <w:vAlign w:val="bottom"/>
            <w:gridSpan w:val="2"/>
          </w:tcPr>
          <w:p>
            <w:pPr>
              <w:ind w:left="540"/>
              <w:spacing w:after="0"/>
              <w:rPr>
                <w:sz w:val="20"/>
                <w:szCs w:val="20"/>
                <w:color w:val="auto"/>
              </w:rPr>
            </w:pPr>
            <w:r>
              <w:rPr>
                <w:rFonts w:ascii="Arial" w:cs="Arial" w:eastAsia="Arial" w:hAnsi="Arial"/>
                <w:sz w:val="18"/>
                <w:szCs w:val="18"/>
                <w:color w:val="auto"/>
              </w:rPr>
              <w:t>F-50</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September 30, 2019, future amortization expense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ind w:left="140"/>
              <w:spacing w:after="0"/>
              <w:rPr>
                <w:sz w:val="20"/>
                <w:szCs w:val="20"/>
                <w:color w:val="auto"/>
              </w:rPr>
            </w:pPr>
            <w:r>
              <w:rPr>
                <w:rFonts w:ascii="Arial" w:cs="Arial" w:eastAsia="Arial" w:hAnsi="Arial"/>
                <w:sz w:val="18"/>
                <w:szCs w:val="18"/>
                <w:b w:val="1"/>
                <w:bCs w:val="1"/>
                <w:color w:val="auto"/>
              </w:rPr>
              <w:t>Amount</w:t>
            </w:r>
          </w:p>
        </w:tc>
      </w:tr>
      <w:tr>
        <w:trPr>
          <w:trHeight w:val="196"/>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gridSpan w:val="5"/>
          </w:tcPr>
          <w:p>
            <w:pPr>
              <w:ind w:left="60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Remainder of 2019</w:t>
            </w: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60" w:type="dxa"/>
            <w:vAlign w:val="bottom"/>
            <w:shd w:val="clear" w:color="auto" w:fill="CCEEFF"/>
          </w:tcPr>
          <w:p>
            <w:pPr>
              <w:spacing w:after="0"/>
              <w:rPr>
                <w:sz w:val="17"/>
                <w:szCs w:val="17"/>
                <w:color w:val="auto"/>
              </w:rPr>
            </w:pPr>
          </w:p>
        </w:tc>
      </w:tr>
      <w:tr>
        <w:trPr>
          <w:trHeight w:val="203"/>
        </w:trPr>
        <w:tc>
          <w:tcPr>
            <w:tcW w:w="5780" w:type="dxa"/>
            <w:vAlign w:val="bottom"/>
            <w:gridSpan w:val="2"/>
          </w:tcPr>
          <w:p>
            <w:pPr>
              <w:jc w:val="right"/>
              <w:ind w:right="5292"/>
              <w:spacing w:after="0" w:line="202" w:lineRule="exact"/>
              <w:rPr>
                <w:sz w:val="20"/>
                <w:szCs w:val="20"/>
                <w:color w:val="auto"/>
              </w:rPr>
            </w:pPr>
            <w:r>
              <w:rPr>
                <w:rFonts w:ascii="Arial" w:cs="Arial" w:eastAsia="Arial" w:hAnsi="Arial"/>
                <w:sz w:val="18"/>
                <w:szCs w:val="18"/>
                <w:color w:val="auto"/>
                <w:w w:val="94"/>
              </w:rPr>
              <w:t>2020</w:t>
            </w: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jc w:val="right"/>
              <w:ind w:right="5292"/>
              <w:spacing w:after="0" w:line="202" w:lineRule="exact"/>
              <w:rPr>
                <w:sz w:val="20"/>
                <w:szCs w:val="20"/>
                <w:color w:val="auto"/>
              </w:rPr>
            </w:pPr>
            <w:r>
              <w:rPr>
                <w:rFonts w:ascii="Arial" w:cs="Arial" w:eastAsia="Arial" w:hAnsi="Arial"/>
                <w:sz w:val="18"/>
                <w:szCs w:val="18"/>
                <w:color w:val="auto"/>
                <w:w w:val="89"/>
              </w:rPr>
              <w:t>2021</w:t>
            </w: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7"/>
                <w:szCs w:val="17"/>
                <w:color w:val="auto"/>
              </w:rPr>
            </w:pPr>
          </w:p>
        </w:tc>
      </w:tr>
      <w:tr>
        <w:trPr>
          <w:trHeight w:val="203"/>
        </w:trPr>
        <w:tc>
          <w:tcPr>
            <w:tcW w:w="5780" w:type="dxa"/>
            <w:vAlign w:val="bottom"/>
            <w:gridSpan w:val="2"/>
          </w:tcPr>
          <w:p>
            <w:pPr>
              <w:jc w:val="right"/>
              <w:ind w:right="5292"/>
              <w:spacing w:after="0" w:line="202" w:lineRule="exact"/>
              <w:rPr>
                <w:sz w:val="20"/>
                <w:szCs w:val="20"/>
                <w:color w:val="auto"/>
              </w:rPr>
            </w:pPr>
            <w:r>
              <w:rPr>
                <w:rFonts w:ascii="Arial" w:cs="Arial" w:eastAsia="Arial" w:hAnsi="Arial"/>
                <w:sz w:val="18"/>
                <w:szCs w:val="18"/>
                <w:color w:val="auto"/>
                <w:w w:val="94"/>
              </w:rPr>
              <w:t>2022</w:t>
            </w: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jc w:val="right"/>
              <w:ind w:right="5292"/>
              <w:spacing w:after="0" w:line="202" w:lineRule="exact"/>
              <w:rPr>
                <w:sz w:val="20"/>
                <w:szCs w:val="20"/>
                <w:color w:val="auto"/>
              </w:rPr>
            </w:pPr>
            <w:r>
              <w:rPr>
                <w:rFonts w:ascii="Arial" w:cs="Arial" w:eastAsia="Arial" w:hAnsi="Arial"/>
                <w:sz w:val="18"/>
                <w:szCs w:val="18"/>
                <w:color w:val="auto"/>
                <w:w w:val="89"/>
              </w:rPr>
              <w:t>2023</w:t>
            </w: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shd w:val="clear" w:color="auto" w:fill="CCEEFF"/>
          </w:tcPr>
          <w:p>
            <w:pPr>
              <w:spacing w:after="0"/>
              <w:rPr>
                <w:sz w:val="17"/>
                <w:szCs w:val="17"/>
                <w:color w:val="auto"/>
              </w:rPr>
            </w:pPr>
          </w:p>
        </w:tc>
      </w:tr>
      <w:tr>
        <w:trPr>
          <w:trHeight w:val="203"/>
        </w:trPr>
        <w:tc>
          <w:tcPr>
            <w:tcW w:w="5780" w:type="dxa"/>
            <w:vAlign w:val="bottom"/>
            <w:gridSpan w:val="2"/>
          </w:tcPr>
          <w:p>
            <w:pPr>
              <w:jc w:val="right"/>
              <w:ind w:right="5292"/>
              <w:spacing w:after="0" w:line="202" w:lineRule="exact"/>
              <w:rPr>
                <w:sz w:val="20"/>
                <w:szCs w:val="20"/>
                <w:color w:val="auto"/>
              </w:rPr>
            </w:pPr>
            <w:r>
              <w:rPr>
                <w:rFonts w:ascii="Arial" w:cs="Arial" w:eastAsia="Arial" w:hAnsi="Arial"/>
                <w:sz w:val="18"/>
                <w:szCs w:val="18"/>
                <w:color w:val="auto"/>
                <w:w w:val="94"/>
              </w:rPr>
              <w:t>2024</w:t>
            </w: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1,069</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jc w:val="right"/>
              <w:ind w:right="5292"/>
              <w:spacing w:after="0" w:line="202" w:lineRule="exact"/>
              <w:rPr>
                <w:sz w:val="20"/>
                <w:szCs w:val="20"/>
                <w:color w:val="auto"/>
              </w:rPr>
            </w:pPr>
            <w:r>
              <w:rPr>
                <w:rFonts w:ascii="Arial" w:cs="Arial" w:eastAsia="Arial" w:hAnsi="Arial"/>
                <w:sz w:val="18"/>
                <w:szCs w:val="18"/>
                <w:color w:val="auto"/>
                <w:w w:val="89"/>
              </w:rPr>
              <w:t>2025</w:t>
            </w: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868</w:t>
            </w:r>
          </w:p>
        </w:tc>
        <w:tc>
          <w:tcPr>
            <w:tcW w:w="60" w:type="dxa"/>
            <w:vAlign w:val="bottom"/>
            <w:shd w:val="clear" w:color="auto" w:fill="CCEEFF"/>
          </w:tcPr>
          <w:p>
            <w:pPr>
              <w:spacing w:after="0"/>
              <w:rPr>
                <w:sz w:val="17"/>
                <w:szCs w:val="17"/>
                <w:color w:val="auto"/>
              </w:rPr>
            </w:pPr>
          </w:p>
        </w:tc>
      </w:tr>
      <w:tr>
        <w:trPr>
          <w:trHeight w:val="222"/>
        </w:trPr>
        <w:tc>
          <w:tcPr>
            <w:tcW w:w="5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ind w:left="6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6,480</w:t>
            </w:r>
          </w:p>
        </w:tc>
        <w:tc>
          <w:tcPr>
            <w:tcW w:w="60" w:type="dxa"/>
            <w:vAlign w:val="bottom"/>
          </w:tcPr>
          <w:p>
            <w:pPr>
              <w:spacing w:after="0"/>
              <w:rPr>
                <w:sz w:val="19"/>
                <w:szCs w:val="19"/>
                <w:color w:val="auto"/>
              </w:rPr>
            </w:pPr>
          </w:p>
        </w:tc>
      </w:tr>
      <w:tr>
        <w:trPr>
          <w:trHeight w:val="425"/>
        </w:trPr>
        <w:tc>
          <w:tcPr>
            <w:tcW w:w="5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5780" w:type="dxa"/>
            <w:vAlign w:val="bottom"/>
            <w:gridSpan w:val="2"/>
          </w:tcPr>
          <w:p>
            <w:pPr>
              <w:spacing w:after="0"/>
              <w:rPr>
                <w:sz w:val="20"/>
                <w:szCs w:val="20"/>
                <w:color w:val="auto"/>
              </w:rPr>
            </w:pPr>
            <w:r>
              <w:rPr>
                <w:rFonts w:ascii="Arial" w:cs="Arial" w:eastAsia="Arial" w:hAnsi="Arial"/>
                <w:sz w:val="18"/>
                <w:szCs w:val="18"/>
                <w:color w:val="auto"/>
              </w:rPr>
              <w:t>Goodwill consists of the following:</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57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gridSpan w:val="2"/>
          </w:tcPr>
          <w:p>
            <w:pPr>
              <w:spacing w:after="0"/>
              <w:rPr>
                <w:sz w:val="10"/>
                <w:szCs w:val="10"/>
                <w:color w:val="auto"/>
              </w:rPr>
            </w:pPr>
          </w:p>
        </w:tc>
        <w:tc>
          <w:tcPr>
            <w:tcW w:w="1760" w:type="dxa"/>
            <w:vAlign w:val="bottom"/>
            <w:tcBorders>
              <w:bottom w:val="single" w:sz="8" w:color="auto"/>
            </w:tcBorders>
            <w:gridSpan w:val="3"/>
          </w:tcPr>
          <w:p>
            <w:pPr>
              <w:spacing w:after="0"/>
              <w:rPr>
                <w:sz w:val="10"/>
                <w:szCs w:val="10"/>
                <w:color w:val="auto"/>
              </w:rPr>
            </w:pPr>
          </w:p>
        </w:tc>
        <w:tc>
          <w:tcPr>
            <w:tcW w:w="120" w:type="dxa"/>
            <w:vAlign w:val="bottom"/>
            <w:tcBorders>
              <w:bottom w:val="single" w:sz="8" w:color="auto"/>
            </w:tcBorders>
            <w:gridSpan w:val="2"/>
          </w:tcPr>
          <w:p>
            <w:pPr>
              <w:spacing w:after="0"/>
              <w:rPr>
                <w:sz w:val="10"/>
                <w:szCs w:val="10"/>
                <w:color w:val="auto"/>
              </w:rPr>
            </w:pPr>
          </w:p>
        </w:tc>
      </w:tr>
      <w:tr>
        <w:trPr>
          <w:trHeight w:val="224"/>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60" w:type="dxa"/>
            <w:vAlign w:val="bottom"/>
            <w:gridSpan w:val="3"/>
          </w:tcPr>
          <w:p>
            <w:pPr>
              <w:jc w:val="center"/>
              <w:ind w:right="532"/>
              <w:spacing w:after="0"/>
              <w:rPr>
                <w:sz w:val="20"/>
                <w:szCs w:val="20"/>
                <w:color w:val="auto"/>
              </w:rPr>
            </w:pPr>
            <w:r>
              <w:rPr>
                <w:rFonts w:ascii="Arial" w:cs="Arial" w:eastAsia="Arial" w:hAnsi="Arial"/>
                <w:sz w:val="18"/>
                <w:szCs w:val="18"/>
                <w:b w:val="1"/>
                <w:bCs w:val="1"/>
                <w:color w:val="auto"/>
                <w:w w:val="96"/>
              </w:rPr>
              <w:t>Year ended</w:t>
            </w:r>
          </w:p>
        </w:tc>
        <w:tc>
          <w:tcPr>
            <w:tcW w:w="1880" w:type="dxa"/>
            <w:vAlign w:val="bottom"/>
            <w:gridSpan w:val="5"/>
          </w:tcPr>
          <w:p>
            <w:pPr>
              <w:ind w:left="180"/>
              <w:spacing w:after="0"/>
              <w:rPr>
                <w:sz w:val="20"/>
                <w:szCs w:val="20"/>
                <w:color w:val="auto"/>
              </w:rPr>
            </w:pPr>
            <w:r>
              <w:rPr>
                <w:rFonts w:ascii="Arial" w:cs="Arial" w:eastAsia="Arial" w:hAnsi="Arial"/>
                <w:sz w:val="18"/>
                <w:szCs w:val="18"/>
                <w:b w:val="1"/>
                <w:bCs w:val="1"/>
                <w:color w:val="auto"/>
              </w:rPr>
              <w:t>Nine months ended</w:t>
            </w:r>
          </w:p>
        </w:tc>
      </w:tr>
      <w:tr>
        <w:trPr>
          <w:trHeight w:val="203"/>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3380" w:type="dxa"/>
            <w:vAlign w:val="bottom"/>
            <w:gridSpan w:val="4"/>
          </w:tcPr>
          <w:p>
            <w:pPr>
              <w:jc w:val="center"/>
              <w:ind w:left="912"/>
              <w:spacing w:after="0" w:line="202" w:lineRule="exact"/>
              <w:rPr>
                <w:sz w:val="20"/>
                <w:szCs w:val="20"/>
                <w:color w:val="auto"/>
              </w:rPr>
            </w:pPr>
            <w:r>
              <w:rPr>
                <w:rFonts w:ascii="Arial" w:cs="Arial" w:eastAsia="Arial" w:hAnsi="Arial"/>
                <w:sz w:val="18"/>
                <w:szCs w:val="18"/>
                <w:b w:val="1"/>
                <w:bCs w:val="1"/>
                <w:color w:val="auto"/>
                <w:w w:val="97"/>
              </w:rPr>
              <w:t>December 31,</w:t>
            </w:r>
          </w:p>
        </w:tc>
        <w:tc>
          <w:tcPr>
            <w:tcW w:w="1880" w:type="dxa"/>
            <w:vAlign w:val="bottom"/>
            <w:gridSpan w:val="5"/>
          </w:tcPr>
          <w:p>
            <w:pPr>
              <w:ind w:left="400"/>
              <w:spacing w:after="0" w:line="202" w:lineRule="exact"/>
              <w:rPr>
                <w:sz w:val="20"/>
                <w:szCs w:val="20"/>
                <w:color w:val="auto"/>
              </w:rPr>
            </w:pPr>
            <w:r>
              <w:rPr>
                <w:rFonts w:ascii="Arial" w:cs="Arial" w:eastAsia="Arial" w:hAnsi="Arial"/>
                <w:sz w:val="18"/>
                <w:szCs w:val="18"/>
                <w:b w:val="1"/>
                <w:bCs w:val="1"/>
                <w:color w:val="auto"/>
              </w:rPr>
              <w:t>September 30,</w:t>
            </w:r>
          </w:p>
        </w:tc>
      </w:tr>
      <w:tr>
        <w:trPr>
          <w:trHeight w:val="221"/>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4"/>
          </w:tcPr>
          <w:p>
            <w:pPr>
              <w:jc w:val="center"/>
              <w:ind w:left="912"/>
              <w:spacing w:after="0"/>
              <w:rPr>
                <w:sz w:val="20"/>
                <w:szCs w:val="20"/>
                <w:color w:val="auto"/>
              </w:rPr>
            </w:pPr>
            <w:r>
              <w:rPr>
                <w:rFonts w:ascii="Arial" w:cs="Arial" w:eastAsia="Arial" w:hAnsi="Arial"/>
                <w:sz w:val="18"/>
                <w:szCs w:val="18"/>
                <w:b w:val="1"/>
                <w:bCs w:val="1"/>
                <w:color w:val="auto"/>
                <w:w w:val="94"/>
              </w:rPr>
              <w:t>2018</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gridSpan w:val="3"/>
          </w:tcPr>
          <w:p>
            <w:pPr>
              <w:ind w:left="640"/>
              <w:spacing w:after="0" w:line="196" w:lineRule="exact"/>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32"/>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shd w:val="clear" w:color="auto" w:fill="CCEEFF"/>
          </w:tcPr>
          <w:p>
            <w:pPr>
              <w:spacing w:after="0"/>
              <w:rPr>
                <w:sz w:val="17"/>
                <w:szCs w:val="17"/>
                <w:color w:val="auto"/>
              </w:rPr>
            </w:pPr>
          </w:p>
        </w:tc>
      </w:tr>
      <w:tr>
        <w:trPr>
          <w:trHeight w:val="210"/>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Goodwill acquired (Note 8)</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532"/>
              <w:spacing w:after="0" w:line="202" w:lineRule="exact"/>
              <w:rPr>
                <w:sz w:val="20"/>
                <w:szCs w:val="20"/>
                <w:color w:val="auto"/>
              </w:rPr>
            </w:pPr>
            <w:r>
              <w:rPr>
                <w:rFonts w:ascii="Arial" w:cs="Arial" w:eastAsia="Arial" w:hAnsi="Arial"/>
                <w:sz w:val="18"/>
                <w:szCs w:val="18"/>
                <w:color w:val="auto"/>
              </w:rPr>
              <w:t>14,608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Ending balance</w:t>
            </w:r>
          </w:p>
        </w:tc>
        <w:tc>
          <w:tcPr>
            <w:tcW w:w="16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532"/>
              <w:spacing w:after="0" w:line="202" w:lineRule="exact"/>
              <w:rPr>
                <w:sz w:val="20"/>
                <w:szCs w:val="20"/>
                <w:color w:val="auto"/>
              </w:rPr>
            </w:pPr>
            <w:r>
              <w:rPr>
                <w:rFonts w:ascii="Arial" w:cs="Arial" w:eastAsia="Arial" w:hAnsi="Arial"/>
                <w:sz w:val="18"/>
                <w:szCs w:val="18"/>
                <w:color w:val="auto"/>
              </w:rPr>
              <w:t>14,608</w:t>
            </w:r>
          </w:p>
        </w:tc>
        <w:tc>
          <w:tcPr>
            <w:tcW w:w="600" w:type="dxa"/>
            <w:vAlign w:val="bottom"/>
            <w:tcBorders>
              <w:top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7"/>
        </w:trPr>
        <w:tc>
          <w:tcPr>
            <w:tcW w:w="5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1"/>
        </w:trPr>
        <w:tc>
          <w:tcPr>
            <w:tcW w:w="5780" w:type="dxa"/>
            <w:vAlign w:val="bottom"/>
            <w:gridSpan w:val="2"/>
          </w:tcPr>
          <w:p>
            <w:pPr>
              <w:spacing w:after="0"/>
              <w:rPr>
                <w:sz w:val="20"/>
                <w:szCs w:val="20"/>
                <w:color w:val="auto"/>
              </w:rPr>
            </w:pPr>
            <w:r>
              <w:rPr>
                <w:rFonts w:ascii="Arial" w:cs="Arial" w:eastAsia="Arial" w:hAnsi="Arial"/>
                <w:sz w:val="18"/>
                <w:szCs w:val="18"/>
                <w:color w:val="auto"/>
              </w:rPr>
              <w:t>Property and equipment, net consists of the following:</w:t>
            </w:r>
          </w:p>
        </w:tc>
        <w:tc>
          <w:tcPr>
            <w:tcW w:w="1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57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3"/>
          </w:tcPr>
          <w:p>
            <w:pPr>
              <w:spacing w:after="0"/>
              <w:rPr>
                <w:sz w:val="10"/>
                <w:szCs w:val="10"/>
                <w:color w:val="auto"/>
              </w:rPr>
            </w:pPr>
          </w:p>
        </w:tc>
        <w:tc>
          <w:tcPr>
            <w:tcW w:w="1880" w:type="dxa"/>
            <w:vAlign w:val="bottom"/>
            <w:tcBorders>
              <w:bottom w:val="single" w:sz="8" w:color="auto"/>
            </w:tcBorders>
            <w:gridSpan w:val="5"/>
          </w:tcPr>
          <w:p>
            <w:pPr>
              <w:spacing w:after="0"/>
              <w:rPr>
                <w:sz w:val="10"/>
                <w:szCs w:val="10"/>
                <w:color w:val="auto"/>
              </w:rPr>
            </w:pPr>
          </w:p>
        </w:tc>
      </w:tr>
      <w:tr>
        <w:trPr>
          <w:trHeight w:val="224"/>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760" w:type="dxa"/>
            <w:vAlign w:val="bottom"/>
            <w:gridSpan w:val="3"/>
          </w:tcPr>
          <w:p>
            <w:pPr>
              <w:ind w:left="400"/>
              <w:spacing w:after="0"/>
              <w:rPr>
                <w:sz w:val="20"/>
                <w:szCs w:val="20"/>
                <w:color w:val="auto"/>
              </w:rPr>
            </w:pPr>
            <w:r>
              <w:rPr>
                <w:rFonts w:ascii="Arial" w:cs="Arial" w:eastAsia="Arial" w:hAnsi="Arial"/>
                <w:sz w:val="18"/>
                <w:szCs w:val="18"/>
                <w:b w:val="1"/>
                <w:bCs w:val="1"/>
                <w:color w:val="auto"/>
              </w:rPr>
              <w:t>December 31,</w:t>
            </w:r>
          </w:p>
        </w:tc>
        <w:tc>
          <w:tcPr>
            <w:tcW w:w="1880" w:type="dxa"/>
            <w:vAlign w:val="bottom"/>
            <w:gridSpan w:val="5"/>
          </w:tcPr>
          <w:p>
            <w:pPr>
              <w:ind w:left="560"/>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20" w:type="dxa"/>
            <w:vAlign w:val="bottom"/>
          </w:tcPr>
          <w:p>
            <w:pPr>
              <w:spacing w:after="0"/>
              <w:rPr>
                <w:sz w:val="19"/>
                <w:szCs w:val="19"/>
                <w:color w:val="auto"/>
              </w:rPr>
            </w:pPr>
          </w:p>
        </w:tc>
        <w:tc>
          <w:tcPr>
            <w:tcW w:w="57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6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00" w:type="dxa"/>
            <w:vAlign w:val="bottom"/>
            <w:gridSpan w:val="6"/>
          </w:tcPr>
          <w:p>
            <w:pPr>
              <w:ind w:left="82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Laboratory equipment</w:t>
            </w:r>
          </w:p>
        </w:tc>
        <w:tc>
          <w:tcPr>
            <w:tcW w:w="2160" w:type="dxa"/>
            <w:vAlign w:val="bottom"/>
            <w:gridSpan w:val="3"/>
            <w:shd w:val="clear" w:color="auto" w:fill="CCEEFF"/>
          </w:tcPr>
          <w:p>
            <w:pPr>
              <w:ind w:left="20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6,181</w:t>
            </w:r>
          </w:p>
        </w:tc>
        <w:tc>
          <w:tcPr>
            <w:tcW w:w="74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7,255</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3,304</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3,330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978</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1,374</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Furniture and fixtures</w:t>
            </w:r>
          </w:p>
        </w:tc>
        <w:tc>
          <w:tcPr>
            <w:tcW w:w="1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32"/>
              <w:spacing w:after="0" w:line="202" w:lineRule="exact"/>
              <w:rPr>
                <w:sz w:val="20"/>
                <w:szCs w:val="20"/>
                <w:color w:val="auto"/>
              </w:rPr>
            </w:pPr>
            <w:r>
              <w:rPr>
                <w:rFonts w:ascii="Arial" w:cs="Arial" w:eastAsia="Arial" w:hAnsi="Arial"/>
                <w:sz w:val="18"/>
                <w:szCs w:val="18"/>
                <w:color w:val="auto"/>
              </w:rPr>
              <w:t>32</w:t>
            </w:r>
          </w:p>
        </w:tc>
        <w:tc>
          <w:tcPr>
            <w:tcW w:w="6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10,495</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12,007</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780" w:type="dxa"/>
            <w:vAlign w:val="bottom"/>
            <w:gridSpan w:val="2"/>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6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(3,623)</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(5,227)</w:t>
            </w:r>
          </w:p>
        </w:tc>
        <w:tc>
          <w:tcPr>
            <w:tcW w:w="60" w:type="dxa"/>
            <w:vAlign w:val="bottom"/>
          </w:tcPr>
          <w:p>
            <w:pPr>
              <w:spacing w:after="0"/>
              <w:rPr>
                <w:sz w:val="17"/>
                <w:szCs w:val="17"/>
                <w:color w:val="auto"/>
              </w:rPr>
            </w:pPr>
          </w:p>
        </w:tc>
      </w:tr>
      <w:tr>
        <w:trPr>
          <w:trHeight w:val="27"/>
        </w:trPr>
        <w:tc>
          <w:tcPr>
            <w:tcW w:w="2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160" w:type="dxa"/>
            <w:vAlign w:val="bottom"/>
            <w:gridSpan w:val="3"/>
            <w:shd w:val="clear" w:color="auto" w:fill="CCEEFF"/>
          </w:tcPr>
          <w:p>
            <w:pPr>
              <w:ind w:left="202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6,872</w:t>
            </w:r>
          </w:p>
        </w:tc>
        <w:tc>
          <w:tcPr>
            <w:tcW w:w="74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6,780</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500"/>
        <w:spacing w:after="0" w:line="239" w:lineRule="auto"/>
        <w:rPr>
          <w:sz w:val="20"/>
          <w:szCs w:val="20"/>
          <w:color w:val="auto"/>
        </w:rPr>
      </w:pPr>
      <w:r>
        <w:rPr>
          <w:rFonts w:ascii="Arial" w:cs="Arial" w:eastAsia="Arial" w:hAnsi="Arial"/>
          <w:sz w:val="18"/>
          <w:szCs w:val="18"/>
          <w:color w:val="auto"/>
        </w:rPr>
        <w:t>Depreciation and amortization expense for property and equipment amounted to $1.1 million and $1.7 million for the nine months ended September 30, 2018 and 2019, respectively.</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240" w:top="460" w:right="41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3480" w:type="dxa"/>
            <w:vAlign w:val="bottom"/>
            <w:gridSpan w:val="3"/>
          </w:tcPr>
          <w:p>
            <w:pPr>
              <w:ind w:left="1980"/>
              <w:spacing w:after="0"/>
              <w:rPr>
                <w:sz w:val="20"/>
                <w:szCs w:val="20"/>
                <w:color w:val="auto"/>
              </w:rPr>
            </w:pPr>
            <w:r>
              <w:rPr>
                <w:rFonts w:ascii="Arial" w:cs="Arial" w:eastAsia="Arial" w:hAnsi="Arial"/>
                <w:sz w:val="18"/>
                <w:szCs w:val="18"/>
                <w:b w:val="1"/>
                <w:bCs w:val="1"/>
                <w:color w:val="auto"/>
              </w:rPr>
              <w:t>December 31,</w:t>
            </w:r>
          </w:p>
        </w:tc>
        <w:tc>
          <w:tcPr>
            <w:tcW w:w="1640" w:type="dxa"/>
            <w:vAlign w:val="bottom"/>
            <w:gridSpan w:val="3"/>
          </w:tcPr>
          <w:p>
            <w:pPr>
              <w:ind w:left="360"/>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20" w:type="dxa"/>
            <w:vAlign w:val="bottom"/>
          </w:tcPr>
          <w:p>
            <w:pPr>
              <w:spacing w:after="0"/>
              <w:rPr>
                <w:sz w:val="19"/>
                <w:szCs w:val="19"/>
                <w:color w:val="auto"/>
              </w:rPr>
            </w:pPr>
          </w:p>
        </w:tc>
        <w:tc>
          <w:tcPr>
            <w:tcW w:w="59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b w:val="1"/>
                <w:bCs w:val="1"/>
                <w:color w:val="auto"/>
              </w:rPr>
              <w:t>2018</w:t>
            </w:r>
          </w:p>
        </w:tc>
        <w:tc>
          <w:tcPr>
            <w:tcW w:w="7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80" w:type="dxa"/>
            <w:vAlign w:val="bottom"/>
            <w:gridSpan w:val="2"/>
          </w:tcPr>
          <w:p>
            <w:pPr>
              <w:ind w:left="700"/>
              <w:spacing w:after="0" w:line="196" w:lineRule="exact"/>
              <w:rPr>
                <w:sz w:val="20"/>
                <w:szCs w:val="20"/>
                <w:color w:val="auto"/>
              </w:rPr>
            </w:pPr>
            <w:r>
              <w:rPr>
                <w:rFonts w:ascii="Arial" w:cs="Arial" w:eastAsia="Arial" w:hAnsi="Arial"/>
                <w:sz w:val="18"/>
                <w:szCs w:val="18"/>
                <w:b w:val="1"/>
                <w:bCs w:val="1"/>
                <w:color w:val="auto"/>
              </w:rPr>
              <w:t>(in thousands)</w:t>
            </w: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compensation</w:t>
            </w:r>
          </w:p>
        </w:tc>
        <w:tc>
          <w:tcPr>
            <w:tcW w:w="2200" w:type="dxa"/>
            <w:vAlign w:val="bottom"/>
            <w:gridSpan w:val="2"/>
            <w:shd w:val="clear" w:color="auto" w:fill="CCEEFF"/>
          </w:tcPr>
          <w:p>
            <w:pPr>
              <w:ind w:left="198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4,861</w:t>
            </w:r>
          </w:p>
        </w:tc>
        <w:tc>
          <w:tcPr>
            <w:tcW w:w="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2,967</w:t>
            </w:r>
          </w:p>
        </w:tc>
        <w:tc>
          <w:tcPr>
            <w:tcW w:w="60" w:type="dxa"/>
            <w:vAlign w:val="bottom"/>
            <w:shd w:val="clear" w:color="auto" w:fill="CCEEFF"/>
          </w:tcPr>
          <w:p>
            <w:pPr>
              <w:spacing w:after="0"/>
              <w:rPr>
                <w:sz w:val="17"/>
                <w:szCs w:val="17"/>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Accrued research and development</w:t>
            </w: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2,016</w:t>
            </w:r>
          </w:p>
        </w:tc>
        <w:tc>
          <w:tcPr>
            <w:tcW w:w="7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7,247</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rent, current</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552</w:t>
            </w: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595</w:t>
            </w:r>
          </w:p>
        </w:tc>
        <w:tc>
          <w:tcPr>
            <w:tcW w:w="60" w:type="dxa"/>
            <w:vAlign w:val="bottom"/>
            <w:shd w:val="clear" w:color="auto" w:fill="CCEEFF"/>
          </w:tcPr>
          <w:p>
            <w:pPr>
              <w:spacing w:after="0"/>
              <w:rPr>
                <w:sz w:val="17"/>
                <w:szCs w:val="17"/>
                <w:color w:val="auto"/>
              </w:rPr>
            </w:pPr>
          </w:p>
        </w:tc>
      </w:tr>
      <w:tr>
        <w:trPr>
          <w:trHeight w:val="203"/>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Accrued professional services</w:t>
            </w: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264</w:t>
            </w:r>
          </w:p>
        </w:tc>
        <w:tc>
          <w:tcPr>
            <w:tcW w:w="70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1,353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Capital lease, current</w:t>
            </w:r>
          </w:p>
        </w:tc>
        <w:tc>
          <w:tcPr>
            <w:tcW w:w="1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147</w:t>
            </w:r>
          </w:p>
        </w:tc>
        <w:tc>
          <w:tcPr>
            <w:tcW w:w="7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7"/>
                <w:szCs w:val="17"/>
                <w:color w:val="auto"/>
              </w:rPr>
            </w:pPr>
          </w:p>
        </w:tc>
      </w:tr>
      <w:tr>
        <w:trPr>
          <w:trHeight w:val="210"/>
        </w:trPr>
        <w:tc>
          <w:tcPr>
            <w:tcW w:w="592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72"/>
              <w:spacing w:after="0" w:line="202" w:lineRule="exact"/>
              <w:rPr>
                <w:sz w:val="20"/>
                <w:szCs w:val="20"/>
                <w:color w:val="auto"/>
              </w:rPr>
            </w:pPr>
            <w:r>
              <w:rPr>
                <w:rFonts w:ascii="Arial" w:cs="Arial" w:eastAsia="Arial" w:hAnsi="Arial"/>
                <w:sz w:val="18"/>
                <w:szCs w:val="18"/>
                <w:color w:val="auto"/>
              </w:rPr>
              <w:t>646</w:t>
            </w:r>
          </w:p>
        </w:tc>
        <w:tc>
          <w:tcPr>
            <w:tcW w:w="7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799</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accrued expenses and other current liabilities</w:t>
            </w:r>
          </w:p>
        </w:tc>
        <w:tc>
          <w:tcPr>
            <w:tcW w:w="2200" w:type="dxa"/>
            <w:vAlign w:val="bottom"/>
            <w:gridSpan w:val="2"/>
            <w:shd w:val="clear" w:color="auto" w:fill="CCEEFF"/>
          </w:tcPr>
          <w:p>
            <w:pPr>
              <w:ind w:left="1980"/>
              <w:spacing w:after="0" w:line="202" w:lineRule="exact"/>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8,486</w:t>
            </w:r>
          </w:p>
        </w:tc>
        <w:tc>
          <w:tcPr>
            <w:tcW w:w="7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13,118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6. Commitments and contingencies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24"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In January 2015, as amended in September 2016, the Company entered into a facility lease for office and laboratory space located in Redwood City, California (Redwood City Lease) which expires in April 2023. The landlord provided the Company with a tenant improvement allowance of $3.4 million. The Company has assessed the tenant improvement allowance to be a lease incentive and has capitalized the full amount to property and equipment and recognized a corresponding lease financing obligation included in deferred rent on the condensed consolidated balance sheets. The lease financing obligation is amortized as an offset to rent expense over the lease term in the condensed consolidated statements of operations and comprehensive loss.</w:t>
      </w:r>
    </w:p>
    <w:p>
      <w:pPr>
        <w:spacing w:after="0" w:line="102"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In conjunction with the lease agreement, the Company paid a security deposit of $0.3 million which is included in other noncurrent assets on the condensed consolidated balance sheets as of December 31, 2018 and September 30, 2019.</w:t>
      </w:r>
    </w:p>
    <w:p>
      <w:pPr>
        <w:spacing w:after="0" w:line="101" w:lineRule="exact"/>
        <w:rPr>
          <w:sz w:val="20"/>
          <w:szCs w:val="20"/>
          <w:color w:val="auto"/>
        </w:rPr>
      </w:pPr>
    </w:p>
    <w:p>
      <w:pPr>
        <w:ind w:left="200" w:right="340"/>
        <w:spacing w:after="0" w:line="238" w:lineRule="auto"/>
        <w:rPr>
          <w:sz w:val="20"/>
          <w:szCs w:val="20"/>
          <w:color w:val="auto"/>
        </w:rPr>
      </w:pPr>
      <w:r>
        <w:rPr>
          <w:rFonts w:ascii="Arial" w:cs="Arial" w:eastAsia="Arial" w:hAnsi="Arial"/>
          <w:sz w:val="18"/>
          <w:szCs w:val="18"/>
          <w:color w:val="auto"/>
        </w:rPr>
        <w:t>In July 2015, as amended in March 2016 and September 2016, the Company subleased a portion of the Redwood City Lease to Pliant Therapeutics, Inc., a related party, which expired in June 2018. Sublease income of $0.5 million for the nine months ended September 30, 2018 was recorded as an offset to rent expense in the condensed consolidated statements of operations and comprehensive loss.</w:t>
      </w:r>
    </w:p>
    <w:p>
      <w:pPr>
        <w:spacing w:after="0" w:line="100"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As part of the Warp Drive acquisition in October 2018, the Company assumed a facility lease for office and laboratory space located in Cambridge, Massachusetts (Cambridge Lease) which expires in February 2023. In March 2019, the Company fully subleased the Cambridge Lease to Casma Therapeutics, Inc. (Casma), a related party, on financial terms substantially the same as the original lease. The sublease term with Casma is through the remainder of the Cambridge Lease term. The sublease by Casma and related sublease payments by Casma to the Company are fully guaranteed by Third Rock Ventures, LLC, a related party. Sublease income of $0.9 million for the nine months ended September 30, 2019 was recorded as an offset to rent expense in the condensed consolidated statements of operations and comprehensive loss. In conjunction with the Cambridge Lease, the Company issued a letter of credit for $0.2 million, which is included in restricted cash on the condensed consolidated balance sheet as of December 31, 2018 and September 30, 2019.</w:t>
      </w:r>
    </w:p>
    <w:p>
      <w:pPr>
        <w:spacing w:after="0" w:line="100" w:lineRule="exact"/>
        <w:rPr>
          <w:sz w:val="20"/>
          <w:szCs w:val="20"/>
          <w:color w:val="auto"/>
        </w:rPr>
      </w:pPr>
    </w:p>
    <w:p>
      <w:pPr>
        <w:ind w:left="200" w:right="560"/>
        <w:spacing w:after="0" w:line="237" w:lineRule="auto"/>
        <w:rPr>
          <w:sz w:val="20"/>
          <w:szCs w:val="20"/>
          <w:color w:val="auto"/>
        </w:rPr>
      </w:pPr>
      <w:r>
        <w:rPr>
          <w:rFonts w:ascii="Arial" w:cs="Arial" w:eastAsia="Arial" w:hAnsi="Arial"/>
          <w:sz w:val="18"/>
          <w:szCs w:val="18"/>
          <w:color w:val="auto"/>
        </w:rPr>
        <w:t>Rent expense for the nine months ended September 30, 2018 and 2019 was $0.7 million and $1.6 million, respectively, net of sublease income and tenant improvement allowance credits. The terms of the facility leases provide for rental payments on a graduated scale; however, rent expense is recognized on a straight-line basis over the lease term. As of December 31, 2018 and September 30, 2019, $2.8 million and $2.5 million was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60" w:right="41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included as deferred rent, respectively, which includes the deferred tenant improvement allowance and straight-line rent. The current portion of deferred rent is included in accrued expenses and other current liabilities and the noncurrent portion of deferred rent is included in deferred rent, noncurrent on the condensed consolidated balance sheets.</w:t>
      </w:r>
    </w:p>
    <w:p>
      <w:pPr>
        <w:spacing w:after="0" w:line="100"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As of September 30, 2019, future minimum payments and receipts under the Company’s operating and capital leases and sublease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b w:val="1"/>
                <w:bCs w:val="1"/>
                <w:color w:val="auto"/>
              </w:rPr>
              <w:t>Gross</w:t>
            </w: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Net</w:t>
            </w:r>
          </w:p>
        </w:tc>
      </w:tr>
      <w:tr>
        <w:trPr>
          <w:trHeight w:val="203"/>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432"/>
              <w:spacing w:after="0" w:line="202" w:lineRule="exact"/>
              <w:rPr>
                <w:sz w:val="20"/>
                <w:szCs w:val="20"/>
                <w:color w:val="auto"/>
              </w:rPr>
            </w:pPr>
            <w:r>
              <w:rPr>
                <w:rFonts w:ascii="Arial" w:cs="Arial" w:eastAsia="Arial" w:hAnsi="Arial"/>
                <w:sz w:val="18"/>
                <w:szCs w:val="18"/>
                <w:b w:val="1"/>
                <w:bCs w:val="1"/>
                <w:color w:val="auto"/>
              </w:rPr>
              <w:t>lease</w:t>
            </w:r>
          </w:p>
        </w:tc>
        <w:tc>
          <w:tcPr>
            <w:tcW w:w="1540" w:type="dxa"/>
            <w:vAlign w:val="bottom"/>
            <w:gridSpan w:val="2"/>
          </w:tcPr>
          <w:p>
            <w:pPr>
              <w:ind w:left="360"/>
              <w:spacing w:after="0" w:line="202" w:lineRule="exact"/>
              <w:rPr>
                <w:sz w:val="20"/>
                <w:szCs w:val="20"/>
                <w:color w:val="auto"/>
              </w:rPr>
            </w:pPr>
            <w:r>
              <w:rPr>
                <w:rFonts w:ascii="Arial" w:cs="Arial" w:eastAsia="Arial" w:hAnsi="Arial"/>
                <w:sz w:val="18"/>
                <w:szCs w:val="18"/>
                <w:b w:val="1"/>
                <w:bCs w:val="1"/>
                <w:color w:val="auto"/>
              </w:rPr>
              <w:t>Sublease</w:t>
            </w:r>
          </w:p>
        </w:tc>
        <w:tc>
          <w:tcPr>
            <w:tcW w:w="380" w:type="dxa"/>
            <w:vAlign w:val="bottom"/>
          </w:tcPr>
          <w:p>
            <w:pPr>
              <w:spacing w:after="0"/>
              <w:rPr>
                <w:sz w:val="17"/>
                <w:szCs w:val="17"/>
                <w:color w:val="auto"/>
              </w:rPr>
            </w:pPr>
          </w:p>
        </w:tc>
        <w:tc>
          <w:tcPr>
            <w:tcW w:w="1000" w:type="dxa"/>
            <w:vAlign w:val="bottom"/>
            <w:gridSpan w:val="2"/>
          </w:tcPr>
          <w:p>
            <w:pPr>
              <w:jc w:val="center"/>
              <w:ind w:right="280"/>
              <w:spacing w:after="0" w:line="202" w:lineRule="exact"/>
              <w:rPr>
                <w:sz w:val="20"/>
                <w:szCs w:val="20"/>
                <w:color w:val="auto"/>
              </w:rPr>
            </w:pPr>
            <w:r>
              <w:rPr>
                <w:rFonts w:ascii="Arial" w:cs="Arial" w:eastAsia="Arial" w:hAnsi="Arial"/>
                <w:sz w:val="18"/>
                <w:szCs w:val="18"/>
                <w:b w:val="1"/>
                <w:bCs w:val="1"/>
                <w:color w:val="auto"/>
                <w:w w:val="97"/>
              </w:rPr>
              <w:t>lease</w:t>
            </w:r>
          </w:p>
        </w:tc>
      </w:tr>
      <w:tr>
        <w:trPr>
          <w:trHeight w:val="235"/>
        </w:trPr>
        <w:tc>
          <w:tcPr>
            <w:tcW w:w="20" w:type="dxa"/>
            <w:vAlign w:val="bottom"/>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gridSpan w:val="3"/>
          </w:tcPr>
          <w:p>
            <w:pPr>
              <w:ind w:left="1960"/>
              <w:spacing w:after="0"/>
              <w:rPr>
                <w:sz w:val="20"/>
                <w:szCs w:val="20"/>
                <w:color w:val="auto"/>
              </w:rPr>
            </w:pPr>
            <w:r>
              <w:rPr>
                <w:rFonts w:ascii="Arial" w:cs="Arial" w:eastAsia="Arial" w:hAnsi="Arial"/>
                <w:sz w:val="18"/>
                <w:szCs w:val="18"/>
                <w:b w:val="1"/>
                <w:bCs w:val="1"/>
                <w:color w:val="auto"/>
              </w:rPr>
              <w:t>commitments</w:t>
            </w:r>
          </w:p>
        </w:tc>
        <w:tc>
          <w:tcPr>
            <w:tcW w:w="1540" w:type="dxa"/>
            <w:vAlign w:val="bottom"/>
            <w:tcBorders>
              <w:bottom w:val="single" w:sz="8" w:color="auto"/>
            </w:tcBorders>
            <w:gridSpan w:val="2"/>
          </w:tcPr>
          <w:p>
            <w:pPr>
              <w:jc w:val="right"/>
              <w:ind w:right="392"/>
              <w:spacing w:after="0"/>
              <w:rPr>
                <w:sz w:val="20"/>
                <w:szCs w:val="20"/>
                <w:color w:val="auto"/>
              </w:rPr>
            </w:pPr>
            <w:r>
              <w:rPr>
                <w:rFonts w:ascii="Arial" w:cs="Arial" w:eastAsia="Arial" w:hAnsi="Arial"/>
                <w:sz w:val="18"/>
                <w:szCs w:val="18"/>
                <w:b w:val="1"/>
                <w:bCs w:val="1"/>
                <w:color w:val="auto"/>
              </w:rPr>
              <w:t>income</w:t>
            </w:r>
          </w:p>
        </w:tc>
        <w:tc>
          <w:tcPr>
            <w:tcW w:w="1380" w:type="dxa"/>
            <w:vAlign w:val="bottom"/>
            <w:tcBorders>
              <w:bottom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commitments</w:t>
            </w:r>
          </w:p>
        </w:tc>
      </w:tr>
      <w:tr>
        <w:trPr>
          <w:trHeight w:val="196"/>
        </w:trPr>
        <w:tc>
          <w:tcPr>
            <w:tcW w:w="2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40" w:type="dxa"/>
            <w:vAlign w:val="bottom"/>
            <w:gridSpan w:val="2"/>
          </w:tcPr>
          <w:p>
            <w:pPr>
              <w:jc w:val="right"/>
              <w:ind w:right="72"/>
              <w:spacing w:after="0" w:line="196" w:lineRule="exact"/>
              <w:rPr>
                <w:sz w:val="20"/>
                <w:szCs w:val="20"/>
                <w:color w:val="auto"/>
              </w:rPr>
            </w:pPr>
            <w:r>
              <w:rPr>
                <w:rFonts w:ascii="Arial" w:cs="Arial" w:eastAsia="Arial" w:hAnsi="Arial"/>
                <w:sz w:val="18"/>
                <w:szCs w:val="18"/>
                <w:b w:val="1"/>
                <w:bCs w:val="1"/>
                <w:color w:val="auto"/>
              </w:rPr>
              <w:t>(in thousands)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jc w:val="right"/>
              <w:ind w:right="3272"/>
              <w:spacing w:after="0" w:line="202" w:lineRule="exact"/>
              <w:rPr>
                <w:sz w:val="20"/>
                <w:szCs w:val="20"/>
                <w:color w:val="auto"/>
              </w:rPr>
            </w:pPr>
            <w:r>
              <w:rPr>
                <w:rFonts w:ascii="Arial" w:cs="Arial" w:eastAsia="Arial" w:hAnsi="Arial"/>
                <w:sz w:val="18"/>
                <w:szCs w:val="18"/>
                <w:color w:val="auto"/>
                <w:w w:val="95"/>
              </w:rPr>
              <w:t>Remainder of 2019</w:t>
            </w:r>
          </w:p>
        </w:tc>
        <w:tc>
          <w:tcPr>
            <w:tcW w:w="2160" w:type="dxa"/>
            <w:vAlign w:val="bottom"/>
            <w:gridSpan w:val="2"/>
            <w:shd w:val="clear" w:color="auto" w:fill="CCEEFF"/>
          </w:tcPr>
          <w:p>
            <w:pPr>
              <w:ind w:left="1960"/>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1,248</w:t>
            </w:r>
          </w:p>
        </w:tc>
        <w:tc>
          <w:tcPr>
            <w:tcW w:w="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(415)</w:t>
            </w:r>
          </w:p>
        </w:tc>
        <w:tc>
          <w:tcPr>
            <w:tcW w:w="38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833</w:t>
            </w:r>
          </w:p>
        </w:tc>
        <w:tc>
          <w:tcPr>
            <w:tcW w:w="60" w:type="dxa"/>
            <w:vAlign w:val="bottom"/>
            <w:shd w:val="clear" w:color="auto" w:fill="CCEEFF"/>
          </w:tcPr>
          <w:p>
            <w:pPr>
              <w:spacing w:after="0"/>
              <w:rPr>
                <w:sz w:val="17"/>
                <w:szCs w:val="17"/>
                <w:color w:val="auto"/>
              </w:rPr>
            </w:pPr>
          </w:p>
        </w:tc>
      </w:tr>
      <w:tr>
        <w:trPr>
          <w:trHeight w:val="203"/>
        </w:trPr>
        <w:tc>
          <w:tcPr>
            <w:tcW w:w="4860" w:type="dxa"/>
            <w:vAlign w:val="bottom"/>
            <w:gridSpan w:val="2"/>
          </w:tcPr>
          <w:p>
            <w:pPr>
              <w:jc w:val="right"/>
              <w:ind w:right="4372"/>
              <w:spacing w:after="0" w:line="202" w:lineRule="exact"/>
              <w:rPr>
                <w:sz w:val="20"/>
                <w:szCs w:val="20"/>
                <w:color w:val="auto"/>
              </w:rPr>
            </w:pPr>
            <w:r>
              <w:rPr>
                <w:rFonts w:ascii="Arial" w:cs="Arial" w:eastAsia="Arial" w:hAnsi="Arial"/>
                <w:sz w:val="18"/>
                <w:szCs w:val="18"/>
                <w:color w:val="auto"/>
                <w:w w:val="94"/>
              </w:rPr>
              <w:t>2020</w:t>
            </w: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3,885</w:t>
            </w:r>
          </w:p>
        </w:tc>
        <w:tc>
          <w:tcPr>
            <w:tcW w:w="540" w:type="dxa"/>
            <w:vAlign w:val="bottom"/>
          </w:tcPr>
          <w:p>
            <w:pPr>
              <w:spacing w:after="0"/>
              <w:rPr>
                <w:sz w:val="17"/>
                <w:szCs w:val="17"/>
                <w:color w:val="auto"/>
              </w:rPr>
            </w:pPr>
          </w:p>
        </w:tc>
        <w:tc>
          <w:tcPr>
            <w:tcW w:w="10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(1,701)</w:t>
            </w: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2,184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jc w:val="right"/>
              <w:ind w:right="4372"/>
              <w:spacing w:after="0" w:line="202" w:lineRule="exact"/>
              <w:rPr>
                <w:sz w:val="20"/>
                <w:szCs w:val="20"/>
                <w:color w:val="auto"/>
              </w:rPr>
            </w:pPr>
            <w:r>
              <w:rPr>
                <w:rFonts w:ascii="Arial" w:cs="Arial" w:eastAsia="Arial" w:hAnsi="Arial"/>
                <w:sz w:val="18"/>
                <w:szCs w:val="18"/>
                <w:color w:val="auto"/>
                <w:w w:val="89"/>
              </w:rPr>
              <w:t>2021</w:t>
            </w:r>
          </w:p>
        </w:tc>
        <w:tc>
          <w:tcPr>
            <w:tcW w:w="1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3,786</w:t>
            </w:r>
          </w:p>
        </w:tc>
        <w:tc>
          <w:tcPr>
            <w:tcW w:w="5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(1,752)</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2,034</w:t>
            </w:r>
          </w:p>
        </w:tc>
        <w:tc>
          <w:tcPr>
            <w:tcW w:w="60" w:type="dxa"/>
            <w:vAlign w:val="bottom"/>
            <w:shd w:val="clear" w:color="auto" w:fill="CCEEFF"/>
          </w:tcPr>
          <w:p>
            <w:pPr>
              <w:spacing w:after="0"/>
              <w:rPr>
                <w:sz w:val="17"/>
                <w:szCs w:val="17"/>
                <w:color w:val="auto"/>
              </w:rPr>
            </w:pPr>
          </w:p>
        </w:tc>
      </w:tr>
      <w:tr>
        <w:trPr>
          <w:trHeight w:val="203"/>
        </w:trPr>
        <w:tc>
          <w:tcPr>
            <w:tcW w:w="4860" w:type="dxa"/>
            <w:vAlign w:val="bottom"/>
            <w:gridSpan w:val="2"/>
          </w:tcPr>
          <w:p>
            <w:pPr>
              <w:jc w:val="right"/>
              <w:ind w:right="4372"/>
              <w:spacing w:after="0" w:line="202" w:lineRule="exact"/>
              <w:rPr>
                <w:sz w:val="20"/>
                <w:szCs w:val="20"/>
                <w:color w:val="auto"/>
              </w:rPr>
            </w:pPr>
            <w:r>
              <w:rPr>
                <w:rFonts w:ascii="Arial" w:cs="Arial" w:eastAsia="Arial" w:hAnsi="Arial"/>
                <w:sz w:val="18"/>
                <w:szCs w:val="18"/>
                <w:color w:val="auto"/>
                <w:w w:val="94"/>
              </w:rPr>
              <w:t>2022</w:t>
            </w:r>
          </w:p>
        </w:tc>
        <w:tc>
          <w:tcPr>
            <w:tcW w:w="1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ind w:right="72"/>
              <w:spacing w:after="0" w:line="202" w:lineRule="exact"/>
              <w:rPr>
                <w:sz w:val="20"/>
                <w:szCs w:val="20"/>
                <w:color w:val="auto"/>
              </w:rPr>
            </w:pPr>
            <w:r>
              <w:rPr>
                <w:rFonts w:ascii="Arial" w:cs="Arial" w:eastAsia="Arial" w:hAnsi="Arial"/>
                <w:sz w:val="18"/>
                <w:szCs w:val="18"/>
                <w:color w:val="auto"/>
              </w:rPr>
              <w:t>3,886</w:t>
            </w:r>
          </w:p>
        </w:tc>
        <w:tc>
          <w:tcPr>
            <w:tcW w:w="540" w:type="dxa"/>
            <w:vAlign w:val="bottom"/>
          </w:tcPr>
          <w:p>
            <w:pPr>
              <w:spacing w:after="0"/>
              <w:rPr>
                <w:sz w:val="17"/>
                <w:szCs w:val="17"/>
                <w:color w:val="auto"/>
              </w:rPr>
            </w:pPr>
          </w:p>
        </w:tc>
        <w:tc>
          <w:tcPr>
            <w:tcW w:w="100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(1,804)</w:t>
            </w:r>
          </w:p>
        </w:tc>
        <w:tc>
          <w:tcPr>
            <w:tcW w:w="3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2,082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840" w:type="dxa"/>
            <w:vAlign w:val="bottom"/>
            <w:shd w:val="clear" w:color="auto" w:fill="CCEEFF"/>
          </w:tcPr>
          <w:p>
            <w:pPr>
              <w:jc w:val="right"/>
              <w:ind w:right="4372"/>
              <w:spacing w:after="0" w:line="202" w:lineRule="exact"/>
              <w:rPr>
                <w:sz w:val="20"/>
                <w:szCs w:val="20"/>
                <w:color w:val="auto"/>
              </w:rPr>
            </w:pPr>
            <w:r>
              <w:rPr>
                <w:rFonts w:ascii="Arial" w:cs="Arial" w:eastAsia="Arial" w:hAnsi="Arial"/>
                <w:sz w:val="18"/>
                <w:szCs w:val="18"/>
                <w:color w:val="auto"/>
                <w:w w:val="89"/>
              </w:rPr>
              <w:t>2023</w:t>
            </w:r>
          </w:p>
        </w:tc>
        <w:tc>
          <w:tcPr>
            <w:tcW w:w="19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1,003</w:t>
            </w:r>
          </w:p>
        </w:tc>
        <w:tc>
          <w:tcPr>
            <w:tcW w:w="5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52"/>
              <w:spacing w:after="0" w:line="202" w:lineRule="exact"/>
              <w:rPr>
                <w:sz w:val="20"/>
                <w:szCs w:val="20"/>
                <w:color w:val="auto"/>
              </w:rPr>
            </w:pPr>
            <w:r>
              <w:rPr>
                <w:rFonts w:ascii="Arial" w:cs="Arial" w:eastAsia="Arial" w:hAnsi="Arial"/>
                <w:sz w:val="18"/>
                <w:szCs w:val="18"/>
                <w:color w:val="auto"/>
              </w:rPr>
              <w:t>(302)</w:t>
            </w:r>
          </w:p>
        </w:tc>
        <w:tc>
          <w:tcPr>
            <w:tcW w:w="3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701</w:t>
            </w:r>
          </w:p>
        </w:tc>
        <w:tc>
          <w:tcPr>
            <w:tcW w:w="60" w:type="dxa"/>
            <w:vAlign w:val="bottom"/>
            <w:shd w:val="clear" w:color="auto" w:fill="CCEEFF"/>
          </w:tcPr>
          <w:p>
            <w:pPr>
              <w:spacing w:after="0"/>
              <w:rPr>
                <w:sz w:val="17"/>
                <w:szCs w:val="17"/>
                <w:color w:val="auto"/>
              </w:rPr>
            </w:pPr>
          </w:p>
        </w:tc>
      </w:tr>
      <w:tr>
        <w:trPr>
          <w:trHeight w:val="222"/>
        </w:trPr>
        <w:tc>
          <w:tcPr>
            <w:tcW w:w="4860" w:type="dxa"/>
            <w:vAlign w:val="bottom"/>
            <w:tcBorders>
              <w:bottom w:val="single" w:sz="8" w:color="auto"/>
            </w:tcBorders>
            <w:gridSpan w:val="2"/>
          </w:tcPr>
          <w:p>
            <w:pPr>
              <w:jc w:val="right"/>
              <w:ind w:right="1852"/>
              <w:spacing w:after="0"/>
              <w:rPr>
                <w:sz w:val="20"/>
                <w:szCs w:val="20"/>
                <w:color w:val="auto"/>
              </w:rPr>
            </w:pPr>
            <w:r>
              <w:rPr>
                <w:rFonts w:ascii="Arial" w:cs="Arial" w:eastAsia="Arial" w:hAnsi="Arial"/>
                <w:sz w:val="18"/>
                <w:szCs w:val="18"/>
                <w:color w:val="auto"/>
                <w:w w:val="96"/>
              </w:rPr>
              <w:t>Total future minimum lease payments</w:t>
            </w:r>
          </w:p>
        </w:tc>
        <w:tc>
          <w:tcPr>
            <w:tcW w:w="2160" w:type="dxa"/>
            <w:vAlign w:val="bottom"/>
            <w:tcBorders>
              <w:bottom w:val="single" w:sz="8" w:color="auto"/>
            </w:tcBorders>
            <w:gridSpan w:val="2"/>
          </w:tcPr>
          <w:p>
            <w:pPr>
              <w:ind w:left="19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13,808</w:t>
            </w:r>
          </w:p>
        </w:tc>
        <w:tc>
          <w:tcPr>
            <w:tcW w:w="5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color w:val="auto"/>
              </w:rPr>
              <w:t>(5,974)</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7,834</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Included in the amounts above are $0.2 million of capital lease obligations.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matters</w:t>
      </w:r>
    </w:p>
    <w:p>
      <w:pPr>
        <w:spacing w:after="0" w:line="124"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From time to time, the Company may be involved in litigation related to claims that arise in the ordinary course of its business activities. The Company accrues for these matters when it is probable that losses will be incurred and these losses can be reasonably estimated. As of December 31, 2018 and September 30, 2019, the Company does not believe that any such matters, individually or in the aggregate, will have a material adverse effect on the Company’s financial position, results of operations or cash flows.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24"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not incurred costs to defend lawsuits or settle claims related to these indemnification agreements. As a result, the Company believes the fair value of these agreements is minimal.</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7. Sanofi collaboration agreement</w:t>
      </w:r>
    </w:p>
    <w:p>
      <w:pPr>
        <w:spacing w:after="0" w:line="134"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In June 2018, the Company entered into a collaborative research, development and commercialization agreement with Aventis, Inc. (an affiliate of Sanofi), or the Sanofi Agreement, to research and develop SHP2 inhibitors, including RMC-4630 for any indications. Pursuant to the Sanofi Agreement, the Company granted Sanofi a worldwide, exclusive, sublicensable (subject to the Company’s consent in certain circumstances) license under certain of the Company’s patents and know-how to research, develop, manufacture, use, sell, offer for sale, import and otherwise commercialize SHP2 inhibitors, including RMC-4630, for any and all uses, subject to the Company’s exercise of rights and performance obligations under the Sanofi Agreement.</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240" w:top="459" w:right="41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In October 2018, the Company acquired Warp Drive in exchange for the Company’s Series B redeemable convertible preferred stock and cash. Sanofi was a stockholder of Warp Drive and received the Company’s Series B redeemable convertible preferred stock during the transaction and accordingly became an investor and related party of the Company.</w:t>
      </w:r>
    </w:p>
    <w:p>
      <w:pPr>
        <w:spacing w:after="0" w:line="100"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Under the Sanofi Agreement, the Company received a non-refundable, upfront cash payment of $50 million in July 2018 and could also receive up to $520 million in development and regulatory milestone payments, including up to $235 million upon the achievement of specified development milestones and up to $285 million upon the achievement of certain marketing approval milestones. Sanofi also agreed to reimburse the Company for 80% of all internal and external research costs and expenses incurred under the research plan for 2019 and 2020, and for all other internal and external costs and expenses incurred to perform activities under the research and development plans for the SHP2 program. The Company is responsible for 20% of all internal and external research costs incurred under the research plan for 2019 and 2020. In the United States, the Company will share equally with Sanofi the profits and losses applicable to commercialization of SHP2 inhibitor products, pursuant to a profit/loss share agreement that the parties will negotiate based on key terms agreed in the Sanofi Agreement. On a product-by-product basis, Sanofi will also be required to pay the Company tiered royalties on annual net sales of each product outside the United States ranging from high single digit to mid-teen percentages.</w:t>
      </w:r>
    </w:p>
    <w:p>
      <w:pPr>
        <w:spacing w:after="0" w:line="107" w:lineRule="exact"/>
        <w:rPr>
          <w:sz w:val="20"/>
          <w:szCs w:val="20"/>
          <w:color w:val="auto"/>
        </w:rPr>
      </w:pPr>
    </w:p>
    <w:p>
      <w:pPr>
        <w:ind w:left="200" w:right="340"/>
        <w:spacing w:after="0" w:line="238" w:lineRule="auto"/>
        <w:rPr>
          <w:sz w:val="20"/>
          <w:szCs w:val="20"/>
          <w:color w:val="auto"/>
        </w:rPr>
      </w:pPr>
      <w:r>
        <w:rPr>
          <w:rFonts w:ascii="Arial" w:cs="Arial" w:eastAsia="Arial" w:hAnsi="Arial"/>
          <w:sz w:val="18"/>
          <w:szCs w:val="18"/>
          <w:color w:val="auto"/>
        </w:rPr>
        <w:t>The Company has primary responsibility for early clinical development of RMC-4630 pursuant to an initial development plan and also has primary responsibility for the manufacture of SHP2 inhibitors for Phase 1 and Phase 2 non-registrational clinical trials, while Sanofi is responsible for manufacturing SHP2 inhibitors for all other clinical trials and commercial supply.</w:t>
      </w:r>
    </w:p>
    <w:p>
      <w:pPr>
        <w:spacing w:after="0" w:line="100"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Unless terminated earlier, the Sanofi Agreement will continue in effect until the later of the expiration of all of Sanofi’s milestone and royalty payment obligations and the expiration of the profit/loss share agreement. Sanofi may terminate the Sanofi Agreement in its entirety or on a country-by-country or product-by-product basis for any reason or for significant safety concerns, upon prior notice to the Company. Sanofi may terminate the Sanofi Agreement in its entirety upon a change of control in the Company, with prior notice. Either party may terminate the Sanofi Agreement if an undisputed material breach by the other party is not cured within a defined period of time, or immediately upon notice for insolvency-related events of the other party. The Company may terminate the Sanofi Agreement after a certain number of years if Sanofi develops a competing program without commencing a registrational clinical trial for a SHP2 inhibitor product candidate, and subject to certain other conditions. The Company may also terminate the Sanofi Agreement at any time, if Sanofi ceases certain critical activities for SHP2 inhibitor product candidates for more than a specified period of time, provided that such cessations of critical activity were not a result of certain specified factors, and subject to certain other conditions. Upon any termination of the Sanofi Agreement with respect to any product or country, all licenses to Sanofi with respect to such product or country shall automatically terminate and all rights generally revert back to the Company.</w:t>
      </w:r>
    </w:p>
    <w:p>
      <w:pPr>
        <w:spacing w:after="0" w:line="107"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identified the following promises in the agreement (1) the license related to SHP2 inhibitors, (2) the performance of research and development services for Phase 1 clinical studies and Phase 2 clinical trials that are non-registrational clinical trials and (3) the performance of manufacturing services for the non-registrational clinical trials. The Company determined that the license is not distinct from the services within the context of the agreement because the research, development and manufacturing significantly increase the utility of the intellectual property. The intellectual property (IP) related to SHP2 inhibitors, which is proprietary to the Company, is the foundation for the research and development activities. The manufacturing services are a necessary and integral part of the research and development services as they could only be conducted utilizing the outcomes of these services. Given the research and development services under the Sanofi Agreement are expected to involve significant further development of the initial IP, the Company has</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80"/>
          </w:cols>
          <w:pgMar w:left="240" w:top="460" w:right="47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concluded that the research, development and manufacturing services are not distinct from the license, and thus the license, research and development services and manufacturing services are combined into a single performance obligation.</w:t>
      </w:r>
    </w:p>
    <w:p>
      <w:pPr>
        <w:spacing w:after="0" w:line="101" w:lineRule="exact"/>
        <w:rPr>
          <w:sz w:val="20"/>
          <w:szCs w:val="20"/>
          <w:color w:val="auto"/>
        </w:rPr>
      </w:pPr>
    </w:p>
    <w:p>
      <w:pPr>
        <w:ind w:left="200" w:right="240"/>
        <w:spacing w:after="0" w:line="275" w:lineRule="auto"/>
        <w:rPr>
          <w:sz w:val="20"/>
          <w:szCs w:val="20"/>
          <w:color w:val="auto"/>
        </w:rPr>
      </w:pPr>
      <w:r>
        <w:rPr>
          <w:rFonts w:ascii="Arial" w:cs="Arial" w:eastAsia="Arial" w:hAnsi="Arial"/>
          <w:sz w:val="16"/>
          <w:szCs w:val="16"/>
          <w:color w:val="auto"/>
        </w:rPr>
        <w:t>For revenue recognition purposes, the Company determined that the duration of the contract begins on the effective date of the Sanofi Agreement in July 2018 and ends upon completion of the non-registrational clinical trials. The contract duration is defined as the period in which parties to the contract have present enforceable rights and obligations. The Company analyzed the impact of Sanofi terminating the agreement prior to the completion of these trials and determined that there were significant economic costs to Sanofi for doing so.</w:t>
      </w:r>
    </w:p>
    <w:p>
      <w:pPr>
        <w:spacing w:after="0" w:line="75"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Company determined that the transaction price of the Sanofi Agreement was $196.1 million as of September 30, 2019. In order to determine the transaction price, the Company evaluated all the payments to be received during the duration of the contract. The Company determined that the $50.0 million upfront payment and $146.1 million of estimated variable consideration for expense reimbursements from Sanofi for agreed upon research and development services as of September 30, 2019 constituted consideration to be included in the transaction price, which is to be allocated to the combined performance obligation. Development and regulatory milestones under the Sanofi Agreement were considered but not included in the transaction price, as it is probable that a significant revenue reversal could occur if they were included. The Company will re-evaluate the transaction price in each reporting period and as uncertain events are resolved or other changes in circumstances occur.</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license, research, development and manufacturing services are combined as one performance obligation that will be performed over the duration of the contract, which is from the effective date of the Sanofi Agreement through to the completion of studies. The Company concluded that it will utilize a cost-based input method to measure proportional performance and to calculate the corresponding amount of revenue to recognize. In applying the cost-based input method of revenue recognition, the Company uses actual costs incurred relative to estimated costs to fulfill the combined performance obligation. These costs consist primarily of internal full-time equivalent efforts and third-party costs. Revenue is recognized based on actual costs incurred as a percentage of total estimated costs as the Company completes its performance obligations. The cumulative effect of revisions to estimated costs to complete the Company’s performance obligations will be recorded in the period in which changes are identified and amounts can be reasonably estimated.</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During the nine months ended September 30, 2018 and 2019, the Company recognized $9.8 million and $38.0 million of collaboration revenue associated with this agreement, respectively. As of December 31, 2018, $16.8 million of deferred revenue, related party is classified as current and $28.4 million is classified as noncurrent. Revenue recognized from amounts included in deferred revenue as of December 31, 2018 was $10.1 million during the nine months ended September 30, 2019. As of September 30, 2019, $19.5 million of deferred revenue, related party is classified as current and $15.6 million is classified as noncurrent.</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8. Acquisition of Warp Drive</w:t>
      </w:r>
    </w:p>
    <w:p>
      <w:pPr>
        <w:spacing w:after="0" w:line="134" w:lineRule="exact"/>
        <w:rPr>
          <w:sz w:val="20"/>
          <w:szCs w:val="20"/>
          <w:color w:val="auto"/>
        </w:rPr>
      </w:pPr>
    </w:p>
    <w:p>
      <w:pPr>
        <w:jc w:val="both"/>
        <w:ind w:left="200" w:right="180"/>
        <w:spacing w:after="0" w:line="238" w:lineRule="auto"/>
        <w:rPr>
          <w:sz w:val="20"/>
          <w:szCs w:val="20"/>
          <w:color w:val="auto"/>
        </w:rPr>
      </w:pPr>
      <w:r>
        <w:rPr>
          <w:rFonts w:ascii="Arial" w:cs="Arial" w:eastAsia="Arial" w:hAnsi="Arial"/>
          <w:sz w:val="18"/>
          <w:szCs w:val="18"/>
          <w:color w:val="auto"/>
        </w:rPr>
        <w:t>In October 2018, the Company acquired all outstanding shares of Warp Drive in exchange for issuing 6,797,915 shares of the Company’s Series B redeemable convertible preferred stock and $0.9 million in other consideration, for total consideration of $69.0 million. Warp Drive was a privately held biotechnology company based in Cambridge, Massachusetts.</w:t>
      </w:r>
    </w:p>
    <w:p>
      <w:pPr>
        <w:spacing w:after="0" w:line="100"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8"/>
          <w:szCs w:val="18"/>
          <w:color w:val="auto"/>
        </w:rPr>
        <w:t>Warp Drive’s RAS programs include compounds targeting various cancer indications, while its tri-complex platform is targeted at identifying presenter proteins for binding with small molecules and a target. Additionally, Warp Drive had a genome mining platform that is subject to a collaboration agreement with Hoffman-La Roche Ltd. (Roche) involving research in the area of neomorph antibiotics.</w:t>
      </w:r>
    </w:p>
    <w:p>
      <w:pPr>
        <w:spacing w:after="0" w:line="1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20"/>
          </w:cols>
          <w:pgMar w:left="240" w:top="459" w:right="5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260"/>
        <w:spacing w:after="0" w:line="299" w:lineRule="auto"/>
        <w:rPr>
          <w:sz w:val="20"/>
          <w:szCs w:val="20"/>
          <w:color w:val="auto"/>
        </w:rPr>
      </w:pPr>
      <w:r>
        <w:rPr>
          <w:rFonts w:ascii="Arial" w:cs="Arial" w:eastAsia="Arial" w:hAnsi="Arial"/>
          <w:sz w:val="16"/>
          <w:szCs w:val="16"/>
          <w:color w:val="auto"/>
        </w:rPr>
        <w:t>Pursuant to ASC Topic 805, Business Combinations, the transaction was determined to be a business combination and was accounted for using the acquisition method of accounting. The following table presents a summary of the purchase price consideration for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41275</wp:posOffset>
            </wp:positionV>
            <wp:extent cx="699770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94"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4300" w:type="dxa"/>
            <w:vAlign w:val="bottom"/>
            <w:gridSpan w:val="4"/>
          </w:tcPr>
          <w:p>
            <w:pPr>
              <w:ind w:left="2960"/>
              <w:spacing w:after="0"/>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redeemable convertible preferred stock</w:t>
            </w:r>
          </w:p>
        </w:tc>
        <w:tc>
          <w:tcPr>
            <w:tcW w:w="3340" w:type="dxa"/>
            <w:vAlign w:val="bottom"/>
            <w:gridSpan w:val="2"/>
            <w:shd w:val="clear" w:color="auto" w:fill="CCEEFF"/>
          </w:tcPr>
          <w:p>
            <w:pPr>
              <w:ind w:left="296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68,144</w:t>
            </w:r>
          </w:p>
        </w:tc>
        <w:tc>
          <w:tcPr>
            <w:tcW w:w="120" w:type="dxa"/>
            <w:vAlign w:val="bottom"/>
            <w:shd w:val="clear" w:color="auto" w:fill="CCEEFF"/>
          </w:tcPr>
          <w:p>
            <w:pPr>
              <w:spacing w:after="0"/>
              <w:rPr>
                <w:sz w:val="17"/>
                <w:szCs w:val="17"/>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Cash</w:t>
            </w:r>
          </w:p>
        </w:tc>
        <w:tc>
          <w:tcPr>
            <w:tcW w:w="2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1,172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Contingently returnable consideration asset</w:t>
            </w:r>
          </w:p>
        </w:tc>
        <w:tc>
          <w:tcPr>
            <w:tcW w:w="2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(310)</w:t>
            </w:r>
          </w:p>
        </w:tc>
      </w:tr>
      <w:tr>
        <w:trPr>
          <w:trHeight w:val="222"/>
        </w:trPr>
        <w:tc>
          <w:tcPr>
            <w:tcW w:w="20" w:type="dxa"/>
            <w:vAlign w:val="bottom"/>
          </w:tcPr>
          <w:p>
            <w:pPr>
              <w:spacing w:after="0"/>
              <w:rPr>
                <w:sz w:val="19"/>
                <w:szCs w:val="19"/>
                <w:color w:val="auto"/>
              </w:rPr>
            </w:pPr>
          </w:p>
        </w:tc>
        <w:tc>
          <w:tcPr>
            <w:tcW w:w="6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consideration</w:t>
            </w:r>
          </w:p>
        </w:tc>
        <w:tc>
          <w:tcPr>
            <w:tcW w:w="296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69,006</w:t>
            </w:r>
          </w:p>
        </w:tc>
        <w:tc>
          <w:tcPr>
            <w:tcW w:w="120" w:type="dxa"/>
            <w:vAlign w:val="bottom"/>
          </w:tcPr>
          <w:p>
            <w:pPr>
              <w:spacing w:after="0"/>
              <w:rPr>
                <w:sz w:val="19"/>
                <w:szCs w:val="19"/>
                <w:color w:val="auto"/>
              </w:rPr>
            </w:pPr>
          </w:p>
        </w:tc>
      </w:tr>
    </w:tbl>
    <w:p>
      <w:pPr>
        <w:spacing w:after="0" w:line="11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The fair value of $10.03 per share of Series B redeemable convertible preferred stock was determined using a discounted cash flow model to estimate the value of the Company’s equity, and subsequently allocated to the Series B redeemable convertible preferred stock using an option pricing method.</w:t>
      </w:r>
    </w:p>
    <w:p>
      <w:pPr>
        <w:spacing w:after="0" w:line="10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shares and cash issued as part of the transaction include 494,771 shares and less than $0.1 million of cash subject to a holdback based on certain events associated with Warp Drive’s agreement with Roche. The shares and cash subject to the holdback were issued on closing of the acquisition, but would be required to be returned to the Company if the holdback events did not occur. On the acquisition date, the Company determined the fair value of the holdback provision was $0.3 million and recorded it as a contingently returnable consideration asset on its consolidated balance sheet. The shares subject to the holdback retained their voting rights. In March 2019, the events subject to the holdback occurred and the issued shares and cash were no longer subject to the holdback provision. See Note 3, “Fair value measurements,” for a description of the determination of the fair value of the contingently returnable consideration asset.</w:t>
      </w:r>
    </w:p>
    <w:p>
      <w:pPr>
        <w:spacing w:after="0" w:line="101"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The Company incurred $0.4 million of acquisition-related costs as a result of the Warp Drive acquisition, which were recorded as general and administrative expenses in the consolidated statements of operations and comprehensive loss during the year ended December 31, 2018. The Company also paid $0.6 million in transaction costs incurred by Warp Drive related to Warp Drive’s advisors, which was included as part of the purchase price consideration.</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59" w:right="41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summarizes the fair values of the assets acquired and liabilities assumed at the acquisition date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3920" w:type="dxa"/>
            <w:vAlign w:val="bottom"/>
            <w:gridSpan w:val="4"/>
          </w:tcPr>
          <w:p>
            <w:pPr>
              <w:ind w:left="2640"/>
              <w:spacing w:after="0"/>
              <w:rPr>
                <w:sz w:val="20"/>
                <w:szCs w:val="20"/>
                <w:color w:val="auto"/>
              </w:rPr>
            </w:pPr>
            <w:r>
              <w:rPr>
                <w:rFonts w:ascii="Arial" w:cs="Arial" w:eastAsia="Arial" w:hAnsi="Arial"/>
                <w:sz w:val="18"/>
                <w:szCs w:val="18"/>
                <w:b w:val="1"/>
                <w:bCs w:val="1"/>
                <w:color w:val="auto"/>
              </w:rPr>
              <w:t>(in thousands)</w:t>
            </w:r>
          </w:p>
        </w:tc>
      </w:tr>
      <w:tr>
        <w:trPr>
          <w:trHeight w:val="56"/>
        </w:trPr>
        <w:tc>
          <w:tcPr>
            <w:tcW w:w="7120" w:type="dxa"/>
            <w:vAlign w:val="bottom"/>
            <w:gridSpan w:val="2"/>
          </w:tcPr>
          <w:p>
            <w:pPr>
              <w:spacing w:after="0"/>
              <w:rPr>
                <w:sz w:val="4"/>
                <w:szCs w:val="4"/>
                <w:color w:val="auto"/>
              </w:rPr>
            </w:pPr>
          </w:p>
        </w:tc>
        <w:tc>
          <w:tcPr>
            <w:tcW w:w="26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 acquired: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Cash and other current assets</w:t>
            </w:r>
          </w:p>
        </w:tc>
        <w:tc>
          <w:tcPr>
            <w:tcW w:w="3020" w:type="dxa"/>
            <w:vAlign w:val="bottom"/>
            <w:gridSpan w:val="2"/>
          </w:tcPr>
          <w:p>
            <w:pPr>
              <w:ind w:left="2640"/>
              <w:spacing w:after="0" w:line="202"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1,594</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In-process research and development—RAS programs</w:t>
            </w: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55,800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Developed technology—tri-complex platform</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7,480</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Developed technology—genome mining platform</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6,100</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assets acquired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73,125</w:t>
            </w:r>
          </w:p>
        </w:tc>
        <w:tc>
          <w:tcPr>
            <w:tcW w:w="60" w:type="dxa"/>
            <w:vAlign w:val="bottom"/>
            <w:shd w:val="clear" w:color="auto" w:fill="CCEEFF"/>
          </w:tcPr>
          <w:p>
            <w:pPr>
              <w:spacing w:after="0"/>
              <w:rPr>
                <w:sz w:val="17"/>
                <w:szCs w:val="17"/>
                <w:color w:val="auto"/>
              </w:rPr>
            </w:pPr>
          </w:p>
        </w:tc>
      </w:tr>
      <w:tr>
        <w:trPr>
          <w:trHeight w:val="270"/>
        </w:trPr>
        <w:tc>
          <w:tcPr>
            <w:tcW w:w="7120" w:type="dxa"/>
            <w:vAlign w:val="bottom"/>
            <w:gridSpan w:val="2"/>
          </w:tcPr>
          <w:p>
            <w:pPr>
              <w:spacing w:after="0"/>
              <w:rPr>
                <w:sz w:val="20"/>
                <w:szCs w:val="20"/>
                <w:color w:val="auto"/>
              </w:rPr>
            </w:pPr>
            <w:r>
              <w:rPr>
                <w:rFonts w:ascii="Arial" w:cs="Arial" w:eastAsia="Arial" w:hAnsi="Arial"/>
                <w:sz w:val="18"/>
                <w:szCs w:val="18"/>
                <w:color w:val="auto"/>
              </w:rPr>
              <w:t>Liabilities assumed:</w:t>
            </w:r>
          </w:p>
        </w:tc>
        <w:tc>
          <w:tcPr>
            <w:tcW w:w="2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Accounts payable and other accrued liabilities</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3,790</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Convertible note payable, related party</w:t>
            </w:r>
          </w:p>
        </w:tc>
        <w:tc>
          <w:tcPr>
            <w:tcW w:w="2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Deferred revenue</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745</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7100" w:type="dxa"/>
            <w:vAlign w:val="bottom"/>
          </w:tcPr>
          <w:p>
            <w:pPr>
              <w:ind w:left="200"/>
              <w:spacing w:after="0" w:line="202" w:lineRule="exact"/>
              <w:rPr>
                <w:sz w:val="20"/>
                <w:szCs w:val="20"/>
                <w:color w:val="auto"/>
              </w:rPr>
            </w:pPr>
            <w:r>
              <w:rPr>
                <w:rFonts w:ascii="Arial" w:cs="Arial" w:eastAsia="Arial" w:hAnsi="Arial"/>
                <w:sz w:val="18"/>
                <w:szCs w:val="18"/>
                <w:color w:val="auto"/>
              </w:rPr>
              <w:t>Deferred tax liability</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12,192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liabilities assumed</w:t>
            </w:r>
          </w:p>
        </w:tc>
        <w:tc>
          <w:tcPr>
            <w:tcW w:w="2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18,727</w:t>
            </w:r>
          </w:p>
        </w:tc>
        <w:tc>
          <w:tcPr>
            <w:tcW w:w="60" w:type="dxa"/>
            <w:vAlign w:val="bottom"/>
            <w:shd w:val="clear" w:color="auto" w:fill="CCEEFF"/>
          </w:tcPr>
          <w:p>
            <w:pPr>
              <w:spacing w:after="0"/>
              <w:rPr>
                <w:sz w:val="17"/>
                <w:szCs w:val="17"/>
                <w:color w:val="auto"/>
              </w:rPr>
            </w:pPr>
          </w:p>
        </w:tc>
      </w:tr>
      <w:tr>
        <w:trPr>
          <w:trHeight w:val="210"/>
        </w:trPr>
        <w:tc>
          <w:tcPr>
            <w:tcW w:w="7120" w:type="dxa"/>
            <w:vAlign w:val="bottom"/>
            <w:gridSpan w:val="2"/>
          </w:tcPr>
          <w:p>
            <w:pPr>
              <w:spacing w:after="0" w:line="202" w:lineRule="exact"/>
              <w:rPr>
                <w:sz w:val="20"/>
                <w:szCs w:val="20"/>
                <w:color w:val="auto"/>
              </w:rPr>
            </w:pPr>
            <w:r>
              <w:rPr>
                <w:rFonts w:ascii="Arial" w:cs="Arial" w:eastAsia="Arial" w:hAnsi="Arial"/>
                <w:sz w:val="18"/>
                <w:szCs w:val="18"/>
                <w:color w:val="auto"/>
              </w:rPr>
              <w:t>Goodwill</w:t>
            </w:r>
          </w:p>
        </w:tc>
        <w:tc>
          <w:tcPr>
            <w:tcW w:w="26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14,608</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7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020" w:type="dxa"/>
            <w:vAlign w:val="bottom"/>
            <w:gridSpan w:val="2"/>
            <w:shd w:val="clear" w:color="auto" w:fill="CCEEFF"/>
          </w:tcPr>
          <w:p>
            <w:pPr>
              <w:ind w:left="2640"/>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69,006</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The valuations of the IPR&amp;D—RAS programs and developed technology—genome mining platform were determined using the income approach, which discounts expected future cash flows to present value. The discount rates used were between 13% and 14%. The projected cash flows were based on key assumptions such as: estimates of revenues and operating profits related to each program or platform considering its stage of development on the acquisition date; the time and resources needed to complete the development and approval of product candidates; the life of the potential commercialized products and associated risks, including the inherent difficulties and uncertainties in developing a product candidate such as obtaining marketing approval from the FDA and other regulatory agencies; and risks related to the viability of and potential alternative treatments in any future target markets.</w:t>
      </w:r>
    </w:p>
    <w:p>
      <w:pPr>
        <w:spacing w:after="0" w:line="101"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Intangible assets associated with acquired IPR&amp;D relate to the RAS programs. Management determined that the estimated acquisition-date fair value of the intangible asset related to IPR&amp;D was $55.8 million, which was comprised of $44.1 million related to the KRAS</w:t>
      </w:r>
      <w:r>
        <w:rPr>
          <w:rFonts w:ascii="Arial" w:cs="Arial" w:eastAsia="Arial" w:hAnsi="Arial"/>
          <w:sz w:val="11"/>
          <w:szCs w:val="11"/>
          <w:color w:val="auto"/>
        </w:rPr>
        <w:t>G12C</w:t>
      </w:r>
      <w:r>
        <w:rPr>
          <w:rFonts w:ascii="Arial" w:cs="Arial" w:eastAsia="Arial" w:hAnsi="Arial"/>
          <w:sz w:val="18"/>
          <w:szCs w:val="18"/>
          <w:color w:val="auto"/>
        </w:rPr>
        <w:t xml:space="preserve"> program and $11.7 million related to the KRAS</w:t>
      </w:r>
      <w:r>
        <w:rPr>
          <w:rFonts w:ascii="Arial" w:cs="Arial" w:eastAsia="Arial" w:hAnsi="Arial"/>
          <w:sz w:val="11"/>
          <w:szCs w:val="11"/>
          <w:color w:val="auto"/>
        </w:rPr>
        <w:t>G12D</w:t>
      </w:r>
      <w:r>
        <w:rPr>
          <w:rFonts w:ascii="Arial" w:cs="Arial" w:eastAsia="Arial" w:hAnsi="Arial"/>
          <w:sz w:val="18"/>
          <w:szCs w:val="18"/>
          <w:color w:val="auto"/>
        </w:rPr>
        <w:t xml:space="preserve"> program. The KRAS</w:t>
      </w:r>
      <w:r>
        <w:rPr>
          <w:rFonts w:ascii="Arial" w:cs="Arial" w:eastAsia="Arial" w:hAnsi="Arial"/>
          <w:sz w:val="11"/>
          <w:szCs w:val="11"/>
          <w:color w:val="auto"/>
        </w:rPr>
        <w:t>G12C</w:t>
      </w:r>
      <w:r>
        <w:rPr>
          <w:rFonts w:ascii="Arial" w:cs="Arial" w:eastAsia="Arial" w:hAnsi="Arial"/>
          <w:sz w:val="18"/>
          <w:szCs w:val="18"/>
          <w:color w:val="auto"/>
        </w:rPr>
        <w:t xml:space="preserve"> and KRAS</w:t>
      </w:r>
      <w:r>
        <w:rPr>
          <w:rFonts w:ascii="Arial" w:cs="Arial" w:eastAsia="Arial" w:hAnsi="Arial"/>
          <w:sz w:val="11"/>
          <w:szCs w:val="11"/>
          <w:color w:val="auto"/>
        </w:rPr>
        <w:t>G12D</w:t>
      </w:r>
      <w:r>
        <w:rPr>
          <w:rFonts w:ascii="Arial" w:cs="Arial" w:eastAsia="Arial" w:hAnsi="Arial"/>
          <w:sz w:val="18"/>
          <w:szCs w:val="18"/>
          <w:color w:val="auto"/>
        </w:rPr>
        <w:t xml:space="preserve"> programs are each focused on developing inhibitors which target specific mutations of KRAS(ON) proteins. The acquired IPR&amp;D is considered to be an indefinite-lived asset until the completion or abandonment of the research and development efforts. The acquired IPR&amp;D will not be amortized until completion of the related products, which is determined by when the underlying programs reach technological feasibility and commence commercial production. Upon completion, the acquired IPR&amp;D will be amortized over its useful life.</w:t>
      </w:r>
    </w:p>
    <w:p>
      <w:pPr>
        <w:spacing w:after="0" w:line="101"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The valuation of the developed technology—tri-complex platform was based on a replacement cost approach as the Company’s management intends to leverage the platform internally, but does not have the ability to assign a specific income stream to the asset. The tri-complex platform was accounted for as developed technology and is being amortized over 7 years.</w:t>
      </w:r>
    </w:p>
    <w:p>
      <w:pPr>
        <w:spacing w:after="0" w:line="100"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The genome mining platform, including the associated Roche collaboration agreement, was accounted for as held for sale developed technology and was divested in January 2019 to Gingko Bioworks (Gingko). The Company received $6.0 million in cash consideration from Gingko and Roche as part of the transaction, and is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240" w:top="459" w:right="41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entitled to receive up to 25% of future milestones earned by Gingko under the collaboration agreement with Roche included as part of this sale. The Company recognized a loss on disposal of $0.6 million during the nine months ended September 30, 2019, which was recorded in research and development expenses in the condensed consolidated statements of operations and comprehensive loss.</w:t>
      </w:r>
    </w:p>
    <w:p>
      <w:pPr>
        <w:spacing w:after="0" w:line="100"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The Company assumed a convertible promissory note (Convertible Note) as part of the Company’s acquisition of Warp Drive. See Note 14, “Related party relationships.”</w:t>
      </w:r>
    </w:p>
    <w:p>
      <w:pPr>
        <w:spacing w:after="0" w:line="101"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Deferred revenue consists of the remaining estimated cost obligations, including mark-up, associated with the collaboration with Roche. The entire amount was recognized as collaboration revenue, other during the year ended December 31, 2018.</w:t>
      </w:r>
    </w:p>
    <w:p>
      <w:pPr>
        <w:spacing w:after="0" w:line="101"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The Company recorded $14.6 million in goodwill associated with this acquisition, which relates to the establishment of a deferred tax liability for the non-deductible in-process research and development intangible assets acquired and synergies resulting from the acquisition. Goodwill will not be amortized but will be tested at least annually for impairment. No impairment has been recognized as of September 30, 2019. Goodwill recorded is not deductible for income tax purposes.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9. Redeemable convertible preferred stock</w:t>
      </w:r>
    </w:p>
    <w:p>
      <w:pPr>
        <w:spacing w:after="0" w:line="134" w:lineRule="exact"/>
        <w:rPr>
          <w:sz w:val="20"/>
          <w:szCs w:val="20"/>
          <w:color w:val="auto"/>
        </w:rPr>
      </w:pPr>
    </w:p>
    <w:p>
      <w:pPr>
        <w:ind w:left="200" w:right="20"/>
        <w:spacing w:after="0" w:line="239" w:lineRule="auto"/>
        <w:rPr>
          <w:sz w:val="20"/>
          <w:szCs w:val="20"/>
          <w:color w:val="auto"/>
        </w:rPr>
      </w:pPr>
      <w:r>
        <w:rPr>
          <w:rFonts w:ascii="Arial" w:cs="Arial" w:eastAsia="Arial" w:hAnsi="Arial"/>
          <w:sz w:val="18"/>
          <w:szCs w:val="18"/>
          <w:color w:val="auto"/>
        </w:rPr>
        <w:t>From December 2014 to May 2017, the Company issued a total of 14,430,799 shares of Series A redeemable convertible preferred stock at a price per share of $4.87 for proceeds of $70.1 million, net of issuance costs.</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In March and June 2018, the Company issued a total of 7,731,155 shares of Series B redeemable convertible preferred stock at a price per share of $7.30 for proceeds of $56.2 million, net of issuance costs. In October 2018, the Company issued 6,797,915 shares of Series B redeemable convertible preferred stock in conjunction with acquiring Warp Drive. As part of the Warp Drive acquisition, the Company assumed $2.0 million in convertible notes payable, which was fully converted into 200,493 shares of Series B redeemable convertible preferred stock in October 2018. In November 2018, the Company issued 435,547 shares of Series B redeemable convertible preferred stock at a price per share of $10.03 for proceeds of $4.3 million, net of issuance costs.</w:t>
      </w:r>
    </w:p>
    <w:p>
      <w:pPr>
        <w:spacing w:after="0" w:line="102"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In June and July 2019, the Company issued a total 10,004,514 shares of Series C redeemable convertible preferred stock at a price per share of $10.03 for proceeds of $100.0 million, net of issuance costs.</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20"/>
          </w:cols>
          <w:pgMar w:left="24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Redeemable convertible preferred stock consists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3"/>
          </w:tcPr>
          <w:p>
            <w:pPr>
              <w:jc w:val="center"/>
              <w:ind w:right="112"/>
              <w:spacing w:after="0"/>
              <w:rPr>
                <w:sz w:val="20"/>
                <w:szCs w:val="20"/>
                <w:color w:val="auto"/>
              </w:rPr>
            </w:pPr>
            <w:r>
              <w:rPr>
                <w:rFonts w:ascii="Arial" w:cs="Arial" w:eastAsia="Arial" w:hAnsi="Arial"/>
                <w:sz w:val="18"/>
                <w:szCs w:val="18"/>
                <w:b w:val="1"/>
                <w:bCs w:val="1"/>
                <w:color w:val="auto"/>
                <w:w w:val="97"/>
              </w:rPr>
              <w:t>As of December 31, 2018</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6"/>
              </w:rPr>
              <w:t>Shares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w w:val="98"/>
              </w:rPr>
              <w:t>Aggregate</w:t>
            </w:r>
          </w:p>
        </w:tc>
        <w:tc>
          <w:tcPr>
            <w:tcW w:w="8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20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6"/>
              </w:rPr>
              <w:t>Shares</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issued and</w:t>
            </w:r>
          </w:p>
        </w:tc>
        <w:tc>
          <w:tcPr>
            <w:tcW w:w="140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Net carrying</w:t>
            </w:r>
          </w:p>
        </w:tc>
        <w:tc>
          <w:tcPr>
            <w:tcW w:w="1080" w:type="dxa"/>
            <w:vAlign w:val="bottom"/>
            <w:gridSpan w:val="3"/>
          </w:tcPr>
          <w:p>
            <w:pPr>
              <w:ind w:left="80"/>
              <w:spacing w:after="0" w:line="202" w:lineRule="exact"/>
              <w:rPr>
                <w:sz w:val="20"/>
                <w:szCs w:val="20"/>
                <w:color w:val="auto"/>
              </w:rPr>
            </w:pPr>
            <w:r>
              <w:rPr>
                <w:rFonts w:ascii="Arial" w:cs="Arial" w:eastAsia="Arial" w:hAnsi="Arial"/>
                <w:sz w:val="18"/>
                <w:szCs w:val="18"/>
                <w:b w:val="1"/>
                <w:bCs w:val="1"/>
                <w:color w:val="auto"/>
              </w:rPr>
              <w:t>liquidation</w:t>
            </w:r>
          </w:p>
        </w:tc>
      </w:tr>
      <w:tr>
        <w:trPr>
          <w:trHeight w:val="235"/>
        </w:trPr>
        <w:tc>
          <w:tcPr>
            <w:tcW w:w="20" w:type="dxa"/>
            <w:vAlign w:val="bottom"/>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8"/>
              </w:rPr>
              <w:t>authorized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outstanding</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value</w:t>
            </w: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preference</w:t>
            </w:r>
          </w:p>
        </w:tc>
      </w:tr>
      <w:tr>
        <w:trPr>
          <w:trHeight w:val="19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3900" w:type="dxa"/>
            <w:vAlign w:val="bottom"/>
            <w:gridSpan w:val="4"/>
          </w:tcPr>
          <w:p>
            <w:pPr>
              <w:jc w:val="center"/>
              <w:ind w:left="912"/>
              <w:spacing w:after="0" w:line="196" w:lineRule="exact"/>
              <w:rPr>
                <w:sz w:val="20"/>
                <w:szCs w:val="20"/>
                <w:color w:val="auto"/>
              </w:rPr>
            </w:pPr>
            <w:r>
              <w:rPr>
                <w:rFonts w:ascii="Arial" w:cs="Arial" w:eastAsia="Arial" w:hAnsi="Arial"/>
                <w:sz w:val="18"/>
                <w:szCs w:val="18"/>
                <w:b w:val="1"/>
                <w:bCs w:val="1"/>
                <w:color w:val="auto"/>
                <w:w w:val="97"/>
              </w:rPr>
              <w:t>(in thousands, except share data)</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12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70,221,732</w:t>
            </w:r>
          </w:p>
        </w:tc>
        <w:tc>
          <w:tcPr>
            <w:tcW w:w="13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14,430,799</w:t>
            </w:r>
          </w:p>
        </w:tc>
        <w:tc>
          <w:tcPr>
            <w:tcW w:w="3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72,248</w:t>
            </w:r>
          </w:p>
        </w:tc>
        <w:tc>
          <w:tcPr>
            <w:tcW w:w="2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80,641</w:t>
            </w:r>
          </w:p>
        </w:tc>
        <w:tc>
          <w:tcPr>
            <w:tcW w:w="80" w:type="dxa"/>
            <w:vAlign w:val="bottom"/>
            <w:shd w:val="clear" w:color="auto" w:fill="CCEEFF"/>
          </w:tcPr>
          <w:p>
            <w:pPr>
              <w:spacing w:after="0"/>
              <w:rPr>
                <w:sz w:val="17"/>
                <w:szCs w:val="17"/>
                <w:color w:val="auto"/>
              </w:rPr>
            </w:pPr>
          </w:p>
        </w:tc>
      </w:tr>
      <w:tr>
        <w:trPr>
          <w:trHeight w:val="210"/>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Series B</w:t>
            </w:r>
          </w:p>
        </w:tc>
        <w:tc>
          <w:tcPr>
            <w:tcW w:w="120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76,000,000</w:t>
            </w:r>
          </w:p>
        </w:tc>
        <w:tc>
          <w:tcPr>
            <w:tcW w:w="13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15,165,110</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132,833</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113,492</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146,221,732</w:t>
            </w:r>
          </w:p>
        </w:tc>
        <w:tc>
          <w:tcPr>
            <w:tcW w:w="13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29,595,909</w:t>
            </w:r>
          </w:p>
        </w:tc>
        <w:tc>
          <w:tcPr>
            <w:tcW w:w="3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205,081</w:t>
            </w:r>
          </w:p>
        </w:tc>
        <w:tc>
          <w:tcPr>
            <w:tcW w:w="2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194,133</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70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0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700" w:type="dxa"/>
            <w:vAlign w:val="bottom"/>
            <w:tcBorders>
              <w:bottom w:val="single" w:sz="8" w:color="auto"/>
            </w:tcBorders>
            <w:gridSpan w:val="3"/>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r>
      <w:tr>
        <w:trPr>
          <w:trHeight w:val="243"/>
        </w:trPr>
        <w:tc>
          <w:tcPr>
            <w:tcW w:w="20" w:type="dxa"/>
            <w:vAlign w:val="bottom"/>
          </w:tcPr>
          <w:p>
            <w:pPr>
              <w:spacing w:after="0"/>
              <w:rPr>
                <w:sz w:val="21"/>
                <w:szCs w:val="21"/>
                <w:color w:val="auto"/>
              </w:rPr>
            </w:pPr>
          </w:p>
        </w:tc>
        <w:tc>
          <w:tcPr>
            <w:tcW w:w="60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3"/>
          </w:tcPr>
          <w:p>
            <w:pPr>
              <w:jc w:val="center"/>
              <w:ind w:right="132"/>
              <w:spacing w:after="0"/>
              <w:rPr>
                <w:sz w:val="20"/>
                <w:szCs w:val="20"/>
                <w:color w:val="auto"/>
              </w:rPr>
            </w:pPr>
            <w:r>
              <w:rPr>
                <w:rFonts w:ascii="Arial" w:cs="Arial" w:eastAsia="Arial" w:hAnsi="Arial"/>
                <w:sz w:val="18"/>
                <w:szCs w:val="18"/>
                <w:b w:val="1"/>
                <w:bCs w:val="1"/>
                <w:color w:val="auto"/>
                <w:w w:val="97"/>
              </w:rPr>
              <w:t>As of September 30, 2019</w:t>
            </w:r>
          </w:p>
        </w:tc>
        <w:tc>
          <w:tcPr>
            <w:tcW w:w="2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177"/>
        </w:trPr>
        <w:tc>
          <w:tcPr>
            <w:tcW w:w="20" w:type="dxa"/>
            <w:vAlign w:val="bottom"/>
          </w:tcPr>
          <w:p>
            <w:pPr>
              <w:spacing w:after="0"/>
              <w:rPr>
                <w:sz w:val="15"/>
                <w:szCs w:val="15"/>
                <w:color w:val="auto"/>
              </w:rPr>
            </w:pPr>
          </w:p>
        </w:tc>
        <w:tc>
          <w:tcPr>
            <w:tcW w:w="60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6"/>
              </w:rPr>
              <w:t>Shares</w:t>
            </w: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gridSpan w:val="2"/>
          </w:tcPr>
          <w:p>
            <w:pPr>
              <w:ind w:left="100"/>
              <w:spacing w:after="0" w:line="177" w:lineRule="exact"/>
              <w:rPr>
                <w:sz w:val="20"/>
                <w:szCs w:val="20"/>
                <w:color w:val="auto"/>
              </w:rPr>
            </w:pPr>
            <w:r>
              <w:rPr>
                <w:rFonts w:ascii="Arial" w:cs="Arial" w:eastAsia="Arial" w:hAnsi="Arial"/>
                <w:sz w:val="18"/>
                <w:szCs w:val="18"/>
                <w:b w:val="1"/>
                <w:bCs w:val="1"/>
                <w:color w:val="auto"/>
                <w:w w:val="98"/>
              </w:rPr>
              <w:t>Aggregate</w:t>
            </w:r>
          </w:p>
        </w:tc>
        <w:tc>
          <w:tcPr>
            <w:tcW w:w="8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1200" w:type="dxa"/>
            <w:vAlign w:val="bottom"/>
          </w:tcPr>
          <w:p>
            <w:pPr>
              <w:jc w:val="center"/>
              <w:ind w:right="52"/>
              <w:spacing w:after="0" w:line="202" w:lineRule="exact"/>
              <w:rPr>
                <w:sz w:val="20"/>
                <w:szCs w:val="20"/>
                <w:color w:val="auto"/>
              </w:rPr>
            </w:pPr>
            <w:r>
              <w:rPr>
                <w:rFonts w:ascii="Arial" w:cs="Arial" w:eastAsia="Arial" w:hAnsi="Arial"/>
                <w:sz w:val="18"/>
                <w:szCs w:val="18"/>
                <w:b w:val="1"/>
                <w:bCs w:val="1"/>
                <w:color w:val="auto"/>
                <w:w w:val="96"/>
              </w:rPr>
              <w:t>Shares</w:t>
            </w: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5"/>
              </w:rPr>
              <w:t>issued and</w:t>
            </w:r>
          </w:p>
        </w:tc>
        <w:tc>
          <w:tcPr>
            <w:tcW w:w="1400" w:type="dxa"/>
            <w:vAlign w:val="bottom"/>
            <w:gridSpan w:val="2"/>
          </w:tcPr>
          <w:p>
            <w:pPr>
              <w:ind w:left="160"/>
              <w:spacing w:after="0" w:line="202" w:lineRule="exact"/>
              <w:rPr>
                <w:sz w:val="20"/>
                <w:szCs w:val="20"/>
                <w:color w:val="auto"/>
              </w:rPr>
            </w:pPr>
            <w:r>
              <w:rPr>
                <w:rFonts w:ascii="Arial" w:cs="Arial" w:eastAsia="Arial" w:hAnsi="Arial"/>
                <w:sz w:val="18"/>
                <w:szCs w:val="18"/>
                <w:b w:val="1"/>
                <w:bCs w:val="1"/>
                <w:color w:val="auto"/>
              </w:rPr>
              <w:t>Net carrying</w:t>
            </w:r>
          </w:p>
        </w:tc>
        <w:tc>
          <w:tcPr>
            <w:tcW w:w="1080" w:type="dxa"/>
            <w:vAlign w:val="bottom"/>
            <w:gridSpan w:val="3"/>
          </w:tcPr>
          <w:p>
            <w:pPr>
              <w:ind w:left="80"/>
              <w:spacing w:after="0" w:line="202" w:lineRule="exact"/>
              <w:rPr>
                <w:sz w:val="20"/>
                <w:szCs w:val="20"/>
                <w:color w:val="auto"/>
              </w:rPr>
            </w:pPr>
            <w:r>
              <w:rPr>
                <w:rFonts w:ascii="Arial" w:cs="Arial" w:eastAsia="Arial" w:hAnsi="Arial"/>
                <w:sz w:val="18"/>
                <w:szCs w:val="18"/>
                <w:b w:val="1"/>
                <w:bCs w:val="1"/>
                <w:color w:val="auto"/>
              </w:rPr>
              <w:t>liquidation</w:t>
            </w:r>
          </w:p>
        </w:tc>
      </w:tr>
      <w:tr>
        <w:trPr>
          <w:trHeight w:val="235"/>
        </w:trPr>
        <w:tc>
          <w:tcPr>
            <w:tcW w:w="20" w:type="dxa"/>
            <w:vAlign w:val="bottom"/>
          </w:tcPr>
          <w:p>
            <w:pPr>
              <w:spacing w:after="0"/>
              <w:rPr>
                <w:sz w:val="20"/>
                <w:szCs w:val="20"/>
                <w:color w:val="auto"/>
              </w:rPr>
            </w:pPr>
          </w:p>
        </w:tc>
        <w:tc>
          <w:tcPr>
            <w:tcW w:w="60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2"/>
              <w:spacing w:after="0"/>
              <w:rPr>
                <w:sz w:val="20"/>
                <w:szCs w:val="20"/>
                <w:color w:val="auto"/>
              </w:rPr>
            </w:pPr>
            <w:r>
              <w:rPr>
                <w:rFonts w:ascii="Arial" w:cs="Arial" w:eastAsia="Arial" w:hAnsi="Arial"/>
                <w:sz w:val="18"/>
                <w:szCs w:val="18"/>
                <w:b w:val="1"/>
                <w:bCs w:val="1"/>
                <w:color w:val="auto"/>
                <w:w w:val="98"/>
              </w:rPr>
              <w:t>authorized</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outstanding</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b w:val="1"/>
                <w:bCs w:val="1"/>
                <w:color w:val="auto"/>
              </w:rPr>
              <w:t>value</w:t>
            </w:r>
          </w:p>
        </w:tc>
        <w:tc>
          <w:tcPr>
            <w:tcW w:w="108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preference</w:t>
            </w:r>
          </w:p>
        </w:tc>
      </w:tr>
      <w:tr>
        <w:trPr>
          <w:trHeight w:val="19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3900" w:type="dxa"/>
            <w:vAlign w:val="bottom"/>
            <w:gridSpan w:val="4"/>
          </w:tcPr>
          <w:p>
            <w:pPr>
              <w:jc w:val="center"/>
              <w:ind w:left="912"/>
              <w:spacing w:after="0" w:line="196" w:lineRule="exact"/>
              <w:rPr>
                <w:sz w:val="20"/>
                <w:szCs w:val="20"/>
                <w:color w:val="auto"/>
              </w:rPr>
            </w:pPr>
            <w:r>
              <w:rPr>
                <w:rFonts w:ascii="Arial" w:cs="Arial" w:eastAsia="Arial" w:hAnsi="Arial"/>
                <w:sz w:val="18"/>
                <w:szCs w:val="18"/>
                <w:b w:val="1"/>
                <w:bCs w:val="1"/>
                <w:color w:val="auto"/>
                <w:w w:val="97"/>
              </w:rPr>
              <w:t>(in thousands, except share data)</w:t>
            </w: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A</w:t>
            </w:r>
          </w:p>
        </w:tc>
        <w:tc>
          <w:tcPr>
            <w:tcW w:w="120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70,221,732</w:t>
            </w:r>
          </w:p>
        </w:tc>
        <w:tc>
          <w:tcPr>
            <w:tcW w:w="13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14,430,799</w:t>
            </w:r>
          </w:p>
        </w:tc>
        <w:tc>
          <w:tcPr>
            <w:tcW w:w="34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72,248</w:t>
            </w:r>
          </w:p>
        </w:tc>
        <w:tc>
          <w:tcPr>
            <w:tcW w:w="26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83,804</w:t>
            </w:r>
          </w:p>
        </w:tc>
        <w:tc>
          <w:tcPr>
            <w:tcW w:w="80" w:type="dxa"/>
            <w:vAlign w:val="bottom"/>
            <w:shd w:val="clear" w:color="auto" w:fill="CCEEFF"/>
          </w:tcPr>
          <w:p>
            <w:pPr>
              <w:spacing w:after="0"/>
              <w:rPr>
                <w:sz w:val="17"/>
                <w:szCs w:val="17"/>
                <w:color w:val="auto"/>
              </w:rPr>
            </w:pPr>
          </w:p>
        </w:tc>
      </w:tr>
      <w:tr>
        <w:trPr>
          <w:trHeight w:val="203"/>
        </w:trPr>
        <w:tc>
          <w:tcPr>
            <w:tcW w:w="6060" w:type="dxa"/>
            <w:vAlign w:val="bottom"/>
            <w:gridSpan w:val="2"/>
          </w:tcPr>
          <w:p>
            <w:pPr>
              <w:spacing w:after="0" w:line="202" w:lineRule="exact"/>
              <w:rPr>
                <w:sz w:val="20"/>
                <w:szCs w:val="20"/>
                <w:color w:val="auto"/>
              </w:rPr>
            </w:pPr>
            <w:r>
              <w:rPr>
                <w:rFonts w:ascii="Arial" w:cs="Arial" w:eastAsia="Arial" w:hAnsi="Arial"/>
                <w:sz w:val="18"/>
                <w:szCs w:val="18"/>
                <w:color w:val="auto"/>
              </w:rPr>
              <w:t>Series B</w:t>
            </w:r>
          </w:p>
        </w:tc>
        <w:tc>
          <w:tcPr>
            <w:tcW w:w="1200" w:type="dxa"/>
            <w:vAlign w:val="bottom"/>
          </w:tcPr>
          <w:p>
            <w:pPr>
              <w:jc w:val="right"/>
              <w:ind w:right="52"/>
              <w:spacing w:after="0" w:line="202" w:lineRule="exact"/>
              <w:rPr>
                <w:sz w:val="20"/>
                <w:szCs w:val="20"/>
                <w:color w:val="auto"/>
              </w:rPr>
            </w:pPr>
            <w:r>
              <w:rPr>
                <w:rFonts w:ascii="Arial" w:cs="Arial" w:eastAsia="Arial" w:hAnsi="Arial"/>
                <w:sz w:val="18"/>
                <w:szCs w:val="18"/>
                <w:color w:val="auto"/>
              </w:rPr>
              <w:t>74,000,000</w:t>
            </w:r>
          </w:p>
        </w:tc>
        <w:tc>
          <w:tcPr>
            <w:tcW w:w="13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15,165,110</w:t>
            </w:r>
          </w:p>
        </w:tc>
        <w:tc>
          <w:tcPr>
            <w:tcW w:w="340" w:type="dxa"/>
            <w:vAlign w:val="bottom"/>
          </w:tcPr>
          <w:p>
            <w:pPr>
              <w:spacing w:after="0"/>
              <w:rPr>
                <w:sz w:val="17"/>
                <w:szCs w:val="17"/>
                <w:color w:val="auto"/>
              </w:rPr>
            </w:pPr>
          </w:p>
        </w:tc>
        <w:tc>
          <w:tcPr>
            <w:tcW w:w="10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132,833</w:t>
            </w:r>
          </w:p>
        </w:tc>
        <w:tc>
          <w:tcPr>
            <w:tcW w:w="26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118,478</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C</w:t>
            </w:r>
          </w:p>
        </w:tc>
        <w:tc>
          <w:tcPr>
            <w:tcW w:w="120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48,683,038</w:t>
            </w:r>
          </w:p>
        </w:tc>
        <w:tc>
          <w:tcPr>
            <w:tcW w:w="13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10,004,514</w:t>
            </w:r>
          </w:p>
        </w:tc>
        <w:tc>
          <w:tcPr>
            <w:tcW w:w="3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100,033</w:t>
            </w:r>
          </w:p>
        </w:tc>
        <w:tc>
          <w:tcPr>
            <w:tcW w:w="2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102,156</w:t>
            </w:r>
          </w:p>
        </w:tc>
        <w:tc>
          <w:tcPr>
            <w:tcW w:w="8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0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192,904,770</w:t>
            </w:r>
          </w:p>
        </w:tc>
        <w:tc>
          <w:tcPr>
            <w:tcW w:w="13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39,600,423</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305,114</w:t>
            </w:r>
          </w:p>
        </w:tc>
        <w:tc>
          <w:tcPr>
            <w:tcW w:w="2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304,438</w:t>
            </w:r>
          </w:p>
        </w:tc>
        <w:tc>
          <w:tcPr>
            <w:tcW w:w="80" w:type="dxa"/>
            <w:vAlign w:val="bottom"/>
          </w:tcPr>
          <w:p>
            <w:pPr>
              <w:spacing w:after="0"/>
              <w:rPr>
                <w:sz w:val="19"/>
                <w:szCs w:val="19"/>
                <w:color w:val="auto"/>
              </w:rPr>
            </w:pPr>
          </w:p>
        </w:tc>
      </w:tr>
    </w:tbl>
    <w:p>
      <w:pPr>
        <w:spacing w:after="0" w:line="111" w:lineRule="exact"/>
        <w:rPr>
          <w:sz w:val="20"/>
          <w:szCs w:val="20"/>
          <w:color w:val="auto"/>
        </w:rPr>
      </w:pPr>
    </w:p>
    <w:p>
      <w:pPr>
        <w:ind w:left="200" w:right="340"/>
        <w:spacing w:after="0" w:line="237" w:lineRule="auto"/>
        <w:rPr>
          <w:sz w:val="20"/>
          <w:szCs w:val="20"/>
          <w:color w:val="auto"/>
        </w:rPr>
      </w:pPr>
      <w:r>
        <w:rPr>
          <w:rFonts w:ascii="Arial" w:cs="Arial" w:eastAsia="Arial" w:hAnsi="Arial"/>
          <w:sz w:val="18"/>
          <w:szCs w:val="18"/>
          <w:color w:val="auto"/>
        </w:rPr>
        <w:t>The redeemable convertible preferred stock is recorded outside of permanent equity because while it is not mandatorily redeemable, it will become redeemable upon the occurrence of certain liquidation events that are considered not solely within the Company’s control. Accordingly, the redeemable convertible preferred stock has been presented in the mezzanine section on the condensed consolidated balance sheets.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holders of the Company’s redeemable convertible preferred stock have various rights, preferences, and privileges as follows: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 rights</w:t>
      </w:r>
    </w:p>
    <w:p>
      <w:pPr>
        <w:spacing w:after="0" w:line="124" w:lineRule="exact"/>
        <w:rPr>
          <w:sz w:val="20"/>
          <w:szCs w:val="20"/>
          <w:color w:val="auto"/>
        </w:rPr>
      </w:pPr>
    </w:p>
    <w:p>
      <w:pPr>
        <w:ind w:left="200" w:right="80"/>
        <w:spacing w:after="0" w:line="273" w:lineRule="auto"/>
        <w:rPr>
          <w:sz w:val="20"/>
          <w:szCs w:val="20"/>
          <w:color w:val="auto"/>
        </w:rPr>
      </w:pPr>
      <w:r>
        <w:rPr>
          <w:rFonts w:ascii="Arial" w:cs="Arial" w:eastAsia="Arial" w:hAnsi="Arial"/>
          <w:sz w:val="16"/>
          <w:szCs w:val="16"/>
          <w:color w:val="auto"/>
        </w:rPr>
        <w:t>Each share of redeemable convertible preferred stock shall be convertible, at the option of the holder, into such number of fully paid shares of common stock as is determined by dividing the original issue price by the conversion price in effect at the time of conversion. As of December 31, 2018 and September 30, 2019, the initial conversion price per share of redeemable convertible preferred stock is equivalent to the original issue price. The original issuance price was $4.87 per share for the Series A redeemable convertible preferred stock, $7.30 per share for the Series B redeemable convertible preferred stock and $10.03 for the Series C redeemable convertible preferred stock.</w:t>
      </w:r>
    </w:p>
    <w:p>
      <w:pPr>
        <w:spacing w:after="0" w:line="75"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The respective applicable conversion price is subject to adjustment upon any future stock splits or stock combinations, reclassifications or exchanges of similar stock, upon a reorganization, recapitalization, merger or consolidation of the Company, or upon the issuance or sale by the Company of common stock for consideration less than the applicable conversion price.</w:t>
      </w:r>
    </w:p>
    <w:p>
      <w:pPr>
        <w:spacing w:after="0" w:line="100"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Each share of Series A , B and C redeemable convertible preferred stock automatically converts into the number of shares of common stock determined in accordance with the conversion rate upon the earlier of (a) written consent of a majority of the then outstanding shares of Series A, B and C redeemable convertible preferred stock, voting together as a single class, or (b) the closing of a public offering in which the gross cash proceeds are at least $50.0 million and the minimum IPO price is $10.03 per share of common stock, subject to adjustment for stock dividends, stock splits, combinations or other similar recapitalizations.</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240" w:top="460" w:right="41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The holders of the outstanding shares of each series of redeemable convertible preferred stock are entitled to receive, when and if declared by the Board of Directors, a cumulative cash dividend at the rate of 6% of the applicable original issue price per annum on each outstanding share of redeemable convertible preferred stock. Such dividends are payable in preference to any dividends for common stock declared by the Board of Directors. In the case of a dividend on common stock, the dividend per share of redeemable convertible preferred stock would also include the dividend payable on each share determined, if applicable, as if all redeemable convertible preferred stock had been converted to common stock. No dividends had been declared or paid to holders of redeemable convertible preferred stock as of September 30, 2019.</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the event of any liquidation, dissolution, winding up, or deemed liquidation event of the Company, either voluntary or involuntary, the holders of redeemable convertible preferred stock shall be entitled to receive pro rata, prior and in preference to any distribution to the holders of the common stock, an amount equal to the original issuance prices of each series (in each case, as adjusted for stock splits, stock dividends or distributions, recapitalizations, and similar events) and all declared but unpaid dividends, if any. If the assets and funds to be distributed among the holders of redeemable convertible preferred stock are insufficient to permit the payment to such holders, then the entire assets and funds of the Company legally available for distribution will be distributed ratably among the holders of redeemable convertible preferred stock in proportion to the preferential amount each such holder is otherwise entitled to receive.</w:t>
      </w:r>
    </w:p>
    <w:p>
      <w:pPr>
        <w:spacing w:after="0" w:line="101" w:lineRule="exact"/>
        <w:rPr>
          <w:sz w:val="20"/>
          <w:szCs w:val="20"/>
          <w:color w:val="auto"/>
        </w:rPr>
      </w:pPr>
    </w:p>
    <w:p>
      <w:pPr>
        <w:ind w:left="200" w:right="240"/>
        <w:spacing w:after="0" w:line="239" w:lineRule="auto"/>
        <w:rPr>
          <w:sz w:val="20"/>
          <w:szCs w:val="20"/>
          <w:color w:val="auto"/>
        </w:rPr>
      </w:pPr>
      <w:r>
        <w:rPr>
          <w:rFonts w:ascii="Arial" w:cs="Arial" w:eastAsia="Arial" w:hAnsi="Arial"/>
          <w:sz w:val="18"/>
          <w:szCs w:val="18"/>
          <w:color w:val="auto"/>
        </w:rPr>
        <w:t>Upon the payment of the full liquidation preference of redeemable convertible preferred stock, the remaining assets of the Company, if any, shall be distributed ratably to the holders of common stock.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 rights</w:t>
      </w:r>
    </w:p>
    <w:p>
      <w:pPr>
        <w:spacing w:after="0" w:line="12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Each share of redeemable convertible preferred stock has a number of votes equal to the number of shares of common stock into which it is convertible. The holders of Series A redeemable convertible preferred stock have the right to elect two members of the Company’s Board of Directors. The holders of Series B redeemable convertible preferred stock have the right to elect one member of the Company’s Board of Directors. The holders of common stock have the right to elect one member of the Company’s Board of Directors. The holders of common stock and redeemable convertible preferred stock, voting together as a single class on an as-converted basis, are entitled to elect one member of the Board of Directors.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10. Common stock</w:t>
      </w:r>
    </w:p>
    <w:p>
      <w:pPr>
        <w:spacing w:after="0" w:line="13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As of December 31, 2018 and September 30, 2019, the Company’s certificate of incorporation authorized the Company to issue 172,000,000 shares and 249,000,000 shares of common stock, respectively, at a par value of $0.0001 per share. Each share of common stock is entitled to one vote. The holders of common stock are also entitled to receive dividends whenever funds are legally available and when declared by the Board of Directors, subject to prior rights of the redeemable convertible preferred stockholders. As of September 30, 2019, no dividends have been declared to date.</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00"/>
          </w:cols>
          <w:pgMar w:left="24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has reserved shares of common stock, on an as-converted basis, for future issuance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900" w:type="dxa"/>
            <w:vAlign w:val="bottom"/>
            <w:gridSpan w:val="2"/>
          </w:tcPr>
          <w:p>
            <w:pPr>
              <w:jc w:val="right"/>
              <w:ind w:right="52"/>
              <w:spacing w:after="0"/>
              <w:rPr>
                <w:sz w:val="20"/>
                <w:szCs w:val="20"/>
                <w:color w:val="auto"/>
              </w:rPr>
            </w:pPr>
            <w:r>
              <w:rPr>
                <w:rFonts w:ascii="Arial" w:cs="Arial" w:eastAsia="Arial" w:hAnsi="Arial"/>
                <w:sz w:val="18"/>
                <w:szCs w:val="18"/>
                <w:b w:val="1"/>
                <w:bCs w:val="1"/>
                <w:color w:val="auto"/>
              </w:rPr>
              <w:t>December 31,</w:t>
            </w: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w:t>
            </w:r>
          </w:p>
        </w:tc>
      </w:tr>
      <w:tr>
        <w:trPr>
          <w:trHeight w:val="221"/>
        </w:trPr>
        <w:tc>
          <w:tcPr>
            <w:tcW w:w="20" w:type="dxa"/>
            <w:vAlign w:val="bottom"/>
          </w:tcPr>
          <w:p>
            <w:pPr>
              <w:spacing w:after="0"/>
              <w:rPr>
                <w:sz w:val="19"/>
                <w:szCs w:val="19"/>
                <w:color w:val="auto"/>
              </w:rPr>
            </w:pPr>
          </w:p>
        </w:tc>
        <w:tc>
          <w:tcPr>
            <w:tcW w:w="672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8"/>
                <w:szCs w:val="18"/>
                <w:b w:val="1"/>
                <w:bCs w:val="1"/>
                <w:color w:val="auto"/>
              </w:rPr>
              <w:t>2018</w:t>
            </w:r>
          </w:p>
        </w:tc>
        <w:tc>
          <w:tcPr>
            <w:tcW w:w="13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2900" w:type="dxa"/>
            <w:vAlign w:val="bottom"/>
            <w:gridSpan w:val="2"/>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29,595,909</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39,600,423</w:t>
            </w:r>
          </w:p>
        </w:tc>
        <w:tc>
          <w:tcPr>
            <w:tcW w:w="60" w:type="dxa"/>
            <w:vAlign w:val="bottom"/>
            <w:shd w:val="clear" w:color="auto" w:fill="CCEEFF"/>
          </w:tcPr>
          <w:p>
            <w:pPr>
              <w:spacing w:after="0"/>
              <w:rPr>
                <w:sz w:val="17"/>
                <w:szCs w:val="17"/>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Outstanding options to purchase common stock</w:t>
            </w:r>
          </w:p>
        </w:tc>
        <w:tc>
          <w:tcPr>
            <w:tcW w:w="290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1,632,797</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4,670,745</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Available for future issuance under the 2014 Equity Incentive Plan</w:t>
            </w:r>
          </w:p>
        </w:tc>
        <w:tc>
          <w:tcPr>
            <w:tcW w:w="1620" w:type="dxa"/>
            <w:vAlign w:val="bottom"/>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401,447</w:t>
            </w:r>
          </w:p>
        </w:tc>
        <w:tc>
          <w:tcPr>
            <w:tcW w:w="13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1,041,448</w:t>
            </w:r>
          </w:p>
        </w:tc>
        <w:tc>
          <w:tcPr>
            <w:tcW w:w="6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8"/>
                <w:szCs w:val="18"/>
                <w:color w:val="auto"/>
              </w:rPr>
              <w:t>31,630,153</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45,312,616</w:t>
            </w:r>
          </w:p>
        </w:tc>
        <w:tc>
          <w:tcPr>
            <w:tcW w:w="60" w:type="dxa"/>
            <w:vAlign w:val="bottom"/>
          </w:tcPr>
          <w:p>
            <w:pPr>
              <w:spacing w:after="0"/>
              <w:rPr>
                <w:sz w:val="19"/>
                <w:szCs w:val="19"/>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11. Stock-based compensation</w:t>
      </w:r>
    </w:p>
    <w:p>
      <w:pPr>
        <w:spacing w:after="0" w:line="134"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In December 2014, the Company adopted the 2014 Equity Incentive Plan (2014 Plan). The 2014 Plan provides for the Company to issue restricted common stock, or to grant incentive stock options or nonqualified stock options for the purchase of common stock, to employees, members of the Board of Directors and consultants of the Company under terms and provisions established by the Board of Directors. The Company generally grants stock-based awards with service-based vesting conditions only. Options granted typically vest over a four-year period but may be granted with different vesting terms.</w:t>
      </w:r>
    </w:p>
    <w:p>
      <w:pPr>
        <w:spacing w:after="0" w:line="10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summarizes option activity under the 2014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6"/>
              </w:rPr>
              <w:t>Weighted-</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6"/>
              </w:rPr>
              <w:t>average</w:t>
            </w: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6"/>
              </w:rPr>
              <w:t>Number</w:t>
            </w:r>
          </w:p>
        </w:tc>
        <w:tc>
          <w:tcPr>
            <w:tcW w:w="360" w:type="dxa"/>
            <w:vAlign w:val="bottom"/>
          </w:tcPr>
          <w:p>
            <w:pPr>
              <w:spacing w:after="0"/>
              <w:rPr>
                <w:sz w:val="17"/>
                <w:szCs w:val="17"/>
                <w:color w:val="auto"/>
              </w:rPr>
            </w:pPr>
          </w:p>
        </w:tc>
        <w:tc>
          <w:tcPr>
            <w:tcW w:w="1280" w:type="dxa"/>
            <w:vAlign w:val="bottom"/>
          </w:tcPr>
          <w:p>
            <w:pPr>
              <w:jc w:val="right"/>
              <w:ind w:right="312"/>
              <w:spacing w:after="0" w:line="202" w:lineRule="exact"/>
              <w:rPr>
                <w:sz w:val="20"/>
                <w:szCs w:val="20"/>
                <w:color w:val="auto"/>
              </w:rPr>
            </w:pPr>
            <w:r>
              <w:rPr>
                <w:rFonts w:ascii="Arial" w:cs="Arial" w:eastAsia="Arial" w:hAnsi="Arial"/>
                <w:sz w:val="18"/>
                <w:szCs w:val="18"/>
                <w:b w:val="1"/>
                <w:bCs w:val="1"/>
                <w:color w:val="auto"/>
                <w:w w:val="98"/>
              </w:rPr>
              <w:t>Weighted-</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7"/>
              </w:rPr>
              <w:t>remaining</w:t>
            </w:r>
          </w:p>
        </w:tc>
        <w:tc>
          <w:tcPr>
            <w:tcW w:w="38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2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rPr>
              <w:t>of</w:t>
            </w:r>
          </w:p>
        </w:tc>
        <w:tc>
          <w:tcPr>
            <w:tcW w:w="360" w:type="dxa"/>
            <w:vAlign w:val="bottom"/>
          </w:tcPr>
          <w:p>
            <w:pPr>
              <w:spacing w:after="0"/>
              <w:rPr>
                <w:sz w:val="17"/>
                <w:szCs w:val="17"/>
                <w:color w:val="auto"/>
              </w:rPr>
            </w:pPr>
          </w:p>
        </w:tc>
        <w:tc>
          <w:tcPr>
            <w:tcW w:w="1280" w:type="dxa"/>
            <w:vAlign w:val="bottom"/>
          </w:tcPr>
          <w:p>
            <w:pPr>
              <w:jc w:val="right"/>
              <w:ind w:right="392"/>
              <w:spacing w:after="0" w:line="202" w:lineRule="exact"/>
              <w:rPr>
                <w:sz w:val="20"/>
                <w:szCs w:val="20"/>
                <w:color w:val="auto"/>
              </w:rPr>
            </w:pPr>
            <w:r>
              <w:rPr>
                <w:rFonts w:ascii="Arial" w:cs="Arial" w:eastAsia="Arial" w:hAnsi="Arial"/>
                <w:sz w:val="18"/>
                <w:szCs w:val="18"/>
                <w:b w:val="1"/>
                <w:bCs w:val="1"/>
                <w:color w:val="auto"/>
              </w:rPr>
              <w:t>average</w:t>
            </w:r>
          </w:p>
        </w:tc>
        <w:tc>
          <w:tcPr>
            <w:tcW w:w="144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8"/>
              </w:rPr>
              <w:t>contractual</w:t>
            </w:r>
          </w:p>
        </w:tc>
        <w:tc>
          <w:tcPr>
            <w:tcW w:w="380" w:type="dxa"/>
            <w:vAlign w:val="bottom"/>
          </w:tcPr>
          <w:p>
            <w:pPr>
              <w:spacing w:after="0"/>
              <w:rPr>
                <w:sz w:val="17"/>
                <w:szCs w:val="17"/>
                <w:color w:val="auto"/>
              </w:rPr>
            </w:pPr>
          </w:p>
        </w:tc>
        <w:tc>
          <w:tcPr>
            <w:tcW w:w="11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intrinsic</w:t>
            </w:r>
          </w:p>
        </w:tc>
      </w:tr>
      <w:tr>
        <w:trPr>
          <w:trHeight w:val="235"/>
        </w:trPr>
        <w:tc>
          <w:tcPr>
            <w:tcW w:w="20" w:type="dxa"/>
            <w:vAlign w:val="bottom"/>
          </w:tcPr>
          <w:p>
            <w:pPr>
              <w:spacing w:after="0"/>
              <w:rPr>
                <w:sz w:val="20"/>
                <w:szCs w:val="20"/>
                <w:color w:val="auto"/>
              </w:rPr>
            </w:pPr>
          </w:p>
        </w:tc>
        <w:tc>
          <w:tcPr>
            <w:tcW w:w="5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95"/>
              </w:rPr>
              <w:t>options</w:t>
            </w:r>
          </w:p>
        </w:tc>
        <w:tc>
          <w:tcPr>
            <w:tcW w:w="164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exercise price</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term</w:t>
            </w: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5"/>
              </w:rPr>
              <w:t>value</w:t>
            </w:r>
          </w:p>
        </w:tc>
      </w:tr>
      <w:tr>
        <w:trPr>
          <w:trHeight w:val="196"/>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7"/>
              </w:rPr>
              <w:t>(in years)</w:t>
            </w:r>
          </w:p>
        </w:tc>
        <w:tc>
          <w:tcPr>
            <w:tcW w:w="1520" w:type="dxa"/>
            <w:vAlign w:val="bottom"/>
            <w:gridSpan w:val="3"/>
          </w:tcPr>
          <w:p>
            <w:pPr>
              <w:ind w:left="240"/>
              <w:spacing w:after="0" w:line="196" w:lineRule="exact"/>
              <w:rPr>
                <w:sz w:val="20"/>
                <w:szCs w:val="20"/>
                <w:color w:val="auto"/>
              </w:rPr>
            </w:pPr>
            <w:r>
              <w:rPr>
                <w:rFonts w:ascii="Arial" w:cs="Arial" w:eastAsia="Arial" w:hAnsi="Arial"/>
                <w:sz w:val="18"/>
                <w:szCs w:val="18"/>
                <w:b w:val="1"/>
                <w:bCs w:val="1"/>
                <w:color w:val="auto"/>
              </w:rPr>
              <w:t>(in thousands)</w:t>
            </w: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January 1, 2019</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1,632,797</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0.98</w:t>
            </w:r>
          </w:p>
        </w:tc>
        <w:tc>
          <w:tcPr>
            <w:tcW w:w="14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8.76</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5,085</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Options granted</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w w:val="99"/>
              </w:rPr>
              <w:t>3,239,263</w:t>
            </w:r>
          </w:p>
        </w:tc>
        <w:tc>
          <w:tcPr>
            <w:tcW w:w="280" w:type="dxa"/>
            <w:vAlign w:val="bottom"/>
          </w:tcPr>
          <w:p>
            <w:pPr>
              <w:spacing w:after="0"/>
              <w:rPr>
                <w:sz w:val="17"/>
                <w:szCs w:val="17"/>
                <w:color w:val="auto"/>
              </w:rPr>
            </w:pPr>
          </w:p>
        </w:tc>
        <w:tc>
          <w:tcPr>
            <w:tcW w:w="360" w:type="dxa"/>
            <w:vAlign w:val="bottom"/>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4.49</w:t>
            </w:r>
          </w:p>
        </w:tc>
        <w:tc>
          <w:tcPr>
            <w:tcW w:w="1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Options exercised</w:t>
            </w: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(171,025)</w:t>
            </w:r>
          </w:p>
        </w:tc>
        <w:tc>
          <w:tcPr>
            <w:tcW w:w="3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2.01</w:t>
            </w:r>
          </w:p>
        </w:tc>
        <w:tc>
          <w:tcPr>
            <w:tcW w:w="1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300" w:type="dxa"/>
            <w:vAlign w:val="bottom"/>
          </w:tcPr>
          <w:p>
            <w:pPr>
              <w:ind w:left="200"/>
              <w:spacing w:after="0" w:line="202" w:lineRule="exact"/>
              <w:rPr>
                <w:sz w:val="20"/>
                <w:szCs w:val="20"/>
                <w:color w:val="auto"/>
              </w:rPr>
            </w:pPr>
            <w:r>
              <w:rPr>
                <w:rFonts w:ascii="Arial" w:cs="Arial" w:eastAsia="Arial" w:hAnsi="Arial"/>
                <w:sz w:val="18"/>
                <w:szCs w:val="18"/>
                <w:color w:val="auto"/>
              </w:rPr>
              <w:t>Options cancelled</w:t>
            </w: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(30,290)</w:t>
            </w:r>
          </w:p>
        </w:tc>
        <w:tc>
          <w:tcPr>
            <w:tcW w:w="360" w:type="dxa"/>
            <w:vAlign w:val="bottom"/>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3.41</w:t>
            </w: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September 30, 2019</w:t>
            </w:r>
          </w:p>
        </w:tc>
        <w:tc>
          <w:tcPr>
            <w:tcW w:w="840" w:type="dxa"/>
            <w:vAlign w:val="bottom"/>
            <w:tcBorders>
              <w:top w:val="single" w:sz="8" w:color="auto"/>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4,670,745</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3.36</w:t>
            </w:r>
          </w:p>
        </w:tc>
        <w:tc>
          <w:tcPr>
            <w:tcW w:w="14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9.15</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19,563</w:t>
            </w:r>
          </w:p>
        </w:tc>
        <w:tc>
          <w:tcPr>
            <w:tcW w:w="60" w:type="dxa"/>
            <w:vAlign w:val="bottom"/>
            <w:shd w:val="clear" w:color="auto" w:fill="CCEEFF"/>
          </w:tcPr>
          <w:p>
            <w:pPr>
              <w:spacing w:after="0"/>
              <w:rPr>
                <w:sz w:val="17"/>
                <w:szCs w:val="17"/>
                <w:color w:val="auto"/>
              </w:rPr>
            </w:pPr>
          </w:p>
        </w:tc>
      </w:tr>
      <w:tr>
        <w:trPr>
          <w:trHeight w:val="213"/>
        </w:trPr>
        <w:tc>
          <w:tcPr>
            <w:tcW w:w="5320" w:type="dxa"/>
            <w:vAlign w:val="bottom"/>
            <w:gridSpan w:val="2"/>
          </w:tcPr>
          <w:p>
            <w:pPr>
              <w:spacing w:after="0"/>
              <w:rPr>
                <w:sz w:val="20"/>
                <w:szCs w:val="20"/>
                <w:color w:val="auto"/>
              </w:rPr>
            </w:pPr>
            <w:r>
              <w:rPr>
                <w:rFonts w:ascii="Arial" w:cs="Arial" w:eastAsia="Arial" w:hAnsi="Arial"/>
                <w:sz w:val="18"/>
                <w:szCs w:val="18"/>
                <w:color w:val="auto"/>
              </w:rPr>
              <w:t>Options vested and expected to vest as of September 30,</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9"/>
        </w:trPr>
        <w:tc>
          <w:tcPr>
            <w:tcW w:w="5320" w:type="dxa"/>
            <w:vAlign w:val="bottom"/>
            <w:gridSpan w:val="2"/>
          </w:tcPr>
          <w:p>
            <w:pPr>
              <w:ind w:left="220"/>
              <w:spacing w:after="0" w:line="200" w:lineRule="exact"/>
              <w:rPr>
                <w:sz w:val="20"/>
                <w:szCs w:val="20"/>
                <w:color w:val="auto"/>
              </w:rPr>
            </w:pPr>
            <w:r>
              <w:rPr>
                <w:rFonts w:ascii="Arial" w:cs="Arial" w:eastAsia="Arial" w:hAnsi="Arial"/>
                <w:sz w:val="18"/>
                <w:szCs w:val="18"/>
                <w:color w:val="auto"/>
              </w:rPr>
              <w:t>2019</w:t>
            </w:r>
          </w:p>
        </w:tc>
        <w:tc>
          <w:tcPr>
            <w:tcW w:w="840" w:type="dxa"/>
            <w:vAlign w:val="bottom"/>
          </w:tcPr>
          <w:p>
            <w:pPr>
              <w:jc w:val="right"/>
              <w:spacing w:after="0" w:line="200" w:lineRule="exact"/>
              <w:rPr>
                <w:sz w:val="20"/>
                <w:szCs w:val="20"/>
                <w:color w:val="auto"/>
              </w:rPr>
            </w:pPr>
            <w:r>
              <w:rPr>
                <w:rFonts w:ascii="Arial" w:cs="Arial" w:eastAsia="Arial" w:hAnsi="Arial"/>
                <w:sz w:val="18"/>
                <w:szCs w:val="18"/>
                <w:color w:val="auto"/>
                <w:w w:val="99"/>
              </w:rPr>
              <w:t>4,670,745</w:t>
            </w:r>
          </w:p>
        </w:tc>
        <w:tc>
          <w:tcPr>
            <w:tcW w:w="280" w:type="dxa"/>
            <w:vAlign w:val="bottom"/>
          </w:tcPr>
          <w:p>
            <w:pPr>
              <w:spacing w:after="0"/>
              <w:rPr>
                <w:sz w:val="17"/>
                <w:szCs w:val="17"/>
                <w:color w:val="auto"/>
              </w:rPr>
            </w:pPr>
          </w:p>
        </w:tc>
        <w:tc>
          <w:tcPr>
            <w:tcW w:w="360" w:type="dxa"/>
            <w:vAlign w:val="bottom"/>
          </w:tcPr>
          <w:p>
            <w:pPr>
              <w:ind w:left="240"/>
              <w:spacing w:after="0" w:line="200"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2"/>
              <w:spacing w:after="0" w:line="200" w:lineRule="exact"/>
              <w:rPr>
                <w:sz w:val="20"/>
                <w:szCs w:val="20"/>
                <w:color w:val="auto"/>
              </w:rPr>
            </w:pPr>
            <w:r>
              <w:rPr>
                <w:rFonts w:ascii="Arial" w:cs="Arial" w:eastAsia="Arial" w:hAnsi="Arial"/>
                <w:sz w:val="18"/>
                <w:szCs w:val="18"/>
                <w:color w:val="auto"/>
              </w:rPr>
              <w:t>3.36</w:t>
            </w:r>
          </w:p>
        </w:tc>
        <w:tc>
          <w:tcPr>
            <w:tcW w:w="1440" w:type="dxa"/>
            <w:vAlign w:val="bottom"/>
          </w:tcPr>
          <w:p>
            <w:pPr>
              <w:jc w:val="right"/>
              <w:ind w:right="152"/>
              <w:spacing w:after="0" w:line="200" w:lineRule="exact"/>
              <w:rPr>
                <w:sz w:val="20"/>
                <w:szCs w:val="20"/>
                <w:color w:val="auto"/>
              </w:rPr>
            </w:pPr>
            <w:r>
              <w:rPr>
                <w:rFonts w:ascii="Arial" w:cs="Arial" w:eastAsia="Arial" w:hAnsi="Arial"/>
                <w:sz w:val="18"/>
                <w:szCs w:val="18"/>
                <w:color w:val="auto"/>
              </w:rPr>
              <w:t>9.15</w:t>
            </w:r>
          </w:p>
        </w:tc>
        <w:tc>
          <w:tcPr>
            <w:tcW w:w="380" w:type="dxa"/>
            <w:vAlign w:val="bottom"/>
          </w:tcPr>
          <w:p>
            <w:pPr>
              <w:ind w:left="240"/>
              <w:spacing w:after="0" w:line="200"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200" w:lineRule="exact"/>
              <w:rPr>
                <w:sz w:val="20"/>
                <w:szCs w:val="20"/>
                <w:color w:val="auto"/>
              </w:rPr>
            </w:pPr>
            <w:r>
              <w:rPr>
                <w:rFonts w:ascii="Arial" w:cs="Arial" w:eastAsia="Arial" w:hAnsi="Arial"/>
                <w:sz w:val="18"/>
                <w:szCs w:val="18"/>
                <w:color w:val="auto"/>
              </w:rPr>
              <w:t>19,563</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vested and exercisable as of September 30, 2019</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979,662</w:t>
            </w: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1.45</w:t>
            </w:r>
          </w:p>
        </w:tc>
        <w:tc>
          <w:tcPr>
            <w:tcW w:w="14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8.01</w:t>
            </w:r>
          </w:p>
        </w:tc>
        <w:tc>
          <w:tcPr>
            <w:tcW w:w="380" w:type="dxa"/>
            <w:vAlign w:val="bottom"/>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The aggregate intrinsic values of options outstanding, exercisable, vested and expected to vest were calculated as the difference between the exercise price of the options and the estimated fair value of the Company’s common stock by the Board of Directors. The intrinsic value of the options exercised for the nine months ended September 30, 2019 was $0.3 million.</w:t>
      </w:r>
    </w:p>
    <w:p>
      <w:pPr>
        <w:spacing w:after="0" w:line="100" w:lineRule="exact"/>
        <w:rPr>
          <w:sz w:val="20"/>
          <w:szCs w:val="20"/>
          <w:color w:val="auto"/>
        </w:rPr>
      </w:pPr>
    </w:p>
    <w:p>
      <w:pPr>
        <w:jc w:val="both"/>
        <w:ind w:left="200" w:right="280"/>
        <w:spacing w:after="0" w:line="238" w:lineRule="auto"/>
        <w:rPr>
          <w:sz w:val="20"/>
          <w:szCs w:val="20"/>
          <w:color w:val="auto"/>
        </w:rPr>
      </w:pPr>
      <w:r>
        <w:rPr>
          <w:rFonts w:ascii="Arial" w:cs="Arial" w:eastAsia="Arial" w:hAnsi="Arial"/>
          <w:sz w:val="18"/>
          <w:szCs w:val="18"/>
          <w:color w:val="auto"/>
        </w:rPr>
        <w:t>For the nine months ended September 30, 2019, the weighted-average grant-date fair value of options granted was $3.89 per share. As of September 30, 2019, there was $13.5 million of unrecognized stock-based compensation expense related to unvested stock options that is expected to be recognized over a weighted-average period of 3.4 years.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total fair value of options vested during the nine months ended September 30, 2019 was $1.2 million.</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240" w:top="460" w:right="41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The fair value of employee and director stock option awards was estimated at the date of grant using a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5480" w:type="dxa"/>
            <w:vAlign w:val="bottom"/>
          </w:tcPr>
          <w:p>
            <w:pPr>
              <w:ind w:left="3820"/>
              <w:spacing w:after="0"/>
              <w:rPr>
                <w:sz w:val="20"/>
                <w:szCs w:val="20"/>
                <w:color w:val="auto"/>
              </w:rPr>
            </w:pPr>
            <w:r>
              <w:rPr>
                <w:rFonts w:ascii="Arial" w:cs="Arial" w:eastAsia="Arial" w:hAnsi="Arial"/>
                <w:sz w:val="18"/>
                <w:szCs w:val="18"/>
                <w:b w:val="1"/>
                <w:bCs w:val="1"/>
                <w:color w:val="auto"/>
                <w:w w:val="98"/>
              </w:rPr>
              <w:t>Nine months ended</w:t>
            </w:r>
          </w:p>
        </w:tc>
      </w:tr>
      <w:tr>
        <w:trPr>
          <w:trHeight w:val="221"/>
        </w:trPr>
        <w:tc>
          <w:tcPr>
            <w:tcW w:w="20" w:type="dxa"/>
            <w:vAlign w:val="bottom"/>
          </w:tcPr>
          <w:p>
            <w:pPr>
              <w:spacing w:after="0"/>
              <w:rPr>
                <w:sz w:val="19"/>
                <w:szCs w:val="19"/>
                <w:color w:val="auto"/>
              </w:rPr>
            </w:pPr>
          </w:p>
        </w:tc>
        <w:tc>
          <w:tcPr>
            <w:tcW w:w="55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ind w:left="3820"/>
              <w:spacing w:after="0"/>
              <w:rPr>
                <w:sz w:val="20"/>
                <w:szCs w:val="20"/>
                <w:color w:val="auto"/>
              </w:rPr>
            </w:pPr>
            <w:r>
              <w:rPr>
                <w:rFonts w:ascii="Arial" w:cs="Arial" w:eastAsia="Arial" w:hAnsi="Arial"/>
                <w:sz w:val="18"/>
                <w:szCs w:val="18"/>
                <w:b w:val="1"/>
                <w:bCs w:val="1"/>
                <w:color w:val="auto"/>
                <w:w w:val="97"/>
              </w:rPr>
              <w:t>September 30, 2019</w:t>
            </w: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5480" w:type="dxa"/>
            <w:vAlign w:val="bottom"/>
            <w:shd w:val="clear" w:color="auto" w:fill="CCEEFF"/>
          </w:tcPr>
          <w:p>
            <w:pPr>
              <w:jc w:val="center"/>
              <w:ind w:left="3712"/>
              <w:spacing w:after="0" w:line="196" w:lineRule="exact"/>
              <w:rPr>
                <w:sz w:val="20"/>
                <w:szCs w:val="20"/>
                <w:color w:val="auto"/>
              </w:rPr>
            </w:pPr>
            <w:r>
              <w:rPr>
                <w:rFonts w:ascii="Arial" w:cs="Arial" w:eastAsia="Arial" w:hAnsi="Arial"/>
                <w:sz w:val="18"/>
                <w:szCs w:val="18"/>
                <w:color w:val="auto"/>
                <w:w w:val="92"/>
              </w:rPr>
              <w:t>5-6</w:t>
            </w: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5480" w:type="dxa"/>
            <w:vAlign w:val="bottom"/>
          </w:tcPr>
          <w:p>
            <w:pPr>
              <w:jc w:val="center"/>
              <w:ind w:left="3712"/>
              <w:spacing w:after="0" w:line="202" w:lineRule="exact"/>
              <w:rPr>
                <w:sz w:val="20"/>
                <w:szCs w:val="20"/>
                <w:color w:val="auto"/>
              </w:rPr>
            </w:pPr>
            <w:r>
              <w:rPr>
                <w:rFonts w:ascii="Arial" w:cs="Arial" w:eastAsia="Arial" w:hAnsi="Arial"/>
                <w:sz w:val="18"/>
                <w:szCs w:val="18"/>
                <w:color w:val="auto"/>
                <w:w w:val="96"/>
              </w:rPr>
              <w:t>78-82%</w:t>
            </w: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5480" w:type="dxa"/>
            <w:vAlign w:val="bottom"/>
            <w:shd w:val="clear" w:color="auto" w:fill="CCEEFF"/>
          </w:tcPr>
          <w:p>
            <w:pPr>
              <w:jc w:val="center"/>
              <w:ind w:left="3712"/>
              <w:spacing w:after="0" w:line="202" w:lineRule="exact"/>
              <w:rPr>
                <w:sz w:val="20"/>
                <w:szCs w:val="20"/>
                <w:color w:val="auto"/>
              </w:rPr>
            </w:pPr>
            <w:r>
              <w:rPr>
                <w:rFonts w:ascii="Arial" w:cs="Arial" w:eastAsia="Arial" w:hAnsi="Arial"/>
                <w:sz w:val="18"/>
                <w:szCs w:val="18"/>
                <w:color w:val="auto"/>
                <w:w w:val="95"/>
              </w:rPr>
              <w:t>1.6%-2.5%</w:t>
            </w:r>
          </w:p>
        </w:tc>
      </w:tr>
      <w:tr>
        <w:trPr>
          <w:trHeight w:val="215"/>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Dividend yield</w:t>
            </w:r>
          </w:p>
        </w:tc>
        <w:tc>
          <w:tcPr>
            <w:tcW w:w="5480" w:type="dxa"/>
            <w:vAlign w:val="bottom"/>
            <w:tcBorders>
              <w:bottom w:val="single" w:sz="8" w:color="auto"/>
            </w:tcBorders>
          </w:tcPr>
          <w:p>
            <w:pPr>
              <w:jc w:val="center"/>
              <w:ind w:left="3712"/>
              <w:spacing w:after="0"/>
              <w:rPr>
                <w:sz w:val="20"/>
                <w:szCs w:val="20"/>
                <w:color w:val="auto"/>
              </w:rPr>
            </w:pPr>
            <w:r>
              <w:rPr>
                <w:rFonts w:ascii="Arial" w:cs="Arial" w:eastAsia="Arial" w:hAnsi="Arial"/>
                <w:sz w:val="18"/>
                <w:szCs w:val="18"/>
                <w:color w:val="auto"/>
                <w:w w:val="92"/>
              </w:rPr>
              <w:t>0%</w:t>
            </w:r>
          </w:p>
        </w:tc>
      </w:tr>
    </w:tbl>
    <w:p>
      <w:pPr>
        <w:spacing w:after="0" w:line="111"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Non-employee stock option awards were measured at fair value at each reporting period using a Black-Scholes option-pricing model with the following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5480" w:type="dxa"/>
            <w:vAlign w:val="bottom"/>
          </w:tcPr>
          <w:p>
            <w:pPr>
              <w:ind w:left="3820"/>
              <w:spacing w:after="0"/>
              <w:rPr>
                <w:sz w:val="20"/>
                <w:szCs w:val="20"/>
                <w:color w:val="auto"/>
              </w:rPr>
            </w:pPr>
            <w:r>
              <w:rPr>
                <w:rFonts w:ascii="Arial" w:cs="Arial" w:eastAsia="Arial" w:hAnsi="Arial"/>
                <w:sz w:val="18"/>
                <w:szCs w:val="18"/>
                <w:b w:val="1"/>
                <w:bCs w:val="1"/>
                <w:color w:val="auto"/>
                <w:w w:val="98"/>
              </w:rPr>
              <w:t>Nine months ended</w:t>
            </w:r>
          </w:p>
        </w:tc>
      </w:tr>
      <w:tr>
        <w:trPr>
          <w:trHeight w:val="221"/>
        </w:trPr>
        <w:tc>
          <w:tcPr>
            <w:tcW w:w="20" w:type="dxa"/>
            <w:vAlign w:val="bottom"/>
          </w:tcPr>
          <w:p>
            <w:pPr>
              <w:spacing w:after="0"/>
              <w:rPr>
                <w:sz w:val="19"/>
                <w:szCs w:val="19"/>
                <w:color w:val="auto"/>
              </w:rPr>
            </w:pPr>
          </w:p>
        </w:tc>
        <w:tc>
          <w:tcPr>
            <w:tcW w:w="55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ind w:left="3820"/>
              <w:spacing w:after="0"/>
              <w:rPr>
                <w:sz w:val="20"/>
                <w:szCs w:val="20"/>
                <w:color w:val="auto"/>
              </w:rPr>
            </w:pPr>
            <w:r>
              <w:rPr>
                <w:rFonts w:ascii="Arial" w:cs="Arial" w:eastAsia="Arial" w:hAnsi="Arial"/>
                <w:sz w:val="18"/>
                <w:szCs w:val="18"/>
                <w:b w:val="1"/>
                <w:bCs w:val="1"/>
                <w:color w:val="auto"/>
                <w:w w:val="97"/>
              </w:rPr>
              <w:t>September 30, 2019</w:t>
            </w:r>
          </w:p>
        </w:tc>
      </w:tr>
      <w:tr>
        <w:trPr>
          <w:trHeight w:val="196"/>
        </w:trPr>
        <w:tc>
          <w:tcPr>
            <w:tcW w:w="20" w:type="dxa"/>
            <w:vAlign w:val="bottom"/>
          </w:tcPr>
          <w:p>
            <w:pPr>
              <w:spacing w:after="0"/>
              <w:rPr>
                <w:sz w:val="17"/>
                <w:szCs w:val="17"/>
                <w:color w:val="auto"/>
              </w:rPr>
            </w:pPr>
          </w:p>
        </w:tc>
        <w:tc>
          <w:tcPr>
            <w:tcW w:w="5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term (years)</w:t>
            </w:r>
          </w:p>
        </w:tc>
        <w:tc>
          <w:tcPr>
            <w:tcW w:w="5480" w:type="dxa"/>
            <w:vAlign w:val="bottom"/>
            <w:shd w:val="clear" w:color="auto" w:fill="CCEEFF"/>
          </w:tcPr>
          <w:p>
            <w:pPr>
              <w:jc w:val="center"/>
              <w:ind w:left="3712"/>
              <w:spacing w:after="0" w:line="196" w:lineRule="exact"/>
              <w:rPr>
                <w:sz w:val="20"/>
                <w:szCs w:val="20"/>
                <w:color w:val="auto"/>
              </w:rPr>
            </w:pPr>
            <w:r>
              <w:rPr>
                <w:rFonts w:ascii="Arial" w:cs="Arial" w:eastAsia="Arial" w:hAnsi="Arial"/>
                <w:sz w:val="18"/>
                <w:szCs w:val="18"/>
                <w:color w:val="auto"/>
                <w:w w:val="99"/>
              </w:rPr>
              <w:t>6-10</w:t>
            </w: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Expected volatility</w:t>
            </w:r>
          </w:p>
        </w:tc>
        <w:tc>
          <w:tcPr>
            <w:tcW w:w="5480" w:type="dxa"/>
            <w:vAlign w:val="bottom"/>
          </w:tcPr>
          <w:p>
            <w:pPr>
              <w:jc w:val="center"/>
              <w:ind w:left="3712"/>
              <w:spacing w:after="0" w:line="202" w:lineRule="exact"/>
              <w:rPr>
                <w:sz w:val="20"/>
                <w:szCs w:val="20"/>
                <w:color w:val="auto"/>
              </w:rPr>
            </w:pPr>
            <w:r>
              <w:rPr>
                <w:rFonts w:ascii="Arial" w:cs="Arial" w:eastAsia="Arial" w:hAnsi="Arial"/>
                <w:sz w:val="18"/>
                <w:szCs w:val="18"/>
                <w:color w:val="auto"/>
                <w:w w:val="96"/>
              </w:rPr>
              <w:t>79-83%</w:t>
            </w:r>
          </w:p>
        </w:tc>
      </w:tr>
      <w:tr>
        <w:trPr>
          <w:trHeight w:val="203"/>
        </w:trPr>
        <w:tc>
          <w:tcPr>
            <w:tcW w:w="20" w:type="dxa"/>
            <w:vAlign w:val="bottom"/>
          </w:tcPr>
          <w:p>
            <w:pPr>
              <w:spacing w:after="0"/>
              <w:rPr>
                <w:sz w:val="17"/>
                <w:szCs w:val="17"/>
                <w:color w:val="auto"/>
              </w:rPr>
            </w:pPr>
          </w:p>
        </w:tc>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5480" w:type="dxa"/>
            <w:vAlign w:val="bottom"/>
            <w:shd w:val="clear" w:color="auto" w:fill="CCEEFF"/>
          </w:tcPr>
          <w:p>
            <w:pPr>
              <w:jc w:val="center"/>
              <w:ind w:left="3712"/>
              <w:spacing w:after="0" w:line="202" w:lineRule="exact"/>
              <w:rPr>
                <w:sz w:val="20"/>
                <w:szCs w:val="20"/>
                <w:color w:val="auto"/>
              </w:rPr>
            </w:pPr>
            <w:r>
              <w:rPr>
                <w:rFonts w:ascii="Arial" w:cs="Arial" w:eastAsia="Arial" w:hAnsi="Arial"/>
                <w:sz w:val="18"/>
                <w:szCs w:val="18"/>
                <w:color w:val="auto"/>
                <w:w w:val="95"/>
              </w:rPr>
              <w:t>1.7%-2.6%</w:t>
            </w:r>
          </w:p>
        </w:tc>
      </w:tr>
      <w:tr>
        <w:trPr>
          <w:trHeight w:val="215"/>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Dividend yield</w:t>
            </w:r>
          </w:p>
        </w:tc>
        <w:tc>
          <w:tcPr>
            <w:tcW w:w="5480" w:type="dxa"/>
            <w:vAlign w:val="bottom"/>
            <w:tcBorders>
              <w:bottom w:val="single" w:sz="8" w:color="auto"/>
            </w:tcBorders>
          </w:tcPr>
          <w:p>
            <w:pPr>
              <w:jc w:val="center"/>
              <w:ind w:left="3712"/>
              <w:spacing w:after="0"/>
              <w:rPr>
                <w:sz w:val="20"/>
                <w:szCs w:val="20"/>
                <w:color w:val="auto"/>
              </w:rPr>
            </w:pPr>
            <w:r>
              <w:rPr>
                <w:rFonts w:ascii="Arial" w:cs="Arial" w:eastAsia="Arial" w:hAnsi="Arial"/>
                <w:sz w:val="18"/>
                <w:szCs w:val="18"/>
                <w:color w:val="auto"/>
                <w:w w:val="92"/>
              </w:rPr>
              <w:t>0%</w:t>
            </w:r>
          </w:p>
        </w:tc>
      </w:tr>
    </w:tbl>
    <w:p>
      <w:pPr>
        <w:spacing w:after="0" w:line="111" w:lineRule="exact"/>
        <w:rPr>
          <w:sz w:val="20"/>
          <w:szCs w:val="20"/>
          <w:color w:val="auto"/>
        </w:rPr>
      </w:pPr>
    </w:p>
    <w:p>
      <w:pPr>
        <w:ind w:left="200" w:right="80"/>
        <w:spacing w:after="0" w:line="271" w:lineRule="auto"/>
        <w:rPr>
          <w:sz w:val="20"/>
          <w:szCs w:val="20"/>
          <w:color w:val="auto"/>
        </w:rPr>
      </w:pPr>
      <w:r>
        <w:rPr>
          <w:rFonts w:ascii="Arial" w:cs="Arial" w:eastAsia="Arial" w:hAnsi="Arial"/>
          <w:sz w:val="16"/>
          <w:szCs w:val="16"/>
          <w:color w:val="auto"/>
        </w:rPr>
        <w:t>The fair value of the shares of common stock underlying stock options has historically been determined by the Company’s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an independent third party, sales of redeemable convertible preferred stock, actual operating results and financial performance, the conditions in the biotechnology industry and the economy in general, the stock price performance and volatility of comparable public companies, and the lack of liquidity of the Company’s common stock, among other factors.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Black-Scholes model assumptions that determine the fair value of stock-based awards include:</w:t>
      </w:r>
    </w:p>
    <w:p>
      <w:pPr>
        <w:spacing w:after="0" w:line="84" w:lineRule="exact"/>
        <w:rPr>
          <w:sz w:val="20"/>
          <w:szCs w:val="20"/>
          <w:color w:val="auto"/>
        </w:rPr>
      </w:pPr>
    </w:p>
    <w:p>
      <w:pPr>
        <w:jc w:val="both"/>
        <w:ind w:left="200" w:right="360"/>
        <w:spacing w:after="0" w:line="248"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represents the weighted-average period the stock options are expected to remain outstanding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the options’ vesting terms, contractual terms and industry peers, as the Company did not have sufficient historical information to develop reasonable expectations about future exercise patterns and post-vesting employment termination behavior.</w:t>
      </w:r>
    </w:p>
    <w:p>
      <w:pPr>
        <w:spacing w:after="0" w:line="74" w:lineRule="exact"/>
        <w:rPr>
          <w:sz w:val="20"/>
          <w:szCs w:val="20"/>
          <w:color w:val="auto"/>
        </w:rPr>
      </w:pPr>
    </w:p>
    <w:p>
      <w:pPr>
        <w:ind w:left="200" w:right="120"/>
        <w:spacing w:after="0" w:line="244" w:lineRule="auto"/>
        <w:rPr>
          <w:sz w:val="20"/>
          <w:szCs w:val="20"/>
          <w:color w:val="auto"/>
        </w:rPr>
      </w:pPr>
      <w:r>
        <w:rPr>
          <w:rFonts w:ascii="Arial" w:cs="Arial" w:eastAsia="Arial" w:hAnsi="Arial"/>
          <w:sz w:val="18"/>
          <w:szCs w:val="18"/>
          <w:b w:val="1"/>
          <w:bCs w:val="1"/>
          <w:i w:val="1"/>
          <w:iCs w:val="1"/>
          <w:color w:val="auto"/>
        </w:rPr>
        <w:t>Expected volatility</w:t>
      </w:r>
      <w:r>
        <w:rPr>
          <w:rFonts w:ascii="Arial" w:cs="Arial" w:eastAsia="Arial" w:hAnsi="Arial"/>
          <w:sz w:val="18"/>
          <w:szCs w:val="18"/>
          <w:color w:val="auto"/>
        </w:rPr>
        <w:t>—Since the Company is privately held and does not have any trading history for its common stock, the expected volatility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estimated based on the average volatility for comparable publicly traded biotechnology companies over a period equal to the expected term of the stock option grants. The comparable companies were chosen based on their similar size, stage in the life cycle or area of specialty.</w:t>
      </w:r>
    </w:p>
    <w:p>
      <w:pPr>
        <w:spacing w:after="0" w:line="77" w:lineRule="exact"/>
        <w:rPr>
          <w:sz w:val="20"/>
          <w:szCs w:val="20"/>
          <w:color w:val="auto"/>
        </w:rPr>
      </w:pPr>
    </w:p>
    <w:p>
      <w:pPr>
        <w:ind w:left="200" w:right="120"/>
        <w:spacing w:after="0" w:line="262"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with the expected term of option.</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Expected dividend</w:t>
      </w:r>
      <w:r>
        <w:rPr>
          <w:rFonts w:ascii="Arial" w:cs="Arial" w:eastAsia="Arial" w:hAnsi="Arial"/>
          <w:sz w:val="16"/>
          <w:szCs w:val="16"/>
          <w:color w:val="auto"/>
        </w:rPr>
        <w:t>—The Company has never paid dividends on its common stock and has no plans to pay dividends on its common stock.</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Therefore, the Company used an expected dividend yield of zero.</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240" w:top="459" w:right="41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Total stock-based compensation expense by function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70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8"/>
                <w:szCs w:val="18"/>
                <w:b w:val="1"/>
                <w:bCs w:val="1"/>
                <w:color w:val="auto"/>
              </w:rPr>
              <w:t>Nine months ended September 30,</w:t>
            </w: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8"/>
                <w:szCs w:val="18"/>
                <w:b w:val="1"/>
                <w:bCs w:val="1"/>
                <w:color w:val="auto"/>
              </w:rPr>
              <w:t>2018</w:t>
            </w:r>
          </w:p>
        </w:tc>
        <w:tc>
          <w:tcPr>
            <w:tcW w:w="8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b w:val="1"/>
                <w:bCs w:val="1"/>
                <w:color w:val="auto"/>
              </w:rPr>
              <w:t>2019</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40" w:type="dxa"/>
            <w:vAlign w:val="bottom"/>
            <w:gridSpan w:val="2"/>
          </w:tcPr>
          <w:p>
            <w:pPr>
              <w:jc w:val="right"/>
              <w:ind w:right="72"/>
              <w:spacing w:after="0" w:line="196" w:lineRule="exact"/>
              <w:rPr>
                <w:sz w:val="20"/>
                <w:szCs w:val="20"/>
                <w:color w:val="auto"/>
              </w:rPr>
            </w:pPr>
            <w:r>
              <w:rPr>
                <w:rFonts w:ascii="Arial" w:cs="Arial" w:eastAsia="Arial" w:hAnsi="Arial"/>
                <w:sz w:val="18"/>
                <w:szCs w:val="18"/>
                <w:b w:val="1"/>
                <w:bCs w:val="1"/>
                <w:color w:val="auto"/>
              </w:rPr>
              <w:t>(in thousands)</w:t>
            </w: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w:t>
            </w:r>
          </w:p>
        </w:tc>
        <w:tc>
          <w:tcPr>
            <w:tcW w:w="3540" w:type="dxa"/>
            <w:vAlign w:val="bottom"/>
            <w:gridSpan w:val="2"/>
            <w:shd w:val="clear" w:color="auto" w:fill="CCEEFF"/>
          </w:tcPr>
          <w:p>
            <w:pPr>
              <w:jc w:val="right"/>
              <w:ind w:right="79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380</w:t>
            </w:r>
          </w:p>
        </w:tc>
        <w:tc>
          <w:tcPr>
            <w:tcW w:w="8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w:t>
            </w:r>
          </w:p>
        </w:tc>
        <w:tc>
          <w:tcPr>
            <w:tcW w:w="60" w:type="dxa"/>
            <w:vAlign w:val="bottom"/>
            <w:shd w:val="clear" w:color="auto" w:fill="CCEEFF"/>
          </w:tcPr>
          <w:p>
            <w:pPr>
              <w:spacing w:after="0"/>
              <w:rPr>
                <w:sz w:val="17"/>
                <w:szCs w:val="17"/>
                <w:color w:val="auto"/>
              </w:rPr>
            </w:pPr>
          </w:p>
        </w:tc>
      </w:tr>
      <w:tr>
        <w:trPr>
          <w:trHeight w:val="210"/>
        </w:trPr>
        <w:tc>
          <w:tcPr>
            <w:tcW w:w="472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w:t>
            </w:r>
          </w:p>
        </w:tc>
        <w:tc>
          <w:tcPr>
            <w:tcW w:w="25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72"/>
              <w:spacing w:after="0" w:line="202" w:lineRule="exact"/>
              <w:rPr>
                <w:sz w:val="20"/>
                <w:szCs w:val="20"/>
                <w:color w:val="auto"/>
              </w:rPr>
            </w:pPr>
            <w:r>
              <w:rPr>
                <w:rFonts w:ascii="Arial" w:cs="Arial" w:eastAsia="Arial" w:hAnsi="Arial"/>
                <w:sz w:val="18"/>
                <w:szCs w:val="18"/>
                <w:color w:val="auto"/>
              </w:rPr>
              <w:t>194</w:t>
            </w:r>
          </w:p>
        </w:tc>
        <w:tc>
          <w:tcPr>
            <w:tcW w:w="8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822</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540" w:type="dxa"/>
            <w:vAlign w:val="bottom"/>
            <w:gridSpan w:val="2"/>
            <w:shd w:val="clear" w:color="auto" w:fill="CCEEFF"/>
          </w:tcPr>
          <w:p>
            <w:pPr>
              <w:jc w:val="right"/>
              <w:ind w:right="792"/>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372"/>
              <w:spacing w:after="0" w:line="202" w:lineRule="exact"/>
              <w:rPr>
                <w:sz w:val="20"/>
                <w:szCs w:val="20"/>
                <w:color w:val="auto"/>
              </w:rPr>
            </w:pPr>
            <w:r>
              <w:rPr>
                <w:rFonts w:ascii="Arial" w:cs="Arial" w:eastAsia="Arial" w:hAnsi="Arial"/>
                <w:sz w:val="18"/>
                <w:szCs w:val="18"/>
                <w:color w:val="auto"/>
              </w:rPr>
              <w:t>574</w:t>
            </w:r>
          </w:p>
        </w:tc>
        <w:tc>
          <w:tcPr>
            <w:tcW w:w="80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1,763</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760"/>
        <w:spacing w:after="0" w:line="239" w:lineRule="auto"/>
        <w:rPr>
          <w:sz w:val="20"/>
          <w:szCs w:val="20"/>
          <w:color w:val="auto"/>
        </w:rPr>
      </w:pPr>
      <w:r>
        <w:rPr>
          <w:rFonts w:ascii="Arial" w:cs="Arial" w:eastAsia="Arial" w:hAnsi="Arial"/>
          <w:sz w:val="18"/>
          <w:szCs w:val="18"/>
          <w:color w:val="auto"/>
        </w:rPr>
        <w:t>Stock-based compensation related to options granted to non-employees was $0.2 million and $0.3 million for the nine months ended September 30, 2018 and 2019, respectively.</w:t>
      </w:r>
    </w:p>
    <w:p>
      <w:pPr>
        <w:spacing w:after="0" w:line="101"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Company allows its employees, non-employees and directors to exercise options granted under the 2014 Plan prior to vesting. The shares related to early exercised stock options are subject to the Company’s lapsing repurchase right upon termination of employment at the original purchase price. In order to vest, the holders are required to provide continued service to the Company. The proceeds are initially recorded in other noncurrent liabilities and are reclassified to common stock and additional paid-in capital as the repurchase right lapses. As of December 31, 2018 and September 30, 2019, there were 615,742 and 424,780 shares, respectively, and $0.3 million and $0.4 million, respectively, recorded in other noncurrent liabilities, related to early exercised shares that were subject to repurchase.</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 Income taxes</w:t>
      </w:r>
    </w:p>
    <w:p>
      <w:pPr>
        <w:spacing w:after="0" w:line="134" w:lineRule="exact"/>
        <w:rPr>
          <w:sz w:val="20"/>
          <w:szCs w:val="20"/>
          <w:color w:val="auto"/>
        </w:rPr>
      </w:pPr>
    </w:p>
    <w:p>
      <w:pPr>
        <w:jc w:val="both"/>
        <w:ind w:left="200" w:right="560"/>
        <w:spacing w:after="0" w:line="238" w:lineRule="auto"/>
        <w:rPr>
          <w:sz w:val="20"/>
          <w:szCs w:val="20"/>
          <w:color w:val="auto"/>
        </w:rPr>
      </w:pPr>
      <w:r>
        <w:rPr>
          <w:rFonts w:ascii="Arial" w:cs="Arial" w:eastAsia="Arial" w:hAnsi="Arial"/>
          <w:sz w:val="18"/>
          <w:szCs w:val="18"/>
          <w:color w:val="auto"/>
        </w:rPr>
        <w:t>No provision for income taxes was recorded for the nine months ended September 30, 2018 and 2019. The Company has incurred net pre-tax losses in the United States only for all periods presented. The Company has not reflected any benefit of such net operating loss carryforwards in the accompanying condensed consolidated financial statements.</w:t>
      </w:r>
    </w:p>
    <w:p>
      <w:pPr>
        <w:spacing w:after="0" w:line="100" w:lineRule="exact"/>
        <w:rPr>
          <w:sz w:val="20"/>
          <w:szCs w:val="20"/>
          <w:color w:val="auto"/>
        </w:rPr>
      </w:pPr>
    </w:p>
    <w:p>
      <w:pPr>
        <w:jc w:val="both"/>
        <w:ind w:left="200" w:right="340"/>
        <w:spacing w:after="0" w:line="238" w:lineRule="auto"/>
        <w:rPr>
          <w:sz w:val="20"/>
          <w:szCs w:val="20"/>
          <w:color w:val="auto"/>
        </w:rPr>
      </w:pPr>
      <w:r>
        <w:rPr>
          <w:rFonts w:ascii="Arial" w:cs="Arial" w:eastAsia="Arial" w:hAnsi="Arial"/>
          <w:sz w:val="18"/>
          <w:szCs w:val="18"/>
          <w:color w:val="auto"/>
        </w:rPr>
        <w:t>During the nine months ended September 30, 2019, there were no material changes to the Company’s unrecognized tax benefits, and the Company does not expect to have any significant changes to unrecognized tax benefits through the end of the fiscal year. Because of the Company’s history of tax losses, all years remain open to tax audit.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40"/>
          </w:cols>
          <w:pgMar w:left="240" w:top="459" w:right="41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13. Net loss per share attributable to common stockholders and unaudited pro forma net loss per share</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20" w:type="dxa"/>
            <w:vAlign w:val="bottom"/>
          </w:tcPr>
          <w:p>
            <w:pPr>
              <w:spacing w:after="0"/>
              <w:rPr>
                <w:sz w:val="19"/>
                <w:szCs w:val="19"/>
                <w:color w:val="auto"/>
              </w:rPr>
            </w:pPr>
          </w:p>
        </w:tc>
        <w:tc>
          <w:tcPr>
            <w:tcW w:w="66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64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8"/>
                <w:szCs w:val="18"/>
                <w:b w:val="1"/>
                <w:bCs w:val="1"/>
                <w:color w:val="auto"/>
              </w:rPr>
              <w:t>2018</w:t>
            </w:r>
          </w:p>
        </w:tc>
        <w:tc>
          <w:tcPr>
            <w:tcW w:w="6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r>
      <w:tr>
        <w:trPr>
          <w:trHeight w:val="177"/>
        </w:trPr>
        <w:tc>
          <w:tcPr>
            <w:tcW w:w="2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560" w:type="dxa"/>
            <w:vAlign w:val="bottom"/>
            <w:gridSpan w:val="4"/>
          </w:tcPr>
          <w:p>
            <w:pPr>
              <w:jc w:val="right"/>
              <w:ind w:right="440"/>
              <w:spacing w:after="0" w:line="177" w:lineRule="exact"/>
              <w:rPr>
                <w:sz w:val="20"/>
                <w:szCs w:val="20"/>
                <w:color w:val="auto"/>
              </w:rPr>
            </w:pPr>
            <w:r>
              <w:rPr>
                <w:rFonts w:ascii="Arial" w:cs="Arial" w:eastAsia="Arial" w:hAnsi="Arial"/>
                <w:sz w:val="18"/>
                <w:szCs w:val="18"/>
                <w:b w:val="1"/>
                <w:bCs w:val="1"/>
                <w:color w:val="auto"/>
              </w:rPr>
              <w:t>(in thousands, except share and per</w:t>
            </w:r>
          </w:p>
        </w:tc>
      </w:tr>
      <w:tr>
        <w:trPr>
          <w:trHeight w:val="233"/>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00" w:type="dxa"/>
            <w:vAlign w:val="bottom"/>
            <w:gridSpan w:val="2"/>
          </w:tcPr>
          <w:p>
            <w:pPr>
              <w:jc w:val="right"/>
              <w:ind w:right="132"/>
              <w:spacing w:after="0"/>
              <w:rPr>
                <w:sz w:val="20"/>
                <w:szCs w:val="20"/>
                <w:color w:val="auto"/>
              </w:rPr>
            </w:pPr>
            <w:r>
              <w:rPr>
                <w:rFonts w:ascii="Arial" w:cs="Arial" w:eastAsia="Arial" w:hAnsi="Arial"/>
                <w:sz w:val="18"/>
                <w:szCs w:val="18"/>
                <w:b w:val="1"/>
                <w:bCs w:val="1"/>
                <w:color w:val="auto"/>
              </w:rPr>
              <w:t>share data)</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56"/>
        </w:trPr>
        <w:tc>
          <w:tcPr>
            <w:tcW w:w="6680" w:type="dxa"/>
            <w:vAlign w:val="bottom"/>
            <w:gridSpan w:val="2"/>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80" w:type="dxa"/>
            <w:vAlign w:val="bottom"/>
            <w:gridSpan w:val="2"/>
          </w:tcPr>
          <w:p>
            <w:pPr>
              <w:spacing w:after="0" w:line="202" w:lineRule="exact"/>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(30,450)</w:t>
            </w:r>
          </w:p>
        </w:tc>
        <w:tc>
          <w:tcPr>
            <w:tcW w:w="6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(33,068)</w:t>
            </w: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Redeemable convertible preferred stock dividends-undeclared and cumulative</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(4,512)</w:t>
            </w:r>
          </w:p>
        </w:tc>
        <w:tc>
          <w:tcPr>
            <w:tcW w:w="6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(9,987)</w:t>
            </w:r>
          </w:p>
        </w:tc>
      </w:tr>
      <w:tr>
        <w:trPr>
          <w:trHeight w:val="20"/>
        </w:trPr>
        <w:tc>
          <w:tcPr>
            <w:tcW w:w="6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680" w:type="dxa"/>
            <w:vAlign w:val="bottom"/>
            <w:gridSpan w:val="2"/>
          </w:tcPr>
          <w:p>
            <w:pPr>
              <w:spacing w:after="0"/>
              <w:rPr>
                <w:sz w:val="20"/>
                <w:szCs w:val="20"/>
                <w:color w:val="auto"/>
              </w:rPr>
            </w:pPr>
            <w:r>
              <w:rPr>
                <w:rFonts w:ascii="Arial" w:cs="Arial" w:eastAsia="Arial" w:hAnsi="Arial"/>
                <w:sz w:val="18"/>
                <w:szCs w:val="18"/>
                <w:color w:val="auto"/>
              </w:rPr>
              <w:t>Net loss attributable to common stockholders</w:t>
            </w:r>
          </w:p>
        </w:tc>
        <w:tc>
          <w:tcPr>
            <w:tcW w:w="60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ind w:right="272"/>
              <w:spacing w:after="0"/>
              <w:rPr>
                <w:sz w:val="20"/>
                <w:szCs w:val="20"/>
                <w:color w:val="auto"/>
              </w:rPr>
            </w:pPr>
            <w:r>
              <w:rPr>
                <w:rFonts w:ascii="Arial" w:cs="Arial" w:eastAsia="Arial" w:hAnsi="Arial"/>
                <w:sz w:val="18"/>
                <w:szCs w:val="18"/>
                <w:color w:val="auto"/>
              </w:rPr>
              <w:t>(34,962)</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(43,055)</w:t>
            </w:r>
          </w:p>
        </w:tc>
      </w:tr>
      <w:tr>
        <w:trPr>
          <w:trHeight w:val="75"/>
        </w:trPr>
        <w:tc>
          <w:tcPr>
            <w:tcW w:w="20" w:type="dxa"/>
            <w:vAlign w:val="bottom"/>
          </w:tcPr>
          <w:p>
            <w:pPr>
              <w:spacing w:after="0"/>
              <w:rPr>
                <w:sz w:val="6"/>
                <w:szCs w:val="6"/>
                <w:color w:val="auto"/>
              </w:rPr>
            </w:pPr>
          </w:p>
        </w:tc>
        <w:tc>
          <w:tcPr>
            <w:tcW w:w="6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1640" w:type="dxa"/>
            <w:vAlign w:val="bottom"/>
            <w:tcBorders>
              <w:top w:val="single" w:sz="8" w:color="auto"/>
            </w:tcBorders>
          </w:tcPr>
          <w:p>
            <w:pPr>
              <w:spacing w:after="0"/>
              <w:rPr>
                <w:sz w:val="6"/>
                <w:szCs w:val="6"/>
                <w:color w:val="auto"/>
              </w:rPr>
            </w:pPr>
          </w:p>
        </w:tc>
        <w:tc>
          <w:tcPr>
            <w:tcW w:w="660" w:type="dxa"/>
            <w:vAlign w:val="bottom"/>
            <w:tcBorders>
              <w:top w:val="single" w:sz="8" w:color="auto"/>
            </w:tcBorders>
          </w:tcPr>
          <w:p>
            <w:pPr>
              <w:spacing w:after="0"/>
              <w:rPr>
                <w:sz w:val="6"/>
                <w:szCs w:val="6"/>
                <w:color w:val="auto"/>
              </w:rPr>
            </w:pPr>
          </w:p>
        </w:tc>
        <w:tc>
          <w:tcPr>
            <w:tcW w:w="1140" w:type="dxa"/>
            <w:vAlign w:val="bottom"/>
            <w:tcBorders>
              <w:top w:val="single" w:sz="8" w:color="auto"/>
            </w:tcBorders>
          </w:tcPr>
          <w:p>
            <w:pPr>
              <w:spacing w:after="0"/>
              <w:rPr>
                <w:sz w:val="6"/>
                <w:szCs w:val="6"/>
                <w:color w:val="auto"/>
              </w:rPr>
            </w:pPr>
          </w:p>
        </w:tc>
        <w:tc>
          <w:tcPr>
            <w:tcW w:w="120" w:type="dxa"/>
            <w:vAlign w:val="bottom"/>
          </w:tcPr>
          <w:p>
            <w:pPr>
              <w:spacing w:after="0"/>
              <w:rPr>
                <w:sz w:val="6"/>
                <w:szCs w:val="6"/>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80" w:type="dxa"/>
            <w:vAlign w:val="bottom"/>
            <w:gridSpan w:val="2"/>
          </w:tcPr>
          <w:p>
            <w:pPr>
              <w:spacing w:after="0" w:line="202" w:lineRule="exact"/>
              <w:rPr>
                <w:sz w:val="20"/>
                <w:szCs w:val="20"/>
                <w:color w:val="auto"/>
              </w:rPr>
            </w:pPr>
            <w:r>
              <w:rPr>
                <w:rFonts w:ascii="Arial" w:cs="Arial" w:eastAsia="Arial" w:hAnsi="Arial"/>
                <w:sz w:val="18"/>
                <w:szCs w:val="18"/>
                <w:color w:val="auto"/>
              </w:rPr>
              <w:t>Weighted-average shares outstanding</w:t>
            </w: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332"/>
              <w:spacing w:after="0" w:line="202" w:lineRule="exact"/>
              <w:rPr>
                <w:sz w:val="20"/>
                <w:szCs w:val="20"/>
                <w:color w:val="auto"/>
              </w:rPr>
            </w:pPr>
            <w:r>
              <w:rPr>
                <w:rFonts w:ascii="Arial" w:cs="Arial" w:eastAsia="Arial" w:hAnsi="Arial"/>
                <w:sz w:val="18"/>
                <w:szCs w:val="18"/>
                <w:color w:val="auto"/>
              </w:rPr>
              <w:t>3,102,852</w:t>
            </w:r>
          </w:p>
        </w:tc>
        <w:tc>
          <w:tcPr>
            <w:tcW w:w="6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3,209,801</w:t>
            </w:r>
          </w:p>
        </w:tc>
        <w:tc>
          <w:tcPr>
            <w:tcW w:w="12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6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Less: Weighted-average unvested restricted shares and shares subject to</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6660" w:type="dxa"/>
            <w:vAlign w:val="bottom"/>
            <w:shd w:val="clear" w:color="auto" w:fill="CCEEFF"/>
          </w:tcPr>
          <w:p>
            <w:pPr>
              <w:ind w:left="200"/>
              <w:spacing w:after="0" w:line="200" w:lineRule="exact"/>
              <w:rPr>
                <w:sz w:val="20"/>
                <w:szCs w:val="20"/>
                <w:color w:val="auto"/>
              </w:rPr>
            </w:pPr>
            <w:r>
              <w:rPr>
                <w:rFonts w:ascii="Arial" w:cs="Arial" w:eastAsia="Arial" w:hAnsi="Arial"/>
                <w:sz w:val="18"/>
                <w:szCs w:val="18"/>
                <w:color w:val="auto"/>
              </w:rPr>
              <w:t>repurchase</w:t>
            </w: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ind w:right="272"/>
              <w:spacing w:after="0" w:line="200" w:lineRule="exact"/>
              <w:rPr>
                <w:sz w:val="20"/>
                <w:szCs w:val="20"/>
                <w:color w:val="auto"/>
              </w:rPr>
            </w:pPr>
            <w:r>
              <w:rPr>
                <w:rFonts w:ascii="Arial" w:cs="Arial" w:eastAsia="Arial" w:hAnsi="Arial"/>
                <w:sz w:val="18"/>
                <w:szCs w:val="18"/>
                <w:color w:val="auto"/>
              </w:rPr>
              <w:t>(885,693)</w:t>
            </w:r>
          </w:p>
        </w:tc>
        <w:tc>
          <w:tcPr>
            <w:tcW w:w="6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60"/>
              <w:spacing w:after="0" w:line="200" w:lineRule="exact"/>
              <w:rPr>
                <w:sz w:val="20"/>
                <w:szCs w:val="20"/>
                <w:color w:val="auto"/>
              </w:rPr>
            </w:pPr>
            <w:r>
              <w:rPr>
                <w:rFonts w:ascii="Arial" w:cs="Arial" w:eastAsia="Arial" w:hAnsi="Arial"/>
                <w:sz w:val="18"/>
                <w:szCs w:val="18"/>
                <w:color w:val="auto"/>
              </w:rPr>
              <w:t>(486,260)</w:t>
            </w:r>
          </w:p>
        </w:tc>
      </w:tr>
      <w:tr>
        <w:trPr>
          <w:trHeight w:val="213"/>
        </w:trPr>
        <w:tc>
          <w:tcPr>
            <w:tcW w:w="6680" w:type="dxa"/>
            <w:vAlign w:val="bottom"/>
            <w:gridSpan w:val="2"/>
          </w:tcPr>
          <w:p>
            <w:pPr>
              <w:spacing w:after="0"/>
              <w:rPr>
                <w:sz w:val="20"/>
                <w:szCs w:val="20"/>
                <w:color w:val="auto"/>
              </w:rPr>
            </w:pPr>
            <w:r>
              <w:rPr>
                <w:rFonts w:ascii="Arial" w:cs="Arial" w:eastAsia="Arial" w:hAnsi="Arial"/>
                <w:sz w:val="18"/>
                <w:szCs w:val="18"/>
                <w:color w:val="auto"/>
              </w:rPr>
              <w:t>Weighted-average shares used to compute net loss per share attributable to</w:t>
            </w:r>
          </w:p>
        </w:tc>
        <w:tc>
          <w:tcPr>
            <w:tcW w:w="6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6660" w:type="dxa"/>
            <w:vAlign w:val="bottom"/>
          </w:tcPr>
          <w:p>
            <w:pPr>
              <w:ind w:left="200"/>
              <w:spacing w:after="0" w:line="200" w:lineRule="exact"/>
              <w:rPr>
                <w:sz w:val="20"/>
                <w:szCs w:val="20"/>
                <w:color w:val="auto"/>
              </w:rPr>
            </w:pPr>
            <w:r>
              <w:rPr>
                <w:rFonts w:ascii="Arial" w:cs="Arial" w:eastAsia="Arial" w:hAnsi="Arial"/>
                <w:sz w:val="18"/>
                <w:szCs w:val="18"/>
                <w:color w:val="auto"/>
              </w:rPr>
              <w:t>common stockholders-basic and diluted</w:t>
            </w:r>
          </w:p>
        </w:tc>
        <w:tc>
          <w:tcPr>
            <w:tcW w:w="6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332"/>
              <w:spacing w:after="0" w:line="200" w:lineRule="exact"/>
              <w:rPr>
                <w:sz w:val="20"/>
                <w:szCs w:val="20"/>
                <w:color w:val="auto"/>
              </w:rPr>
            </w:pPr>
            <w:r>
              <w:rPr>
                <w:rFonts w:ascii="Arial" w:cs="Arial" w:eastAsia="Arial" w:hAnsi="Arial"/>
                <w:sz w:val="18"/>
                <w:szCs w:val="18"/>
                <w:color w:val="auto"/>
              </w:rPr>
              <w:t>2,217,159</w:t>
            </w:r>
          </w:p>
        </w:tc>
        <w:tc>
          <w:tcPr>
            <w:tcW w:w="6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2,723,541</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 attributable to common stockholders-basic and diluted</w:t>
            </w:r>
          </w:p>
        </w:tc>
        <w:tc>
          <w:tcPr>
            <w:tcW w:w="80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(15.77)</w:t>
            </w:r>
          </w:p>
        </w:tc>
        <w:tc>
          <w:tcPr>
            <w:tcW w:w="6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(15.81)</w:t>
            </w:r>
          </w:p>
        </w:tc>
      </w:tr>
      <w:tr>
        <w:trPr>
          <w:trHeight w:val="20"/>
        </w:trPr>
        <w:tc>
          <w:tcPr>
            <w:tcW w:w="20" w:type="dxa"/>
            <w:vAlign w:val="bottom"/>
          </w:tcPr>
          <w:p>
            <w:pPr>
              <w:spacing w:after="0" w:line="20" w:lineRule="exact"/>
              <w:rPr>
                <w:sz w:val="1"/>
                <w:szCs w:val="1"/>
                <w:color w:val="auto"/>
              </w:rPr>
            </w:pPr>
          </w:p>
        </w:tc>
        <w:tc>
          <w:tcPr>
            <w:tcW w:w="6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460"/>
        <w:spacing w:after="0" w:line="239"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440" w:type="dxa"/>
            <w:vAlign w:val="bottom"/>
            <w:tcBorders>
              <w:bottom w:val="single" w:sz="8" w:color="auto"/>
            </w:tcBorders>
            <w:gridSpan w:val="2"/>
          </w:tcPr>
          <w:p>
            <w:pPr>
              <w:jc w:val="right"/>
              <w:ind w:right="532"/>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20" w:type="dxa"/>
            <w:vAlign w:val="bottom"/>
            <w:tcBorders>
              <w:bottom w:val="single" w:sz="8" w:color="auto"/>
            </w:tcBorders>
          </w:tcPr>
          <w:p>
            <w:pPr>
              <w:spacing w:after="0"/>
              <w:rPr>
                <w:sz w:val="19"/>
                <w:szCs w:val="19"/>
                <w:color w:val="auto"/>
              </w:rPr>
            </w:pPr>
          </w:p>
        </w:tc>
        <w:tc>
          <w:tcPr>
            <w:tcW w:w="5300" w:type="dxa"/>
            <w:vAlign w:val="bottom"/>
            <w:tcBorders>
              <w:bottom w:val="single" w:sz="8" w:color="auto"/>
            </w:tcBorders>
            <w:gridSpan w:val="2"/>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Redeemable convertible preferred stock</w:t>
            </w:r>
          </w:p>
        </w:tc>
        <w:tc>
          <w:tcPr>
            <w:tcW w:w="5300" w:type="dxa"/>
            <w:vAlign w:val="bottom"/>
            <w:gridSpan w:val="2"/>
            <w:shd w:val="clear" w:color="auto" w:fill="CCEEFF"/>
          </w:tcPr>
          <w:p>
            <w:pPr>
              <w:jc w:val="right"/>
              <w:ind w:right="132"/>
              <w:spacing w:after="0" w:line="196" w:lineRule="exact"/>
              <w:rPr>
                <w:sz w:val="20"/>
                <w:szCs w:val="20"/>
                <w:color w:val="auto"/>
              </w:rPr>
            </w:pPr>
            <w:r>
              <w:rPr>
                <w:rFonts w:ascii="Arial" w:cs="Arial" w:eastAsia="Arial" w:hAnsi="Arial"/>
                <w:sz w:val="18"/>
                <w:szCs w:val="18"/>
                <w:color w:val="auto"/>
              </w:rPr>
              <w:t>22,161,954</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39,600,423</w:t>
            </w:r>
          </w:p>
        </w:tc>
        <w:tc>
          <w:tcPr>
            <w:tcW w:w="100" w:type="dxa"/>
            <w:vAlign w:val="bottom"/>
            <w:shd w:val="clear" w:color="auto" w:fill="CCEEFF"/>
          </w:tcPr>
          <w:p>
            <w:pPr>
              <w:spacing w:after="0"/>
              <w:rPr>
                <w:sz w:val="17"/>
                <w:szCs w:val="17"/>
                <w:color w:val="auto"/>
              </w:rPr>
            </w:pPr>
          </w:p>
        </w:tc>
      </w:tr>
      <w:tr>
        <w:trPr>
          <w:trHeight w:val="203"/>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Options to purchase common stock</w:t>
            </w:r>
          </w:p>
        </w:tc>
        <w:tc>
          <w:tcPr>
            <w:tcW w:w="5300" w:type="dxa"/>
            <w:vAlign w:val="bottom"/>
            <w:gridSpan w:val="2"/>
          </w:tcPr>
          <w:p>
            <w:pPr>
              <w:jc w:val="right"/>
              <w:ind w:right="132"/>
              <w:spacing w:after="0" w:line="202" w:lineRule="exact"/>
              <w:rPr>
                <w:sz w:val="20"/>
                <w:szCs w:val="20"/>
                <w:color w:val="auto"/>
              </w:rPr>
            </w:pPr>
            <w:r>
              <w:rPr>
                <w:rFonts w:ascii="Arial" w:cs="Arial" w:eastAsia="Arial" w:hAnsi="Arial"/>
                <w:sz w:val="18"/>
                <w:szCs w:val="18"/>
                <w:color w:val="auto"/>
              </w:rPr>
              <w:t>1,796,518</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4,670,745</w:t>
            </w:r>
          </w:p>
        </w:tc>
        <w:tc>
          <w:tcPr>
            <w:tcW w:w="10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early exercised subject to future vesting</w:t>
            </w:r>
          </w:p>
        </w:tc>
        <w:tc>
          <w:tcPr>
            <w:tcW w:w="5300" w:type="dxa"/>
            <w:vAlign w:val="bottom"/>
            <w:gridSpan w:val="2"/>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826,355</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424,780</w:t>
            </w:r>
          </w:p>
        </w:tc>
        <w:tc>
          <w:tcPr>
            <w:tcW w:w="100" w:type="dxa"/>
            <w:vAlign w:val="bottom"/>
            <w:shd w:val="clear" w:color="auto" w:fill="CCEEFF"/>
          </w:tcPr>
          <w:p>
            <w:pPr>
              <w:spacing w:after="0"/>
              <w:rPr>
                <w:sz w:val="17"/>
                <w:szCs w:val="17"/>
                <w:color w:val="auto"/>
              </w:rPr>
            </w:pPr>
          </w:p>
        </w:tc>
      </w:tr>
      <w:tr>
        <w:trPr>
          <w:trHeight w:val="210"/>
        </w:trPr>
        <w:tc>
          <w:tcPr>
            <w:tcW w:w="4540" w:type="dxa"/>
            <w:vAlign w:val="bottom"/>
            <w:gridSpan w:val="2"/>
          </w:tcPr>
          <w:p>
            <w:pPr>
              <w:spacing w:after="0" w:line="202" w:lineRule="exact"/>
              <w:rPr>
                <w:sz w:val="20"/>
                <w:szCs w:val="20"/>
                <w:color w:val="auto"/>
              </w:rPr>
            </w:pPr>
            <w:r>
              <w:rPr>
                <w:rFonts w:ascii="Arial" w:cs="Arial" w:eastAsia="Arial" w:hAnsi="Arial"/>
                <w:sz w:val="18"/>
                <w:szCs w:val="18"/>
                <w:color w:val="auto"/>
              </w:rPr>
              <w:t>Restricted stock subject to future vesting</w:t>
            </w:r>
          </w:p>
        </w:tc>
        <w:tc>
          <w:tcPr>
            <w:tcW w:w="3960" w:type="dxa"/>
            <w:vAlign w:val="bottom"/>
          </w:tcPr>
          <w:p>
            <w:pPr>
              <w:spacing w:after="0"/>
              <w:rPr>
                <w:sz w:val="18"/>
                <w:szCs w:val="18"/>
                <w:color w:val="auto"/>
              </w:rPr>
            </w:pPr>
          </w:p>
        </w:tc>
        <w:tc>
          <w:tcPr>
            <w:tcW w:w="134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17,767</w:t>
            </w:r>
          </w:p>
        </w:tc>
        <w:tc>
          <w:tcPr>
            <w:tcW w:w="12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452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24,802,594</w:t>
            </w:r>
          </w:p>
        </w:tc>
        <w:tc>
          <w:tcPr>
            <w:tcW w:w="11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44,695,948</w:t>
            </w:r>
          </w:p>
        </w:tc>
        <w:tc>
          <w:tcPr>
            <w:tcW w:w="10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530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5300" w:type="dxa"/>
            <w:vAlign w:val="bottom"/>
            <w:gridSpan w:val="2"/>
          </w:tcPr>
          <w:p>
            <w:pPr>
              <w:jc w:val="right"/>
              <w:ind w:right="4052"/>
              <w:spacing w:after="0"/>
              <w:rPr>
                <w:sz w:val="20"/>
                <w:szCs w:val="20"/>
                <w:color w:val="auto"/>
              </w:rPr>
            </w:pPr>
            <w:r>
              <w:rPr>
                <w:rFonts w:ascii="Arial" w:cs="Arial" w:eastAsia="Arial" w:hAnsi="Arial"/>
                <w:sz w:val="18"/>
                <w:szCs w:val="18"/>
                <w:color w:val="auto"/>
              </w:rPr>
              <w:t>F-64</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 forma net loss per share</w:t>
      </w:r>
    </w:p>
    <w:p>
      <w:pPr>
        <w:spacing w:after="0" w:line="124"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The following table sets forth the computation of pro forma basic and diluted net loss per share for the 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rPr>
              <w:t>Nine months ended</w:t>
            </w:r>
          </w:p>
        </w:tc>
      </w:tr>
      <w:tr>
        <w:trPr>
          <w:trHeight w:val="221"/>
        </w:trPr>
        <w:tc>
          <w:tcPr>
            <w:tcW w:w="20" w:type="dxa"/>
            <w:vAlign w:val="bottom"/>
          </w:tcPr>
          <w:p>
            <w:pPr>
              <w:spacing w:after="0"/>
              <w:rPr>
                <w:sz w:val="19"/>
                <w:szCs w:val="19"/>
                <w:color w:val="auto"/>
              </w:rPr>
            </w:pPr>
          </w:p>
        </w:tc>
        <w:tc>
          <w:tcPr>
            <w:tcW w:w="86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tcPr>
          <w:p>
            <w:pPr>
              <w:ind w:left="580"/>
              <w:spacing w:after="0"/>
              <w:rPr>
                <w:sz w:val="20"/>
                <w:szCs w:val="20"/>
                <w:color w:val="auto"/>
              </w:rPr>
            </w:pPr>
            <w:r>
              <w:rPr>
                <w:rFonts w:ascii="Arial" w:cs="Arial" w:eastAsia="Arial" w:hAnsi="Arial"/>
                <w:sz w:val="18"/>
                <w:szCs w:val="18"/>
                <w:b w:val="1"/>
                <w:bCs w:val="1"/>
                <w:color w:val="auto"/>
              </w:rPr>
              <w:t>September 30, 2019</w:t>
            </w:r>
          </w:p>
        </w:tc>
      </w:tr>
      <w:tr>
        <w:trPr>
          <w:trHeight w:val="177"/>
        </w:trPr>
        <w:tc>
          <w:tcPr>
            <w:tcW w:w="20" w:type="dxa"/>
            <w:vAlign w:val="bottom"/>
          </w:tcPr>
          <w:p>
            <w:pPr>
              <w:spacing w:after="0"/>
              <w:rPr>
                <w:sz w:val="15"/>
                <w:szCs w:val="15"/>
                <w:color w:val="auto"/>
              </w:rPr>
            </w:pPr>
          </w:p>
        </w:tc>
        <w:tc>
          <w:tcPr>
            <w:tcW w:w="8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center"/>
              <w:ind w:right="220"/>
              <w:spacing w:after="0" w:line="177" w:lineRule="exact"/>
              <w:rPr>
                <w:sz w:val="20"/>
                <w:szCs w:val="20"/>
                <w:color w:val="auto"/>
              </w:rPr>
            </w:pPr>
            <w:r>
              <w:rPr>
                <w:rFonts w:ascii="Arial" w:cs="Arial" w:eastAsia="Arial" w:hAnsi="Arial"/>
                <w:sz w:val="18"/>
                <w:szCs w:val="18"/>
                <w:b w:val="1"/>
                <w:bCs w:val="1"/>
                <w:color w:val="auto"/>
                <w:w w:val="97"/>
              </w:rPr>
              <w:t>(in thousands,</w:t>
            </w:r>
          </w:p>
        </w:tc>
      </w:tr>
      <w:tr>
        <w:trPr>
          <w:trHeight w:val="203"/>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6"/>
              </w:rPr>
              <w:t>except share and</w:t>
            </w:r>
          </w:p>
        </w:tc>
      </w:tr>
      <w:tr>
        <w:trPr>
          <w:trHeight w:val="221"/>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per share data)</w:t>
            </w: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700" w:type="dxa"/>
            <w:vAlign w:val="bottom"/>
            <w:gridSpan w:val="2"/>
          </w:tcPr>
          <w:p>
            <w:pPr>
              <w:spacing w:after="0" w:line="202" w:lineRule="exact"/>
              <w:rPr>
                <w:sz w:val="20"/>
                <w:szCs w:val="20"/>
                <w:color w:val="auto"/>
              </w:rPr>
            </w:pPr>
            <w:r>
              <w:rPr>
                <w:rFonts w:ascii="Arial" w:cs="Arial" w:eastAsia="Arial" w:hAnsi="Arial"/>
                <w:sz w:val="18"/>
                <w:szCs w:val="18"/>
                <w:color w:val="auto"/>
              </w:rPr>
              <w:t>Net loss attributable to common stockholders</w:t>
            </w:r>
          </w:p>
        </w:tc>
        <w:tc>
          <w:tcPr>
            <w:tcW w:w="680" w:type="dxa"/>
            <w:vAlign w:val="bottom"/>
            <w:gridSpan w:val="2"/>
          </w:tcPr>
          <w:p>
            <w:pPr>
              <w:ind w:left="56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(43,055)</w:t>
            </w: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Redeemable convertible preferred stock dividends-undeclared and cumulative</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9,987</w:t>
            </w:r>
          </w:p>
        </w:tc>
        <w:tc>
          <w:tcPr>
            <w:tcW w:w="120" w:type="dxa"/>
            <w:vAlign w:val="bottom"/>
            <w:shd w:val="clear" w:color="auto" w:fill="CCEEFF"/>
          </w:tcPr>
          <w:p>
            <w:pPr>
              <w:spacing w:after="0"/>
              <w:rPr>
                <w:sz w:val="17"/>
                <w:szCs w:val="17"/>
                <w:color w:val="auto"/>
              </w:rPr>
            </w:pPr>
          </w:p>
        </w:tc>
      </w:tr>
      <w:tr>
        <w:trPr>
          <w:trHeight w:val="221"/>
        </w:trPr>
        <w:tc>
          <w:tcPr>
            <w:tcW w:w="8700" w:type="dxa"/>
            <w:vAlign w:val="bottom"/>
            <w:gridSpan w:val="2"/>
          </w:tcPr>
          <w:p>
            <w:pPr>
              <w:spacing w:after="0"/>
              <w:rPr>
                <w:sz w:val="20"/>
                <w:szCs w:val="20"/>
                <w:color w:val="auto"/>
              </w:rPr>
            </w:pPr>
            <w:r>
              <w:rPr>
                <w:rFonts w:ascii="Arial" w:cs="Arial" w:eastAsia="Arial" w:hAnsi="Arial"/>
                <w:sz w:val="18"/>
                <w:szCs w:val="18"/>
                <w:color w:val="auto"/>
              </w:rPr>
              <w:t>Pro forma net loss</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(33,068)</w:t>
            </w:r>
          </w:p>
        </w:tc>
      </w:tr>
      <w:tr>
        <w:trPr>
          <w:trHeight w:val="56"/>
        </w:trPr>
        <w:tc>
          <w:tcPr>
            <w:tcW w:w="8700" w:type="dxa"/>
            <w:vAlign w:val="bottom"/>
            <w:gridSpan w:val="2"/>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Denominator:</w:t>
            </w: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6"/>
        </w:trPr>
        <w:tc>
          <w:tcPr>
            <w:tcW w:w="8700" w:type="dxa"/>
            <w:vAlign w:val="bottom"/>
            <w:gridSpan w:val="2"/>
          </w:tcPr>
          <w:p>
            <w:pPr>
              <w:spacing w:after="0" w:line="206" w:lineRule="exact"/>
              <w:rPr>
                <w:sz w:val="20"/>
                <w:szCs w:val="20"/>
                <w:color w:val="auto"/>
              </w:rPr>
            </w:pPr>
            <w:r>
              <w:rPr>
                <w:rFonts w:ascii="Arial" w:cs="Arial" w:eastAsia="Arial" w:hAnsi="Arial"/>
                <w:sz w:val="18"/>
                <w:szCs w:val="18"/>
                <w:color w:val="auto"/>
              </w:rPr>
              <w:t>Weighted-average shares used to compute net loss per share attributable to common stockholders-basic</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680" w:type="dxa"/>
            <w:vAlign w:val="bottom"/>
          </w:tcPr>
          <w:p>
            <w:pPr>
              <w:ind w:left="200"/>
              <w:spacing w:after="0" w:line="200" w:lineRule="exact"/>
              <w:rPr>
                <w:sz w:val="20"/>
                <w:szCs w:val="20"/>
                <w:color w:val="auto"/>
              </w:rPr>
            </w:pPr>
            <w:r>
              <w:rPr>
                <w:rFonts w:ascii="Arial" w:cs="Arial" w:eastAsia="Arial" w:hAnsi="Arial"/>
                <w:sz w:val="18"/>
                <w:szCs w:val="18"/>
                <w:color w:val="auto"/>
              </w:rPr>
              <w:t>and diluted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jc w:val="right"/>
              <w:spacing w:after="0" w:line="200" w:lineRule="exact"/>
              <w:rPr>
                <w:sz w:val="20"/>
                <w:szCs w:val="20"/>
                <w:color w:val="auto"/>
              </w:rPr>
            </w:pPr>
            <w:r>
              <w:rPr>
                <w:rFonts w:ascii="Arial" w:cs="Arial" w:eastAsia="Arial" w:hAnsi="Arial"/>
                <w:sz w:val="18"/>
                <w:szCs w:val="18"/>
                <w:color w:val="auto"/>
              </w:rPr>
              <w:t>2,723,541</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adjustment to reflect conversion of redeemable convertible preferred stock</w:t>
            </w:r>
          </w:p>
        </w:tc>
        <w:tc>
          <w:tcPr>
            <w:tcW w:w="5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33,749,580</w:t>
            </w:r>
          </w:p>
        </w:tc>
        <w:tc>
          <w:tcPr>
            <w:tcW w:w="120" w:type="dxa"/>
            <w:vAlign w:val="bottom"/>
            <w:shd w:val="clear" w:color="auto" w:fill="CCEEFF"/>
          </w:tcPr>
          <w:p>
            <w:pPr>
              <w:spacing w:after="0"/>
              <w:rPr>
                <w:sz w:val="17"/>
                <w:szCs w:val="17"/>
                <w:color w:val="auto"/>
              </w:rPr>
            </w:pPr>
          </w:p>
        </w:tc>
      </w:tr>
      <w:tr>
        <w:trPr>
          <w:trHeight w:val="217"/>
        </w:trPr>
        <w:tc>
          <w:tcPr>
            <w:tcW w:w="8700" w:type="dxa"/>
            <w:vAlign w:val="bottom"/>
            <w:gridSpan w:val="2"/>
          </w:tcPr>
          <w:p>
            <w:pPr>
              <w:spacing w:after="0"/>
              <w:rPr>
                <w:sz w:val="20"/>
                <w:szCs w:val="20"/>
                <w:color w:val="auto"/>
              </w:rPr>
            </w:pPr>
            <w:r>
              <w:rPr>
                <w:rFonts w:ascii="Arial" w:cs="Arial" w:eastAsia="Arial" w:hAnsi="Arial"/>
                <w:sz w:val="18"/>
                <w:szCs w:val="18"/>
                <w:color w:val="auto"/>
              </w:rPr>
              <w:t>Weighted-average shares used to compute pro forma net loss per share-basic and diluted</w:t>
            </w:r>
          </w:p>
        </w:tc>
        <w:tc>
          <w:tcPr>
            <w:tcW w:w="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36,473,121</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8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w:t>
            </w:r>
          </w:p>
        </w:tc>
        <w:tc>
          <w:tcPr>
            <w:tcW w:w="680" w:type="dxa"/>
            <w:vAlign w:val="bottom"/>
            <w:gridSpan w:val="2"/>
            <w:shd w:val="clear" w:color="auto" w:fill="CCEEFF"/>
          </w:tcPr>
          <w:p>
            <w:pPr>
              <w:ind w:left="560"/>
              <w:spacing w:after="0" w:line="202" w:lineRule="exact"/>
              <w:rPr>
                <w:sz w:val="20"/>
                <w:szCs w:val="20"/>
                <w:color w:val="auto"/>
              </w:rPr>
            </w:pPr>
            <w:r>
              <w:rPr>
                <w:rFonts w:ascii="Arial" w:cs="Arial" w:eastAsia="Arial" w:hAnsi="Arial"/>
                <w:sz w:val="18"/>
                <w:szCs w:val="18"/>
                <w:color w:val="auto"/>
                <w:w w:val="99"/>
              </w:rPr>
              <w:t>$</w:t>
            </w:r>
          </w:p>
        </w:tc>
        <w:tc>
          <w:tcPr>
            <w:tcW w:w="16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(0.91)</w:t>
            </w:r>
          </w:p>
        </w:tc>
      </w:tr>
      <w:tr>
        <w:trPr>
          <w:trHeight w:val="20"/>
        </w:trPr>
        <w:tc>
          <w:tcPr>
            <w:tcW w:w="20" w:type="dxa"/>
            <w:vAlign w:val="bottom"/>
          </w:tcPr>
          <w:p>
            <w:pPr>
              <w:spacing w:after="0" w:line="20" w:lineRule="exact"/>
              <w:rPr>
                <w:sz w:val="1"/>
                <w:szCs w:val="1"/>
                <w:color w:val="auto"/>
              </w:rPr>
            </w:pPr>
          </w:p>
        </w:tc>
        <w:tc>
          <w:tcPr>
            <w:tcW w:w="8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14. Related party relationships</w:t>
      </w:r>
    </w:p>
    <w:p>
      <w:pPr>
        <w:spacing w:after="0" w:line="13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In October 2018, the Company acquired all outstanding shares of Warp Drive Bio, Inc., or Warp Drive. In connection with the acquisition, the Company issued 6,797,915 shares of Series B redeemable convertible preferred stock (the Acquisition Shares). Of the Acquisition Shares, 1,708,824 shares of Series B redeemable convertible preferred stock were issued to entities affiliated with Third Rock Ventures, a related party. In addition, Alexis Borisy, who is currently a member of the Company’s board of directors and was a member of the Company’s board of directors at the time of the acquisition of Warp Drive, was then an affiliate of Third Rock Ventures. Of the Acquisition Shares, 3,363,050 shares of Series B redeemable convertible preferred stock were issued to Sanofi, which became a related party following the acquisition. See Note 7, “Sanofi collaboration agreement,” for a discussion of the Sanofi collaboration agreement.</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In connection with the Company’s acquisition of Warp Drive, the Company assumed a Convertible Note issued by Warp Drive to an entity affiliated with Third Rock Ventures, dated October 8, 2018. The Convertible Note was issued in a principal amount of $2.0 million, with interest at an annual rate of 8% computed on the basis of a 360-day year. On October 30, 2018, at the Company’s election, the Company converted the Convertible Note into 200,493 shares of Series B redeemable convertible preferred stock which were issued to an entity affiliated with Third Rock Ventures pursuant to the terms of the Convertible Note.</w:t>
      </w:r>
    </w:p>
    <w:p>
      <w:pPr>
        <w:spacing w:after="0" w:line="103"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Following the Company’s acquisition of Warp Drive, in January 2019, the Company entered into a sublease agreement with Casma to sublease the Cambridge Lease. The sublease by Casma and related sublease payments by Casma to the Company are fully guaranteed by an affiliate of Third Rock Ventures.</w:t>
      </w:r>
    </w:p>
    <w:p>
      <w:pPr>
        <w:spacing w:after="0" w:line="100"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From July 2015 to June 2018, the Company subleased a portion of its Redwood City Lease to Pliant Therapeutics, Inc., an entity affiliated with Third Rock Ventures.</w:t>
      </w:r>
    </w:p>
    <w:p>
      <w:pPr>
        <w:spacing w:after="0" w:line="101"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In connection with the Company’s obligations and responsibilities under the Sanofi Agreement, in April 2019, the Company entered into a Clinical Supply Agreement with Genzyme Corporation, or Genzyme, an affiliate of</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40"/>
          </w:cols>
          <w:pgMar w:left="240" w:top="459" w:right="41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Sanofi, and a Quality Agreement with Sanofi-Aventis Recherche &amp; Developpement, an affiliate of Sanofi. The Quality Agreement was amended in December 2019. Sanofi was a related party at the time both agreements were entered into. The Clinical Supply Agreement governs how the Company will oversee the manufacture and supply of any SHP2 inhibitors requested by Genzyme for use in its clinical development activities under the Sanofi Agreement and provides that Genzyme will compensate the Company for the costs to manufacture any such product plus a 10% fee. The Quality Agreement requires that the production of RMC-4630 meets certain quality standards and puts certain conditions on the Company’s arrangements with subcontractors. The Quality Agreement does not contemplate that any consideration be paid separate from the Sanofi Agreement.</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15. Subsequent events</w:t>
      </w:r>
    </w:p>
    <w:p>
      <w:pPr>
        <w:spacing w:after="0" w:line="13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Subsequent events have been evaluated through January 10, 2020, which is the date that these condensed consolidated financial statements were available to be issued. The Company has also evaluated subsequent events through February 3, 2020 for the effects of the reverse stock split described in Note 2.</w:t>
      </w:r>
    </w:p>
    <w:p>
      <w:pPr>
        <w:spacing w:after="0" w:line="100"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In November 2019, the Company entered into a clinical trial collaboration agreement with Amgen, Inc. (Amgen) to evaluate the combination of the Company’s SHP2 inhibitor, RMC-4630, with Amgen’s KRAS</w:t>
      </w:r>
      <w:r>
        <w:rPr>
          <w:rFonts w:ascii="Arial" w:cs="Arial" w:eastAsia="Arial" w:hAnsi="Arial"/>
          <w:sz w:val="11"/>
          <w:szCs w:val="11"/>
          <w:color w:val="auto"/>
        </w:rPr>
        <w:t>G12C</w:t>
      </w:r>
      <w:r>
        <w:rPr>
          <w:rFonts w:ascii="Arial" w:cs="Arial" w:eastAsia="Arial" w:hAnsi="Arial"/>
          <w:sz w:val="18"/>
          <w:szCs w:val="18"/>
          <w:color w:val="auto"/>
        </w:rPr>
        <w:t xml:space="preserve"> inhibitor, AMG 510, in a clinical study. Amgen will be responsible for conducting the clinical study at their cost. The Company will be responsible for providing Amgen with clinical supply of RMC-4630 for the planned study.</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 December 2019, the Company granted options to purchase 277,012 shares of common stock with an exercise price of $7.50.</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20"/>
          </w:cols>
          <w:pgMar w:left="240" w:top="460" w:right="43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Report of Independent Auditors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of Warp Drive Bio, Inc.:</w:t>
      </w:r>
    </w:p>
    <w:p>
      <w:pPr>
        <w:spacing w:after="0" w:line="50"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We have audited the accompanying financial statements of Warp Drive Bio, Inc., which comprise the balance sheet as of December 31, 2017, and the related statements of operations and comprehensive loss, of convertible preferred stock and stockholders’ deficit and of cash flows for the year then ended.</w:t>
      </w:r>
    </w:p>
    <w:p>
      <w:pPr>
        <w:spacing w:after="0" w:line="6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Management’s Responsibility for the Financial Statements</w:t>
      </w:r>
    </w:p>
    <w:p>
      <w:pPr>
        <w:spacing w:after="0" w:line="80" w:lineRule="exact"/>
        <w:rPr>
          <w:sz w:val="20"/>
          <w:szCs w:val="20"/>
          <w:color w:val="auto"/>
        </w:rPr>
      </w:pPr>
    </w:p>
    <w:p>
      <w:pPr>
        <w:ind w:left="200" w:right="140"/>
        <w:spacing w:after="0" w:line="281" w:lineRule="auto"/>
        <w:rPr>
          <w:sz w:val="20"/>
          <w:szCs w:val="20"/>
          <w:color w:val="auto"/>
        </w:rPr>
      </w:pPr>
      <w:r>
        <w:rPr>
          <w:rFonts w:ascii="Arial" w:cs="Arial" w:eastAsia="Arial" w:hAnsi="Arial"/>
          <w:sz w:val="16"/>
          <w:szCs w:val="16"/>
          <w:color w:val="auto"/>
        </w:rPr>
        <w:t>Management is responsible for the preparation and fair presentation of the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Auditors’ Responsibility</w:t>
      </w:r>
    </w:p>
    <w:p>
      <w:pPr>
        <w:spacing w:after="0" w:line="80"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Our responsibility is to express an opinion on the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46"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our judgment, including the assessment of the risks of material misstatement of the financial statements, whether due to fraud or error. In making those risk assessments, we consider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that the audit evidence we have obtained is sufficient and appropriate to provide a basis for our audit opinion.</w:t>
      </w:r>
    </w:p>
    <w:p>
      <w:pPr>
        <w:spacing w:after="0" w:line="6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Opinion</w:t>
      </w:r>
    </w:p>
    <w:p>
      <w:pPr>
        <w:spacing w:after="0" w:line="80"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Warp Drive Bio, Inc. as of December 31, 2017, and the results of its operations and its cash flows for the year then ended in accordance with accounting principles generally accepted in the United States of America.</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Emphasis of Matter</w:t>
      </w:r>
    </w:p>
    <w:p>
      <w:pPr>
        <w:spacing w:after="0" w:line="80" w:lineRule="exact"/>
        <w:rPr>
          <w:sz w:val="20"/>
          <w:szCs w:val="20"/>
          <w:color w:val="auto"/>
        </w:rPr>
      </w:pPr>
    </w:p>
    <w:p>
      <w:pPr>
        <w:ind w:left="200" w:right="120"/>
        <w:spacing w:after="0" w:line="273"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the Company has suffered recurring losses, will require additional financing to fund future operations,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 Our opinion is not modified with respect to this matter.</w:t>
      </w:r>
    </w:p>
    <w:p>
      <w:pPr>
        <w:spacing w:after="0" w:line="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LLP</w:t>
      </w:r>
    </w:p>
    <w:p>
      <w:pPr>
        <w:ind w:left="200"/>
        <w:spacing w:after="0" w:line="234" w:lineRule="auto"/>
        <w:rPr>
          <w:sz w:val="20"/>
          <w:szCs w:val="20"/>
          <w:color w:val="auto"/>
        </w:rPr>
      </w:pPr>
      <w:r>
        <w:rPr>
          <w:rFonts w:ascii="Arial" w:cs="Arial" w:eastAsia="Arial" w:hAnsi="Arial"/>
          <w:sz w:val="18"/>
          <w:szCs w:val="18"/>
          <w:color w:val="auto"/>
        </w:rPr>
        <w:t>Boston, Massachusetts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October 16, 2018</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00"/>
          </w:cols>
          <w:pgMar w:left="24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Report of Independent Auditors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Board of Directors Warp Drive Bio, Inc.</w:t>
      </w:r>
    </w:p>
    <w:p>
      <w:pPr>
        <w:spacing w:after="0" w:line="104" w:lineRule="exact"/>
        <w:rPr>
          <w:sz w:val="20"/>
          <w:szCs w:val="20"/>
          <w:color w:val="auto"/>
        </w:rPr>
      </w:pPr>
    </w:p>
    <w:p>
      <w:pPr>
        <w:jc w:val="both"/>
        <w:ind w:left="200" w:right="360"/>
        <w:spacing w:after="0" w:line="238" w:lineRule="auto"/>
        <w:rPr>
          <w:sz w:val="20"/>
          <w:szCs w:val="20"/>
          <w:color w:val="auto"/>
        </w:rPr>
      </w:pPr>
      <w:r>
        <w:rPr>
          <w:rFonts w:ascii="Arial" w:cs="Arial" w:eastAsia="Arial" w:hAnsi="Arial"/>
          <w:sz w:val="18"/>
          <w:szCs w:val="18"/>
          <w:color w:val="auto"/>
        </w:rPr>
        <w:t>We have audited the accompanying financial statements of Warp Drive Bio, Inc. (the Company), which comprise the balance sheet as of December 31, 2016, and the related statements of operations and comprehensive loss, changes in stockholders’ (deficit) equity and cash flows for the year then ended, and the related notes to the financial statements.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Management’s Responsibility for the Financial Statements</w:t>
      </w:r>
    </w:p>
    <w:p>
      <w:pPr>
        <w:spacing w:after="0" w:line="134"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Management is responsible for the preparation and fair presentation of these financial statements in conformity with U.S. generally accepted accounting principles; this includes the design, implementation, and maintenance of internal control relevant to the preparation and fair presentation of financial statements that are free of material misstatement, whether due to fraud or error.</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Auditor’s Responsibility</w:t>
      </w:r>
    </w:p>
    <w:p>
      <w:pPr>
        <w:spacing w:after="0" w:line="134"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Our responsibility is to express an opinion on these financial statements based on our audit. We conducted our audit in accordance with auditing standards generally accepted in the United States. Those standards require that we plan and perform the audit to obtain reasonable assurance about whether the financial statements are free of material misstatement.</w:t>
      </w:r>
    </w:p>
    <w:p>
      <w:pPr>
        <w:spacing w:after="0" w:line="100"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An audit involves performing procedures to obtain audit evidence about the amounts and disclosures in the financial statements. The procedures selected depend on the auditor’s judgment, including the assessment of the risks of material misstatement of the financial statements, whether due to fraud or error. In making those risk assessments, the auditor considers internal control relevant to the entity’s preparation and fair presentation of the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that the audit evidence we have obtained is sufficient and appropriate to provide a basis for our audit opinion.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Opinion</w:t>
      </w:r>
    </w:p>
    <w:p>
      <w:pPr>
        <w:spacing w:after="0" w:line="134" w:lineRule="exact"/>
        <w:rPr>
          <w:sz w:val="20"/>
          <w:szCs w:val="20"/>
          <w:color w:val="auto"/>
        </w:rPr>
      </w:pPr>
    </w:p>
    <w:p>
      <w:pPr>
        <w:ind w:left="200" w:right="60"/>
        <w:spacing w:after="0" w:line="238"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Warp Drive Bio, Inc. at December 31, 2016, and the results of its operations and its cash flows for the year then ended in conformity with U.S. generally accepted accounting principles.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The Company’s Ability to Continue as a Going Concern</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accompanying financial statements for the year ended December 31, 2016 have been prepared assuming that the Company will continue as a going concern. As discussed in Note 1 to the financial statements, the Company’s recurring use of cash to fund operations, recurring losses and net capital deficiency raise substantial doubt about its ability to continue as a going concern. Management’s plans in regard these matters are also discussed in Note 1 to the financial statements. The accompanying financial statements do not include any adjustments that might result from the outcome of this uncertainty. Our opinion is not modified with respect to this matter.</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Ernst &amp; Young LLP</w:t>
      </w:r>
    </w:p>
    <w:p>
      <w:pPr>
        <w:ind w:left="200"/>
        <w:spacing w:after="0" w:line="234" w:lineRule="auto"/>
        <w:rPr>
          <w:sz w:val="20"/>
          <w:szCs w:val="20"/>
          <w:color w:val="auto"/>
        </w:rPr>
      </w:pPr>
      <w:r>
        <w:rPr>
          <w:rFonts w:ascii="Arial" w:cs="Arial" w:eastAsia="Arial" w:hAnsi="Arial"/>
          <w:sz w:val="18"/>
          <w:szCs w:val="18"/>
          <w:color w:val="auto"/>
        </w:rPr>
        <w:t>Boston, MA</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June 30, 2017, except for Notes 7, 8 and 13, as to which the date is September 19, 2019</w:t>
      </w:r>
    </w:p>
    <w:p>
      <w:pPr>
        <w:spacing w:after="0" w:line="1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20"/>
          </w:cols>
          <w:pgMar w:left="240" w:top="460" w:right="43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171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7" w:lineRule="exact"/>
        <w:rPr>
          <w:sz w:val="20"/>
          <w:szCs w:val="20"/>
          <w:color w:val="auto"/>
        </w:rPr>
      </w:pPr>
    </w:p>
    <w:p>
      <w:pPr>
        <w:ind w:left="918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8890</wp:posOffset>
            </wp:positionV>
            <wp:extent cx="174117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16" w:lineRule="exact"/>
        <w:rPr>
          <w:sz w:val="20"/>
          <w:szCs w:val="20"/>
          <w:color w:val="auto"/>
        </w:rPr>
      </w:pPr>
    </w:p>
    <w:p>
      <w:pPr>
        <w:jc w:val="both"/>
        <w:ind w:left="8760"/>
        <w:spacing w:after="0"/>
        <w:tabs>
          <w:tab w:leader="none" w:pos="103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69977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180"/>
          </w:cols>
          <w:pgMar w:left="240" w:top="460" w:right="479" w:bottom="1440" w:gutter="0" w:footer="0" w:header="0"/>
        </w:sectPr>
      </w:pP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1289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Cash and cash equivalents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Total current assets</w:t>
      </w:r>
    </w:p>
    <w:p>
      <w:pPr>
        <w:ind w:left="200"/>
        <w:spacing w:after="0" w:line="234" w:lineRule="auto"/>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Restricted cash</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assets</w:t>
      </w:r>
    </w:p>
    <w:p>
      <w:pPr>
        <w:spacing w:after="0" w:line="6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1289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Accounts payable</w:t>
      </w:r>
    </w:p>
    <w:p>
      <w:pPr>
        <w:ind w:left="420"/>
        <w:spacing w:after="0" w:line="235" w:lineRule="auto"/>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5" w:lineRule="auto"/>
        <w:rPr>
          <w:sz w:val="20"/>
          <w:szCs w:val="20"/>
          <w:color w:val="auto"/>
        </w:rPr>
      </w:pPr>
      <w:r>
        <w:rPr>
          <w:rFonts w:ascii="Arial" w:cs="Arial" w:eastAsia="Arial" w:hAnsi="Arial"/>
          <w:sz w:val="18"/>
          <w:szCs w:val="18"/>
          <w:color w:val="auto"/>
        </w:rPr>
        <w:t>Current portion of capital lease</w:t>
      </w:r>
    </w:p>
    <w:p>
      <w:pPr>
        <w:ind w:left="420"/>
        <w:spacing w:after="0" w:line="235" w:lineRule="auto"/>
        <w:rPr>
          <w:sz w:val="20"/>
          <w:szCs w:val="20"/>
          <w:color w:val="auto"/>
        </w:rPr>
      </w:pPr>
      <w:r>
        <w:rPr>
          <w:rFonts w:ascii="Arial" w:cs="Arial" w:eastAsia="Arial" w:hAnsi="Arial"/>
          <w:sz w:val="18"/>
          <w:szCs w:val="18"/>
          <w:color w:val="auto"/>
        </w:rPr>
        <w:t>Current portion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Current portion of deferred rent</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4" w:lineRule="auto"/>
        <w:rPr>
          <w:sz w:val="20"/>
          <w:szCs w:val="20"/>
          <w:color w:val="auto"/>
        </w:rPr>
      </w:pPr>
      <w:r>
        <w:rPr>
          <w:rFonts w:ascii="Arial" w:cs="Arial" w:eastAsia="Arial" w:hAnsi="Arial"/>
          <w:sz w:val="18"/>
          <w:szCs w:val="18"/>
          <w:color w:val="auto"/>
        </w:rPr>
        <w:t>Convertible Notes payable, related party</w:t>
      </w:r>
    </w:p>
    <w:p>
      <w:pPr>
        <w:ind w:left="200"/>
        <w:spacing w:after="0" w:line="235" w:lineRule="auto"/>
        <w:rPr>
          <w:sz w:val="20"/>
          <w:szCs w:val="20"/>
          <w:color w:val="auto"/>
        </w:rPr>
      </w:pPr>
      <w:r>
        <w:rPr>
          <w:rFonts w:ascii="Arial" w:cs="Arial" w:eastAsia="Arial" w:hAnsi="Arial"/>
          <w:sz w:val="18"/>
          <w:szCs w:val="18"/>
          <w:color w:val="auto"/>
        </w:rPr>
        <w:t>Capital lease,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Deferred revenue, less current portion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rent,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Total liabilities</w:t>
      </w:r>
    </w:p>
    <w:p>
      <w:pPr>
        <w:ind w:left="200"/>
        <w:spacing w:after="0" w:line="234" w:lineRule="auto"/>
        <w:rPr>
          <w:sz w:val="20"/>
          <w:szCs w:val="20"/>
          <w:color w:val="auto"/>
        </w:rPr>
      </w:pPr>
      <w:r>
        <w:rPr>
          <w:rFonts w:ascii="Arial" w:cs="Arial" w:eastAsia="Arial" w:hAnsi="Arial"/>
          <w:sz w:val="18"/>
          <w:szCs w:val="18"/>
          <w:color w:val="auto"/>
        </w:rPr>
        <w:t>Commitments and contingencies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Convertible preferred stock</w:t>
      </w:r>
    </w:p>
    <w:p>
      <w:pPr>
        <w:spacing w:after="0" w:line="1" w:lineRule="exact"/>
        <w:rPr>
          <w:sz w:val="20"/>
          <w:szCs w:val="20"/>
          <w:color w:val="auto"/>
        </w:rPr>
      </w:pPr>
    </w:p>
    <w:p>
      <w:pPr>
        <w:ind w:left="640" w:right="120" w:hanging="215"/>
        <w:spacing w:after="0" w:line="264" w:lineRule="auto"/>
        <w:rPr>
          <w:sz w:val="20"/>
          <w:szCs w:val="20"/>
          <w:color w:val="auto"/>
        </w:rPr>
      </w:pPr>
      <w:r>
        <w:rPr>
          <w:rFonts w:ascii="Arial" w:cs="Arial" w:eastAsia="Arial" w:hAnsi="Arial"/>
          <w:sz w:val="16"/>
          <w:szCs w:val="16"/>
          <w:color w:val="auto"/>
        </w:rPr>
        <w:t>Series A convertible preferred stock, $0.001 par value; 75,000,000 shares authorized, issued and outstanding at December 31, 2017 and 2016; aggregate liquidation preference of $99,983,111 and $93,983,111 at December 31, 2017 and 2016, respectively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Stockholders’ deficit</w:t>
      </w:r>
    </w:p>
    <w:p>
      <w:pPr>
        <w:ind w:left="640" w:hanging="215"/>
        <w:spacing w:after="0" w:line="234" w:lineRule="auto"/>
        <w:rPr>
          <w:sz w:val="20"/>
          <w:szCs w:val="20"/>
          <w:color w:val="auto"/>
        </w:rPr>
      </w:pPr>
      <w:r>
        <w:rPr>
          <w:rFonts w:ascii="Arial" w:cs="Arial" w:eastAsia="Arial" w:hAnsi="Arial"/>
          <w:sz w:val="18"/>
          <w:szCs w:val="18"/>
          <w:color w:val="auto"/>
        </w:rPr>
        <w:t>Common stock, $0.001 par value; 121,500,000 shares authorized, 19,083,561 and 21,254,788 shares issued and outstanding at December 31, 2017 and 2016,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6" w:lineRule="auto"/>
        <w:rPr>
          <w:sz w:val="20"/>
          <w:szCs w:val="20"/>
          <w:color w:val="auto"/>
        </w:rPr>
      </w:pPr>
      <w:r>
        <w:rPr>
          <w:rFonts w:ascii="Arial" w:cs="Arial" w:eastAsia="Arial" w:hAnsi="Arial"/>
          <w:sz w:val="18"/>
          <w:szCs w:val="18"/>
          <w:color w:val="auto"/>
        </w:rPr>
        <w:t>Additional paid-in capital</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stockholders’ deficit</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wp:posOffset>
            </wp:positionV>
            <wp:extent cx="69291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18,616,527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2,173,765</w:t>
            </w:r>
          </w:p>
        </w:tc>
      </w:tr>
      <w:tr>
        <w:trPr>
          <w:trHeight w:val="199"/>
        </w:trPr>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2"/>
              <w:spacing w:after="0" w:line="200" w:lineRule="exact"/>
              <w:rPr>
                <w:sz w:val="20"/>
                <w:szCs w:val="20"/>
                <w:color w:val="auto"/>
              </w:rPr>
            </w:pPr>
            <w:r>
              <w:rPr>
                <w:rFonts w:ascii="Arial" w:cs="Arial" w:eastAsia="Arial" w:hAnsi="Arial"/>
                <w:sz w:val="18"/>
                <w:szCs w:val="18"/>
                <w:color w:val="auto"/>
              </w:rPr>
              <w:t>527,558</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543,802</w:t>
            </w:r>
          </w:p>
        </w:tc>
      </w:tr>
      <w:tr>
        <w:trPr>
          <w:trHeight w:val="213"/>
        </w:trPr>
        <w:tc>
          <w:tcPr>
            <w:tcW w:w="18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19,144,085</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2,717,567</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4,008,581</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5,438,180</w:t>
            </w:r>
          </w:p>
        </w:tc>
      </w:tr>
      <w:tr>
        <w:trPr>
          <w:trHeight w:val="199"/>
        </w:trPr>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2"/>
              <w:spacing w:after="0" w:line="200" w:lineRule="exact"/>
              <w:rPr>
                <w:sz w:val="20"/>
                <w:szCs w:val="20"/>
                <w:color w:val="auto"/>
              </w:rPr>
            </w:pPr>
            <w:r>
              <w:rPr>
                <w:rFonts w:ascii="Arial" w:cs="Arial" w:eastAsia="Arial" w:hAnsi="Arial"/>
                <w:sz w:val="18"/>
                <w:szCs w:val="18"/>
                <w:color w:val="auto"/>
              </w:rPr>
              <w:t>213,581</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320,261</w:t>
            </w:r>
          </w:p>
        </w:tc>
      </w:tr>
      <w:tr>
        <w:trPr>
          <w:trHeight w:val="21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23,366,247</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8,476,008</w:t>
            </w:r>
          </w:p>
        </w:tc>
      </w:tr>
      <w:tr>
        <w:trPr>
          <w:trHeight w:val="753"/>
        </w:trPr>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1,816,045</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1,296,483</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2,159,209</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1,854,562</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114,866</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5,482,353</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663,201</w:t>
            </w:r>
          </w:p>
        </w:tc>
      </w:tr>
      <w:tr>
        <w:trPr>
          <w:trHeight w:val="199"/>
        </w:trPr>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2"/>
              <w:spacing w:after="0" w:line="200" w:lineRule="exact"/>
              <w:rPr>
                <w:sz w:val="20"/>
                <w:szCs w:val="20"/>
                <w:color w:val="auto"/>
              </w:rPr>
            </w:pPr>
            <w:r>
              <w:rPr>
                <w:rFonts w:ascii="Arial" w:cs="Arial" w:eastAsia="Arial" w:hAnsi="Arial"/>
                <w:sz w:val="18"/>
                <w:szCs w:val="18"/>
                <w:color w:val="auto"/>
              </w:rPr>
              <w:t>107,783</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815,991</w:t>
            </w:r>
          </w:p>
        </w:tc>
      </w:tr>
      <w:tr>
        <w:trPr>
          <w:trHeight w:val="213"/>
        </w:trPr>
        <w:tc>
          <w:tcPr>
            <w:tcW w:w="180" w:type="dxa"/>
            <w:vAlign w:val="bottom"/>
          </w:tcPr>
          <w:p>
            <w:pPr>
              <w:spacing w:after="0"/>
              <w:rPr>
                <w:sz w:val="18"/>
                <w:szCs w:val="18"/>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9,680,256</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4,630,237</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33,989,320</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9"/>
              </w:rPr>
              <w:t>22,055,057</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301,364</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180" w:type="dxa"/>
            <w:vAlign w:val="bottom"/>
          </w:tcPr>
          <w:p>
            <w:pPr>
              <w:spacing w:after="0"/>
              <w:rPr>
                <w:sz w:val="17"/>
                <w:szCs w:val="17"/>
                <w:color w:val="auto"/>
              </w:rPr>
            </w:pPr>
          </w:p>
        </w:tc>
        <w:tc>
          <w:tcPr>
            <w:tcW w:w="1240" w:type="dxa"/>
            <w:vAlign w:val="bottom"/>
          </w:tcPr>
          <w:p>
            <w:pPr>
              <w:jc w:val="right"/>
              <w:ind w:right="192"/>
              <w:spacing w:after="0" w:line="202" w:lineRule="exact"/>
              <w:rPr>
                <w:sz w:val="20"/>
                <w:szCs w:val="20"/>
                <w:color w:val="auto"/>
              </w:rPr>
            </w:pPr>
            <w:r>
              <w:rPr>
                <w:rFonts w:ascii="Arial" w:cs="Arial" w:eastAsia="Arial" w:hAnsi="Arial"/>
                <w:sz w:val="18"/>
                <w:szCs w:val="18"/>
                <w:color w:val="auto"/>
              </w:rPr>
              <w:t>17,250,000</w:t>
            </w:r>
          </w:p>
        </w:tc>
        <w:tc>
          <w:tcPr>
            <w:tcW w:w="40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2,228,174</w:t>
            </w:r>
          </w:p>
        </w:tc>
      </w:tr>
      <w:tr>
        <w:trPr>
          <w:trHeight w:val="199"/>
        </w:trPr>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2"/>
              <w:spacing w:after="0" w:line="200" w:lineRule="exact"/>
              <w:rPr>
                <w:sz w:val="20"/>
                <w:szCs w:val="20"/>
                <w:color w:val="auto"/>
              </w:rPr>
            </w:pPr>
            <w:r>
              <w:rPr>
                <w:rFonts w:ascii="Arial" w:cs="Arial" w:eastAsia="Arial" w:hAnsi="Arial"/>
                <w:sz w:val="18"/>
                <w:szCs w:val="18"/>
                <w:color w:val="auto"/>
              </w:rPr>
              <w:t>255,067</w:t>
            </w: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143,494</w:t>
            </w:r>
          </w:p>
        </w:tc>
      </w:tr>
      <w:tr>
        <w:trPr>
          <w:trHeight w:val="221"/>
        </w:trPr>
        <w:tc>
          <w:tcPr>
            <w:tcW w:w="180" w:type="dxa"/>
            <w:vAlign w:val="bottom"/>
          </w:tcPr>
          <w:p>
            <w:pPr>
              <w:spacing w:after="0"/>
              <w:rPr>
                <w:sz w:val="19"/>
                <w:szCs w:val="19"/>
                <w:color w:val="auto"/>
              </w:rPr>
            </w:pP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61,476,007</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29,056,962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60"/>
        <w:spacing w:after="0"/>
        <w:tabs>
          <w:tab w:leader="none" w:pos="1840" w:val="left"/>
        </w:tabs>
        <w:rPr>
          <w:sz w:val="20"/>
          <w:szCs w:val="20"/>
          <w:color w:val="auto"/>
        </w:rPr>
      </w:pPr>
      <w:r>
        <w:rPr>
          <w:rFonts w:ascii="Arial" w:cs="Arial" w:eastAsia="Arial" w:hAnsi="Arial"/>
          <w:sz w:val="18"/>
          <w:szCs w:val="18"/>
          <w:color w:val="auto"/>
        </w:rPr>
        <w:t>74,259,411</w:t>
      </w:r>
      <w:r>
        <w:rPr>
          <w:sz w:val="20"/>
          <w:szCs w:val="20"/>
          <w:color w:val="auto"/>
        </w:rPr>
        <w:tab/>
      </w:r>
      <w:r>
        <w:rPr>
          <w:rFonts w:ascii="Arial" w:cs="Arial" w:eastAsia="Arial" w:hAnsi="Arial"/>
          <w:sz w:val="18"/>
          <w:szCs w:val="18"/>
          <w:color w:val="auto"/>
        </w:rPr>
        <w:t>74,259,411</w:t>
      </w:r>
    </w:p>
    <w:p>
      <w:pPr>
        <w:spacing w:after="0" w:line="396" w:lineRule="exact"/>
        <w:rPr>
          <w:sz w:val="20"/>
          <w:szCs w:val="20"/>
          <w:color w:val="auto"/>
        </w:rPr>
      </w:pPr>
    </w:p>
    <w:p>
      <w:pPr>
        <w:ind w:left="600"/>
        <w:spacing w:after="0"/>
        <w:tabs>
          <w:tab w:leader="none" w:pos="2180" w:val="left"/>
        </w:tabs>
        <w:rPr>
          <w:sz w:val="20"/>
          <w:szCs w:val="20"/>
          <w:color w:val="auto"/>
        </w:rPr>
      </w:pPr>
      <w:r>
        <w:rPr>
          <w:rFonts w:ascii="Arial" w:cs="Arial" w:eastAsia="Arial" w:hAnsi="Arial"/>
          <w:sz w:val="18"/>
          <w:szCs w:val="18"/>
          <w:color w:val="auto"/>
        </w:rPr>
        <w:t>19,084</w:t>
      </w:r>
      <w:r>
        <w:rPr>
          <w:sz w:val="20"/>
          <w:szCs w:val="20"/>
          <w:color w:val="auto"/>
        </w:rPr>
        <w:tab/>
      </w:r>
      <w:r>
        <w:rPr>
          <w:rFonts w:ascii="Arial" w:cs="Arial" w:eastAsia="Arial" w:hAnsi="Arial"/>
          <w:sz w:val="18"/>
          <w:szCs w:val="18"/>
          <w:color w:val="auto"/>
        </w:rPr>
        <w:t>21,255</w:t>
      </w:r>
    </w:p>
    <w:p>
      <w:pPr>
        <w:ind w:left="360"/>
        <w:spacing w:after="0" w:line="234" w:lineRule="auto"/>
        <w:tabs>
          <w:tab w:leader="none" w:pos="1940" w:val="left"/>
        </w:tabs>
        <w:rPr>
          <w:sz w:val="20"/>
          <w:szCs w:val="20"/>
          <w:color w:val="auto"/>
        </w:rPr>
      </w:pPr>
      <w:r>
        <w:rPr>
          <w:rFonts w:ascii="Arial" w:cs="Arial" w:eastAsia="Arial" w:hAnsi="Arial"/>
          <w:sz w:val="18"/>
          <w:szCs w:val="18"/>
          <w:color w:val="auto"/>
        </w:rPr>
        <w:t>5,088,905</w:t>
      </w:r>
      <w:r>
        <w:rPr>
          <w:sz w:val="20"/>
          <w:szCs w:val="20"/>
          <w:color w:val="auto"/>
        </w:rPr>
        <w:tab/>
      </w:r>
      <w:r>
        <w:rPr>
          <w:rFonts w:ascii="Arial" w:cs="Arial" w:eastAsia="Arial" w:hAnsi="Arial"/>
          <w:sz w:val="18"/>
          <w:szCs w:val="18"/>
          <w:color w:val="auto"/>
        </w:rPr>
        <w:t>4,447,929</w:t>
      </w:r>
    </w:p>
    <w:p>
      <w:pPr>
        <w:spacing w:after="0" w:line="1"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16"/>
          <w:szCs w:val="16"/>
          <w:color w:val="auto"/>
        </w:rPr>
        <w:t>(117,477,160)</w:t>
      </w:r>
      <w:r>
        <w:rPr>
          <w:sz w:val="20"/>
          <w:szCs w:val="20"/>
          <w:color w:val="auto"/>
        </w:rPr>
        <w:tab/>
      </w:r>
      <w:r>
        <w:rPr>
          <w:rFonts w:ascii="Arial" w:cs="Arial" w:eastAsia="Arial" w:hAnsi="Arial"/>
          <w:sz w:val="16"/>
          <w:szCs w:val="16"/>
          <w:color w:val="auto"/>
        </w:rPr>
        <w:t>(99,309,549)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174117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6" w:lineRule="exact"/>
        <w:rPr>
          <w:sz w:val="20"/>
          <w:szCs w:val="20"/>
          <w:color w:val="auto"/>
        </w:rPr>
      </w:pPr>
    </w:p>
    <w:p>
      <w:pPr>
        <w:ind w:left="100"/>
        <w:spacing w:after="0"/>
        <w:tabs>
          <w:tab w:leader="none" w:pos="1780" w:val="left"/>
        </w:tabs>
        <w:rPr>
          <w:sz w:val="20"/>
          <w:szCs w:val="20"/>
          <w:color w:val="auto"/>
        </w:rPr>
      </w:pPr>
      <w:r>
        <w:rPr>
          <w:rFonts w:ascii="Arial" w:cs="Arial" w:eastAsia="Arial" w:hAnsi="Arial"/>
          <w:sz w:val="16"/>
          <w:szCs w:val="16"/>
          <w:color w:val="auto"/>
        </w:rPr>
        <w:t>(112,369,171)</w:t>
      </w:r>
      <w:r>
        <w:rPr>
          <w:sz w:val="20"/>
          <w:szCs w:val="20"/>
          <w:color w:val="auto"/>
        </w:rPr>
        <w:tab/>
      </w:r>
      <w:r>
        <w:rPr>
          <w:rFonts w:ascii="Arial" w:cs="Arial" w:eastAsia="Arial" w:hAnsi="Arial"/>
          <w:sz w:val="16"/>
          <w:szCs w:val="16"/>
          <w:color w:val="auto"/>
        </w:rPr>
        <w:t>(94,840,365)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174117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6" w:lineRule="exact"/>
        <w:rPr>
          <w:sz w:val="20"/>
          <w:szCs w:val="20"/>
          <w:color w:val="auto"/>
        </w:rPr>
      </w:pPr>
    </w:p>
    <w:p>
      <w:pPr>
        <w:spacing w:after="0"/>
        <w:tabs>
          <w:tab w:leader="none" w:pos="240" w:val="left"/>
          <w:tab w:leader="none" w:pos="1660" w:val="left"/>
          <w:tab w:leader="none" w:pos="1940" w:val="left"/>
        </w:tabs>
        <w:rPr>
          <w:sz w:val="20"/>
          <w:szCs w:val="20"/>
          <w:color w:val="auto"/>
        </w:rPr>
      </w:pPr>
      <w:r>
        <w:rPr>
          <w:rFonts w:ascii="Arial" w:cs="Arial" w:eastAsia="Arial" w:hAnsi="Arial"/>
          <w:sz w:val="18"/>
          <w:szCs w:val="18"/>
          <w:color w:val="auto"/>
        </w:rPr>
        <w:t>$</w:t>
        <w:tab/>
        <w:t>23,366,247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8,476,008</w:t>
      </w:r>
    </w:p>
    <w:p>
      <w:pPr>
        <w:spacing w:after="0" w:line="200" w:lineRule="exact"/>
        <w:rPr>
          <w:sz w:val="20"/>
          <w:szCs w:val="20"/>
          <w:color w:val="auto"/>
        </w:rPr>
      </w:pPr>
    </w:p>
    <w:p>
      <w:pPr>
        <w:sectPr>
          <w:pgSz w:w="11900" w:h="16838" w:orient="portrait"/>
          <w:cols w:equalWidth="0" w:num="2">
            <w:col w:w="7760" w:space="620"/>
            <w:col w:w="2800"/>
          </w:cols>
          <w:pgMar w:left="240" w:top="460" w:right="479" w:bottom="1440" w:gutter="0" w:footer="0" w:header="0"/>
          <w:type w:val="continuous"/>
        </w:sectPr>
      </w:pPr>
    </w:p>
    <w:p>
      <w:pPr>
        <w:spacing w:after="0" w:line="29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154"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F-69</w:t>
      </w:r>
    </w:p>
    <w:p>
      <w:pPr>
        <w:sectPr>
          <w:pgSz w:w="11900" w:h="16838" w:orient="portrait"/>
          <w:cols w:equalWidth="0" w:num="1">
            <w:col w:w="11180"/>
          </w:cols>
          <w:pgMar w:left="240" w:top="460" w:right="479" w:bottom="1440" w:gutter="0" w:footer="0" w:header="0"/>
          <w:type w:val="continuous"/>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171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20" w:type="dxa"/>
            <w:vAlign w:val="bottom"/>
          </w:tcPr>
          <w:p>
            <w:pPr>
              <w:spacing w:after="0"/>
              <w:rPr>
                <w:sz w:val="19"/>
                <w:szCs w:val="19"/>
                <w:color w:val="auto"/>
              </w:rPr>
            </w:pPr>
          </w:p>
        </w:tc>
        <w:tc>
          <w:tcPr>
            <w:tcW w:w="556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Collaboration revenue, related party</w:t>
            </w:r>
          </w:p>
        </w:tc>
        <w:tc>
          <w:tcPr>
            <w:tcW w:w="2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13,009,022</w:t>
            </w:r>
          </w:p>
        </w:tc>
        <w:tc>
          <w:tcPr>
            <w:tcW w:w="180" w:type="dxa"/>
            <w:vAlign w:val="bottom"/>
          </w:tcPr>
          <w:p>
            <w:pPr>
              <w:spacing w:after="0"/>
              <w:rPr>
                <w:sz w:val="17"/>
                <w:szCs w:val="17"/>
                <w:color w:val="auto"/>
              </w:rPr>
            </w:pPr>
          </w:p>
        </w:tc>
        <w:tc>
          <w:tcPr>
            <w:tcW w:w="3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1,858,625</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Collaboration revenue</w:t>
            </w: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1,150,000</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Grant revenue</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1,671,881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revenue</w:t>
            </w:r>
          </w:p>
        </w:tc>
        <w:tc>
          <w:tcPr>
            <w:tcW w:w="25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15,830,903</w:t>
            </w: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1,858,625</w:t>
            </w:r>
          </w:p>
        </w:tc>
        <w:tc>
          <w:tcPr>
            <w:tcW w:w="140" w:type="dxa"/>
            <w:vAlign w:val="bottom"/>
            <w:shd w:val="clear" w:color="auto" w:fill="CCEEFF"/>
          </w:tcPr>
          <w:p>
            <w:pPr>
              <w:spacing w:after="0"/>
              <w:rPr>
                <w:sz w:val="17"/>
                <w:szCs w:val="17"/>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23,584,888</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20,192,431</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5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7,524,205</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8,034,661</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operating expenses</w:t>
            </w:r>
          </w:p>
        </w:tc>
        <w:tc>
          <w:tcPr>
            <w:tcW w:w="25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31,109,093</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28,227,092</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560" w:type="dxa"/>
            <w:vAlign w:val="bottom"/>
          </w:tcPr>
          <w:p>
            <w:pPr>
              <w:ind w:left="420"/>
              <w:spacing w:after="0"/>
              <w:rPr>
                <w:sz w:val="20"/>
                <w:szCs w:val="20"/>
                <w:color w:val="auto"/>
              </w:rPr>
            </w:pPr>
            <w:r>
              <w:rPr>
                <w:rFonts w:ascii="Arial" w:cs="Arial" w:eastAsia="Arial" w:hAnsi="Arial"/>
                <w:sz w:val="18"/>
                <w:szCs w:val="18"/>
                <w:color w:val="auto"/>
              </w:rPr>
              <w:t>Loss from operations</w:t>
            </w:r>
          </w:p>
        </w:tc>
        <w:tc>
          <w:tcPr>
            <w:tcW w:w="2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(15,278,190)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(26,368,467)</w:t>
            </w: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and other income</w:t>
            </w:r>
          </w:p>
        </w:tc>
        <w:tc>
          <w:tcPr>
            <w:tcW w:w="2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45,111</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18,747</w:t>
            </w:r>
          </w:p>
        </w:tc>
        <w:tc>
          <w:tcPr>
            <w:tcW w:w="140" w:type="dxa"/>
            <w:vAlign w:val="bottom"/>
            <w:shd w:val="clear" w:color="auto" w:fill="CCEEFF"/>
          </w:tcPr>
          <w:p>
            <w:pPr>
              <w:spacing w:after="0"/>
              <w:rPr>
                <w:sz w:val="17"/>
                <w:szCs w:val="17"/>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w:t>
            </w:r>
          </w:p>
        </w:tc>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(2,934,532)</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(1,062,213)</w:t>
            </w:r>
          </w:p>
        </w:tc>
      </w:tr>
      <w:tr>
        <w:trPr>
          <w:trHeight w:val="27"/>
        </w:trPr>
        <w:tc>
          <w:tcPr>
            <w:tcW w:w="20" w:type="dxa"/>
            <w:vAlign w:val="bottom"/>
          </w:tcPr>
          <w:p>
            <w:pPr>
              <w:spacing w:after="0"/>
              <w:rPr>
                <w:sz w:val="2"/>
                <w:szCs w:val="2"/>
                <w:color w:val="auto"/>
              </w:rPr>
            </w:pPr>
          </w:p>
        </w:tc>
        <w:tc>
          <w:tcPr>
            <w:tcW w:w="55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55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loss and comprehensive loss</w:t>
            </w:r>
          </w:p>
        </w:tc>
        <w:tc>
          <w:tcPr>
            <w:tcW w:w="2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(18,167,611)</w:t>
            </w:r>
          </w:p>
        </w:tc>
        <w:tc>
          <w:tcPr>
            <w:tcW w:w="3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(27,411,933)</w:t>
            </w:r>
          </w:p>
        </w:tc>
      </w:tr>
      <w:tr>
        <w:trPr>
          <w:trHeight w:val="20"/>
        </w:trPr>
        <w:tc>
          <w:tcPr>
            <w:tcW w:w="20" w:type="dxa"/>
            <w:vAlign w:val="bottom"/>
          </w:tcPr>
          <w:p>
            <w:pPr>
              <w:spacing w:after="0" w:line="20" w:lineRule="exact"/>
              <w:rPr>
                <w:sz w:val="1"/>
                <w:szCs w:val="1"/>
                <w:color w:val="auto"/>
              </w:rPr>
            </w:pPr>
          </w:p>
        </w:tc>
        <w:tc>
          <w:tcPr>
            <w:tcW w:w="556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40"/>
          </w:cols>
          <w:pgMar w:left="240" w:top="459" w:right="41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Statements of convertible preferred stock and stockholders’ deficit</w:t>
      </w:r>
    </w:p>
    <w:p>
      <w:pPr>
        <w:spacing w:after="0" w:line="108" w:lineRule="exact"/>
        <w:rPr>
          <w:sz w:val="20"/>
          <w:szCs w:val="20"/>
          <w:color w:val="auto"/>
        </w:rPr>
      </w:pPr>
    </w:p>
    <w:tbl>
      <w:tblPr>
        <w:tblLayout w:type="fixed"/>
        <w:tblInd w:w="20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60" w:type="dxa"/>
            <w:vAlign w:val="bottom"/>
            <w:tcBorders>
              <w:top w:val="single" w:sz="8" w:color="auto"/>
              <w:right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96"/>
              </w:rPr>
              <w:t>Series A</w:t>
            </w:r>
          </w:p>
        </w:tc>
        <w:tc>
          <w:tcPr>
            <w:tcW w:w="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40" w:type="dxa"/>
            <w:vAlign w:val="bottom"/>
            <w:gridSpan w:val="4"/>
          </w:tcPr>
          <w:p>
            <w:pPr>
              <w:jc w:val="right"/>
              <w:ind w:right="220"/>
              <w:spacing w:after="0" w:line="149" w:lineRule="exact"/>
              <w:rPr>
                <w:sz w:val="20"/>
                <w:szCs w:val="20"/>
                <w:color w:val="auto"/>
              </w:rPr>
            </w:pPr>
            <w:r>
              <w:rPr>
                <w:rFonts w:ascii="Arial" w:cs="Arial" w:eastAsia="Arial" w:hAnsi="Arial"/>
                <w:sz w:val="14"/>
                <w:szCs w:val="14"/>
                <w:b w:val="1"/>
                <w:bCs w:val="1"/>
                <w:color w:val="auto"/>
              </w:rPr>
              <w:t>Series A preferred units</w:t>
            </w:r>
          </w:p>
        </w:tc>
        <w:tc>
          <w:tcPr>
            <w:tcW w:w="1660" w:type="dxa"/>
            <w:vAlign w:val="bottom"/>
            <w:tcBorders>
              <w:right w:val="single" w:sz="8" w:color="auto"/>
            </w:tcBorders>
            <w:gridSpan w:val="3"/>
          </w:tcPr>
          <w:p>
            <w:pPr>
              <w:jc w:val="center"/>
              <w:ind w:right="12"/>
              <w:spacing w:after="0" w:line="149" w:lineRule="exact"/>
              <w:rPr>
                <w:sz w:val="20"/>
                <w:szCs w:val="20"/>
                <w:color w:val="auto"/>
              </w:rPr>
            </w:pPr>
            <w:r>
              <w:rPr>
                <w:rFonts w:ascii="Arial" w:cs="Arial" w:eastAsia="Arial" w:hAnsi="Arial"/>
                <w:sz w:val="14"/>
                <w:szCs w:val="14"/>
                <w:b w:val="1"/>
                <w:bCs w:val="1"/>
                <w:color w:val="auto"/>
                <w:w w:val="95"/>
              </w:rPr>
              <w:t>convertible preferred</w:t>
            </w: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84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capital interests</w:t>
            </w:r>
          </w:p>
        </w:tc>
        <w:tc>
          <w:tcPr>
            <w:tcW w:w="1660" w:type="dxa"/>
            <w:vAlign w:val="bottom"/>
            <w:tcBorders>
              <w:right w:val="single" w:sz="8" w:color="auto"/>
            </w:tcBorders>
            <w:gridSpan w:val="3"/>
          </w:tcPr>
          <w:p>
            <w:pPr>
              <w:jc w:val="center"/>
              <w:ind w:right="12"/>
              <w:spacing w:after="0"/>
              <w:rPr>
                <w:sz w:val="20"/>
                <w:szCs w:val="20"/>
                <w:color w:val="auto"/>
              </w:rPr>
            </w:pPr>
            <w:r>
              <w:rPr>
                <w:rFonts w:ascii="Arial" w:cs="Arial" w:eastAsia="Arial" w:hAnsi="Arial"/>
                <w:sz w:val="14"/>
                <w:szCs w:val="14"/>
                <w:b w:val="1"/>
                <w:bCs w:val="1"/>
                <w:color w:val="auto"/>
                <w:w w:val="92"/>
              </w:rPr>
              <w:t>stock</w:t>
            </w:r>
          </w:p>
        </w:tc>
        <w:tc>
          <w:tcPr>
            <w:tcW w:w="20" w:type="dxa"/>
            <w:vAlign w:val="bottom"/>
          </w:tcPr>
          <w:p>
            <w:pPr>
              <w:spacing w:after="0"/>
              <w:rPr>
                <w:sz w:val="14"/>
                <w:szCs w:val="14"/>
                <w:color w:val="auto"/>
              </w:rPr>
            </w:pPr>
          </w:p>
        </w:tc>
        <w:tc>
          <w:tcPr>
            <w:tcW w:w="15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Common stock</w:t>
            </w:r>
          </w:p>
        </w:tc>
        <w:tc>
          <w:tcPr>
            <w:tcW w:w="17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Capital interests</w:t>
            </w: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r>
      <w:tr>
        <w:trPr>
          <w:trHeight w:val="125"/>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Borders>
              <w:top w:val="single" w:sz="8" w:color="auto"/>
            </w:tcBorders>
          </w:tcPr>
          <w:p>
            <w:pPr>
              <w:jc w:val="right"/>
              <w:ind w:right="212"/>
              <w:spacing w:after="0" w:line="125" w:lineRule="exact"/>
              <w:rPr>
                <w:sz w:val="20"/>
                <w:szCs w:val="20"/>
                <w:color w:val="auto"/>
              </w:rPr>
            </w:pPr>
            <w:r>
              <w:rPr>
                <w:rFonts w:ascii="Arial" w:cs="Arial" w:eastAsia="Arial" w:hAnsi="Arial"/>
                <w:sz w:val="14"/>
                <w:szCs w:val="14"/>
                <w:b w:val="1"/>
                <w:bCs w:val="1"/>
                <w:color w:val="auto"/>
              </w:rPr>
              <w:t>Units/</w:t>
            </w:r>
          </w:p>
        </w:tc>
        <w:tc>
          <w:tcPr>
            <w:tcW w:w="1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jc w:val="right"/>
              <w:ind w:right="152"/>
              <w:spacing w:after="0" w:line="125" w:lineRule="exact"/>
              <w:rPr>
                <w:sz w:val="20"/>
                <w:szCs w:val="20"/>
                <w:color w:val="auto"/>
              </w:rPr>
            </w:pPr>
            <w:r>
              <w:rPr>
                <w:rFonts w:ascii="Arial" w:cs="Arial" w:eastAsia="Arial" w:hAnsi="Arial"/>
                <w:sz w:val="14"/>
                <w:szCs w:val="14"/>
                <w:b w:val="1"/>
                <w:bCs w:val="1"/>
                <w:color w:val="auto"/>
              </w:rPr>
              <w:t>paid-in</w:t>
            </w:r>
          </w:p>
        </w:tc>
        <w:tc>
          <w:tcPr>
            <w:tcW w:w="102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rPr>
              <w:t>Accumulated</w:t>
            </w:r>
          </w:p>
        </w:tc>
        <w:tc>
          <w:tcPr>
            <w:tcW w:w="1060" w:type="dxa"/>
            <w:vAlign w:val="bottom"/>
            <w:gridSpan w:val="3"/>
          </w:tcPr>
          <w:p>
            <w:pPr>
              <w:ind w:left="60"/>
              <w:spacing w:after="0" w:line="125" w:lineRule="exact"/>
              <w:rPr>
                <w:sz w:val="20"/>
                <w:szCs w:val="20"/>
                <w:color w:val="auto"/>
              </w:rPr>
            </w:pPr>
            <w:r>
              <w:rPr>
                <w:rFonts w:ascii="Arial" w:cs="Arial" w:eastAsia="Arial" w:hAnsi="Arial"/>
                <w:sz w:val="14"/>
                <w:szCs w:val="14"/>
                <w:b w:val="1"/>
                <w:bCs w:val="1"/>
                <w:color w:val="auto"/>
              </w:rPr>
              <w:t>stockholders’</w:t>
            </w:r>
          </w:p>
        </w:tc>
      </w:tr>
      <w:tr>
        <w:trPr>
          <w:trHeight w:val="165"/>
        </w:trPr>
        <w:tc>
          <w:tcPr>
            <w:tcW w:w="2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7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right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8"/>
              </w:rPr>
              <w:t>Amount</w:t>
            </w: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Units</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deficit</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deficit</w:t>
            </w:r>
          </w:p>
        </w:tc>
      </w:tr>
      <w:tr>
        <w:trPr>
          <w:trHeight w:val="125"/>
        </w:trPr>
        <w:tc>
          <w:tcPr>
            <w:tcW w:w="20" w:type="dxa"/>
            <w:vAlign w:val="bottom"/>
          </w:tcPr>
          <w:p>
            <w:pPr>
              <w:spacing w:after="0"/>
              <w:rPr>
                <w:sz w:val="10"/>
                <w:szCs w:val="10"/>
                <w:color w:val="auto"/>
              </w:rPr>
            </w:pPr>
          </w:p>
        </w:tc>
        <w:tc>
          <w:tcPr>
            <w:tcW w:w="1320" w:type="dxa"/>
            <w:vAlign w:val="bottom"/>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Balances at</w:t>
            </w: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tcBorders>
              <w:right w:val="single" w:sz="8" w:color="auto"/>
            </w:tcBorders>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jc w:val="right"/>
              <w:spacing w:after="0" w:line="125"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r>
      <w:tr>
        <w:trPr>
          <w:trHeight w:val="165"/>
        </w:trPr>
        <w:tc>
          <w:tcPr>
            <w:tcW w:w="20" w:type="dxa"/>
            <w:vAlign w:val="bottom"/>
          </w:tcPr>
          <w:p>
            <w:pPr>
              <w:spacing w:after="0"/>
              <w:rPr>
                <w:sz w:val="14"/>
                <w:szCs w:val="14"/>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January 1, 2016</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75,000,000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74,259,411</w:t>
            </w: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1,323,530</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1,324</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17,155,708</w:t>
            </w:r>
          </w:p>
        </w:tc>
        <w:tc>
          <w:tcPr>
            <w:tcW w:w="1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3,454,622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(71,897,616)</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(68,441,670)</w:t>
            </w:r>
          </w:p>
        </w:tc>
      </w:tr>
      <w:tr>
        <w:trPr>
          <w:trHeight w:val="148"/>
        </w:trPr>
        <w:tc>
          <w:tcPr>
            <w:tcW w:w="20" w:type="dxa"/>
            <w:vAlign w:val="bottom"/>
          </w:tcPr>
          <w:p>
            <w:pPr>
              <w:spacing w:after="0"/>
              <w:rPr>
                <w:sz w:val="12"/>
                <w:szCs w:val="12"/>
                <w:color w:val="auto"/>
              </w:rPr>
            </w:pPr>
          </w:p>
        </w:tc>
        <w:tc>
          <w:tcPr>
            <w:tcW w:w="1320" w:type="dxa"/>
            <w:vAlign w:val="bottom"/>
          </w:tcPr>
          <w:p>
            <w:pPr>
              <w:ind w:left="200"/>
              <w:spacing w:after="0" w:line="148" w:lineRule="exact"/>
              <w:rPr>
                <w:sz w:val="20"/>
                <w:szCs w:val="20"/>
                <w:color w:val="auto"/>
              </w:rPr>
            </w:pPr>
            <w:r>
              <w:rPr>
                <w:rFonts w:ascii="Arial" w:cs="Arial" w:eastAsia="Arial" w:hAnsi="Arial"/>
                <w:sz w:val="14"/>
                <w:szCs w:val="14"/>
                <w:color w:val="auto"/>
              </w:rPr>
              <w:t>Effect of</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restructuring</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(Note 8)</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w w:val="98"/>
              </w:rPr>
              <w:t>(75,000,000)</w:t>
            </w:r>
          </w:p>
        </w:tc>
        <w:tc>
          <w:tcPr>
            <w:tcW w:w="14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w w:val="93"/>
              </w:rPr>
              <w:t>(74,259,411)</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w w:val="99"/>
              </w:rPr>
              <w:t>75,000,000</w:t>
            </w: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w w:val="94"/>
              </w:rPr>
              <w:t>74,259,411</w:t>
            </w:r>
          </w:p>
        </w:tc>
        <w:tc>
          <w:tcPr>
            <w:tcW w:w="8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17,155,708</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3"/>
              </w:rPr>
              <w:t>17,156</w:t>
            </w: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(17,155,708)</w:t>
            </w:r>
          </w:p>
        </w:tc>
        <w:tc>
          <w:tcPr>
            <w:tcW w:w="140" w:type="dxa"/>
            <w:vAlign w:val="bottom"/>
          </w:tcPr>
          <w:p>
            <w:pPr>
              <w:spacing w:after="0"/>
              <w:rPr>
                <w:sz w:val="12"/>
                <w:szCs w:val="12"/>
                <w:color w:val="auto"/>
              </w:rPr>
            </w:pPr>
          </w:p>
        </w:tc>
        <w:tc>
          <w:tcPr>
            <w:tcW w:w="7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4"/>
              </w:rPr>
              <w:t>(3,454,622)</w:t>
            </w:r>
          </w:p>
        </w:tc>
        <w:tc>
          <w:tcPr>
            <w:tcW w:w="1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3"/>
              </w:rPr>
              <w:t>3,437,466</w:t>
            </w:r>
          </w:p>
        </w:tc>
        <w:tc>
          <w:tcPr>
            <w:tcW w:w="1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r>
      <w:tr>
        <w:trPr>
          <w:trHeight w:val="148"/>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Issuance of</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3,742,345</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3,742</w:t>
            </w: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33,681</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37,423</w:t>
            </w:r>
          </w:p>
        </w:tc>
        <w:tc>
          <w:tcPr>
            <w:tcW w:w="100" w:type="dxa"/>
            <w:vAlign w:val="bottom"/>
            <w:shd w:val="clear" w:color="auto" w:fill="CCEEF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320" w:type="dxa"/>
            <w:vAlign w:val="bottom"/>
          </w:tcPr>
          <w:p>
            <w:pPr>
              <w:ind w:left="200"/>
              <w:spacing w:after="0" w:line="148" w:lineRule="exact"/>
              <w:rPr>
                <w:sz w:val="20"/>
                <w:szCs w:val="20"/>
                <w:color w:val="auto"/>
              </w:rPr>
            </w:pPr>
            <w:r>
              <w:rPr>
                <w:rFonts w:ascii="Arial" w:cs="Arial" w:eastAsia="Arial" w:hAnsi="Arial"/>
                <w:sz w:val="14"/>
                <w:szCs w:val="14"/>
                <w:color w:val="auto"/>
              </w:rPr>
              <w:t>Cancellation of</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unvested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restricted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(966,795)</w:t>
            </w:r>
          </w:p>
        </w:tc>
        <w:tc>
          <w:tcPr>
            <w:tcW w:w="12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(967)</w:t>
            </w: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(8,701)</w:t>
            </w:r>
          </w:p>
        </w:tc>
        <w:tc>
          <w:tcPr>
            <w:tcW w:w="1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(9,668)</w:t>
            </w:r>
          </w:p>
        </w:tc>
      </w:tr>
      <w:tr>
        <w:trPr>
          <w:trHeight w:val="148"/>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Stock-based</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compensation</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985,483</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985,483</w:t>
            </w:r>
          </w:p>
        </w:tc>
        <w:tc>
          <w:tcPr>
            <w:tcW w:w="100" w:type="dxa"/>
            <w:vAlign w:val="bottom"/>
            <w:shd w:val="clear" w:color="auto" w:fill="CCEEFF"/>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Net loss</w:t>
            </w: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(27,411,933)</w:t>
            </w:r>
          </w:p>
        </w:tc>
        <w:tc>
          <w:tcPr>
            <w:tcW w:w="140" w:type="dxa"/>
            <w:vAlign w:val="bottom"/>
          </w:tcPr>
          <w:p>
            <w:pPr>
              <w:spacing w:after="0"/>
              <w:rPr>
                <w:sz w:val="13"/>
                <w:szCs w:val="13"/>
                <w:color w:val="auto"/>
              </w:rPr>
            </w:pPr>
          </w:p>
        </w:tc>
        <w:tc>
          <w:tcPr>
            <w:tcW w:w="9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(27,411,933)</w:t>
            </w:r>
          </w:p>
        </w:tc>
      </w:tr>
      <w:tr>
        <w:trPr>
          <w:trHeight w:val="132"/>
        </w:trPr>
        <w:tc>
          <w:tcPr>
            <w:tcW w:w="20" w:type="dxa"/>
            <w:vAlign w:val="bottom"/>
          </w:tcPr>
          <w:p>
            <w:pPr>
              <w:spacing w:after="0"/>
              <w:rPr>
                <w:sz w:val="11"/>
                <w:szCs w:val="11"/>
                <w:color w:val="auto"/>
              </w:rPr>
            </w:pPr>
          </w:p>
        </w:tc>
        <w:tc>
          <w:tcPr>
            <w:tcW w:w="1320" w:type="dxa"/>
            <w:vAlign w:val="bottom"/>
            <w:shd w:val="clear" w:color="auto" w:fill="CCEEFF"/>
          </w:tcPr>
          <w:p>
            <w:pPr>
              <w:spacing w:after="0" w:line="132" w:lineRule="exact"/>
              <w:rPr>
                <w:sz w:val="20"/>
                <w:szCs w:val="20"/>
                <w:color w:val="auto"/>
              </w:rPr>
            </w:pPr>
            <w:r>
              <w:rPr>
                <w:rFonts w:ascii="Arial" w:cs="Arial" w:eastAsia="Arial" w:hAnsi="Arial"/>
                <w:sz w:val="14"/>
                <w:szCs w:val="14"/>
                <w:b w:val="1"/>
                <w:bCs w:val="1"/>
                <w:color w:val="auto"/>
              </w:rPr>
              <w:t>Balances at</w:t>
            </w:r>
          </w:p>
        </w:tc>
        <w:tc>
          <w:tcPr>
            <w:tcW w:w="8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right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b w:val="1"/>
                <w:bCs w:val="1"/>
                <w:color w:val="auto"/>
              </w:rPr>
              <w:t>December 31,</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5"/>
        </w:trPr>
        <w:tc>
          <w:tcPr>
            <w:tcW w:w="20" w:type="dxa"/>
            <w:vAlign w:val="bottom"/>
          </w:tcPr>
          <w:p>
            <w:pPr>
              <w:spacing w:after="0"/>
              <w:rPr>
                <w:sz w:val="14"/>
                <w:szCs w:val="14"/>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2016</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75,000,000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w w:val="94"/>
              </w:rPr>
              <w:t>74,259,411</w:t>
            </w:r>
          </w:p>
        </w:tc>
        <w:tc>
          <w:tcPr>
            <w:tcW w:w="840" w:type="dxa"/>
            <w:vAlign w:val="bottom"/>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21,254,788</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21,255</w:t>
            </w: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w w:val="93"/>
              </w:rPr>
              <w:t>4,447,929</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(99,309,549)</w:t>
            </w:r>
          </w:p>
        </w:tc>
        <w:tc>
          <w:tcPr>
            <w:tcW w:w="140" w:type="dxa"/>
            <w:vAlign w:val="bottom"/>
            <w:shd w:val="clear" w:color="auto" w:fill="CCEEFF"/>
          </w:tcPr>
          <w:p>
            <w:pPr>
              <w:ind w:left="60"/>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(94,840,365)</w:t>
            </w:r>
          </w:p>
        </w:tc>
      </w:tr>
      <w:tr>
        <w:trPr>
          <w:trHeight w:val="148"/>
        </w:trPr>
        <w:tc>
          <w:tcPr>
            <w:tcW w:w="20" w:type="dxa"/>
            <w:vAlign w:val="bottom"/>
          </w:tcPr>
          <w:p>
            <w:pPr>
              <w:spacing w:after="0"/>
              <w:rPr>
                <w:sz w:val="12"/>
                <w:szCs w:val="12"/>
                <w:color w:val="auto"/>
              </w:rPr>
            </w:pPr>
          </w:p>
        </w:tc>
        <w:tc>
          <w:tcPr>
            <w:tcW w:w="1320" w:type="dxa"/>
            <w:vAlign w:val="bottom"/>
          </w:tcPr>
          <w:p>
            <w:pPr>
              <w:ind w:left="200"/>
              <w:spacing w:after="0" w:line="148" w:lineRule="exact"/>
              <w:rPr>
                <w:sz w:val="20"/>
                <w:szCs w:val="20"/>
                <w:color w:val="auto"/>
              </w:rPr>
            </w:pPr>
            <w:r>
              <w:rPr>
                <w:rFonts w:ascii="Arial" w:cs="Arial" w:eastAsia="Arial" w:hAnsi="Arial"/>
                <w:sz w:val="14"/>
                <w:szCs w:val="14"/>
                <w:color w:val="auto"/>
              </w:rPr>
              <w:t>Issuance of</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restricted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stock</w:t>
            </w: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1,107,150</w:t>
            </w: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1,107</w:t>
            </w:r>
          </w:p>
        </w:tc>
        <w:tc>
          <w:tcPr>
            <w:tcW w:w="140" w:type="dxa"/>
            <w:vAlign w:val="bottom"/>
          </w:tcPr>
          <w:p>
            <w:pPr>
              <w:spacing w:after="0"/>
              <w:rPr>
                <w:sz w:val="12"/>
                <w:szCs w:val="12"/>
                <w:color w:val="auto"/>
              </w:rPr>
            </w:pP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9,965</w:t>
            </w:r>
          </w:p>
        </w:tc>
        <w:tc>
          <w:tcPr>
            <w:tcW w:w="1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11,072</w:t>
            </w:r>
          </w:p>
        </w:tc>
        <w:tc>
          <w:tcPr>
            <w:tcW w:w="1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8" w:lineRule="exact"/>
              <w:rPr>
                <w:sz w:val="20"/>
                <w:szCs w:val="20"/>
                <w:color w:val="auto"/>
              </w:rPr>
            </w:pPr>
            <w:r>
              <w:rPr>
                <w:rFonts w:ascii="Arial" w:cs="Arial" w:eastAsia="Arial" w:hAnsi="Arial"/>
                <w:sz w:val="14"/>
                <w:szCs w:val="14"/>
                <w:color w:val="auto"/>
              </w:rPr>
              <w:t>Cancellation of</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unvested</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restricted</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w:t>
            </w:r>
          </w:p>
        </w:tc>
        <w:tc>
          <w:tcPr>
            <w:tcW w:w="8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(3,278,377)</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(3,278)</w:t>
            </w:r>
          </w:p>
        </w:tc>
        <w:tc>
          <w:tcPr>
            <w:tcW w:w="8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(9,467)</w:t>
            </w: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(12,745)</w:t>
            </w:r>
          </w:p>
        </w:tc>
      </w:tr>
      <w:tr>
        <w:trPr>
          <w:trHeight w:val="148"/>
        </w:trPr>
        <w:tc>
          <w:tcPr>
            <w:tcW w:w="20" w:type="dxa"/>
            <w:vAlign w:val="bottom"/>
          </w:tcPr>
          <w:p>
            <w:pPr>
              <w:spacing w:after="0"/>
              <w:rPr>
                <w:sz w:val="12"/>
                <w:szCs w:val="12"/>
                <w:color w:val="auto"/>
              </w:rPr>
            </w:pPr>
          </w:p>
        </w:tc>
        <w:tc>
          <w:tcPr>
            <w:tcW w:w="1320" w:type="dxa"/>
            <w:vAlign w:val="bottom"/>
          </w:tcPr>
          <w:p>
            <w:pPr>
              <w:ind w:left="200"/>
              <w:spacing w:after="0" w:line="148" w:lineRule="exact"/>
              <w:rPr>
                <w:sz w:val="20"/>
                <w:szCs w:val="20"/>
                <w:color w:val="auto"/>
              </w:rPr>
            </w:pPr>
            <w:r>
              <w:rPr>
                <w:rFonts w:ascii="Arial" w:cs="Arial" w:eastAsia="Arial" w:hAnsi="Arial"/>
                <w:sz w:val="14"/>
                <w:szCs w:val="14"/>
                <w:color w:val="auto"/>
              </w:rPr>
              <w:t>Stock-based</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420"/>
              <w:spacing w:after="0" w:line="149" w:lineRule="exact"/>
              <w:rPr>
                <w:sz w:val="20"/>
                <w:szCs w:val="20"/>
                <w:color w:val="auto"/>
              </w:rPr>
            </w:pPr>
            <w:r>
              <w:rPr>
                <w:rFonts w:ascii="Arial" w:cs="Arial" w:eastAsia="Arial" w:hAnsi="Arial"/>
                <w:sz w:val="14"/>
                <w:szCs w:val="14"/>
                <w:color w:val="auto"/>
              </w:rPr>
              <w:t>compensation</w:t>
            </w:r>
          </w:p>
        </w:tc>
        <w:tc>
          <w:tcPr>
            <w:tcW w:w="8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60" w:type="dxa"/>
            <w:vAlign w:val="bottom"/>
            <w:tcBorders>
              <w:right w:val="single" w:sz="8" w:color="auto"/>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640,478</w:t>
            </w:r>
          </w:p>
        </w:tc>
        <w:tc>
          <w:tcPr>
            <w:tcW w:w="140" w:type="dxa"/>
            <w:vAlign w:val="bottom"/>
          </w:tcPr>
          <w:p>
            <w:pPr>
              <w:spacing w:after="0"/>
              <w:rPr>
                <w:sz w:val="12"/>
                <w:szCs w:val="12"/>
                <w:color w:val="auto"/>
              </w:rPr>
            </w:pPr>
          </w:p>
        </w:tc>
        <w:tc>
          <w:tcPr>
            <w:tcW w:w="8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640,478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loss</w:t>
            </w: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tcBorders>
              <w:right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(18,167,611)</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(18,167,611)</w:t>
            </w:r>
          </w:p>
        </w:tc>
      </w:tr>
      <w:tr>
        <w:trPr>
          <w:trHeight w:val="139"/>
        </w:trPr>
        <w:tc>
          <w:tcPr>
            <w:tcW w:w="1340" w:type="dxa"/>
            <w:vAlign w:val="bottom"/>
            <w:gridSpan w:val="2"/>
          </w:tcPr>
          <w:p>
            <w:pPr>
              <w:spacing w:after="0" w:line="139" w:lineRule="exact"/>
              <w:rPr>
                <w:sz w:val="20"/>
                <w:szCs w:val="20"/>
                <w:color w:val="auto"/>
              </w:rPr>
            </w:pPr>
            <w:r>
              <w:rPr>
                <w:rFonts w:ascii="Arial" w:cs="Arial" w:eastAsia="Arial" w:hAnsi="Arial"/>
                <w:sz w:val="14"/>
                <w:szCs w:val="14"/>
                <w:b w:val="1"/>
                <w:bCs w:val="1"/>
                <w:color w:val="auto"/>
              </w:rPr>
              <w:t>Balance at</w:t>
            </w:r>
          </w:p>
        </w:tc>
        <w:tc>
          <w:tcPr>
            <w:tcW w:w="8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December 31,</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2017</w:t>
            </w:r>
          </w:p>
        </w:tc>
        <w:tc>
          <w:tcPr>
            <w:tcW w:w="840" w:type="dxa"/>
            <w:vAlign w:val="bottom"/>
          </w:tcPr>
          <w:p>
            <w:pPr>
              <w:jc w:val="right"/>
              <w:ind w:right="12"/>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w w:val="99"/>
              </w:rPr>
              <w:t>75,000,000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auto"/>
            </w:tcBorders>
          </w:tcPr>
          <w:p>
            <w:pPr>
              <w:jc w:val="right"/>
              <w:ind w:right="12"/>
              <w:spacing w:after="0"/>
              <w:rPr>
                <w:sz w:val="20"/>
                <w:szCs w:val="20"/>
                <w:color w:val="auto"/>
              </w:rPr>
            </w:pPr>
            <w:r>
              <w:rPr>
                <w:rFonts w:ascii="Arial" w:cs="Arial" w:eastAsia="Arial" w:hAnsi="Arial"/>
                <w:sz w:val="14"/>
                <w:szCs w:val="14"/>
                <w:color w:val="auto"/>
                <w:w w:val="94"/>
              </w:rPr>
              <w:t>74,259,411</w:t>
            </w:r>
          </w:p>
        </w:tc>
        <w:tc>
          <w:tcPr>
            <w:tcW w:w="840" w:type="dxa"/>
            <w:vAlign w:val="bottom"/>
            <w:gridSpan w:val="2"/>
          </w:tcPr>
          <w:p>
            <w:pPr>
              <w:jc w:val="right"/>
              <w:ind w:right="32"/>
              <w:spacing w:after="0"/>
              <w:rPr>
                <w:sz w:val="20"/>
                <w:szCs w:val="20"/>
                <w:color w:val="auto"/>
              </w:rPr>
            </w:pPr>
            <w:r>
              <w:rPr>
                <w:rFonts w:ascii="Arial" w:cs="Arial" w:eastAsia="Arial" w:hAnsi="Arial"/>
                <w:sz w:val="14"/>
                <w:szCs w:val="14"/>
                <w:color w:val="auto"/>
              </w:rPr>
              <w:t>19,083,561</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4"/>
                <w:szCs w:val="14"/>
                <w:color w:val="auto"/>
                <w:w w:val="93"/>
              </w:rPr>
              <w:t>19,084</w:t>
            </w:r>
          </w:p>
        </w:tc>
        <w:tc>
          <w:tcPr>
            <w:tcW w:w="140" w:type="dxa"/>
            <w:vAlign w:val="bottom"/>
          </w:tcPr>
          <w:p>
            <w:pPr>
              <w:spacing w:after="0"/>
              <w:rPr>
                <w:sz w:val="14"/>
                <w:szCs w:val="14"/>
                <w:color w:val="auto"/>
              </w:rPr>
            </w:pPr>
          </w:p>
        </w:tc>
        <w:tc>
          <w:tcPr>
            <w:tcW w:w="8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ind w:right="32"/>
              <w:spacing w:after="0"/>
              <w:rPr>
                <w:sz w:val="20"/>
                <w:szCs w:val="20"/>
                <w:color w:val="auto"/>
              </w:rPr>
            </w:pPr>
            <w:r>
              <w:rPr>
                <w:rFonts w:ascii="Arial" w:cs="Arial" w:eastAsia="Arial" w:hAnsi="Arial"/>
                <w:sz w:val="14"/>
                <w:szCs w:val="14"/>
                <w:color w:val="auto"/>
                <w:w w:val="93"/>
              </w:rPr>
              <w:t>5,088,905</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w w:val="94"/>
              </w:rPr>
              <w:t>(117,477,160)</w:t>
            </w:r>
          </w:p>
        </w:tc>
        <w:tc>
          <w:tcPr>
            <w:tcW w:w="140" w:type="dxa"/>
            <w:vAlign w:val="bottom"/>
          </w:tcPr>
          <w:p>
            <w:pPr>
              <w:ind w:left="60"/>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60"/>
              <w:spacing w:after="0"/>
              <w:rPr>
                <w:sz w:val="20"/>
                <w:szCs w:val="20"/>
                <w:color w:val="auto"/>
              </w:rPr>
            </w:pPr>
            <w:r>
              <w:rPr>
                <w:rFonts w:ascii="Arial" w:cs="Arial" w:eastAsia="Arial" w:hAnsi="Arial"/>
                <w:sz w:val="14"/>
                <w:szCs w:val="14"/>
                <w:color w:val="auto"/>
                <w:w w:val="96"/>
              </w:rPr>
              <w:t>(112,369,171)</w:t>
            </w: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240" w:top="460" w:right="41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Year ended</w:t>
      </w:r>
    </w:p>
    <w:p>
      <w:pPr>
        <w:spacing w:after="0" w:line="18"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-4445</wp:posOffset>
            </wp:positionV>
            <wp:extent cx="174117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jc w:val="both"/>
        <w:ind w:left="8760"/>
        <w:spacing w:after="0"/>
        <w:tabs>
          <w:tab w:leader="none" w:pos="1028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8890</wp:posOffset>
            </wp:positionV>
            <wp:extent cx="6997700" cy="13716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activities</w:t>
      </w:r>
    </w:p>
    <w:p>
      <w:pPr>
        <w:ind w:left="200"/>
        <w:spacing w:after="0" w:line="235" w:lineRule="auto"/>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6"/>
          <w:szCs w:val="16"/>
          <w:color w:val="auto"/>
        </w:rPr>
        <w:t>Adjustments to reconcile net loss to net cash provided by (used in) operating activities:</w:t>
      </w:r>
    </w:p>
    <w:p>
      <w:pPr>
        <w:spacing w:after="0" w:line="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Noncash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Stock-based compensation</w:t>
      </w:r>
    </w:p>
    <w:p>
      <w:pPr>
        <w:ind w:left="420"/>
        <w:spacing w:after="0" w:line="235" w:lineRule="auto"/>
        <w:rPr>
          <w:sz w:val="20"/>
          <w:szCs w:val="20"/>
          <w:color w:val="auto"/>
        </w:rPr>
      </w:pPr>
      <w:r>
        <w:rPr>
          <w:rFonts w:ascii="Arial" w:cs="Arial" w:eastAsia="Arial" w:hAnsi="Arial"/>
          <w:sz w:val="18"/>
          <w:szCs w:val="18"/>
          <w:color w:val="auto"/>
        </w:rPr>
        <w:t>Gain on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5" w:lineRule="auto"/>
        <w:rPr>
          <w:sz w:val="20"/>
          <w:szCs w:val="20"/>
          <w:color w:val="auto"/>
        </w:rPr>
      </w:pPr>
      <w:r>
        <w:rPr>
          <w:rFonts w:ascii="Arial" w:cs="Arial" w:eastAsia="Arial" w:hAnsi="Arial"/>
          <w:sz w:val="18"/>
          <w:szCs w:val="18"/>
          <w:color w:val="auto"/>
        </w:rPr>
        <w:t>Depreciation and amortization</w:t>
      </w:r>
    </w:p>
    <w:p>
      <w:pPr>
        <w:ind w:left="420"/>
        <w:spacing w:after="0" w:line="235" w:lineRule="auto"/>
        <w:rPr>
          <w:sz w:val="20"/>
          <w:szCs w:val="20"/>
          <w:color w:val="auto"/>
        </w:rPr>
      </w:pPr>
      <w:r>
        <w:rPr>
          <w:rFonts w:ascii="Arial" w:cs="Arial" w:eastAsia="Arial" w:hAnsi="Arial"/>
          <w:sz w:val="18"/>
          <w:szCs w:val="18"/>
          <w:color w:val="auto"/>
        </w:rPr>
        <w:t>Changes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line="235" w:lineRule="auto"/>
        <w:rPr>
          <w:sz w:val="20"/>
          <w:szCs w:val="20"/>
          <w:color w:val="auto"/>
        </w:rPr>
      </w:pPr>
      <w:r>
        <w:rPr>
          <w:rFonts w:ascii="Arial" w:cs="Arial" w:eastAsia="Arial" w:hAnsi="Arial"/>
          <w:sz w:val="18"/>
          <w:szCs w:val="18"/>
          <w:color w:val="auto"/>
        </w:rPr>
        <w:t>Prepaid expenses and other current assets</w:t>
      </w:r>
    </w:p>
    <w:p>
      <w:pPr>
        <w:ind w:left="640"/>
        <w:spacing w:after="0" w:line="235" w:lineRule="auto"/>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line="235" w:lineRule="auto"/>
        <w:rPr>
          <w:sz w:val="20"/>
          <w:szCs w:val="20"/>
          <w:color w:val="auto"/>
        </w:rPr>
      </w:pPr>
      <w:r>
        <w:rPr>
          <w:rFonts w:ascii="Arial" w:cs="Arial" w:eastAsia="Arial" w:hAnsi="Arial"/>
          <w:sz w:val="18"/>
          <w:szCs w:val="18"/>
          <w:color w:val="auto"/>
        </w:rPr>
        <w:t>Accrued expenses</w:t>
      </w:r>
    </w:p>
    <w:p>
      <w:pPr>
        <w:ind w:left="640"/>
        <w:spacing w:after="0" w:line="235" w:lineRule="auto"/>
        <w:rPr>
          <w:sz w:val="20"/>
          <w:szCs w:val="20"/>
          <w:color w:val="auto"/>
        </w:rPr>
      </w:pPr>
      <w:r>
        <w:rPr>
          <w:rFonts w:ascii="Arial" w:cs="Arial" w:eastAsia="Arial" w:hAnsi="Arial"/>
          <w:sz w:val="18"/>
          <w:szCs w:val="18"/>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Deferred rent</w:t>
      </w:r>
    </w:p>
    <w:p>
      <w:pPr>
        <w:spacing w:after="0" w:line="2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Net cash provided by (used in) operating activities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-120650</wp:posOffset>
            </wp:positionV>
            <wp:extent cx="6997700" cy="1289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Change in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4" w:lineRule="auto"/>
        <w:rPr>
          <w:sz w:val="20"/>
          <w:szCs w:val="20"/>
          <w:color w:val="auto"/>
        </w:rPr>
      </w:pPr>
      <w:r>
        <w:rPr>
          <w:rFonts w:ascii="Arial" w:cs="Arial" w:eastAsia="Arial" w:hAnsi="Arial"/>
          <w:sz w:val="18"/>
          <w:szCs w:val="18"/>
          <w:color w:val="auto"/>
        </w:rPr>
        <w:t>Purchases of property and equipment</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Proceeds from sale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Net cash used in investing activities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wp:posOffset>
            </wp:positionV>
            <wp:extent cx="6997700" cy="1289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Proceeds from the issuance of restricted stock</w:t>
      </w:r>
    </w:p>
    <w:p>
      <w:pPr>
        <w:ind w:left="200"/>
        <w:spacing w:after="0" w:line="234" w:lineRule="auto"/>
        <w:rPr>
          <w:sz w:val="20"/>
          <w:szCs w:val="20"/>
          <w:color w:val="auto"/>
        </w:rPr>
      </w:pPr>
      <w:r>
        <w:rPr>
          <w:rFonts w:ascii="Arial" w:cs="Arial" w:eastAsia="Arial" w:hAnsi="Arial"/>
          <w:sz w:val="18"/>
          <w:szCs w:val="18"/>
          <w:color w:val="auto"/>
        </w:rPr>
        <w:t>Repurchase of unvested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2" w:lineRule="auto"/>
        <w:rPr>
          <w:sz w:val="20"/>
          <w:szCs w:val="20"/>
          <w:color w:val="auto"/>
        </w:rPr>
      </w:pPr>
      <w:r>
        <w:rPr>
          <w:rFonts w:ascii="Arial" w:cs="Arial" w:eastAsia="Arial" w:hAnsi="Arial"/>
          <w:sz w:val="18"/>
          <w:szCs w:val="18"/>
          <w:color w:val="auto"/>
        </w:rPr>
        <w:t>Proceeds from convertible notes payable with related party</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tabs>
          <w:tab w:leader="none" w:pos="260" w:val="left"/>
          <w:tab w:leader="none" w:pos="1520" w:val="left"/>
          <w:tab w:leader="none" w:pos="1800" w:val="left"/>
        </w:tabs>
        <w:rPr>
          <w:sz w:val="20"/>
          <w:szCs w:val="20"/>
          <w:color w:val="auto"/>
        </w:rPr>
      </w:pPr>
      <w:r>
        <w:rPr>
          <w:rFonts w:ascii="Arial" w:cs="Arial" w:eastAsia="Arial" w:hAnsi="Arial"/>
          <w:sz w:val="18"/>
          <w:szCs w:val="18"/>
          <w:color w:val="auto"/>
        </w:rPr>
        <w:t>$</w:t>
        <w:tab/>
        <w:t>(18,167,611)</w:t>
        <w:tab/>
        <w:t>$</w:t>
      </w:r>
      <w:r>
        <w:rPr>
          <w:sz w:val="20"/>
          <w:szCs w:val="20"/>
          <w:color w:val="auto"/>
        </w:rPr>
        <w:tab/>
      </w:r>
      <w:r>
        <w:rPr>
          <w:rFonts w:ascii="Arial" w:cs="Arial" w:eastAsia="Arial" w:hAnsi="Arial"/>
          <w:sz w:val="16"/>
          <w:szCs w:val="16"/>
          <w:color w:val="auto"/>
        </w:rPr>
        <w:t>(27,411,933)</w:t>
      </w:r>
    </w:p>
    <w:p>
      <w:pPr>
        <w:spacing w:after="0" w:line="194" w:lineRule="exact"/>
        <w:rPr>
          <w:sz w:val="20"/>
          <w:szCs w:val="20"/>
          <w:color w:val="auto"/>
        </w:rPr>
      </w:pPr>
    </w:p>
    <w:p>
      <w:pPr>
        <w:ind w:left="420"/>
        <w:spacing w:after="0"/>
        <w:tabs>
          <w:tab w:leader="none" w:pos="1940" w:val="left"/>
        </w:tabs>
        <w:rPr>
          <w:sz w:val="20"/>
          <w:szCs w:val="20"/>
          <w:color w:val="auto"/>
        </w:rPr>
      </w:pPr>
      <w:r>
        <w:rPr>
          <w:rFonts w:ascii="Arial" w:cs="Arial" w:eastAsia="Arial" w:hAnsi="Arial"/>
          <w:sz w:val="18"/>
          <w:szCs w:val="18"/>
          <w:color w:val="auto"/>
        </w:rPr>
        <w:t>2,934,532</w:t>
      </w:r>
      <w:r>
        <w:rPr>
          <w:sz w:val="20"/>
          <w:szCs w:val="20"/>
          <w:color w:val="auto"/>
        </w:rPr>
        <w:tab/>
      </w:r>
      <w:r>
        <w:rPr>
          <w:rFonts w:ascii="Arial" w:cs="Arial" w:eastAsia="Arial" w:hAnsi="Arial"/>
          <w:sz w:val="18"/>
          <w:szCs w:val="18"/>
          <w:color w:val="auto"/>
        </w:rPr>
        <w:t>1,062,213</w:t>
      </w:r>
    </w:p>
    <w:p>
      <w:pPr>
        <w:ind w:left="580"/>
        <w:spacing w:after="0" w:line="234" w:lineRule="auto"/>
        <w:tabs>
          <w:tab w:leader="none" w:pos="2100" w:val="left"/>
        </w:tabs>
        <w:rPr>
          <w:sz w:val="20"/>
          <w:szCs w:val="20"/>
          <w:color w:val="auto"/>
        </w:rPr>
      </w:pPr>
      <w:r>
        <w:rPr>
          <w:rFonts w:ascii="Arial" w:cs="Arial" w:eastAsia="Arial" w:hAnsi="Arial"/>
          <w:sz w:val="18"/>
          <w:szCs w:val="18"/>
          <w:color w:val="auto"/>
        </w:rPr>
        <w:t>640,478</w:t>
      </w:r>
      <w:r>
        <w:rPr>
          <w:sz w:val="20"/>
          <w:szCs w:val="20"/>
          <w:color w:val="auto"/>
        </w:rPr>
        <w:tab/>
      </w:r>
      <w:r>
        <w:rPr>
          <w:rFonts w:ascii="Arial" w:cs="Arial" w:eastAsia="Arial" w:hAnsi="Arial"/>
          <w:sz w:val="18"/>
          <w:szCs w:val="18"/>
          <w:color w:val="auto"/>
        </w:rPr>
        <w:t>985,483</w:t>
      </w: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(12,138)</w:t>
      </w:r>
    </w:p>
    <w:p>
      <w:pPr>
        <w:ind w:left="420"/>
        <w:spacing w:after="0"/>
        <w:rPr>
          <w:sz w:val="20"/>
          <w:szCs w:val="20"/>
          <w:color w:val="auto"/>
        </w:rPr>
      </w:pPr>
      <w:r>
        <w:rPr>
          <w:rFonts w:ascii="Arial" w:cs="Arial" w:eastAsia="Arial" w:hAnsi="Arial"/>
          <w:sz w:val="18"/>
          <w:szCs w:val="18"/>
          <w:color w:val="auto"/>
        </w:rPr>
        <w:t>2,497,208</w:t>
      </w:r>
      <w:r>
        <w:rPr>
          <w:rFonts w:ascii="Arial" w:cs="Arial" w:eastAsia="Arial" w:hAnsi="Arial"/>
          <w:sz w:val="16"/>
          <w:szCs w:val="16"/>
          <w:color w:val="auto"/>
        </w:rPr>
        <w:t>2,367,426</w:t>
      </w:r>
    </w:p>
    <w:p>
      <w:pPr>
        <w:spacing w:after="0" w:line="194" w:lineRule="exact"/>
        <w:rPr>
          <w:sz w:val="20"/>
          <w:szCs w:val="20"/>
          <w:color w:val="auto"/>
        </w:rPr>
      </w:pPr>
    </w:p>
    <w:p>
      <w:pPr>
        <w:jc w:val="both"/>
        <w:ind w:left="680"/>
        <w:spacing w:after="0"/>
        <w:tabs>
          <w:tab w:leader="none" w:pos="2140" w:val="left"/>
        </w:tabs>
        <w:rPr>
          <w:sz w:val="20"/>
          <w:szCs w:val="20"/>
          <w:color w:val="auto"/>
        </w:rPr>
      </w:pPr>
      <w:r>
        <w:rPr>
          <w:rFonts w:ascii="Arial" w:cs="Arial" w:eastAsia="Arial" w:hAnsi="Arial"/>
          <w:sz w:val="18"/>
          <w:szCs w:val="18"/>
          <w:color w:val="auto"/>
        </w:rPr>
        <w:t>45,240</w:t>
      </w:r>
      <w:r>
        <w:rPr>
          <w:sz w:val="20"/>
          <w:szCs w:val="20"/>
          <w:color w:val="auto"/>
        </w:rPr>
        <w:tab/>
      </w:r>
      <w:r>
        <w:rPr>
          <w:rFonts w:ascii="Arial" w:cs="Arial" w:eastAsia="Arial" w:hAnsi="Arial"/>
          <w:sz w:val="18"/>
          <w:szCs w:val="18"/>
          <w:color w:val="auto"/>
        </w:rPr>
        <w:t>(57,482)</w:t>
      </w:r>
    </w:p>
    <w:p>
      <w:pPr>
        <w:ind w:left="580"/>
        <w:spacing w:after="0" w:line="234" w:lineRule="auto"/>
        <w:tabs>
          <w:tab w:leader="none" w:pos="2200" w:val="left"/>
        </w:tabs>
        <w:rPr>
          <w:sz w:val="20"/>
          <w:szCs w:val="20"/>
          <w:color w:val="auto"/>
        </w:rPr>
      </w:pPr>
      <w:r>
        <w:rPr>
          <w:rFonts w:ascii="Arial" w:cs="Arial" w:eastAsia="Arial" w:hAnsi="Arial"/>
          <w:sz w:val="18"/>
          <w:szCs w:val="18"/>
          <w:color w:val="auto"/>
        </w:rPr>
        <w:t>772,994</w:t>
      </w:r>
      <w:r>
        <w:rPr>
          <w:sz w:val="20"/>
          <w:szCs w:val="20"/>
          <w:color w:val="auto"/>
        </w:rPr>
        <w:tab/>
      </w:r>
      <w:r>
        <w:rPr>
          <w:rFonts w:ascii="Arial" w:cs="Arial" w:eastAsia="Arial" w:hAnsi="Arial"/>
          <w:sz w:val="18"/>
          <w:szCs w:val="18"/>
          <w:color w:val="auto"/>
        </w:rPr>
        <w:t>71,977</w:t>
      </w:r>
    </w:p>
    <w:p>
      <w:pPr>
        <w:jc w:val="both"/>
        <w:ind w:left="580"/>
        <w:spacing w:after="0" w:line="235" w:lineRule="auto"/>
        <w:tabs>
          <w:tab w:leader="none" w:pos="2040" w:val="left"/>
        </w:tabs>
        <w:rPr>
          <w:sz w:val="20"/>
          <w:szCs w:val="20"/>
          <w:color w:val="auto"/>
        </w:rPr>
      </w:pPr>
      <w:r>
        <w:rPr>
          <w:rFonts w:ascii="Arial" w:cs="Arial" w:eastAsia="Arial" w:hAnsi="Arial"/>
          <w:sz w:val="18"/>
          <w:szCs w:val="18"/>
          <w:color w:val="auto"/>
        </w:rPr>
        <w:t>304,647</w:t>
      </w:r>
      <w:r>
        <w:rPr>
          <w:sz w:val="20"/>
          <w:szCs w:val="20"/>
          <w:color w:val="auto"/>
        </w:rPr>
        <w:tab/>
      </w:r>
      <w:r>
        <w:rPr>
          <w:rFonts w:ascii="Arial" w:cs="Arial" w:eastAsia="Arial" w:hAnsi="Arial"/>
          <w:sz w:val="18"/>
          <w:szCs w:val="18"/>
          <w:color w:val="auto"/>
        </w:rPr>
        <w:t>(562,992)</w:t>
      </w:r>
    </w:p>
    <w:p>
      <w:pPr>
        <w:ind w:left="340"/>
        <w:spacing w:after="0" w:line="235" w:lineRule="auto"/>
        <w:tabs>
          <w:tab w:leader="none" w:pos="1940" w:val="left"/>
        </w:tabs>
        <w:rPr>
          <w:sz w:val="20"/>
          <w:szCs w:val="20"/>
          <w:color w:val="auto"/>
        </w:rPr>
      </w:pPr>
      <w:r>
        <w:rPr>
          <w:rFonts w:ascii="Arial" w:cs="Arial" w:eastAsia="Arial" w:hAnsi="Arial"/>
          <w:sz w:val="18"/>
          <w:szCs w:val="18"/>
          <w:color w:val="auto"/>
        </w:rPr>
        <w:t>19,840,978</w:t>
      </w:r>
      <w:r>
        <w:rPr>
          <w:sz w:val="20"/>
          <w:szCs w:val="20"/>
          <w:color w:val="auto"/>
        </w:rPr>
        <w:tab/>
      </w:r>
      <w:r>
        <w:rPr>
          <w:rFonts w:ascii="Arial" w:cs="Arial" w:eastAsia="Arial" w:hAnsi="Arial"/>
          <w:sz w:val="18"/>
          <w:szCs w:val="18"/>
          <w:color w:val="auto"/>
        </w:rPr>
        <w:t>2,891,375</w:t>
      </w:r>
    </w:p>
    <w:p>
      <w:pPr>
        <w:spacing w:after="0" w:line="1" w:lineRule="exact"/>
        <w:rPr>
          <w:sz w:val="20"/>
          <w:szCs w:val="20"/>
          <w:color w:val="auto"/>
        </w:rPr>
      </w:pPr>
    </w:p>
    <w:p>
      <w:pPr>
        <w:jc w:val="both"/>
        <w:ind w:left="520"/>
        <w:spacing w:after="0"/>
        <w:tabs>
          <w:tab w:leader="none" w:pos="2040" w:val="left"/>
        </w:tabs>
        <w:rPr>
          <w:sz w:val="20"/>
          <w:szCs w:val="20"/>
          <w:color w:val="auto"/>
        </w:rPr>
      </w:pPr>
      <w:r>
        <w:rPr>
          <w:rFonts w:ascii="Arial" w:cs="Arial" w:eastAsia="Arial" w:hAnsi="Arial"/>
          <w:sz w:val="18"/>
          <w:szCs w:val="18"/>
          <w:color w:val="auto"/>
        </w:rPr>
        <w:t>(596,635)</w:t>
      </w:r>
      <w:r>
        <w:rPr>
          <w:sz w:val="20"/>
          <w:szCs w:val="20"/>
          <w:color w:val="auto"/>
        </w:rPr>
        <w:tab/>
      </w:r>
      <w:r>
        <w:rPr>
          <w:rFonts w:ascii="Arial" w:cs="Arial" w:eastAsia="Arial" w:hAnsi="Arial"/>
          <w:sz w:val="18"/>
          <w:szCs w:val="18"/>
          <w:color w:val="auto"/>
        </w:rPr>
        <w:t>(777,190)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174117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3" w:lineRule="exact"/>
        <w:rPr>
          <w:sz w:val="20"/>
          <w:szCs w:val="20"/>
          <w:color w:val="auto"/>
        </w:rPr>
      </w:pPr>
    </w:p>
    <w:p>
      <w:pPr>
        <w:jc w:val="both"/>
        <w:ind w:left="420"/>
        <w:spacing w:after="0"/>
        <w:tabs>
          <w:tab w:leader="none" w:pos="1800" w:val="left"/>
        </w:tabs>
        <w:rPr>
          <w:sz w:val="20"/>
          <w:szCs w:val="20"/>
          <w:color w:val="auto"/>
        </w:rPr>
      </w:pPr>
      <w:r>
        <w:rPr>
          <w:rFonts w:ascii="Arial" w:cs="Arial" w:eastAsia="Arial" w:hAnsi="Arial"/>
          <w:sz w:val="18"/>
          <w:szCs w:val="18"/>
          <w:color w:val="auto"/>
        </w:rPr>
        <w:t>8,271,831</w:t>
      </w:r>
      <w:r>
        <w:rPr>
          <w:sz w:val="20"/>
          <w:szCs w:val="20"/>
          <w:color w:val="auto"/>
        </w:rPr>
        <w:tab/>
      </w:r>
      <w:r>
        <w:rPr>
          <w:rFonts w:ascii="Arial" w:cs="Arial" w:eastAsia="Arial" w:hAnsi="Arial"/>
          <w:sz w:val="18"/>
          <w:szCs w:val="18"/>
          <w:color w:val="auto"/>
        </w:rPr>
        <w:t>(21,443,261)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-4445</wp:posOffset>
            </wp:positionV>
            <wp:extent cx="174117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1" w:lineRule="exact"/>
        <w:rPr>
          <w:sz w:val="20"/>
          <w:szCs w:val="20"/>
          <w:color w:val="auto"/>
        </w:rPr>
      </w:pPr>
    </w:p>
    <w:p>
      <w:pPr>
        <w:ind w:left="580"/>
        <w:spacing w:after="0"/>
        <w:tabs>
          <w:tab w:leader="none" w:pos="2560" w:val="left"/>
        </w:tabs>
        <w:rPr>
          <w:sz w:val="20"/>
          <w:szCs w:val="20"/>
          <w:color w:val="auto"/>
        </w:rPr>
      </w:pPr>
      <w:r>
        <w:rPr>
          <w:rFonts w:ascii="Arial" w:cs="Arial" w:eastAsia="Arial" w:hAnsi="Arial"/>
          <w:sz w:val="18"/>
          <w:szCs w:val="18"/>
          <w:color w:val="auto"/>
        </w:rPr>
        <w:t>106,754</w:t>
      </w:r>
      <w:r>
        <w:rPr>
          <w:sz w:val="20"/>
          <w:szCs w:val="20"/>
          <w:color w:val="auto"/>
        </w:rPr>
        <w:tab/>
      </w:r>
      <w:r>
        <w:rPr>
          <w:rFonts w:ascii="Arial" w:cs="Arial" w:eastAsia="Arial" w:hAnsi="Arial"/>
          <w:sz w:val="18"/>
          <w:szCs w:val="18"/>
          <w:color w:val="auto"/>
        </w:rPr>
        <w:t>—</w:t>
      </w:r>
    </w:p>
    <w:p>
      <w:pPr>
        <w:jc w:val="both"/>
        <w:ind w:left="520"/>
        <w:spacing w:after="0" w:line="234" w:lineRule="auto"/>
        <w:tabs>
          <w:tab w:leader="none" w:pos="1880" w:val="left"/>
        </w:tabs>
        <w:rPr>
          <w:sz w:val="20"/>
          <w:szCs w:val="20"/>
          <w:color w:val="auto"/>
        </w:rPr>
      </w:pPr>
      <w:r>
        <w:rPr>
          <w:rFonts w:ascii="Arial" w:cs="Arial" w:eastAsia="Arial" w:hAnsi="Arial"/>
          <w:sz w:val="18"/>
          <w:szCs w:val="18"/>
          <w:color w:val="auto"/>
        </w:rPr>
        <w:t>(933,881)</w:t>
      </w:r>
      <w:r>
        <w:rPr>
          <w:sz w:val="20"/>
          <w:szCs w:val="20"/>
          <w:color w:val="auto"/>
        </w:rPr>
        <w:tab/>
      </w:r>
      <w:r>
        <w:rPr>
          <w:rFonts w:ascii="Arial" w:cs="Arial" w:eastAsia="Arial" w:hAnsi="Arial"/>
          <w:sz w:val="18"/>
          <w:szCs w:val="18"/>
          <w:color w:val="auto"/>
        </w:rPr>
        <w:t>(2,071,413)</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40,000</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(827,127)</w:t>
      </w:r>
      <w:r>
        <w:rPr>
          <w:rFonts w:ascii="Arial" w:cs="Arial" w:eastAsia="Arial" w:hAnsi="Arial"/>
          <w:sz w:val="16"/>
          <w:szCs w:val="16"/>
          <w:color w:val="auto"/>
        </w:rPr>
        <w:t>(2,031,413)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174117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74117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-4445</wp:posOffset>
            </wp:positionV>
            <wp:extent cx="174117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p>
      <w:pPr>
        <w:spacing w:after="0" w:line="201" w:lineRule="exact"/>
        <w:rPr>
          <w:sz w:val="20"/>
          <w:szCs w:val="20"/>
          <w:color w:val="auto"/>
        </w:rPr>
      </w:pPr>
    </w:p>
    <w:p>
      <w:pPr>
        <w:ind w:left="680"/>
        <w:spacing w:after="0"/>
        <w:tabs>
          <w:tab w:leader="none" w:pos="2200" w:val="left"/>
        </w:tabs>
        <w:rPr>
          <w:sz w:val="20"/>
          <w:szCs w:val="20"/>
          <w:color w:val="auto"/>
        </w:rPr>
      </w:pPr>
      <w:r>
        <w:rPr>
          <w:rFonts w:ascii="Arial" w:cs="Arial" w:eastAsia="Arial" w:hAnsi="Arial"/>
          <w:sz w:val="18"/>
          <w:szCs w:val="18"/>
          <w:color w:val="auto"/>
        </w:rPr>
        <w:t>11,072</w:t>
      </w:r>
      <w:r>
        <w:rPr>
          <w:sz w:val="20"/>
          <w:szCs w:val="20"/>
          <w:color w:val="auto"/>
        </w:rPr>
        <w:tab/>
      </w:r>
      <w:r>
        <w:rPr>
          <w:rFonts w:ascii="Arial" w:cs="Arial" w:eastAsia="Arial" w:hAnsi="Arial"/>
          <w:sz w:val="18"/>
          <w:szCs w:val="18"/>
          <w:color w:val="auto"/>
        </w:rPr>
        <w:t>37,423</w:t>
      </w:r>
    </w:p>
    <w:p>
      <w:pPr>
        <w:jc w:val="both"/>
        <w:ind w:left="620"/>
        <w:spacing w:after="0" w:line="234" w:lineRule="auto"/>
        <w:tabs>
          <w:tab w:leader="none" w:pos="2240" w:val="left"/>
        </w:tabs>
        <w:rPr>
          <w:sz w:val="20"/>
          <w:szCs w:val="20"/>
          <w:color w:val="auto"/>
        </w:rPr>
      </w:pPr>
      <w:r>
        <w:rPr>
          <w:rFonts w:ascii="Arial" w:cs="Arial" w:eastAsia="Arial" w:hAnsi="Arial"/>
          <w:sz w:val="18"/>
          <w:szCs w:val="18"/>
          <w:color w:val="auto"/>
        </w:rPr>
        <w:t>(12,745)</w:t>
      </w:r>
      <w:r>
        <w:rPr>
          <w:sz w:val="20"/>
          <w:szCs w:val="20"/>
          <w:color w:val="auto"/>
        </w:rPr>
        <w:tab/>
      </w:r>
      <w:r>
        <w:rPr>
          <w:rFonts w:ascii="Arial" w:cs="Arial" w:eastAsia="Arial" w:hAnsi="Arial"/>
          <w:sz w:val="18"/>
          <w:szCs w:val="18"/>
          <w:color w:val="auto"/>
        </w:rPr>
        <w:t>(9,668)</w:t>
      </w:r>
    </w:p>
    <w:p>
      <w:pPr>
        <w:ind w:left="420"/>
        <w:spacing w:after="0" w:line="232" w:lineRule="auto"/>
        <w:tabs>
          <w:tab w:leader="none" w:pos="1860" w:val="left"/>
        </w:tabs>
        <w:rPr>
          <w:sz w:val="20"/>
          <w:szCs w:val="20"/>
          <w:color w:val="auto"/>
        </w:rPr>
      </w:pPr>
      <w:r>
        <w:rPr>
          <w:rFonts w:ascii="Arial" w:cs="Arial" w:eastAsia="Arial" w:hAnsi="Arial"/>
          <w:sz w:val="18"/>
          <w:szCs w:val="18"/>
          <w:color w:val="auto"/>
        </w:rPr>
        <w:t>8,999,731</w:t>
      </w:r>
      <w:r>
        <w:rPr>
          <w:sz w:val="20"/>
          <w:szCs w:val="20"/>
          <w:color w:val="auto"/>
        </w:rPr>
        <w:tab/>
      </w:r>
      <w:r>
        <w:rPr>
          <w:rFonts w:ascii="Arial" w:cs="Arial" w:eastAsia="Arial" w:hAnsi="Arial"/>
          <w:sz w:val="18"/>
          <w:szCs w:val="18"/>
          <w:color w:val="auto"/>
        </w:rPr>
        <w:t>17,451,965</w:t>
      </w:r>
    </w:p>
    <w:p>
      <w:pPr>
        <w:spacing w:after="0" w:line="1" w:lineRule="exact"/>
        <w:rPr>
          <w:sz w:val="20"/>
          <w:szCs w:val="20"/>
          <w:color w:val="auto"/>
        </w:rPr>
      </w:pPr>
    </w:p>
    <w:p>
      <w:pPr>
        <w:sectPr>
          <w:pgSz w:w="11900" w:h="16838" w:orient="portrait"/>
          <w:cols w:equalWidth="0" w:num="2">
            <w:col w:w="7620" w:space="720"/>
            <w:col w:w="290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580" w:type="dxa"/>
            <w:vAlign w:val="bottom"/>
          </w:tcPr>
          <w:p>
            <w:pPr>
              <w:ind w:left="840"/>
              <w:spacing w:after="0"/>
              <w:rPr>
                <w:sz w:val="20"/>
                <w:szCs w:val="20"/>
                <w:color w:val="auto"/>
              </w:rPr>
            </w:pPr>
            <w:r>
              <w:rPr>
                <w:rFonts w:ascii="Arial" w:cs="Arial" w:eastAsia="Arial" w:hAnsi="Arial"/>
                <w:sz w:val="18"/>
                <w:szCs w:val="18"/>
                <w:color w:val="auto"/>
              </w:rPr>
              <w:t>Net cash provided by financing activities</w:t>
            </w:r>
          </w:p>
        </w:tc>
        <w:tc>
          <w:tcPr>
            <w:tcW w:w="15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8,998,058</w:t>
            </w:r>
          </w:p>
        </w:tc>
        <w:tc>
          <w:tcPr>
            <w:tcW w:w="3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17,479,720</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ind w:left="840"/>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16,442,762</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(5,994,954)</w:t>
            </w:r>
          </w:p>
        </w:tc>
      </w:tr>
      <w:tr>
        <w:trPr>
          <w:trHeight w:val="210"/>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1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of year</w:t>
            </w:r>
          </w:p>
        </w:tc>
        <w:tc>
          <w:tcPr>
            <w:tcW w:w="15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2,173,765</w:t>
            </w:r>
          </w:p>
        </w:tc>
        <w:tc>
          <w:tcPr>
            <w:tcW w:w="3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8,168,719</w:t>
            </w:r>
          </w:p>
        </w:tc>
        <w:tc>
          <w:tcPr>
            <w:tcW w:w="140" w:type="dxa"/>
            <w:vAlign w:val="bottom"/>
            <w:shd w:val="clear" w:color="auto" w:fill="CCEEFF"/>
          </w:tcPr>
          <w:p>
            <w:pPr>
              <w:spacing w:after="0"/>
              <w:rPr>
                <w:sz w:val="17"/>
                <w:szCs w:val="17"/>
                <w:color w:val="auto"/>
              </w:rPr>
            </w:pPr>
          </w:p>
        </w:tc>
      </w:tr>
      <w:tr>
        <w:trPr>
          <w:trHeight w:val="217"/>
        </w:trPr>
        <w:tc>
          <w:tcPr>
            <w:tcW w:w="660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18,616,527</w:t>
            </w:r>
          </w:p>
        </w:tc>
        <w:tc>
          <w:tcPr>
            <w:tcW w:w="3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2,173,765</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activities</w:t>
            </w:r>
          </w:p>
        </w:tc>
        <w:tc>
          <w:tcPr>
            <w:tcW w:w="156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6600" w:type="dxa"/>
            <w:vAlign w:val="bottom"/>
            <w:gridSpan w:val="2"/>
          </w:tcPr>
          <w:p>
            <w:pPr>
              <w:spacing w:after="0" w:line="202" w:lineRule="exact"/>
              <w:rPr>
                <w:sz w:val="20"/>
                <w:szCs w:val="20"/>
                <w:color w:val="auto"/>
              </w:rPr>
            </w:pPr>
            <w:r>
              <w:rPr>
                <w:rFonts w:ascii="Arial" w:cs="Arial" w:eastAsia="Arial" w:hAnsi="Arial"/>
                <w:sz w:val="18"/>
                <w:szCs w:val="18"/>
                <w:color w:val="auto"/>
              </w:rPr>
              <w:t>Equipment purchases included in accounts payable</w:t>
            </w:r>
          </w:p>
        </w:tc>
        <w:tc>
          <w:tcPr>
            <w:tcW w:w="17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92"/>
              <w:spacing w:after="0" w:line="202" w:lineRule="exact"/>
              <w:rPr>
                <w:sz w:val="20"/>
                <w:szCs w:val="20"/>
                <w:color w:val="auto"/>
              </w:rPr>
            </w:pPr>
            <w:r>
              <w:rPr>
                <w:rFonts w:ascii="Arial" w:cs="Arial" w:eastAsia="Arial" w:hAnsi="Arial"/>
                <w:sz w:val="18"/>
                <w:szCs w:val="18"/>
                <w:color w:val="auto"/>
              </w:rPr>
              <w:t>23,636</w:t>
            </w:r>
          </w:p>
        </w:tc>
        <w:tc>
          <w:tcPr>
            <w:tcW w:w="3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277,068</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Equipment purchases under capital lease</w:t>
            </w:r>
          </w:p>
        </w:tc>
        <w:tc>
          <w:tcPr>
            <w:tcW w:w="1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416,230</w:t>
            </w:r>
          </w:p>
        </w:tc>
        <w:tc>
          <w:tcPr>
            <w:tcW w:w="3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240" w:top="459" w:right="419" w:bottom="1440" w:gutter="0" w:footer="0" w:header="0"/>
          <w:type w:val="continuous"/>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Notes to the financial statements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 Organization and basis of presentation</w:t>
      </w:r>
    </w:p>
    <w:p>
      <w:pPr>
        <w:spacing w:after="0" w:line="134"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Warp Drive Bio, Inc. (the “Company”) operates on the core principle that nature is the most powerful inventor of new drugs, unconstrained by the boundaries of modern science. The Company is deploying innovative Small Molecule-Assisted Receptor Targeting (SMART</w:t>
      </w:r>
      <w:r>
        <w:rPr>
          <w:rFonts w:ascii="Arial" w:cs="Arial" w:eastAsia="Arial" w:hAnsi="Arial"/>
          <w:sz w:val="10"/>
          <w:szCs w:val="10"/>
          <w:color w:val="auto"/>
        </w:rPr>
        <w:t>™</w:t>
      </w:r>
      <w:r>
        <w:rPr>
          <w:rFonts w:ascii="Arial" w:cs="Arial" w:eastAsia="Arial" w:hAnsi="Arial"/>
          <w:sz w:val="16"/>
          <w:szCs w:val="16"/>
          <w:color w:val="auto"/>
        </w:rPr>
        <w:t>) and Genomic Mining / antibiotic platforms to discover new medicines that have the potential to make a significant difference in the lives of patients. The Company was launched in 2011 through a partnership with Sanofi and with financing from Third Rock Ventures and Greylock Partners.</w:t>
      </w:r>
    </w:p>
    <w:p>
      <w:pPr>
        <w:spacing w:after="0" w:line="75" w:lineRule="exact"/>
        <w:rPr>
          <w:sz w:val="20"/>
          <w:szCs w:val="20"/>
          <w:color w:val="auto"/>
        </w:rPr>
      </w:pPr>
    </w:p>
    <w:p>
      <w:pPr>
        <w:jc w:val="both"/>
        <w:ind w:left="200" w:right="560"/>
        <w:spacing w:after="0" w:line="238"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after a series of mergers with certain affiliates in a tax-free manner. The Company’s shareholders stayed predominantly the same after these transactions.</w:t>
      </w:r>
    </w:p>
    <w:p>
      <w:pPr>
        <w:spacing w:after="0" w:line="100" w:lineRule="exact"/>
        <w:rPr>
          <w:sz w:val="20"/>
          <w:szCs w:val="20"/>
          <w:color w:val="auto"/>
        </w:rPr>
      </w:pPr>
    </w:p>
    <w:p>
      <w:pPr>
        <w:ind w:left="200" w:right="380"/>
        <w:spacing w:after="0" w:line="238" w:lineRule="auto"/>
        <w:rPr>
          <w:sz w:val="20"/>
          <w:szCs w:val="20"/>
          <w:color w:val="auto"/>
        </w:rPr>
      </w:pPr>
      <w:r>
        <w:rPr>
          <w:rFonts w:ascii="Arial" w:cs="Arial" w:eastAsia="Arial" w:hAnsi="Arial"/>
          <w:sz w:val="18"/>
          <w:szCs w:val="18"/>
          <w:color w:val="auto"/>
        </w:rPr>
        <w:t>The Company is subject to a number of risks similar to other life science companies including, but not limited to, raising additional capital, development by its competitors of new technological innovations, protection of proprietary technology, and market acceptance of the Company’s products.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The Company’s financial statements have been prepared on the basis of continuity of operations, realization of assets and the satisfaction of liabilities and commitments in the ordinary course of business. The Company has primarily funded its operations with proceeds from the sales of preferred units and milestones achieved as a result of collaboration arrangements. The Company has incurred losses since its inception, including net losses of approximately $18.2 million and $27.4 million for the years ended December 31, 2017 and 2016. As of December 31, 2017, the Company had an accumulated deficit of approximately $117.5 million. The Company expects that its operating losses will continue for the foreseeable future. As of October 16, 2018, the issuance date of the financial statements for the year ended December 31, 2017, the Company expects that its cash and cash equivalents will not be sufficient to fund its operating expenses and capital expenditure requirements for at least the next 12 months from the date that the financial statements are issued. The future viability of the Company is dependent on its ability to raise additional capital to finance its operations. These conditions raise substantial doubt about the Company’s ability to continue as a going concern within one year after the date that the financial statements are issued.</w:t>
      </w:r>
    </w:p>
    <w:p>
      <w:pPr>
        <w:spacing w:after="0" w:line="107"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Management’s plans to alleviate these conditions that raise substantial doubt regarding the Company’s ability to continue as a going concern include pursuing one or more of the following steps to raise additional funding, none of which can be guaranteed or are entirely within the Company’s control:</w:t>
      </w:r>
    </w:p>
    <w:p>
      <w:pPr>
        <w:spacing w:after="0" w:line="109" w:lineRule="exact"/>
        <w:rPr>
          <w:sz w:val="20"/>
          <w:szCs w:val="20"/>
          <w:color w:val="auto"/>
        </w:rPr>
      </w:pPr>
    </w:p>
    <w:p>
      <w:pPr>
        <w:ind w:left="420" w:hanging="216"/>
        <w:spacing w:after="0"/>
        <w:tabs>
          <w:tab w:leader="none" w:pos="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Sell Company’s stock in private equity financings.</w:t>
      </w:r>
    </w:p>
    <w:p>
      <w:pPr>
        <w:ind w:left="420" w:hanging="216"/>
        <w:spacing w:after="0"/>
        <w:tabs>
          <w:tab w:leader="none" w:pos="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Earn milestones payments under the Company’s collaboration with Roche. See Note 4.</w:t>
      </w:r>
    </w:p>
    <w:p>
      <w:pPr>
        <w:spacing w:after="0" w:line="104"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There can be no assurance, however, that the Company will receive cash proceeds from any of these potential resources or, to the extent cash proceeds are received, those proceeds would be sufficient to support the Company’s operations for at least the next year following the date that the financial statements are issued. Management has concluded the likelihood that its plan to obtain sufficient funding from one or more of these sources will be successful, while reasonably possible, is less than probable. Accordingly, management has concluded that substantial doubt exists regarding the Company’s ability to continue as a going concern.</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20"/>
          </w:cols>
          <w:pgMar w:left="24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presentation of financial statements in conformity with generally accepted accounting principles requires management to make estimates and assumptions that affect the amounts of assets and liabilities and disclosure of contingent assets and liabilities as of the date of the financial statements and the reported amounts of revenue and expenses during the reporting period.</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Patent costs</w:t>
      </w:r>
    </w:p>
    <w:p>
      <w:pPr>
        <w:spacing w:after="0" w:line="124"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The Company expenses patent and related legal costs as incurred as general and administrative expenses in the statements of operations and comprehensive loss.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24" w:lineRule="exact"/>
        <w:rPr>
          <w:sz w:val="20"/>
          <w:szCs w:val="20"/>
          <w:color w:val="auto"/>
        </w:rPr>
      </w:pPr>
    </w:p>
    <w:p>
      <w:pPr>
        <w:ind w:left="200" w:right="280"/>
        <w:spacing w:after="0" w:line="239" w:lineRule="auto"/>
        <w:rPr>
          <w:sz w:val="20"/>
          <w:szCs w:val="20"/>
          <w:color w:val="auto"/>
        </w:rPr>
      </w:pPr>
      <w:r>
        <w:rPr>
          <w:rFonts w:ascii="Arial" w:cs="Arial" w:eastAsia="Arial" w:hAnsi="Arial"/>
          <w:sz w:val="18"/>
          <w:szCs w:val="18"/>
          <w:color w:val="auto"/>
        </w:rPr>
        <w:t>Comprehensive loss is comprised of net loss and other comprehensive income (loss), if any. For the years ended December 31, 2017 and 2016, comprehensive loss was equal to net loss.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24"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Cash equivalents are short-term, highly liquid investments that are readily convertible into cash, with original maturities of three months or less.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24"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As of December 31, 2017 and 2016, the Company has $213,581 and $320,261, respectively, of long-term restricted cash related to deposits with a financial institution, which are used to collateralize letters of credit issued to the landlord of the Company’s leased facility (Note 10). During the year ended December 31, 2017, the Company reduced its restricted cash by $106,754 in accordance with the Company’s facility lease.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Property and equipment are stated at cost and are depreciated over their estimated useful lives using the straight-line method. Expenditures for maintenance and repairs are recorded to expense as incurred, whereas major improvements are capitalized as additions to property and equipment. Amortization of capital leases are included in depreciation expense. The Company reviews its property and equipment whenever events or changes in circumstances indicate that the carrying value of certain assets might not be recoverable, and recognizes an impairment loss when it is probable that an asset’s realizable value is less than the carrying value. To date, no such impairment losses have been recorded.</w:t>
      </w:r>
    </w:p>
    <w:p>
      <w:pPr>
        <w:spacing w:after="0" w:line="19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24" w:lineRule="exact"/>
        <w:rPr>
          <w:sz w:val="20"/>
          <w:szCs w:val="20"/>
          <w:color w:val="auto"/>
        </w:rPr>
      </w:pPr>
    </w:p>
    <w:p>
      <w:pPr>
        <w:jc w:val="both"/>
        <w:ind w:left="200" w:right="280"/>
        <w:spacing w:after="0" w:line="238" w:lineRule="auto"/>
        <w:rPr>
          <w:sz w:val="20"/>
          <w:szCs w:val="20"/>
          <w:color w:val="auto"/>
        </w:rPr>
      </w:pPr>
      <w:r>
        <w:rPr>
          <w:rFonts w:ascii="Arial" w:cs="Arial" w:eastAsia="Arial" w:hAnsi="Arial"/>
          <w:sz w:val="18"/>
          <w:szCs w:val="18"/>
          <w:color w:val="auto"/>
        </w:rPr>
        <w:t>Financial Accounting Standards Board Accounting Standards Codification (ASC) 825, Financial Instruments, requires disclosure of the fair value of financial instruments. For financial instruments including cash equivalents, accounts payable and accrued expenses, the carrying amount approximates fair value due to their short-term nature.</w:t>
      </w:r>
    </w:p>
    <w:p>
      <w:pPr>
        <w:spacing w:after="0" w:line="100" w:lineRule="exact"/>
        <w:rPr>
          <w:sz w:val="20"/>
          <w:szCs w:val="20"/>
          <w:color w:val="auto"/>
        </w:rPr>
      </w:pPr>
    </w:p>
    <w:p>
      <w:pPr>
        <w:ind w:left="200" w:right="220"/>
        <w:spacing w:after="0" w:line="238" w:lineRule="auto"/>
        <w:rPr>
          <w:sz w:val="20"/>
          <w:szCs w:val="20"/>
          <w:color w:val="auto"/>
        </w:rPr>
      </w:pPr>
      <w:r>
        <w:rPr>
          <w:rFonts w:ascii="Arial" w:cs="Arial" w:eastAsia="Arial" w:hAnsi="Arial"/>
          <w:sz w:val="18"/>
          <w:szCs w:val="18"/>
          <w:color w:val="auto"/>
        </w:rPr>
        <w:t>The Company believes that its debt obligations bear interest at rates which approximate prevailing market rates for instruments with similar characteristics and, accordingly, the carrying values for these instruments approximate fair value. The debt fair value measurements are considered Level 2 in the fair value hierarchy.</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80"/>
          </w:cols>
          <w:pgMar w:left="240" w:top="460" w:right="47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24"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ASC 820, Fair Value Measurements and Disclosures (ASC 820), defines fair value and establishes a framework for measuring fair value in accordance with GAAP and expands disclosures about fair value measurements. ASC 820 codifies the definition of fair value as the price that would be received to sell an asset or paid to transfer a liability in an orderly transaction between market participants at the measurement date, clarifies the principle that fair value should be based on the assumptions market participants would use when pricing the asset or liability, and establishes a fair value hierarchy that prioritizes the information used to develop those assumptions. The valuation hierarchy is based upon the transparency of inputs to the valuation of an asset or liability as of the measurement date.</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Fair value measurements are classified and disclosed in one of the following three categories: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04" w:lineRule="exact"/>
        <w:rPr>
          <w:sz w:val="20"/>
          <w:szCs w:val="20"/>
          <w:color w:val="auto"/>
        </w:rPr>
      </w:pPr>
    </w:p>
    <w:p>
      <w:pPr>
        <w:jc w:val="both"/>
        <w:ind w:left="420" w:right="500"/>
        <w:spacing w:after="0" w:line="238" w:lineRule="auto"/>
        <w:rPr>
          <w:sz w:val="20"/>
          <w:szCs w:val="20"/>
          <w:color w:val="auto"/>
        </w:rPr>
      </w:pPr>
      <w:r>
        <w:rPr>
          <w:rFonts w:ascii="Arial" w:cs="Arial" w:eastAsia="Arial" w:hAnsi="Arial"/>
          <w:sz w:val="18"/>
          <w:szCs w:val="18"/>
          <w:color w:val="auto"/>
        </w:rPr>
        <w:t>Level 2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Level 3 Unobservable inputs that are supported by little or no market activity and that are significant to the fair value of assets or liabilities.</w:t>
      </w:r>
    </w:p>
    <w:p>
      <w:pPr>
        <w:spacing w:after="0" w:line="127"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The Company measures the following financial assets at fair value on a recurring basis. The fair value of these assets was determined as follows at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40" w:type="dxa"/>
            <w:vAlign w:val="bottom"/>
            <w:gridSpan w:val="2"/>
          </w:tcPr>
          <w:p>
            <w:pPr>
              <w:jc w:val="center"/>
              <w:ind w:left="12"/>
              <w:spacing w:after="0"/>
              <w:rPr>
                <w:sz w:val="20"/>
                <w:szCs w:val="20"/>
                <w:color w:val="auto"/>
              </w:rPr>
            </w:pPr>
            <w:r>
              <w:rPr>
                <w:rFonts w:ascii="Arial" w:cs="Arial" w:eastAsia="Arial" w:hAnsi="Arial"/>
                <w:sz w:val="18"/>
                <w:szCs w:val="18"/>
                <w:b w:val="1"/>
                <w:bCs w:val="1"/>
                <w:color w:val="auto"/>
                <w:w w:val="98"/>
              </w:rPr>
              <w:t>Quoted prices in</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Significant</w:t>
            </w: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40" w:type="dxa"/>
            <w:vAlign w:val="bottom"/>
            <w:gridSpan w:val="2"/>
          </w:tcPr>
          <w:p>
            <w:pPr>
              <w:jc w:val="center"/>
              <w:ind w:left="32"/>
              <w:spacing w:after="0" w:line="202" w:lineRule="exact"/>
              <w:rPr>
                <w:sz w:val="20"/>
                <w:szCs w:val="20"/>
                <w:color w:val="auto"/>
              </w:rPr>
            </w:pPr>
            <w:r>
              <w:rPr>
                <w:rFonts w:ascii="Arial" w:cs="Arial" w:eastAsia="Arial" w:hAnsi="Arial"/>
                <w:sz w:val="18"/>
                <w:szCs w:val="18"/>
                <w:b w:val="1"/>
                <w:bCs w:val="1"/>
                <w:color w:val="auto"/>
                <w:w w:val="97"/>
              </w:rPr>
              <w:t>active markets</w:t>
            </w:r>
          </w:p>
        </w:tc>
        <w:tc>
          <w:tcPr>
            <w:tcW w:w="420" w:type="dxa"/>
            <w:vAlign w:val="bottom"/>
          </w:tcPr>
          <w:p>
            <w:pPr>
              <w:spacing w:after="0"/>
              <w:rPr>
                <w:sz w:val="17"/>
                <w:szCs w:val="17"/>
                <w:color w:val="auto"/>
              </w:rPr>
            </w:pPr>
          </w:p>
        </w:tc>
        <w:tc>
          <w:tcPr>
            <w:tcW w:w="1080" w:type="dxa"/>
            <w:vAlign w:val="bottom"/>
          </w:tcPr>
          <w:p>
            <w:pPr>
              <w:jc w:val="center"/>
              <w:ind w:right="292"/>
              <w:spacing w:after="0" w:line="202" w:lineRule="exact"/>
              <w:rPr>
                <w:sz w:val="20"/>
                <w:szCs w:val="20"/>
                <w:color w:val="auto"/>
              </w:rPr>
            </w:pPr>
            <w:r>
              <w:rPr>
                <w:rFonts w:ascii="Arial" w:cs="Arial" w:eastAsia="Arial" w:hAnsi="Arial"/>
                <w:sz w:val="18"/>
                <w:szCs w:val="18"/>
                <w:b w:val="1"/>
                <w:bCs w:val="1"/>
                <w:color w:val="auto"/>
                <w:w w:val="93"/>
              </w:rPr>
              <w:t>other</w:t>
            </w:r>
          </w:p>
        </w:tc>
        <w:tc>
          <w:tcPr>
            <w:tcW w:w="380" w:type="dxa"/>
            <w:vAlign w:val="bottom"/>
          </w:tcPr>
          <w:p>
            <w:pPr>
              <w:spacing w:after="0"/>
              <w:rPr>
                <w:sz w:val="17"/>
                <w:szCs w:val="17"/>
                <w:color w:val="auto"/>
              </w:rPr>
            </w:pPr>
          </w:p>
        </w:tc>
        <w:tc>
          <w:tcPr>
            <w:tcW w:w="11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7"/>
              </w:rPr>
              <w:t>Significant</w:t>
            </w: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jc w:val="center"/>
              <w:ind w:right="232"/>
              <w:spacing w:after="0" w:line="202" w:lineRule="exact"/>
              <w:rPr>
                <w:sz w:val="20"/>
                <w:szCs w:val="20"/>
                <w:color w:val="auto"/>
              </w:rPr>
            </w:pPr>
            <w:r>
              <w:rPr>
                <w:rFonts w:ascii="Arial" w:cs="Arial" w:eastAsia="Arial" w:hAnsi="Arial"/>
                <w:sz w:val="18"/>
                <w:szCs w:val="18"/>
                <w:b w:val="1"/>
                <w:bCs w:val="1"/>
                <w:color w:val="auto"/>
                <w:w w:val="97"/>
              </w:rPr>
              <w:t>Balance at</w:t>
            </w:r>
          </w:p>
        </w:tc>
        <w:tc>
          <w:tcPr>
            <w:tcW w:w="480" w:type="dxa"/>
            <w:vAlign w:val="bottom"/>
          </w:tcPr>
          <w:p>
            <w:pPr>
              <w:spacing w:after="0"/>
              <w:rPr>
                <w:sz w:val="17"/>
                <w:szCs w:val="17"/>
                <w:color w:val="auto"/>
              </w:rPr>
            </w:pPr>
          </w:p>
        </w:tc>
        <w:tc>
          <w:tcPr>
            <w:tcW w:w="1460" w:type="dxa"/>
            <w:vAlign w:val="bottom"/>
          </w:tcPr>
          <w:p>
            <w:pPr>
              <w:jc w:val="center"/>
              <w:ind w:right="292"/>
              <w:spacing w:after="0" w:line="202" w:lineRule="exact"/>
              <w:rPr>
                <w:sz w:val="20"/>
                <w:szCs w:val="20"/>
                <w:color w:val="auto"/>
              </w:rPr>
            </w:pPr>
            <w:r>
              <w:rPr>
                <w:rFonts w:ascii="Arial" w:cs="Arial" w:eastAsia="Arial" w:hAnsi="Arial"/>
                <w:sz w:val="18"/>
                <w:szCs w:val="18"/>
                <w:b w:val="1"/>
                <w:bCs w:val="1"/>
                <w:color w:val="auto"/>
                <w:w w:val="97"/>
              </w:rPr>
              <w:t>for identical</w:t>
            </w:r>
          </w:p>
        </w:tc>
        <w:tc>
          <w:tcPr>
            <w:tcW w:w="150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8"/>
              </w:rPr>
              <w:t>observable</w:t>
            </w:r>
          </w:p>
        </w:tc>
        <w:tc>
          <w:tcPr>
            <w:tcW w:w="1480" w:type="dxa"/>
            <w:vAlign w:val="bottom"/>
            <w:gridSpan w:val="3"/>
          </w:tcPr>
          <w:p>
            <w:pPr>
              <w:ind w:left="26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40" w:type="dxa"/>
            <w:vAlign w:val="bottom"/>
            <w:gridSpan w:val="3"/>
          </w:tcPr>
          <w:p>
            <w:pPr>
              <w:jc w:val="center"/>
              <w:spacing w:after="0" w:line="202" w:lineRule="exact"/>
              <w:rPr>
                <w:sz w:val="20"/>
                <w:szCs w:val="20"/>
                <w:color w:val="auto"/>
              </w:rPr>
            </w:pPr>
            <w:r>
              <w:rPr>
                <w:rFonts w:ascii="Arial" w:cs="Arial" w:eastAsia="Arial" w:hAnsi="Arial"/>
                <w:sz w:val="18"/>
                <w:szCs w:val="18"/>
                <w:b w:val="1"/>
                <w:bCs w:val="1"/>
                <w:color w:val="auto"/>
                <w:w w:val="97"/>
              </w:rPr>
              <w:t>December 31,</w:t>
            </w:r>
          </w:p>
        </w:tc>
        <w:tc>
          <w:tcPr>
            <w:tcW w:w="480" w:type="dxa"/>
            <w:vAlign w:val="bottom"/>
          </w:tcPr>
          <w:p>
            <w:pPr>
              <w:spacing w:after="0"/>
              <w:rPr>
                <w:sz w:val="17"/>
                <w:szCs w:val="17"/>
                <w:color w:val="auto"/>
              </w:rPr>
            </w:pPr>
          </w:p>
        </w:tc>
        <w:tc>
          <w:tcPr>
            <w:tcW w:w="1460" w:type="dxa"/>
            <w:vAlign w:val="bottom"/>
          </w:tcPr>
          <w:p>
            <w:pPr>
              <w:jc w:val="center"/>
              <w:ind w:right="292"/>
              <w:spacing w:after="0" w:line="202" w:lineRule="exact"/>
              <w:rPr>
                <w:sz w:val="20"/>
                <w:szCs w:val="20"/>
                <w:color w:val="auto"/>
              </w:rPr>
            </w:pPr>
            <w:r>
              <w:rPr>
                <w:rFonts w:ascii="Arial" w:cs="Arial" w:eastAsia="Arial" w:hAnsi="Arial"/>
                <w:sz w:val="18"/>
                <w:szCs w:val="18"/>
                <w:b w:val="1"/>
                <w:bCs w:val="1"/>
                <w:color w:val="auto"/>
                <w:w w:val="99"/>
              </w:rPr>
              <w:t>assets</w:t>
            </w:r>
          </w:p>
        </w:tc>
        <w:tc>
          <w:tcPr>
            <w:tcW w:w="420" w:type="dxa"/>
            <w:vAlign w:val="bottom"/>
          </w:tcPr>
          <w:p>
            <w:pPr>
              <w:spacing w:after="0"/>
              <w:rPr>
                <w:sz w:val="17"/>
                <w:szCs w:val="17"/>
                <w:color w:val="auto"/>
              </w:rPr>
            </w:pPr>
          </w:p>
        </w:tc>
        <w:tc>
          <w:tcPr>
            <w:tcW w:w="1080" w:type="dxa"/>
            <w:vAlign w:val="bottom"/>
          </w:tcPr>
          <w:p>
            <w:pPr>
              <w:jc w:val="center"/>
              <w:ind w:right="292"/>
              <w:spacing w:after="0" w:line="202" w:lineRule="exact"/>
              <w:rPr>
                <w:sz w:val="20"/>
                <w:szCs w:val="20"/>
                <w:color w:val="auto"/>
              </w:rPr>
            </w:pPr>
            <w:r>
              <w:rPr>
                <w:rFonts w:ascii="Arial" w:cs="Arial" w:eastAsia="Arial" w:hAnsi="Arial"/>
                <w:sz w:val="18"/>
                <w:szCs w:val="18"/>
                <w:b w:val="1"/>
                <w:bCs w:val="1"/>
                <w:color w:val="auto"/>
                <w:w w:val="99"/>
              </w:rPr>
              <w:t>inputs</w:t>
            </w:r>
          </w:p>
        </w:tc>
        <w:tc>
          <w:tcPr>
            <w:tcW w:w="380" w:type="dxa"/>
            <w:vAlign w:val="bottom"/>
          </w:tcPr>
          <w:p>
            <w:pPr>
              <w:spacing w:after="0"/>
              <w:rPr>
                <w:sz w:val="17"/>
                <w:szCs w:val="17"/>
                <w:color w:val="auto"/>
              </w:rPr>
            </w:pPr>
          </w:p>
        </w:tc>
        <w:tc>
          <w:tcPr>
            <w:tcW w:w="11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6"/>
              </w:rPr>
              <w:t>inputs</w:t>
            </w:r>
          </w:p>
        </w:tc>
      </w:tr>
      <w:tr>
        <w:trPr>
          <w:trHeight w:val="235"/>
        </w:trPr>
        <w:tc>
          <w:tcPr>
            <w:tcW w:w="20" w:type="dxa"/>
            <w:vAlign w:val="bottom"/>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b w:val="1"/>
                <w:bCs w:val="1"/>
                <w:color w:val="auto"/>
                <w:w w:val="94"/>
              </w:rPr>
              <w:t>2017</w:t>
            </w: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w w:val="95"/>
              </w:rPr>
              <w:t>(level 1)</w:t>
            </w: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92"/>
              <w:spacing w:after="0"/>
              <w:rPr>
                <w:sz w:val="20"/>
                <w:szCs w:val="20"/>
                <w:color w:val="auto"/>
              </w:rPr>
            </w:pPr>
            <w:r>
              <w:rPr>
                <w:rFonts w:ascii="Arial" w:cs="Arial" w:eastAsia="Arial" w:hAnsi="Arial"/>
                <w:sz w:val="18"/>
                <w:szCs w:val="18"/>
                <w:b w:val="1"/>
                <w:bCs w:val="1"/>
                <w:color w:val="auto"/>
                <w:w w:val="98"/>
              </w:rPr>
              <w:t>(level 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(level 3)</w:t>
            </w:r>
          </w:p>
        </w:tc>
      </w:tr>
      <w:tr>
        <w:trPr>
          <w:trHeight w:val="48"/>
        </w:trPr>
        <w:tc>
          <w:tcPr>
            <w:tcW w:w="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6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170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18,411,704</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18,411,704</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ind w:left="64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70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18,411,704</w:t>
            </w:r>
          </w:p>
        </w:tc>
        <w:tc>
          <w:tcPr>
            <w:tcW w:w="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32"/>
              <w:spacing w:after="0" w:line="202" w:lineRule="exact"/>
              <w:rPr>
                <w:sz w:val="20"/>
                <w:szCs w:val="20"/>
                <w:color w:val="auto"/>
              </w:rPr>
            </w:pPr>
            <w:r>
              <w:rPr>
                <w:rFonts w:ascii="Arial" w:cs="Arial" w:eastAsia="Arial" w:hAnsi="Arial"/>
                <w:sz w:val="18"/>
                <w:szCs w:val="18"/>
                <w:color w:val="auto"/>
              </w:rPr>
              <w:t>18,411,704</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2"/>
          </w:tcPr>
          <w:p>
            <w:pPr>
              <w:spacing w:after="0"/>
              <w:rPr>
                <w:sz w:val="17"/>
                <w:szCs w:val="17"/>
                <w:color w:val="auto"/>
              </w:rPr>
            </w:pPr>
          </w:p>
        </w:tc>
        <w:tc>
          <w:tcPr>
            <w:tcW w:w="1500" w:type="dxa"/>
            <w:vAlign w:val="bottom"/>
            <w:tcBorders>
              <w:bottom w:val="single" w:sz="8" w:color="auto"/>
            </w:tcBorders>
            <w:gridSpan w:val="2"/>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940" w:type="dxa"/>
            <w:vAlign w:val="bottom"/>
            <w:gridSpan w:val="2"/>
          </w:tcPr>
          <w:p>
            <w:pPr>
              <w:jc w:val="center"/>
              <w:ind w:right="72"/>
              <w:spacing w:after="0"/>
              <w:rPr>
                <w:sz w:val="20"/>
                <w:szCs w:val="20"/>
                <w:color w:val="auto"/>
              </w:rPr>
            </w:pPr>
            <w:r>
              <w:rPr>
                <w:rFonts w:ascii="Arial" w:cs="Arial" w:eastAsia="Arial" w:hAnsi="Arial"/>
                <w:sz w:val="18"/>
                <w:szCs w:val="18"/>
                <w:b w:val="1"/>
                <w:bCs w:val="1"/>
                <w:color w:val="auto"/>
                <w:w w:val="97"/>
              </w:rPr>
              <w:t>Quoted prices in</w:t>
            </w:r>
          </w:p>
        </w:tc>
        <w:tc>
          <w:tcPr>
            <w:tcW w:w="15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Significant</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40" w:type="dxa"/>
            <w:vAlign w:val="bottom"/>
            <w:gridSpan w:val="2"/>
          </w:tcPr>
          <w:p>
            <w:pPr>
              <w:jc w:val="center"/>
              <w:ind w:right="72"/>
              <w:spacing w:after="0" w:line="202" w:lineRule="exact"/>
              <w:rPr>
                <w:sz w:val="20"/>
                <w:szCs w:val="20"/>
                <w:color w:val="auto"/>
              </w:rPr>
            </w:pPr>
            <w:r>
              <w:rPr>
                <w:rFonts w:ascii="Arial" w:cs="Arial" w:eastAsia="Arial" w:hAnsi="Arial"/>
                <w:sz w:val="18"/>
                <w:szCs w:val="18"/>
                <w:b w:val="1"/>
                <w:bCs w:val="1"/>
                <w:color w:val="auto"/>
                <w:w w:val="97"/>
              </w:rPr>
              <w:t>active markets</w:t>
            </w:r>
          </w:p>
        </w:tc>
        <w:tc>
          <w:tcPr>
            <w:tcW w:w="420" w:type="dxa"/>
            <w:vAlign w:val="bottom"/>
          </w:tcPr>
          <w:p>
            <w:pPr>
              <w:spacing w:after="0"/>
              <w:rPr>
                <w:sz w:val="17"/>
                <w:szCs w:val="17"/>
                <w:color w:val="auto"/>
              </w:rPr>
            </w:pPr>
          </w:p>
        </w:tc>
        <w:tc>
          <w:tcPr>
            <w:tcW w:w="1080" w:type="dxa"/>
            <w:vAlign w:val="bottom"/>
          </w:tcPr>
          <w:p>
            <w:pPr>
              <w:jc w:val="center"/>
              <w:ind w:right="432"/>
              <w:spacing w:after="0" w:line="202" w:lineRule="exact"/>
              <w:rPr>
                <w:sz w:val="20"/>
                <w:szCs w:val="20"/>
                <w:color w:val="auto"/>
              </w:rPr>
            </w:pPr>
            <w:r>
              <w:rPr>
                <w:rFonts w:ascii="Arial" w:cs="Arial" w:eastAsia="Arial" w:hAnsi="Arial"/>
                <w:sz w:val="18"/>
                <w:szCs w:val="18"/>
                <w:b w:val="1"/>
                <w:bCs w:val="1"/>
                <w:color w:val="auto"/>
                <w:w w:val="97"/>
              </w:rPr>
              <w:t>other</w:t>
            </w:r>
          </w:p>
        </w:tc>
        <w:tc>
          <w:tcPr>
            <w:tcW w:w="380" w:type="dxa"/>
            <w:vAlign w:val="bottom"/>
          </w:tcPr>
          <w:p>
            <w:pPr>
              <w:spacing w:after="0"/>
              <w:rPr>
                <w:sz w:val="17"/>
                <w:szCs w:val="17"/>
                <w:color w:val="auto"/>
              </w:rPr>
            </w:pPr>
          </w:p>
        </w:tc>
        <w:tc>
          <w:tcPr>
            <w:tcW w:w="11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7"/>
              </w:rPr>
              <w:t>Significant</w:t>
            </w: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540" w:type="dxa"/>
            <w:vAlign w:val="bottom"/>
            <w:gridSpan w:val="3"/>
          </w:tcPr>
          <w:p>
            <w:pPr>
              <w:jc w:val="right"/>
              <w:ind w:right="452"/>
              <w:spacing w:after="0" w:line="202" w:lineRule="exact"/>
              <w:rPr>
                <w:sz w:val="20"/>
                <w:szCs w:val="20"/>
                <w:color w:val="auto"/>
              </w:rPr>
            </w:pPr>
            <w:r>
              <w:rPr>
                <w:rFonts w:ascii="Arial" w:cs="Arial" w:eastAsia="Arial" w:hAnsi="Arial"/>
                <w:sz w:val="18"/>
                <w:szCs w:val="18"/>
                <w:b w:val="1"/>
                <w:bCs w:val="1"/>
                <w:color w:val="auto"/>
              </w:rPr>
              <w:t>Balance at</w:t>
            </w:r>
          </w:p>
        </w:tc>
        <w:tc>
          <w:tcPr>
            <w:tcW w:w="1940" w:type="dxa"/>
            <w:vAlign w:val="bottom"/>
            <w:gridSpan w:val="2"/>
          </w:tcPr>
          <w:p>
            <w:pPr>
              <w:jc w:val="center"/>
              <w:ind w:right="92"/>
              <w:spacing w:after="0" w:line="202" w:lineRule="exact"/>
              <w:rPr>
                <w:sz w:val="20"/>
                <w:szCs w:val="20"/>
                <w:color w:val="auto"/>
              </w:rPr>
            </w:pPr>
            <w:r>
              <w:rPr>
                <w:rFonts w:ascii="Arial" w:cs="Arial" w:eastAsia="Arial" w:hAnsi="Arial"/>
                <w:sz w:val="18"/>
                <w:szCs w:val="18"/>
                <w:b w:val="1"/>
                <w:bCs w:val="1"/>
                <w:color w:val="auto"/>
                <w:w w:val="97"/>
              </w:rPr>
              <w:t>for identical</w:t>
            </w:r>
          </w:p>
        </w:tc>
        <w:tc>
          <w:tcPr>
            <w:tcW w:w="1500" w:type="dxa"/>
            <w:vAlign w:val="bottom"/>
            <w:gridSpan w:val="2"/>
          </w:tcPr>
          <w:p>
            <w:pPr>
              <w:jc w:val="center"/>
              <w:ind w:right="12"/>
              <w:spacing w:after="0" w:line="202" w:lineRule="exact"/>
              <w:rPr>
                <w:sz w:val="20"/>
                <w:szCs w:val="20"/>
                <w:color w:val="auto"/>
              </w:rPr>
            </w:pPr>
            <w:r>
              <w:rPr>
                <w:rFonts w:ascii="Arial" w:cs="Arial" w:eastAsia="Arial" w:hAnsi="Arial"/>
                <w:sz w:val="18"/>
                <w:szCs w:val="18"/>
                <w:b w:val="1"/>
                <w:bCs w:val="1"/>
                <w:color w:val="auto"/>
                <w:w w:val="96"/>
              </w:rPr>
              <w:t>observable</w:t>
            </w:r>
          </w:p>
        </w:tc>
        <w:tc>
          <w:tcPr>
            <w:tcW w:w="1480" w:type="dxa"/>
            <w:vAlign w:val="bottom"/>
            <w:gridSpan w:val="3"/>
          </w:tcPr>
          <w:p>
            <w:pPr>
              <w:ind w:left="26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2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940" w:type="dxa"/>
            <w:vAlign w:val="bottom"/>
            <w:gridSpan w:val="4"/>
          </w:tcPr>
          <w:p>
            <w:pPr>
              <w:ind w:left="1400"/>
              <w:spacing w:after="0" w:line="202" w:lineRule="exact"/>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17"/>
                <w:szCs w:val="17"/>
                <w:color w:val="auto"/>
              </w:rPr>
            </w:pPr>
          </w:p>
        </w:tc>
        <w:tc>
          <w:tcPr>
            <w:tcW w:w="1460" w:type="dxa"/>
            <w:vAlign w:val="bottom"/>
          </w:tcPr>
          <w:p>
            <w:pPr>
              <w:jc w:val="center"/>
              <w:ind w:right="552"/>
              <w:spacing w:after="0" w:line="202" w:lineRule="exact"/>
              <w:rPr>
                <w:sz w:val="20"/>
                <w:szCs w:val="20"/>
                <w:color w:val="auto"/>
              </w:rPr>
            </w:pPr>
            <w:r>
              <w:rPr>
                <w:rFonts w:ascii="Arial" w:cs="Arial" w:eastAsia="Arial" w:hAnsi="Arial"/>
                <w:sz w:val="18"/>
                <w:szCs w:val="18"/>
                <w:b w:val="1"/>
                <w:bCs w:val="1"/>
                <w:color w:val="auto"/>
                <w:w w:val="96"/>
              </w:rPr>
              <w:t>assets</w:t>
            </w:r>
          </w:p>
        </w:tc>
        <w:tc>
          <w:tcPr>
            <w:tcW w:w="420" w:type="dxa"/>
            <w:vAlign w:val="bottom"/>
          </w:tcPr>
          <w:p>
            <w:pPr>
              <w:spacing w:after="0"/>
              <w:rPr>
                <w:sz w:val="17"/>
                <w:szCs w:val="17"/>
                <w:color w:val="auto"/>
              </w:rPr>
            </w:pPr>
          </w:p>
        </w:tc>
        <w:tc>
          <w:tcPr>
            <w:tcW w:w="1080" w:type="dxa"/>
            <w:vAlign w:val="bottom"/>
          </w:tcPr>
          <w:p>
            <w:pPr>
              <w:jc w:val="center"/>
              <w:ind w:right="432"/>
              <w:spacing w:after="0" w:line="202" w:lineRule="exact"/>
              <w:rPr>
                <w:sz w:val="20"/>
                <w:szCs w:val="20"/>
                <w:color w:val="auto"/>
              </w:rPr>
            </w:pPr>
            <w:r>
              <w:rPr>
                <w:rFonts w:ascii="Arial" w:cs="Arial" w:eastAsia="Arial" w:hAnsi="Arial"/>
                <w:sz w:val="18"/>
                <w:szCs w:val="18"/>
                <w:b w:val="1"/>
                <w:bCs w:val="1"/>
                <w:color w:val="auto"/>
                <w:w w:val="96"/>
              </w:rPr>
              <w:t>inputs</w:t>
            </w:r>
          </w:p>
        </w:tc>
        <w:tc>
          <w:tcPr>
            <w:tcW w:w="380" w:type="dxa"/>
            <w:vAlign w:val="bottom"/>
          </w:tcPr>
          <w:p>
            <w:pPr>
              <w:spacing w:after="0"/>
              <w:rPr>
                <w:sz w:val="17"/>
                <w:szCs w:val="17"/>
                <w:color w:val="auto"/>
              </w:rPr>
            </w:pPr>
          </w:p>
        </w:tc>
        <w:tc>
          <w:tcPr>
            <w:tcW w:w="11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6"/>
              </w:rPr>
              <w:t>inputs</w:t>
            </w:r>
          </w:p>
        </w:tc>
      </w:tr>
      <w:tr>
        <w:trPr>
          <w:trHeight w:val="235"/>
        </w:trPr>
        <w:tc>
          <w:tcPr>
            <w:tcW w:w="20" w:type="dxa"/>
            <w:vAlign w:val="bottom"/>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92"/>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552"/>
              <w:spacing w:after="0"/>
              <w:rPr>
                <w:sz w:val="20"/>
                <w:szCs w:val="20"/>
                <w:color w:val="auto"/>
              </w:rPr>
            </w:pPr>
            <w:r>
              <w:rPr>
                <w:rFonts w:ascii="Arial" w:cs="Arial" w:eastAsia="Arial" w:hAnsi="Arial"/>
                <w:sz w:val="18"/>
                <w:szCs w:val="18"/>
                <w:b w:val="1"/>
                <w:bCs w:val="1"/>
                <w:color w:val="auto"/>
                <w:w w:val="98"/>
              </w:rPr>
              <w:t>(level 1)</w:t>
            </w:r>
          </w:p>
        </w:tc>
        <w:tc>
          <w:tcPr>
            <w:tcW w:w="1500" w:type="dxa"/>
            <w:vAlign w:val="bottom"/>
            <w:tcBorders>
              <w:bottom w:val="single" w:sz="8" w:color="auto"/>
            </w:tcBorders>
            <w:gridSpan w:val="2"/>
          </w:tcPr>
          <w:p>
            <w:pPr>
              <w:jc w:val="center"/>
              <w:ind w:right="12"/>
              <w:spacing w:after="0"/>
              <w:rPr>
                <w:sz w:val="20"/>
                <w:szCs w:val="20"/>
                <w:color w:val="auto"/>
              </w:rPr>
            </w:pPr>
            <w:r>
              <w:rPr>
                <w:rFonts w:ascii="Arial" w:cs="Arial" w:eastAsia="Arial" w:hAnsi="Arial"/>
                <w:sz w:val="18"/>
                <w:szCs w:val="18"/>
                <w:b w:val="1"/>
                <w:bCs w:val="1"/>
                <w:color w:val="auto"/>
                <w:w w:val="95"/>
              </w:rPr>
              <w:t>(level 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(level 3)</w:t>
            </w:r>
          </w:p>
        </w:tc>
      </w:tr>
      <w:tr>
        <w:trPr>
          <w:trHeight w:val="48"/>
        </w:trPr>
        <w:tc>
          <w:tcPr>
            <w:tcW w:w="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1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316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1600" w:type="dxa"/>
            <w:vAlign w:val="bottom"/>
            <w:gridSpan w:val="2"/>
          </w:tcPr>
          <w:p>
            <w:pPr>
              <w:ind w:left="138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tcPr>
          <w:p>
            <w:pPr>
              <w:jc w:val="center"/>
              <w:ind w:right="252"/>
              <w:spacing w:after="0" w:line="202" w:lineRule="exact"/>
              <w:rPr>
                <w:sz w:val="20"/>
                <w:szCs w:val="20"/>
                <w:color w:val="auto"/>
              </w:rPr>
            </w:pPr>
            <w:r>
              <w:rPr>
                <w:rFonts w:ascii="Arial" w:cs="Arial" w:eastAsia="Arial" w:hAnsi="Arial"/>
                <w:sz w:val="18"/>
                <w:szCs w:val="18"/>
                <w:color w:val="auto"/>
                <w:w w:val="97"/>
              </w:rPr>
              <w:t>2,072,164</w:t>
            </w:r>
          </w:p>
        </w:tc>
        <w:tc>
          <w:tcPr>
            <w:tcW w:w="48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ind w:right="272"/>
              <w:spacing w:after="0" w:line="202" w:lineRule="exact"/>
              <w:rPr>
                <w:sz w:val="20"/>
                <w:szCs w:val="20"/>
                <w:color w:val="auto"/>
              </w:rPr>
            </w:pPr>
            <w:r>
              <w:rPr>
                <w:rFonts w:ascii="Arial" w:cs="Arial" w:eastAsia="Arial" w:hAnsi="Arial"/>
                <w:sz w:val="18"/>
                <w:szCs w:val="18"/>
                <w:color w:val="auto"/>
              </w:rPr>
              <w:t>2,072,164</w:t>
            </w: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ind w:left="58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860"/>
              <w:spacing w:after="0" w:line="202" w:lineRule="exact"/>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3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1600" w:type="dxa"/>
            <w:vAlign w:val="bottom"/>
            <w:gridSpan w:val="2"/>
            <w:shd w:val="clear" w:color="auto" w:fill="CCEEFF"/>
          </w:tcPr>
          <w:p>
            <w:pPr>
              <w:ind w:left="138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center"/>
              <w:ind w:right="252"/>
              <w:spacing w:after="0" w:line="202" w:lineRule="exact"/>
              <w:rPr>
                <w:sz w:val="20"/>
                <w:szCs w:val="20"/>
                <w:color w:val="auto"/>
              </w:rPr>
            </w:pPr>
            <w:r>
              <w:rPr>
                <w:rFonts w:ascii="Arial" w:cs="Arial" w:eastAsia="Arial" w:hAnsi="Arial"/>
                <w:sz w:val="18"/>
                <w:szCs w:val="18"/>
                <w:color w:val="auto"/>
                <w:w w:val="97"/>
              </w:rPr>
              <w:t>2,072,164</w:t>
            </w:r>
          </w:p>
        </w:tc>
        <w:tc>
          <w:tcPr>
            <w:tcW w:w="4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272"/>
              <w:spacing w:after="0" w:line="202" w:lineRule="exact"/>
              <w:rPr>
                <w:sz w:val="20"/>
                <w:szCs w:val="20"/>
                <w:color w:val="auto"/>
              </w:rPr>
            </w:pPr>
            <w:r>
              <w:rPr>
                <w:rFonts w:ascii="Arial" w:cs="Arial" w:eastAsia="Arial" w:hAnsi="Arial"/>
                <w:sz w:val="18"/>
                <w:szCs w:val="18"/>
                <w:color w:val="auto"/>
              </w:rPr>
              <w:t>2,072,164</w:t>
            </w:r>
          </w:p>
        </w:tc>
        <w:tc>
          <w:tcPr>
            <w:tcW w:w="4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5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8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332"/>
              <w:spacing w:after="0"/>
              <w:rPr>
                <w:sz w:val="20"/>
                <w:szCs w:val="20"/>
                <w:color w:val="auto"/>
              </w:rPr>
            </w:pPr>
            <w:r>
              <w:rPr>
                <w:rFonts w:ascii="Arial" w:cs="Arial" w:eastAsia="Arial" w:hAnsi="Arial"/>
                <w:sz w:val="18"/>
                <w:szCs w:val="18"/>
                <w:color w:val="auto"/>
              </w:rPr>
              <w:t>F-75</w:t>
            </w:r>
          </w:p>
        </w:tc>
        <w:tc>
          <w:tcPr>
            <w:tcW w:w="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0"/>
        <w:spacing w:after="0" w:line="236" w:lineRule="auto"/>
        <w:rPr>
          <w:sz w:val="20"/>
          <w:szCs w:val="20"/>
          <w:color w:val="auto"/>
        </w:rPr>
      </w:pPr>
      <w:r>
        <w:rPr>
          <w:rFonts w:ascii="Arial" w:cs="Arial" w:eastAsia="Arial" w:hAnsi="Arial"/>
          <w:sz w:val="18"/>
          <w:szCs w:val="18"/>
          <w:color w:val="auto"/>
        </w:rPr>
        <w:t>In 2018, the Company identified an error in the amount of cash equivalents, specifically money market funds, reported in its 2016 leveling disclosures which resulted in an understatement of money market funds balances of $2,036,577 at December 31, 2016 and an offsetting overstatement of its cash balance presentation in the leveling table. In accordance with accounting guidance in ASC 250, the Company concluded that this error was not material to the previously issued financials statements. The disclosure has been revised to reflect the corrected money market funds balance of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2"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9"/>
              </w:rPr>
              <w:t>December 31, 2016</w:t>
            </w: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46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3"/>
          </w:tcPr>
          <w:p>
            <w:pPr>
              <w:ind w:left="2880"/>
              <w:spacing w:after="0"/>
              <w:rPr>
                <w:sz w:val="20"/>
                <w:szCs w:val="20"/>
                <w:color w:val="auto"/>
              </w:rPr>
            </w:pPr>
            <w:r>
              <w:rPr>
                <w:rFonts w:ascii="Arial" w:cs="Arial" w:eastAsia="Arial" w:hAnsi="Arial"/>
                <w:sz w:val="18"/>
                <w:szCs w:val="18"/>
                <w:b w:val="1"/>
                <w:bCs w:val="1"/>
                <w:color w:val="auto"/>
                <w:w w:val="96"/>
              </w:rPr>
              <w:t>As reported</w:t>
            </w:r>
          </w:p>
        </w:tc>
        <w:tc>
          <w:tcPr>
            <w:tcW w:w="16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Adjustment</w:t>
            </w: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As revised</w:t>
            </w:r>
          </w:p>
        </w:tc>
      </w:tr>
      <w:tr>
        <w:trPr>
          <w:trHeight w:val="196"/>
        </w:trPr>
        <w:tc>
          <w:tcPr>
            <w:tcW w:w="20" w:type="dxa"/>
            <w:vAlign w:val="bottom"/>
          </w:tcPr>
          <w:p>
            <w:pPr>
              <w:spacing w:after="0"/>
              <w:rPr>
                <w:sz w:val="17"/>
                <w:szCs w:val="17"/>
                <w:color w:val="auto"/>
              </w:rPr>
            </w:pPr>
          </w:p>
        </w:tc>
        <w:tc>
          <w:tcPr>
            <w:tcW w:w="44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Money market funds</w:t>
            </w:r>
          </w:p>
        </w:tc>
        <w:tc>
          <w:tcPr>
            <w:tcW w:w="3160" w:type="dxa"/>
            <w:vAlign w:val="bottom"/>
            <w:gridSpan w:val="2"/>
            <w:shd w:val="clear" w:color="auto" w:fill="CCEEFF"/>
          </w:tcPr>
          <w:p>
            <w:pPr>
              <w:ind w:left="2880"/>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35,587</w:t>
            </w:r>
          </w:p>
        </w:tc>
        <w:tc>
          <w:tcPr>
            <w:tcW w:w="166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$ 2,036,577</w:t>
            </w:r>
          </w:p>
        </w:tc>
        <w:tc>
          <w:tcPr>
            <w:tcW w:w="96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w w:val="97"/>
              </w:rPr>
              <w:t>$2,072,164</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In addition, cash balances were removed from the leveling table. The revisions had no impact to the previously reported Balance Sheets, Statements of Operations and Comprehensive Loss, Statements of Convertible Preferred Stock and Stockholders’ Deficit or the Statements of Cash Flows.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24" w:lineRule="exact"/>
        <w:rPr>
          <w:sz w:val="20"/>
          <w:szCs w:val="20"/>
          <w:color w:val="auto"/>
        </w:rPr>
      </w:pPr>
    </w:p>
    <w:p>
      <w:pPr>
        <w:jc w:val="both"/>
        <w:ind w:left="200" w:right="300"/>
        <w:spacing w:after="0" w:line="238" w:lineRule="auto"/>
        <w:rPr>
          <w:sz w:val="20"/>
          <w:szCs w:val="20"/>
          <w:color w:val="auto"/>
        </w:rPr>
      </w:pPr>
      <w:r>
        <w:rPr>
          <w:rFonts w:ascii="Arial" w:cs="Arial" w:eastAsia="Arial" w:hAnsi="Arial"/>
          <w:sz w:val="18"/>
          <w:szCs w:val="18"/>
          <w:color w:val="auto"/>
        </w:rPr>
        <w:t>Beginning on October 5, 2017, the Company has earned revenue under the research collaboration with F. Hoffman-La Roche Limited and Hoffman-La Roche Inc. (Roche) concentrated on the development of drug candidates from novel natural products with antibiotic properties called Neomorphs.</w:t>
      </w:r>
    </w:p>
    <w:p>
      <w:pPr>
        <w:spacing w:after="0" w:line="100"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Beginning on January 8, 2016, the Company has earned revenue under the research collaboration with Sanofi Research Invest, LLC (Sanofi), a large shareholder, in which the Company granted an exclusive license focused on the development of drugs targeting important human oncogenes.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See Note 4 regarding the notice of termination of this collaboration during the year ended December 31, 2017.</w:t>
      </w:r>
    </w:p>
    <w:p>
      <w:pPr>
        <w:spacing w:after="0" w:line="104"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The Company recognizes revenue in accordance with ASC Topic 605, Revenue Recognition (ASC 605). Accordingly, revenue is recognized for each unit of accounting when all of the following criteria are met:</w:t>
      </w:r>
    </w:p>
    <w:p>
      <w:pPr>
        <w:spacing w:after="0" w:line="110" w:lineRule="exact"/>
        <w:rPr>
          <w:sz w:val="20"/>
          <w:szCs w:val="20"/>
          <w:color w:val="auto"/>
        </w:rPr>
      </w:pPr>
    </w:p>
    <w:p>
      <w:pPr>
        <w:ind w:left="420" w:hanging="216"/>
        <w:spacing w:after="0"/>
        <w:tabs>
          <w:tab w:leader="none" w:pos="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Persuasive evidence of an arrangement exists;</w:t>
      </w:r>
    </w:p>
    <w:p>
      <w:pPr>
        <w:ind w:left="420" w:hanging="216"/>
        <w:spacing w:after="0" w:line="234" w:lineRule="auto"/>
        <w:tabs>
          <w:tab w:leader="none" w:pos="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Delivery has occurred or services have been rendered;</w:t>
      </w:r>
    </w:p>
    <w:p>
      <w:pPr>
        <w:ind w:left="420" w:hanging="216"/>
        <w:spacing w:after="0" w:line="234" w:lineRule="auto"/>
        <w:tabs>
          <w:tab w:leader="none" w:pos="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seller’s price to the buyer is fixed or determinable; and</w:t>
      </w:r>
    </w:p>
    <w:p>
      <w:pPr>
        <w:ind w:left="420" w:hanging="216"/>
        <w:spacing w:after="0"/>
        <w:tabs>
          <w:tab w:leader="none" w:pos="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Collectability is reasonably assured.</w:t>
      </w:r>
    </w:p>
    <w:p>
      <w:pPr>
        <w:spacing w:after="0" w:line="104" w:lineRule="exact"/>
        <w:rPr>
          <w:sz w:val="20"/>
          <w:szCs w:val="20"/>
          <w:color w:val="auto"/>
        </w:rPr>
      </w:pPr>
    </w:p>
    <w:p>
      <w:pPr>
        <w:jc w:val="both"/>
        <w:ind w:left="200" w:right="200"/>
        <w:spacing w:after="0" w:line="281" w:lineRule="auto"/>
        <w:rPr>
          <w:sz w:val="20"/>
          <w:szCs w:val="20"/>
          <w:color w:val="auto"/>
        </w:rPr>
      </w:pPr>
      <w:r>
        <w:rPr>
          <w:rFonts w:ascii="Arial" w:cs="Arial" w:eastAsia="Arial" w:hAnsi="Arial"/>
          <w:sz w:val="16"/>
          <w:szCs w:val="16"/>
          <w:color w:val="auto"/>
        </w:rPr>
        <w:t>Amounts received prior to satisfying the revenue recognition criteria are recorded as deferred revenue. Amounts expected to be recognized as revenue within the 12 months following the balance sheet date are classified in current liabilities. Amounts not expected to be recognized as revenue within the 12 months following the balance sheet date are classified as deferred revenue, less current portion.</w:t>
      </w:r>
    </w:p>
    <w:p>
      <w:pPr>
        <w:spacing w:after="0" w:line="70" w:lineRule="exact"/>
        <w:rPr>
          <w:sz w:val="20"/>
          <w:szCs w:val="20"/>
          <w:color w:val="auto"/>
        </w:rPr>
      </w:pPr>
    </w:p>
    <w:p>
      <w:pPr>
        <w:ind w:left="200" w:right="80"/>
        <w:spacing w:after="0" w:line="270" w:lineRule="auto"/>
        <w:rPr>
          <w:sz w:val="20"/>
          <w:szCs w:val="20"/>
          <w:color w:val="auto"/>
        </w:rPr>
      </w:pPr>
      <w:r>
        <w:rPr>
          <w:rFonts w:ascii="Arial" w:cs="Arial" w:eastAsia="Arial" w:hAnsi="Arial"/>
          <w:sz w:val="16"/>
          <w:szCs w:val="16"/>
          <w:color w:val="auto"/>
        </w:rPr>
        <w:t>The Company evaluates multiple—element arrangements based on the guidance in ASC Topic 605—25, Revenue Recognition Multiple— Element Arrangements (ASC 605—25). Pursuant to the guidance in ASC 605—25, the Company evaluates multiple—element arrangements to determine (1) the deliverables included in the arrangement and (2) whether the individual deliverables represent separate units of accounting or whether they must be accounted for as a combined unit of accounting. This evaluation involves subjective determinations and requires the Company to make judgments about the individual deliverables and whether such deliverables are separable from the other aspects of the contractual relationship. Deliverables are considered separate units of accounting provided that the delivered item has value to the customer on a standalone basis and, if the arrangement includes a general right of return relative to the delivered item,</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40"/>
          </w:cols>
          <w:pgMar w:left="240" w:top="459" w:right="41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delivery or performance of the undelivered item is considered probable and substantially in the Company’s control. In assessing whether an item has standalone value,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use a deliverable for its intended purpose without the receipt of the remaining deliverable, whether the value of the deliverable is dependent on the undelivered item and whether there are other vendors that can provide the undelivered items.</w:t>
      </w:r>
    </w:p>
    <w:p>
      <w:pPr>
        <w:spacing w:after="0" w:line="102" w:lineRule="exact"/>
        <w:rPr>
          <w:sz w:val="20"/>
          <w:szCs w:val="20"/>
          <w:color w:val="auto"/>
        </w:rPr>
      </w:pPr>
    </w:p>
    <w:p>
      <w:pPr>
        <w:ind w:left="200" w:right="40"/>
        <w:spacing w:after="0" w:line="269" w:lineRule="auto"/>
        <w:rPr>
          <w:sz w:val="20"/>
          <w:szCs w:val="20"/>
          <w:color w:val="auto"/>
        </w:rPr>
      </w:pPr>
      <w:r>
        <w:rPr>
          <w:rFonts w:ascii="Arial" w:cs="Arial" w:eastAsia="Arial" w:hAnsi="Arial"/>
          <w:sz w:val="16"/>
          <w:szCs w:val="16"/>
          <w:color w:val="auto"/>
        </w:rPr>
        <w:t>The consideration received under the arrangement that is fixed or determinable is then allocated among the separate units of accounting using the relative selling price method. The Company determines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Determining the BESP for a unit of accounting requires significant judgment. In developing the BESP for a unit of accounting, the Company considers applicable market conditions and relevant entity—specific factors, including factors that were contemplated in negotiating the agreement with the customer and estimated costs. The Company validates the BESP for units of accounting by evaluating whether changes in the key assumptions used to determine the BESP will have a significant effect on the allocation of arrangement consideration between multiple units of accounting.</w:t>
      </w:r>
    </w:p>
    <w:p>
      <w:pPr>
        <w:spacing w:after="0" w:line="79"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The Company recognizes arrangement consideration allocated to each unit of accounting when all of the revenue recognition criteria in ASC 605 are satisfied for that particular unit of accounting. In the event that a deliverable does not represent a separate unit of accounting, the Company recognizes revenue from the combined unit of accounting over the Company’s contractual or estimated performance period for the undelivered elements, which is typically the term of the Company’s research and development obligations. If there is no discernible pattern of performance or objectively measurable performance measures do not exist, then the Company recognizes revenue under the arrangement on a straight—line basis over the period the Company is expected to complete its performance obligations.</w:t>
      </w:r>
    </w:p>
    <w:p>
      <w:pPr>
        <w:spacing w:after="0" w:line="77"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At the inception of an arrangement that includes milestone payments, the Company evaluates whether each milestone is substantive and at risk to both parties on the basis of the contingent nature of the milestone. This evaluation includes an assessment of whether: (1) the consideration is commensurate with either the Company’s performance to achieve the milestone or the enhancement of the value of the delivered item(s) as a result of a specific outcome resulting from its performance to achieve the milestone, (2) the consideration relates solely to past performance and (3) the consideration is reasonable relative to all of the deliverables and payment terms within the arrangement. The Company evaluates factors such as the scientific, clinical, regulatory, commercial, and other risks that must be overcome to achieve the particular milestone and the level of effort and investment required to achieve the particular milestone in making this assessment. There is considerable judgment involved in determining whether a milestone satisfies all of the criteria required to conclude that a milestone is substantive. Milestones that are not considered substantive are recognized as earned if here are no remaining performance obligations or over the remaining period of performance, assuming all other revenue recognition criteria are met. The Company uses the cumulative catch-up approach.</w:t>
      </w:r>
    </w:p>
    <w:p>
      <w:pPr>
        <w:spacing w:after="0" w:line="107"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00" w:lineRule="exact"/>
        <w:rPr>
          <w:sz w:val="20"/>
          <w:szCs w:val="20"/>
          <w:color w:val="auto"/>
        </w:rPr>
      </w:pPr>
    </w:p>
    <w:p>
      <w:pPr>
        <w:ind w:left="200" w:right="340"/>
        <w:spacing w:after="0" w:line="237" w:lineRule="auto"/>
        <w:rPr>
          <w:sz w:val="20"/>
          <w:szCs w:val="20"/>
          <w:color w:val="auto"/>
        </w:rPr>
      </w:pPr>
      <w:r>
        <w:rPr>
          <w:rFonts w:ascii="Arial" w:cs="Arial" w:eastAsia="Arial" w:hAnsi="Arial"/>
          <w:sz w:val="18"/>
          <w:szCs w:val="18"/>
          <w:color w:val="auto"/>
        </w:rPr>
        <w:t>The Company follows the accounting guidance in ASC 808 Collaborations for collaborative arrangements which require that certain transactions between collaborators be recorded in the Statement of Operations and Comprehensive Loss on either a gross or net basis, depending on the characteristics of the collaboration relationship, and provides for enhanced disclosure of collaborative relationships. The Company accounts for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20"/>
          </w:cols>
          <w:pgMar w:left="240" w:top="459" w:right="4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collaborations within the scope of ASC 808 when both parties are actively participating and exposed to significant risks and rewards. The ASC 808 guidance is specific to presentation and disclosure and does not address recognition and measurement. The Company evaluated its collaborative agreements for proper classification in the Statement of Operations and Comprehensive Loss based on the nature of the underlying activity.</w:t>
      </w:r>
    </w:p>
    <w:p>
      <w:pPr>
        <w:spacing w:after="0" w:line="10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If payments to and from collaborative partners are not within the scope of other authoritative literature, the classification in the Statement of Operations and Comprehensive Loss for the payments is based on a reasonable, rational analogy to authoritative accounting that is applied in a consistent manner. Payments and services are reviewed in order to determine if gross or net presentation is appropriate.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Grant revenue</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Company has concluded to recognize funding received from antibiotic grants from the Gates Foundation, the Cystic Fibrosis Foundation and the Small Business Innovative Research program as revenue, rather than as a reduction of research and development expenses, because the Company is the principal in conducting the research and development activities and these contracts are central to its Neomorph antibiotic ongoing operations. Revenue is recognized as the qualifying expenses related to the contracts are incurred and at times approved by the counter- party. Revenue recognition commences only once persuasive evidence of a contract exists, services have been rendered, the reimbursement amounts under the contract are fixed or determinable and approved by the counter party, and collectability is reasonably assured.</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24" w:lineRule="exact"/>
        <w:rPr>
          <w:sz w:val="20"/>
          <w:szCs w:val="20"/>
          <w:color w:val="auto"/>
        </w:rPr>
      </w:pPr>
    </w:p>
    <w:p>
      <w:pPr>
        <w:ind w:left="200" w:right="360"/>
        <w:spacing w:after="0" w:line="238" w:lineRule="auto"/>
        <w:rPr>
          <w:sz w:val="20"/>
          <w:szCs w:val="20"/>
          <w:color w:val="auto"/>
        </w:rPr>
      </w:pPr>
      <w:r>
        <w:rPr>
          <w:rFonts w:ascii="Arial" w:cs="Arial" w:eastAsia="Arial" w:hAnsi="Arial"/>
          <w:sz w:val="18"/>
          <w:szCs w:val="18"/>
          <w:color w:val="auto"/>
        </w:rPr>
        <w:t>Expenditures relating to research and development are expensed in the period incurred. R&amp;D costs consist of compensation and benefits (including stock-based compensation) for R&amp;D employees, an allocation of facility expenses, overhead expenses, fees paid to contract research organizations (CROs) and other outside expenses.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General and administrative costs</w:t>
      </w:r>
    </w:p>
    <w:p>
      <w:pPr>
        <w:spacing w:after="0" w:line="124"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General and administrative costs primarily costs of compensation and benefits (including stock- based compensation) of executive, human resources, and finance employees. Other costs include facility costs not otherwise included in research and development expense, and professional fees for legal and accounting services. General and administrative expense also consists of the costs of maintaining the Company’s intellectual property.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after a series of mergers with certain affiliates in a tax-free manner. The holders of common units received an equivalent number of common stock.</w:t>
      </w:r>
    </w:p>
    <w:p>
      <w:pPr>
        <w:spacing w:after="0" w:line="100"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The Company uses the liability method to account for income taxes. Deferred tax assets and liabilities are determined based on differences between financial reporting and income tax basis of assets and liabilities, as well as net operating loss and tax credit carryforwards, and are measured using the enacted tax rates and laws that will be in effect when the differences reverse. Deferred tax assets are reduced by a valuation allowance to reflect the uncertainty associated with their ultimate realization. The effect of a change in tax rate on deferred taxes is recognized in income or loss in the period that includes the enactment date.</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220"/>
          </w:cols>
          <w:pgMar w:left="240" w:top="459" w:right="4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The Company uses its judgment for the financial statement recognition and measurement of a tax position taken or expected to be taken in a tax return. The Company recognizes any material interest and penalties related to unrecognized tax benefits in income tax expense.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Concentrations of credit risk and off-balance sheet risk</w:t>
      </w:r>
    </w:p>
    <w:p>
      <w:pPr>
        <w:spacing w:after="0" w:line="124" w:lineRule="exact"/>
        <w:rPr>
          <w:sz w:val="20"/>
          <w:szCs w:val="20"/>
          <w:color w:val="auto"/>
        </w:rPr>
      </w:pPr>
    </w:p>
    <w:p>
      <w:pPr>
        <w:ind w:left="200" w:right="280"/>
        <w:spacing w:after="0" w:line="236" w:lineRule="auto"/>
        <w:rPr>
          <w:sz w:val="20"/>
          <w:szCs w:val="20"/>
          <w:color w:val="auto"/>
        </w:rPr>
      </w:pPr>
      <w:r>
        <w:rPr>
          <w:rFonts w:ascii="Arial" w:cs="Arial" w:eastAsia="Arial" w:hAnsi="Arial"/>
          <w:sz w:val="18"/>
          <w:szCs w:val="18"/>
          <w:color w:val="auto"/>
        </w:rPr>
        <w:t>The Company has no significant off-balance sheet risk such as foreign exchange contracts, option contracts, or other foreign hedging arrangements. Financial instruments that potentially expose the Company to concentrations of credit risk primarily consist of cash held in traditional bank accounts. At December 31, 2017, the Company’s cash was deposited with a large financial institution and, accordingly, the Company believes such funds are subject to minimal credit risk. The Company invests its cash equivalents in highly rated money market funds.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accounts for stock-based compensation awards in accordance with ASC Topic 718, Compensation—Stock Compensation (ASC 718). ASC 718 requires all share-based payments to employees, including unvested restricted stock, to be recognized as expense in the statements of operations based on their grant date fair values. In January 2016, the Company amended the Limited Liability Company Agreement with its preferred shareholders and restructured the Company as a C Corporation. In 2016 as a C Corporation, the Company granted unvested restricted stock to employees and members of the Board of Directors. Stock-based compensation for restricted stock issued for consideration less than the fair market value is recognized over the vesting period on a straight-line basis.</w:t>
      </w:r>
    </w:p>
    <w:p>
      <w:pPr>
        <w:spacing w:after="0" w:line="102" w:lineRule="exact"/>
        <w:rPr>
          <w:sz w:val="20"/>
          <w:szCs w:val="20"/>
          <w:color w:val="auto"/>
        </w:rPr>
      </w:pPr>
    </w:p>
    <w:p>
      <w:pPr>
        <w:ind w:left="200" w:right="160"/>
        <w:spacing w:after="0" w:line="264" w:lineRule="auto"/>
        <w:rPr>
          <w:sz w:val="20"/>
          <w:szCs w:val="20"/>
          <w:color w:val="auto"/>
        </w:rPr>
      </w:pPr>
      <w:r>
        <w:rPr>
          <w:rFonts w:ascii="Arial" w:cs="Arial" w:eastAsia="Arial" w:hAnsi="Arial"/>
          <w:sz w:val="16"/>
          <w:szCs w:val="16"/>
          <w:color w:val="auto"/>
        </w:rPr>
        <w:t>Share-based payments issued to nonemployees are initially recorded at their fair values, and are revalued at each reporting date and as the equity instruments vest and are recognized as expense over the related service period in accordance with the provisions of ASC Topic</w:t>
      </w:r>
    </w:p>
    <w:p>
      <w:pPr>
        <w:ind w:left="200" w:right="340"/>
        <w:spacing w:after="0" w:line="237" w:lineRule="auto"/>
        <w:rPr>
          <w:sz w:val="20"/>
          <w:szCs w:val="20"/>
          <w:color w:val="auto"/>
        </w:rPr>
      </w:pPr>
      <w:r>
        <w:rPr>
          <w:rFonts w:ascii="Arial" w:cs="Arial" w:eastAsia="Arial" w:hAnsi="Arial"/>
          <w:sz w:val="18"/>
          <w:szCs w:val="18"/>
          <w:color w:val="auto"/>
        </w:rPr>
        <w:t>505-50, Equity-Based Payments to Non Employees. During the year ended December 31, 2017, 25,000 unvested restricted stock was granted to nonemployees. During the year ended December 31, 2016, no unvested restricted stock was granted to nonemployees. Stock-based compensation costs for nonemployee awards is recognized as services are provided, which is generally the vesting period, on a straight-line basis. The unvested portion of the restricted stock is subject to remeasurement over the vesting period.</w:t>
      </w:r>
    </w:p>
    <w:p>
      <w:pPr>
        <w:spacing w:after="0" w:line="101" w:lineRule="exact"/>
        <w:rPr>
          <w:sz w:val="20"/>
          <w:szCs w:val="20"/>
          <w:color w:val="auto"/>
        </w:rPr>
      </w:pPr>
    </w:p>
    <w:p>
      <w:pPr>
        <w:ind w:left="200" w:right="300"/>
        <w:spacing w:after="0" w:line="238"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after a series of mergers with certain affiliates in a tax-free manner. The holders of common units and capital interests received an equivalent number of common stock with the same vesting provisions as the original awards.</w:t>
      </w:r>
    </w:p>
    <w:p>
      <w:pPr>
        <w:spacing w:after="0" w:line="100" w:lineRule="exact"/>
        <w:rPr>
          <w:sz w:val="20"/>
          <w:szCs w:val="20"/>
          <w:color w:val="auto"/>
        </w:rPr>
      </w:pPr>
    </w:p>
    <w:p>
      <w:pPr>
        <w:ind w:left="200" w:right="140"/>
        <w:spacing w:after="0" w:line="235" w:lineRule="auto"/>
        <w:rPr>
          <w:sz w:val="20"/>
          <w:szCs w:val="20"/>
          <w:color w:val="auto"/>
        </w:rPr>
      </w:pPr>
      <w:r>
        <w:rPr>
          <w:rFonts w:ascii="Arial" w:cs="Arial" w:eastAsia="Arial" w:hAnsi="Arial"/>
          <w:sz w:val="18"/>
          <w:szCs w:val="18"/>
          <w:color w:val="auto"/>
        </w:rPr>
        <w:t>The Company has utilized significant estimates and assumptions in determining the fair value of its common stock and common units. The Board of Directors determined the estimated fair value of the Company’s common stock based on a number of objective and subjective factors, including the lack of an active public market for the Company’s common and convertible preferred stock; the prices of shares of the Company’s convertible preferred stock that the Company had sold to outside investors in arm’s length transactions, and the rights, preferences, and privileges of that convertible preferred stock relative to the Company’s common stock; the Company’s results of operations and financial condition; the Company’s entry into collaboration agreements; the material risks related to the Company’s business; the Company’s business strategy; the market performance of publicly traded companies in the life sciences and biotechnology sectors; and the likelihood of achieving a liquidity event for the holders of the Company’s common stock, such as an initial public offering (IPO), given prevailing market conditions. Significant changes to the key assumptions used in the valuations could have resulted in different fair values of the Company’s common stock at each valuation date.</w:t>
      </w:r>
    </w:p>
    <w:p>
      <w:pPr>
        <w:spacing w:after="0" w:line="1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220"/>
          </w:cols>
          <w:pgMar w:left="240" w:top="460" w:right="4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24"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In May 2014, the Financial Accounting Standards Board, or FASB, issued Accounting Standard Update, or ASU, No. 2014-9, Revenue from Contracts with Customers, or ASU No. 2014-9,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private companies for annual reporting periods beginning after December 15, 2018 and should be applied retrospectively to each prior reporting period presented or retrospectively with the cumulative effect of initially applying this update recognized at the date of initial application. The Company is currently evaluating the impact of the adoption of this standard on its financial statements.</w:t>
      </w:r>
    </w:p>
    <w:p>
      <w:pPr>
        <w:spacing w:after="0" w:line="282" w:lineRule="exact"/>
        <w:rPr>
          <w:sz w:val="20"/>
          <w:szCs w:val="20"/>
          <w:color w:val="auto"/>
        </w:rPr>
      </w:pPr>
    </w:p>
    <w:p>
      <w:pPr>
        <w:ind w:left="200" w:right="280"/>
        <w:spacing w:after="0" w:line="237" w:lineRule="auto"/>
        <w:rPr>
          <w:sz w:val="20"/>
          <w:szCs w:val="20"/>
          <w:color w:val="auto"/>
        </w:rPr>
      </w:pPr>
      <w:r>
        <w:rPr>
          <w:rFonts w:ascii="Arial" w:cs="Arial" w:eastAsia="Arial" w:hAnsi="Arial"/>
          <w:sz w:val="18"/>
          <w:szCs w:val="18"/>
          <w:color w:val="auto"/>
        </w:rPr>
        <w:t>In February 2016, the FASB issued ASU 2016-02, Leases. This standard amends the existing guidance to require lessees to present most leases on their balance sheets and recognize corresponding expenses on their statements of operations. It is effective for annual reporting periods beginning after December 15, 2019, but early adoption is permitted. The Company is currently evaluating the impact that this standard will have on its financial statements.</w:t>
      </w:r>
    </w:p>
    <w:p>
      <w:pPr>
        <w:spacing w:after="0" w:line="101" w:lineRule="exact"/>
        <w:rPr>
          <w:sz w:val="20"/>
          <w:szCs w:val="20"/>
          <w:color w:val="auto"/>
        </w:rPr>
      </w:pPr>
    </w:p>
    <w:p>
      <w:pPr>
        <w:ind w:left="200" w:right="220"/>
        <w:spacing w:after="0" w:line="275" w:lineRule="auto"/>
        <w:rPr>
          <w:sz w:val="20"/>
          <w:szCs w:val="20"/>
          <w:color w:val="auto"/>
        </w:rPr>
      </w:pPr>
      <w:r>
        <w:rPr>
          <w:rFonts w:ascii="Arial" w:cs="Arial" w:eastAsia="Arial" w:hAnsi="Arial"/>
          <w:sz w:val="16"/>
          <w:szCs w:val="16"/>
          <w:color w:val="auto"/>
        </w:rPr>
        <w:t>In March 2016, the FASB issued ASU No. 2016-09, Improvements to Employee Share-Based Payment Accounting, or ASU No. 2016-09, which simplifies several aspects of the accounting for share-based payment transactions, including the income tax consequences, classification of awards as either equity or liabilities and classification of cash flows. ASU No. 2016-09 is effective for annual periods beginning after December 15, 2017. The Company is currently evaluating the impact that this standard will have on its financial statements.</w:t>
      </w:r>
    </w:p>
    <w:p>
      <w:pPr>
        <w:spacing w:after="0" w:line="75"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In November 2016, FASB issued ASU No. 2016-18, Statement of Cash Flows, Restricted Cash, or ASU No. 2016-18. ASU No. 2016-18 provides guidance on the presentation of restricted cash and restricted cash equivalents in the statement of cash flows. Under ASU No. 2016-18, the statement of cash flows shall explain the change during the period in the total of cash, cash equivalents, and amounts generally described as restricted cash or restricted cash equivalents. Amounts generally described as restricted cash and cash equivalents should now be included with cash and cash equivalents when reconciling the beginning-of-period and end-of-period amounts shown on the statements of cash flows. The amendments of this ASU are effective for reporting periods beginning after December 15, 2017, with early adoption permitted. Other than the revised statement of cash flows presentation, the adoption of ASU No. 2016-18 will not have an impact on the Company’s financial statements.</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220"/>
          </w:cols>
          <w:pgMar w:left="24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3.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91440</wp:posOffset>
            </wp:positionV>
            <wp:extent cx="6997700" cy="171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430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Useful life</w:t>
            </w: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3740" w:type="dxa"/>
            <w:vAlign w:val="bottom"/>
            <w:shd w:val="clear" w:color="auto" w:fill="CCEEFF"/>
          </w:tcPr>
          <w:p>
            <w:pPr>
              <w:jc w:val="center"/>
              <w:ind w:left="652"/>
              <w:spacing w:after="0" w:line="196" w:lineRule="exact"/>
              <w:rPr>
                <w:sz w:val="20"/>
                <w:szCs w:val="20"/>
                <w:color w:val="auto"/>
              </w:rPr>
            </w:pPr>
            <w:r>
              <w:rPr>
                <w:rFonts w:ascii="Arial" w:cs="Arial" w:eastAsia="Arial" w:hAnsi="Arial"/>
                <w:sz w:val="18"/>
                <w:szCs w:val="18"/>
                <w:color w:val="auto"/>
                <w:w w:val="94"/>
              </w:rPr>
              <w:t>5 years</w:t>
            </w:r>
          </w:p>
        </w:tc>
        <w:tc>
          <w:tcPr>
            <w:tcW w:w="3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8,971,721</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8,039,013</w:t>
            </w:r>
          </w:p>
        </w:tc>
        <w:tc>
          <w:tcPr>
            <w:tcW w:w="140" w:type="dxa"/>
            <w:vAlign w:val="bottom"/>
            <w:shd w:val="clear" w:color="auto" w:fill="CCEEFF"/>
          </w:tcPr>
          <w:p>
            <w:pPr>
              <w:spacing w:after="0"/>
              <w:rPr>
                <w:sz w:val="17"/>
                <w:szCs w:val="17"/>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3740" w:type="dxa"/>
            <w:vAlign w:val="bottom"/>
          </w:tcPr>
          <w:p>
            <w:pPr>
              <w:jc w:val="center"/>
              <w:ind w:left="652"/>
              <w:spacing w:after="0" w:line="202" w:lineRule="exact"/>
              <w:rPr>
                <w:sz w:val="20"/>
                <w:szCs w:val="20"/>
                <w:color w:val="auto"/>
              </w:rPr>
            </w:pPr>
            <w:r>
              <w:rPr>
                <w:rFonts w:ascii="Arial" w:cs="Arial" w:eastAsia="Arial" w:hAnsi="Arial"/>
                <w:sz w:val="18"/>
                <w:szCs w:val="18"/>
                <w:color w:val="auto"/>
                <w:w w:val="94"/>
              </w:rPr>
              <w:t>3 years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92"/>
              <w:spacing w:after="0" w:line="202" w:lineRule="exact"/>
              <w:rPr>
                <w:sz w:val="20"/>
                <w:szCs w:val="20"/>
                <w:color w:val="auto"/>
              </w:rPr>
            </w:pPr>
            <w:r>
              <w:rPr>
                <w:rFonts w:ascii="Arial" w:cs="Arial" w:eastAsia="Arial" w:hAnsi="Arial"/>
                <w:sz w:val="18"/>
                <w:szCs w:val="18"/>
                <w:color w:val="auto"/>
              </w:rPr>
              <w:t>738,132</w:t>
            </w:r>
          </w:p>
        </w:tc>
        <w:tc>
          <w:tcPr>
            <w:tcW w:w="3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603,231</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furniture</w:t>
            </w:r>
          </w:p>
        </w:tc>
        <w:tc>
          <w:tcPr>
            <w:tcW w:w="3740" w:type="dxa"/>
            <w:vAlign w:val="bottom"/>
            <w:shd w:val="clear" w:color="auto" w:fill="CCEEFF"/>
          </w:tcPr>
          <w:p>
            <w:pPr>
              <w:jc w:val="center"/>
              <w:ind w:left="652"/>
              <w:spacing w:after="0" w:line="202" w:lineRule="exact"/>
              <w:rPr>
                <w:sz w:val="20"/>
                <w:szCs w:val="20"/>
                <w:color w:val="auto"/>
              </w:rPr>
            </w:pPr>
            <w:r>
              <w:rPr>
                <w:rFonts w:ascii="Arial" w:cs="Arial" w:eastAsia="Arial" w:hAnsi="Arial"/>
                <w:sz w:val="18"/>
                <w:szCs w:val="18"/>
                <w:color w:val="auto"/>
                <w:w w:val="94"/>
              </w:rPr>
              <w:t>5 years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129,460</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129,460</w:t>
            </w:r>
          </w:p>
        </w:tc>
        <w:tc>
          <w:tcPr>
            <w:tcW w:w="140" w:type="dxa"/>
            <w:vAlign w:val="bottom"/>
            <w:shd w:val="clear" w:color="auto" w:fill="CCEEFF"/>
          </w:tcPr>
          <w:p>
            <w:pPr>
              <w:spacing w:after="0"/>
              <w:rPr>
                <w:sz w:val="17"/>
                <w:szCs w:val="17"/>
                <w:color w:val="auto"/>
              </w:rPr>
            </w:pPr>
          </w:p>
        </w:tc>
      </w:tr>
      <w:tr>
        <w:trPr>
          <w:trHeight w:val="210"/>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3740" w:type="dxa"/>
            <w:vAlign w:val="bottom"/>
          </w:tcPr>
          <w:p>
            <w:pPr>
              <w:jc w:val="center"/>
              <w:ind w:left="652"/>
              <w:spacing w:after="0" w:line="202" w:lineRule="exact"/>
              <w:rPr>
                <w:sz w:val="20"/>
                <w:szCs w:val="20"/>
                <w:color w:val="auto"/>
              </w:rPr>
            </w:pPr>
            <w:r>
              <w:rPr>
                <w:rFonts w:ascii="Arial" w:cs="Arial" w:eastAsia="Arial" w:hAnsi="Arial"/>
                <w:sz w:val="18"/>
                <w:szCs w:val="18"/>
                <w:color w:val="auto"/>
                <w:w w:val="98"/>
              </w:rPr>
              <w:t>Lesser of useful life or lease term</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2"/>
              <w:spacing w:after="0" w:line="202" w:lineRule="exact"/>
              <w:rPr>
                <w:sz w:val="20"/>
                <w:szCs w:val="20"/>
                <w:color w:val="auto"/>
              </w:rPr>
            </w:pPr>
            <w:r>
              <w:rPr>
                <w:rFonts w:ascii="Arial" w:cs="Arial" w:eastAsia="Arial" w:hAnsi="Arial"/>
                <w:sz w:val="18"/>
                <w:szCs w:val="18"/>
                <w:color w:val="auto"/>
              </w:rPr>
              <w:t>4,827,801</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4,827,801</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property and equipment, at cost</w:t>
            </w:r>
          </w:p>
        </w:tc>
        <w:tc>
          <w:tcPr>
            <w:tcW w:w="3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14,667,114</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13,599,505</w:t>
            </w:r>
          </w:p>
        </w:tc>
        <w:tc>
          <w:tcPr>
            <w:tcW w:w="140" w:type="dxa"/>
            <w:vAlign w:val="bottom"/>
            <w:shd w:val="clear" w:color="auto" w:fill="CCEEFF"/>
          </w:tcPr>
          <w:p>
            <w:pPr>
              <w:spacing w:after="0"/>
              <w:rPr>
                <w:sz w:val="17"/>
                <w:szCs w:val="17"/>
                <w:color w:val="auto"/>
              </w:rPr>
            </w:pPr>
          </w:p>
        </w:tc>
      </w:tr>
      <w:tr>
        <w:trPr>
          <w:trHeight w:val="203"/>
        </w:trPr>
        <w:tc>
          <w:tcPr>
            <w:tcW w:w="4320" w:type="dxa"/>
            <w:vAlign w:val="bottom"/>
            <w:gridSpan w:val="2"/>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3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right"/>
              <w:ind w:right="52"/>
              <w:spacing w:after="0" w:line="202" w:lineRule="exact"/>
              <w:rPr>
                <w:sz w:val="20"/>
                <w:szCs w:val="20"/>
                <w:color w:val="auto"/>
              </w:rPr>
            </w:pPr>
            <w:r>
              <w:rPr>
                <w:rFonts w:ascii="Arial" w:cs="Arial" w:eastAsia="Arial" w:hAnsi="Arial"/>
                <w:sz w:val="18"/>
                <w:szCs w:val="18"/>
                <w:color w:val="auto"/>
                <w:w w:val="99"/>
              </w:rPr>
              <w:t>(10,658,533)</w:t>
            </w:r>
          </w:p>
        </w:tc>
        <w:tc>
          <w:tcPr>
            <w:tcW w:w="320" w:type="dxa"/>
            <w:vAlign w:val="bottom"/>
          </w:tcPr>
          <w:p>
            <w:pPr>
              <w:spacing w:after="0"/>
              <w:rPr>
                <w:sz w:val="17"/>
                <w:szCs w:val="17"/>
                <w:color w:val="auto"/>
              </w:rPr>
            </w:pPr>
          </w:p>
        </w:tc>
        <w:tc>
          <w:tcPr>
            <w:tcW w:w="11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(8,161,325)</w:t>
            </w: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3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37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4,008,581</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5,438,180</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Company has leases for lab equipment that meets the criteria to be accounted for as a capital lease. As of December 31, 2017 and 2016, lab equipment under capital leases totaled $1,088,588 and $701,427, respectively. Accumulated depreciation on such equipment totaled $701,427 as of December 31, 2017 and 2016.</w:t>
      </w:r>
    </w:p>
    <w:p>
      <w:pPr>
        <w:spacing w:after="0" w:line="100"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The Company incurred depreciation and amortization expense of $2,497,208 and $2,367,426 for the years ended December 31, 2017 and 2016, respectively.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4. Collaborations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Summary of Roche Collaboration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Overall</w:t>
      </w:r>
    </w:p>
    <w:p>
      <w:pPr>
        <w:spacing w:after="0" w:line="124" w:lineRule="exact"/>
        <w:rPr>
          <w:sz w:val="20"/>
          <w:szCs w:val="20"/>
          <w:color w:val="auto"/>
        </w:rPr>
      </w:pPr>
    </w:p>
    <w:p>
      <w:pPr>
        <w:ind w:left="200" w:right="60"/>
        <w:spacing w:after="0" w:line="281" w:lineRule="auto"/>
        <w:rPr>
          <w:sz w:val="20"/>
          <w:szCs w:val="20"/>
          <w:color w:val="auto"/>
        </w:rPr>
      </w:pPr>
      <w:r>
        <w:rPr>
          <w:rFonts w:ascii="Arial" w:cs="Arial" w:eastAsia="Arial" w:hAnsi="Arial"/>
          <w:sz w:val="16"/>
          <w:szCs w:val="16"/>
          <w:color w:val="auto"/>
        </w:rPr>
        <w:t>In October 2017, the Company and Roche entered into a collaboration agreement (“Roche Collaboration Agreement”) utilizing the Company’s proprietary genome mining platform to discover and develop multiple novel classes of antibiotics. The serious global health threat of multidrug- resistant bacterial infections has created an urgent need for new antibiotics with novel structures and mechanisms of action.</w:t>
      </w:r>
    </w:p>
    <w:p>
      <w:pPr>
        <w:spacing w:after="0" w:line="70"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Under the Roche Collaboration Agreement, the Company is focused on antibiotics with activity against clinically important, drug-resistant, Gram-negative pathogens. The Company’s platform enables access to natural product drugs that have not been analyzed previously, due to historical technology limitations.</w:t>
      </w:r>
    </w:p>
    <w:p>
      <w:pPr>
        <w:spacing w:after="0" w:line="100"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Under the Roche Collaboration Agreement, the Company granted Roche a worldwide, nontransferable, nonexclusive license with the right to sublicense under the Company’s technology solely to perform the research activities assigned to Roche during the research term. Roche also granted the Company a worldwide, nontransferable nonexclusive license with the right to sublicense under the Roche technology solely for the Company to perform the research activities during the research term.</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Under the terms of the Roche Collaboration Agreement, Roche has options for exclusive worldwide licenses to develop and commercialize certain antibiotic classes that emerge from the collaboration, triggered upon the selection of a drug development candidate from the particular class. The exercise of an option by Roche triggers the Company to grant Roche a nontransferable, exclusive, royalty bearing license with the right to sublicense under the Company technology. This exclusive license will be issued on the antibiotic program basis. The Company retains worldwide rights to all other novel antibiotic classes from the collaboration.</w:t>
      </w:r>
    </w:p>
    <w:p>
      <w:pPr>
        <w:spacing w:after="0" w:line="103"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The Company is solely responsible for the conduct of research and development activities for each antibiotic program through selection of a drug development candidate. Roche may or may not exercise options for antibiotic programs at the drug development candidate stage. Roche has no obligations to develop or</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40"/>
          </w:cols>
          <w:pgMar w:left="240" w:top="459" w:right="41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commercialize under the Roche Collaboration Agreement, until such time, if any, that Roche exercises an option for a drug development candidate.</w:t>
      </w:r>
    </w:p>
    <w:p>
      <w:pPr>
        <w:spacing w:after="0" w:line="101"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The research term will be in effect for a period of time beginning in October 2017 through the later of October 2022 or 24 months after the Company achieves certain research milestones for the last eligible antibiotic programs. The Company is currently estimating a research term of five years for the Roche Collaboration Agreement, and the Company will revisit the research term estimate on an annual basis.</w:t>
      </w:r>
    </w:p>
    <w:p>
      <w:pPr>
        <w:spacing w:after="0" w:line="7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activities under the Roche Collaboration Agreement are governed by the joint steering committee. Both Roche and the Company have three members on the joint steering committee. The three joint steering committee representatives of each party will collectively have one vote, and the Joint Steering Committee will make decisions only by unanimous consent. If the Joint Steering Committee is unable to decide, the Company will have the right to make the final determination. The Joint Steering Committee will end six months after the end of the research term.</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124"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Roche Collaboration Agreement automatically terminates if Roche does not exercise an option on a development candidate generally by October 2022. Roche may voluntarily terminate the Roche Collaboration Agreement in its entirety or on a program by program basis upon 90 days’ written notice.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Consideration</w:t>
      </w:r>
    </w:p>
    <w:p>
      <w:pPr>
        <w:spacing w:after="0" w:line="124"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Roche paid the Company a $23.0 million nonrefundable, up-front fee in October 2017. The Company estimates that the sum of the nonrefundable up-front fee already paid, potential option fees and potential milestone payments for preclinical events could total $87 million. The Company estimates that the total potential clinical, regulatory and sales milestones on products licensed to Roche could total an additional $300 million.</w:t>
      </w:r>
    </w:p>
    <w:p>
      <w:pPr>
        <w:spacing w:after="0" w:line="101" w:lineRule="exact"/>
        <w:rPr>
          <w:sz w:val="20"/>
          <w:szCs w:val="20"/>
          <w:color w:val="auto"/>
        </w:rPr>
      </w:pPr>
    </w:p>
    <w:p>
      <w:pPr>
        <w:jc w:val="both"/>
        <w:ind w:left="200" w:right="40"/>
        <w:spacing w:after="0" w:line="238" w:lineRule="auto"/>
        <w:rPr>
          <w:sz w:val="20"/>
          <w:szCs w:val="20"/>
          <w:color w:val="auto"/>
        </w:rPr>
      </w:pPr>
      <w:r>
        <w:rPr>
          <w:rFonts w:ascii="Arial" w:cs="Arial" w:eastAsia="Arial" w:hAnsi="Arial"/>
          <w:sz w:val="18"/>
          <w:szCs w:val="18"/>
          <w:color w:val="auto"/>
        </w:rPr>
        <w:t>As of December 31, 2017, the next potential milestone payment included in the above-mentioned total of $87 million that the Company could achieve under the Roche Collaboration Agreement is a nonsubstantive milestone payment of $5.0 million for the achievement of a discovery milestone.</w:t>
      </w:r>
    </w:p>
    <w:p>
      <w:pPr>
        <w:spacing w:after="0" w:line="100"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The Company is eligible to receive tiered royalties for antibiotic programs for which Roche exercises its options up to low double digits on future net sales.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Roche Collaboration Agreement Accounting Analysis</w:t>
      </w:r>
    </w:p>
    <w:p>
      <w:pPr>
        <w:spacing w:after="0" w:line="124"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The Company evaluated the Collaboration Agreement in accordance with the provisions of ASC, Topic 605-25, Revenue Recognition— Multiple Element Arrangements. The Roche Collaboration Agreement contains the following deliverables: (i) R&amp;D services for antibiotics; (ii) research license for the Company’s platform; and (iii) joint steering committee services.</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Company has concluded that the research license deliverables do not qualify for separation from the R&amp;D services deliverables. As it relates to the assessment of standalone value, the Company has determined that Roche cannot fully exploit the value of the research license deliverable without receipt of the Company’s R&amp;D services in the antibiotic programs. This is primarily due to the fact that Roche must rely upon the Company to provide the research and development services included in the research plan because the services incorporate technology that is proprietary to the Company. The services to be provided by the Company involve unique skills and specialized expertise technology that is not available in the marketplace. Accordingly, Roche must obtain the research and development services from the Company which significantly limits the ability for Roche</w:t>
      </w:r>
    </w:p>
    <w:p>
      <w:pPr>
        <w:spacing w:after="0" w:line="14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140"/>
          </w:cols>
          <w:pgMar w:left="240" w:top="459" w:right="51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0"/>
        <w:spacing w:after="0" w:line="239" w:lineRule="auto"/>
        <w:rPr>
          <w:sz w:val="20"/>
          <w:szCs w:val="20"/>
          <w:color w:val="auto"/>
        </w:rPr>
      </w:pPr>
      <w:r>
        <w:rPr>
          <w:rFonts w:ascii="Arial" w:cs="Arial" w:eastAsia="Arial" w:hAnsi="Arial"/>
          <w:sz w:val="18"/>
          <w:szCs w:val="18"/>
          <w:color w:val="auto"/>
        </w:rPr>
        <w:t>to utilize the research license for its intended purpose on a standalone basis. The Company’s proprietary genome mining platform and know-how is critical. Therefore, the research license deliverables do not have standalone value from the R&amp;D services.</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following deliverables are combined under one unit of accounting.</w:t>
      </w:r>
    </w:p>
    <w:p>
      <w:pPr>
        <w:spacing w:after="0" w:line="113" w:lineRule="exact"/>
        <w:rPr>
          <w:sz w:val="20"/>
          <w:szCs w:val="20"/>
          <w:color w:val="auto"/>
        </w:rPr>
      </w:pPr>
    </w:p>
    <w:p>
      <w:pPr>
        <w:ind w:left="420" w:hanging="216"/>
        <w:spacing w:after="0"/>
        <w:tabs>
          <w:tab w:leader="none" w:pos="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Antibiotic program deliverables (consisting of the Research License and R&amp;D services).</w:t>
      </w:r>
    </w:p>
    <w:p>
      <w:pPr>
        <w:ind w:left="420" w:hanging="216"/>
        <w:spacing w:after="0"/>
        <w:tabs>
          <w:tab w:leader="none" w:pos="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Joint Steering Committee services.</w:t>
      </w:r>
    </w:p>
    <w:p>
      <w:pPr>
        <w:spacing w:after="0" w:line="104"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The aggregate noncontingent consideration allocable to the Roche Collaboration Agreement of $23 million was allocated to the Antibiotic program deliverables. No amounts were allocated to the joint steering committee deliverable because the associated BESP was determined to be immaterial.</w:t>
      </w:r>
    </w:p>
    <w:p>
      <w:pPr>
        <w:spacing w:after="0" w:line="100" w:lineRule="exact"/>
        <w:rPr>
          <w:sz w:val="20"/>
          <w:szCs w:val="20"/>
          <w:color w:val="auto"/>
        </w:rPr>
      </w:pPr>
    </w:p>
    <w:p>
      <w:pPr>
        <w:ind w:left="200" w:right="200"/>
        <w:spacing w:after="0" w:line="239" w:lineRule="auto"/>
        <w:rPr>
          <w:sz w:val="20"/>
          <w:szCs w:val="20"/>
          <w:color w:val="auto"/>
        </w:rPr>
      </w:pPr>
      <w:r>
        <w:rPr>
          <w:rFonts w:ascii="Arial" w:cs="Arial" w:eastAsia="Arial" w:hAnsi="Arial"/>
          <w:sz w:val="18"/>
          <w:szCs w:val="18"/>
          <w:color w:val="auto"/>
        </w:rPr>
        <w:t>As there is no discernable patter of performance, the revenue is recognized on a straight-line basis over the research term estimated to last five years.</w:t>
      </w:r>
    </w:p>
    <w:p>
      <w:pPr>
        <w:spacing w:after="0" w:line="101"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The Company has evaluated all of the research milestones that may be received in connection with the Roche Collaboration Arrangement. In evaluating if a milestone is substantive, the Company assesses whether: (i) the consideration is commensurate with either the Company’s performance to achieve the milestone or the enhancement of the value of the delivered item(s) as a result of a specific outcome resulting from the Company’s performance to achieve the milestone, (ii) the consideration relates solely to past performance, and (iii) the consideration is reasonable relative to all of the deliverables and payment terms within the arrangement. The research milestones are not considered to be substantive. Therefore, when the Company achieves a research milestone, the Company will use the cumulative catch-up approach and spread the remaining milestone to revenue over the remaining research term. The Company has deemed all development milestones as substantive, and will use the milestone method of recognizing development milestones as revenue when achieved. All commercial milestones will be accounted for in the same manner as royalties and recorded as revenue upon achievement of the milestone, assuming all other revenue recognition criteria are met. The Company will recognize royalty revenue in the period of sale of the related product(s), based on the underlying contract terms, provided that the reported sales are reliably measurable, and the Company has no remaining performance obligations, assuming all other revenue recognition criteria are met.</w:t>
      </w:r>
    </w:p>
    <w:p>
      <w:pPr>
        <w:spacing w:after="0" w:line="107" w:lineRule="exact"/>
        <w:rPr>
          <w:sz w:val="20"/>
          <w:szCs w:val="20"/>
          <w:color w:val="auto"/>
        </w:rPr>
      </w:pPr>
    </w:p>
    <w:p>
      <w:pPr>
        <w:ind w:left="200" w:right="480"/>
        <w:spacing w:after="0" w:line="281" w:lineRule="auto"/>
        <w:rPr>
          <w:sz w:val="20"/>
          <w:szCs w:val="20"/>
          <w:color w:val="auto"/>
        </w:rPr>
      </w:pPr>
      <w:r>
        <w:rPr>
          <w:rFonts w:ascii="Arial" w:cs="Arial" w:eastAsia="Arial" w:hAnsi="Arial"/>
          <w:sz w:val="16"/>
          <w:szCs w:val="16"/>
          <w:color w:val="auto"/>
        </w:rPr>
        <w:t>The Company recognized approximately $1.1 million in collaboration revenue related solely to the up-front fee during the year ended December 31, 2017. The Company recorded deferred revenue of $4.6 million in current portion of deferred revenue and $17.3 million in deferred revenue less current portion for total deferred revenue of approximately $21.9 million as of December 31, 2017.</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 Summary of Sanofi Collaboration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Overall</w:t>
      </w:r>
    </w:p>
    <w:p>
      <w:pPr>
        <w:spacing w:after="0" w:line="12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On January 8, 2016, the Company and Sanofi entered into a collaboration and license agreement (Sanofi Collaboration Agreement) utilizing the Company’s proprietary SMART</w:t>
      </w:r>
      <w:r>
        <w:rPr>
          <w:rFonts w:ascii="Arial" w:cs="Arial" w:eastAsia="Arial" w:hAnsi="Arial"/>
          <w:sz w:val="11"/>
          <w:szCs w:val="11"/>
          <w:color w:val="auto"/>
        </w:rPr>
        <w:t>™</w:t>
      </w:r>
      <w:r>
        <w:rPr>
          <w:rFonts w:ascii="Arial" w:cs="Arial" w:eastAsia="Arial" w:hAnsi="Arial"/>
          <w:sz w:val="18"/>
          <w:szCs w:val="18"/>
          <w:color w:val="auto"/>
        </w:rPr>
        <w:t xml:space="preserve"> and genome mining platforms to discover novel oncology therapeutics and antibiotics. The Sanofi Collaboration Agreement focused on the development of drugs targeting important human oncogenes and new antibiotics. The Company retained the rights to deploy its platforms to pursue discovery and development against all other targets, both alone and in collaboration with other companies.</w:t>
      </w:r>
    </w:p>
    <w:p>
      <w:pPr>
        <w:spacing w:after="0" w:line="103" w:lineRule="exact"/>
        <w:rPr>
          <w:sz w:val="20"/>
          <w:szCs w:val="20"/>
          <w:color w:val="auto"/>
        </w:rPr>
      </w:pPr>
    </w:p>
    <w:p>
      <w:pPr>
        <w:jc w:val="both"/>
        <w:ind w:left="200" w:right="280"/>
        <w:spacing w:after="0" w:line="238" w:lineRule="auto"/>
        <w:rPr>
          <w:sz w:val="20"/>
          <w:szCs w:val="20"/>
          <w:color w:val="auto"/>
        </w:rPr>
      </w:pPr>
      <w:r>
        <w:rPr>
          <w:rFonts w:ascii="Arial" w:cs="Arial" w:eastAsia="Arial" w:hAnsi="Arial"/>
          <w:sz w:val="18"/>
          <w:szCs w:val="18"/>
          <w:color w:val="auto"/>
        </w:rPr>
        <w:t>Under the terms of the Sanofi Collaboration Agreement, the Company would lead the research collaboration for a period of five years, and Sanofi would receive worldwide exclusive licenses to develop and commercialize product candidates discovered during the research term. The Company and Sanofi initially focused on three</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00"/>
          </w:cols>
          <w:pgMar w:left="24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9" w:lineRule="auto"/>
        <w:rPr>
          <w:sz w:val="20"/>
          <w:szCs w:val="20"/>
          <w:color w:val="auto"/>
        </w:rPr>
      </w:pPr>
      <w:r>
        <w:rPr>
          <w:rFonts w:ascii="Arial" w:cs="Arial" w:eastAsia="Arial" w:hAnsi="Arial"/>
          <w:sz w:val="18"/>
          <w:szCs w:val="18"/>
          <w:color w:val="auto"/>
        </w:rPr>
        <w:t>defined oncology programs targeting different mutants and states of the oncogenic protein RAS. For the antibiotic program, the Company led initial discovery efforts, and Sanofi would lead any subsequent discovery and development activities.</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Company granted to Sanofi research licenses (co-exclusive, worldwide, royalty-free licenses). In addition, the Company granted to Sanofi development and commercialization licenses (exclusive, worldwide, royalty-bearing, sub licensable licenses in the prevention and treatment of all human and animal diseases). To the extent a collaboration program was terminated, the rights to both the research and development and commercialization licenses previously granted in relation to such terminated program immediately terminate.</w:t>
      </w:r>
    </w:p>
    <w:p>
      <w:pPr>
        <w:spacing w:after="0" w:line="101"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The Company was solely responsible for the conduct of research and development activities for each collaboration program until the applicable transition stage (i.e., the specified point in time at which the research and development efforts are transitioned from the Company to Sanofi) for the respective collaboration program, unless otherwise agreed to by the parties in writing. Sanofi had no obligations to develop or commercialize under any collaboration program, until such time, if any, that the applicable transition has occurred. The Company reached the transition stage for the antibiotic program during the year ended December 31, 2016. The estimated research term for the antibiotic program was one year.</w:t>
      </w:r>
    </w:p>
    <w:p>
      <w:pPr>
        <w:spacing w:after="0" w:line="102"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The activities under the Collaboration Agreement were governed by the joint steering committee. Both Sanofi and the Company had three members on the joint steering committee.</w:t>
      </w:r>
    </w:p>
    <w:p>
      <w:pPr>
        <w:spacing w:after="0" w:line="101"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The Company had the right to opt-in to co-commercialize an oncology candidate in the United States, no later than 90 days prior to the initiation of a registration clinical study of such oncology candidate. If the Company exercised the co-commercialization option for a particular oncology candidate, the Company and Sanofi would be jointly responsible for and have joint control over the co-commercialization of the oncology candidate in the United States.</w:t>
      </w:r>
    </w:p>
    <w:p>
      <w:pPr>
        <w:spacing w:after="0" w:line="101" w:lineRule="exact"/>
        <w:rPr>
          <w:sz w:val="20"/>
          <w:szCs w:val="20"/>
          <w:color w:val="auto"/>
        </w:rPr>
      </w:pPr>
    </w:p>
    <w:p>
      <w:pPr>
        <w:ind w:left="200" w:right="120"/>
        <w:spacing w:after="0" w:line="237" w:lineRule="auto"/>
        <w:rPr>
          <w:sz w:val="20"/>
          <w:szCs w:val="20"/>
          <w:color w:val="auto"/>
        </w:rPr>
      </w:pPr>
      <w:r>
        <w:rPr>
          <w:rFonts w:ascii="Arial" w:cs="Arial" w:eastAsia="Arial" w:hAnsi="Arial"/>
          <w:sz w:val="18"/>
          <w:szCs w:val="18"/>
          <w:color w:val="auto"/>
        </w:rPr>
        <w:t>Additionally, in 2016, the Company restructured its existing senior credit agreement with Sanofi. Under the restructured agreement, the Company could borrow up to $30.0 million to fund expenses related to the Sanofi Collaboration Agreement. As the Company previously held a line of credit with the same interest rate, the Company concluded that the modification of the line of credit did not represent consideration exchanged in conjunction with the Sanofi Collaboration Agreement. See Note 5.</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124"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The Sanofi Collaboration Agreement would automatically terminate if a development candidate was not generated for an oncology collaboration program prior to the expiration of the applicable research term (generally January 2021). Sanofi could voluntarily terminate the Sanofi Collaboration Agreement in its entirety or on a program by program basis upon 90 days’ written notice. All rights and license grants in the Sanofi Collaboration Agreement would immediately terminate, unless otherwise specified, after the 90-day notice period.</w:t>
      </w:r>
    </w:p>
    <w:p>
      <w:pPr>
        <w:spacing w:after="0" w:line="101" w:lineRule="exact"/>
        <w:rPr>
          <w:sz w:val="20"/>
          <w:szCs w:val="20"/>
          <w:color w:val="auto"/>
        </w:rPr>
      </w:pPr>
    </w:p>
    <w:p>
      <w:pPr>
        <w:jc w:val="both"/>
        <w:ind w:left="200" w:right="120"/>
        <w:spacing w:after="0" w:line="238" w:lineRule="auto"/>
        <w:rPr>
          <w:sz w:val="20"/>
          <w:szCs w:val="20"/>
          <w:color w:val="auto"/>
        </w:rPr>
      </w:pPr>
      <w:r>
        <w:rPr>
          <w:rFonts w:ascii="Arial" w:cs="Arial" w:eastAsia="Arial" w:hAnsi="Arial"/>
          <w:sz w:val="18"/>
          <w:szCs w:val="18"/>
          <w:color w:val="auto"/>
        </w:rPr>
        <w:t>In July 2017, Sanofi provided 90 days’ written notice to terminate the antibiotic portion of the Sanofi Collaboration Agreement, which officially terminated in October 2017. In November 2017, Sanofi provided 90 days’ written notice to terminate all oncology programs or the remaining portion of the research activities under the Sanofi Collaboration Agreement, which officially terminated in February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Consideration</w:t>
      </w:r>
    </w:p>
    <w:p>
      <w:pPr>
        <w:spacing w:after="0" w:line="124" w:lineRule="exact"/>
        <w:rPr>
          <w:sz w:val="20"/>
          <w:szCs w:val="20"/>
          <w:color w:val="auto"/>
        </w:rPr>
      </w:pPr>
    </w:p>
    <w:p>
      <w:pPr>
        <w:ind w:left="200" w:right="900"/>
        <w:spacing w:after="0" w:line="239" w:lineRule="auto"/>
        <w:rPr>
          <w:sz w:val="20"/>
          <w:szCs w:val="20"/>
          <w:color w:val="auto"/>
        </w:rPr>
      </w:pPr>
      <w:r>
        <w:rPr>
          <w:rFonts w:ascii="Arial" w:cs="Arial" w:eastAsia="Arial" w:hAnsi="Arial"/>
          <w:sz w:val="18"/>
          <w:szCs w:val="18"/>
          <w:color w:val="auto"/>
        </w:rPr>
        <w:t>During the research term, the Company could request Sanofi to provide R&amp;D services. Subject to Sanofi’s available resources and capabilities, Sanofi could agree to provide up to $5.0 million in annual Sanofi R&amp;D services at no charge to the Company.</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20"/>
          </w:cols>
          <w:pgMar w:left="240" w:top="460"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was entitled to worldwide royalties provided it did not opt-in to co-commercialize an oncology candidate in the United States.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Sanofi Collaboration Accounting Analysis</w:t>
      </w:r>
    </w:p>
    <w:p>
      <w:pPr>
        <w:spacing w:after="0" w:line="12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The Company evaluated the Collaboration Agreement in accordance with the provisions of ASC, Topic 605-25, Revenue Recognition— Multiple Element Arrangements. The Company’s arrangement with Sanofi originally contained the following deliverables: R&amp;D services for the antibiotic program; R&amp;D services for the three oncology programs; research license for the antibiotic program; research license for the three oncology programs; and joint steering committee services.</w:t>
      </w:r>
    </w:p>
    <w:p>
      <w:pPr>
        <w:spacing w:after="0" w:line="101" w:lineRule="exact"/>
        <w:rPr>
          <w:sz w:val="20"/>
          <w:szCs w:val="20"/>
          <w:color w:val="auto"/>
        </w:rPr>
      </w:pPr>
    </w:p>
    <w:p>
      <w:pPr>
        <w:ind w:left="200" w:right="120"/>
        <w:spacing w:after="0" w:line="268" w:lineRule="auto"/>
        <w:rPr>
          <w:sz w:val="20"/>
          <w:szCs w:val="20"/>
          <w:color w:val="auto"/>
        </w:rPr>
      </w:pPr>
      <w:r>
        <w:rPr>
          <w:rFonts w:ascii="Arial" w:cs="Arial" w:eastAsia="Arial" w:hAnsi="Arial"/>
          <w:sz w:val="16"/>
          <w:szCs w:val="16"/>
          <w:color w:val="auto"/>
        </w:rPr>
        <w:t>The Company concluded that the research licenses (antibiotics and oncology programs) deliverables did not qualify for separation from the R&amp;D Services deliverables. As it related to the assessment of standalone value, the Company determined that Sanofi could not fully exploit the value of the research licenses deliverable without receipt of the Company’s R&amp;D services in both the antibiotics and the oncology programs. This was primarily due to the fact that Sanofi must rely upon the Company to provide the research and development services included in the research plan because the services incorporate technology that was proprietary to the Company. The services to be provided by the Company involved unique skills and specialized expertise technology that was not available in the marketplace. Accordingly, Sanofi must obtain the research and development services from the Company which significantly limited the ability for Sanofi to utilize the research licenses for its intended purpose on a standalone basis. The Company’s proprietary SMART</w:t>
      </w:r>
      <w:r>
        <w:rPr>
          <w:rFonts w:ascii="Arial" w:cs="Arial" w:eastAsia="Arial" w:hAnsi="Arial"/>
          <w:sz w:val="10"/>
          <w:szCs w:val="10"/>
          <w:color w:val="auto"/>
        </w:rPr>
        <w:t>™</w:t>
      </w:r>
      <w:r>
        <w:rPr>
          <w:rFonts w:ascii="Arial" w:cs="Arial" w:eastAsia="Arial" w:hAnsi="Arial"/>
          <w:sz w:val="16"/>
          <w:szCs w:val="16"/>
          <w:color w:val="auto"/>
        </w:rPr>
        <w:t xml:space="preserve"> and genome mining platforms and know-how was critical. Therefore, the research licenses deliverables did not have standalone value from the R&amp;D services.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units of accounting for the Collaboration Agreement included:</w:t>
      </w:r>
    </w:p>
    <w:p>
      <w:pPr>
        <w:spacing w:after="0" w:line="117" w:lineRule="exact"/>
        <w:rPr>
          <w:sz w:val="20"/>
          <w:szCs w:val="20"/>
          <w:color w:val="auto"/>
        </w:rPr>
      </w:pPr>
    </w:p>
    <w:p>
      <w:pPr>
        <w:ind w:left="420" w:hanging="216"/>
        <w:spacing w:after="0"/>
        <w:tabs>
          <w:tab w:leader="none" w:pos="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Antibiotic program deliverables (consisting of the Research License, Development and Commercialization License and R&amp;D services).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Oncology programs deliverables (consisting of the Research License, Development and Commercialization License and R&amp;D services).</w:t>
      </w:r>
    </w:p>
    <w:p>
      <w:pPr>
        <w:spacing w:after="0" w:line="117" w:lineRule="exact"/>
        <w:rPr>
          <w:rFonts w:ascii="Arial" w:cs="Arial" w:eastAsia="Arial" w:hAnsi="Arial"/>
          <w:sz w:val="18"/>
          <w:szCs w:val="18"/>
          <w:color w:val="auto"/>
        </w:rPr>
      </w:pPr>
    </w:p>
    <w:p>
      <w:pPr>
        <w:ind w:left="420" w:hanging="216"/>
        <w:spacing w:after="0"/>
        <w:tabs>
          <w:tab w:leader="none" w:pos="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Joint Steering Committee services.</w:t>
      </w:r>
    </w:p>
    <w:p>
      <w:pPr>
        <w:spacing w:after="0" w:line="104"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The Company determined that neither vendor-specific objective evidence of selling price nor third party evidence of selling price was available for any of the units of accounting identified at inception of the arrangement with Sanofi. Accordingly, the selling price of each unit of accounting was determined based on the Company’s best estimate of selling price or BESP. The Company developed the BESP for all of the units of accounting included in the Collaboration Agreement with the objective of determining the price at which it would sell such an item if it were to be sold regularly on a standalone basis. The Company developed the BESP for the primarily Antibiotic program unit of accounting (consisting of the Research License, Development and Commercialization License and R&amp;D services) and the Oncology programs unit of accounting (consisting of the Research License, Development and Commercialization License and R&amp;D services) based on the nature of the services to be performed and estimates of the associated effort and cost of the services, adjusted for a reasonable profit margin that would be expected to be realized under similar contracts. The Company developed the BESP for each of the Development and Commercialization license units of accounting based on the probability-weighted present value of expected future cash flows associated with each license related to each antibiotics or the oncology collaboration programs. In developing such estimates, the Company also considered applicable market conditions and relevant entity-specific factors, including those factors contemplated in negotiating the agreement, probability of success and the time needed to commercialize a product candidate pursuant to the associated license.</w:t>
      </w:r>
    </w:p>
    <w:p>
      <w:pPr>
        <w:spacing w:after="0" w:line="3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20"/>
          </w:cols>
          <w:pgMar w:left="24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0"/>
        <w:spacing w:after="0" w:line="264" w:lineRule="auto"/>
        <w:rPr>
          <w:sz w:val="20"/>
          <w:szCs w:val="20"/>
          <w:color w:val="auto"/>
        </w:rPr>
      </w:pPr>
      <w:r>
        <w:rPr>
          <w:rFonts w:ascii="Arial" w:cs="Arial" w:eastAsia="Arial" w:hAnsi="Arial"/>
          <w:sz w:val="16"/>
          <w:szCs w:val="16"/>
          <w:color w:val="auto"/>
        </w:rPr>
        <w:t>The aggregate noncontingent consideration allocable to the Collaboration Agreement of $4.0 million was allocated among the separate units of accounting using the relative selling price method as follows: (i) antibiotic licenses and R&amp;D services – approximately $0.4 million;</w:t>
      </w:r>
    </w:p>
    <w:p>
      <w:pPr>
        <w:ind w:left="200" w:right="300" w:firstLine="4"/>
        <w:spacing w:after="0" w:line="237" w:lineRule="auto"/>
        <w:tabs>
          <w:tab w:leader="none" w:pos="444"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oncology programs licenses and R&amp;D services – approximately $3.6 million. No amounts were allocated to the joint steering committee deliverable because the associated BESP was determined to be immaterial. The amounts allocated to each of the development and commercialization licenses were based on the respective BESP calculations, which reflected the level of risk and expected probability of success inherent in the nature of the associated research area.</w:t>
      </w:r>
    </w:p>
    <w:p>
      <w:pPr>
        <w:spacing w:after="0" w:line="10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amount allocated to the oncology programs deliverables unit of account were recognized over the research term as the underlying services were performed. As there was no discernable pattern of performance, the revenue was recognized on a straight-line basis over the development period. The consideration allocated to the antibiotic program deliverables was recognized as received as the Company had completed its performance obligations related to this deliverable during the year ended December 31, 2016, and the development efforts were transitioned to Sanofi.</w:t>
      </w:r>
    </w:p>
    <w:p>
      <w:pPr>
        <w:spacing w:after="0" w:line="103" w:lineRule="exact"/>
        <w:rPr>
          <w:sz w:val="20"/>
          <w:szCs w:val="20"/>
          <w:color w:val="auto"/>
        </w:rPr>
      </w:pPr>
    </w:p>
    <w:p>
      <w:pPr>
        <w:ind w:left="200" w:right="20"/>
        <w:spacing w:after="0" w:line="268" w:lineRule="auto"/>
        <w:rPr>
          <w:sz w:val="20"/>
          <w:szCs w:val="20"/>
          <w:color w:val="auto"/>
        </w:rPr>
      </w:pPr>
      <w:r>
        <w:rPr>
          <w:rFonts w:ascii="Arial" w:cs="Arial" w:eastAsia="Arial" w:hAnsi="Arial"/>
          <w:sz w:val="16"/>
          <w:szCs w:val="16"/>
          <w:color w:val="auto"/>
        </w:rPr>
        <w:t>The Company originally evaluated all of the milestones that could be received in connection with the Collaboration Arrangement. In evaluating if a milestone was substantive, the Company assessed whether: (i) the consideration was commensurate with either the Company’s performance to achieve the milestone or the enhancement of the value of the delivered item(s) as a result of a specific outcome resulting from the Company’s performance to achieve the milestone, (ii) the consideration related solely to past performance, and (iii) the consideration was reasonable relative to all of the deliverables and payment terms within the arrangement. Certain development and regulatory milestones were considered substantive on the basis of the contingent nature of the milestone, specifically reviewing factors such as the scientific, clinical, regulatory, commercial and other risks that must be overcome to achieve the milestone as well as the level of effort and investment required. Accordingly, such amounts could have been recognized as revenue in full in the period in which the associated milestone was achieved, assuming all other revenue recognition criteria were met. Certain development milestones were not considered to be substantive. Such amounts were allocated to the units of account based relative fair value of the BESP.</w:t>
      </w:r>
    </w:p>
    <w:p>
      <w:pPr>
        <w:spacing w:after="0" w:line="285"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During the year ended December 31, 2016, the Company received a $1.0 million discovery milestone that was essentially an up-front payment related to an oncology collaboration program and a $3.0 million discovery milestone related to an oncology collaboration program that was considered nonsubstantive. Finally, during the year ended December 31, 2016, the Company achieved a $0.8 million milestone related to the antibiotic program. The Company is primarily responsible for the R&amp;D they are performing and as such receive milestones for this work performed and therefore, the Company concluded that milestone payments received are recorded gross. The Company recognized approximately $1.9 million in collaboration revenue during the year ended December 31, 2016. The Company used the cumulative catch-up approach in recognizing revenue associated with achieved nonsubstantive milestones. The Company recorded deferred revenue of approximately $2.9 million associated with the Sanofi Collaboration Agreement as of December 31, 2016.</w:t>
      </w:r>
    </w:p>
    <w:p>
      <w:pPr>
        <w:spacing w:after="0" w:line="100"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The Company received $2.1 million and $2.0 million of Sanofi R&amp;D services for the years ended December 31, 2017 and 2016, respectively. As Sanofi is responsible for the work related to R&amp;D services, the Company concluded that R&amp;D services provided by Sanofi are recorded net.</w:t>
      </w:r>
    </w:p>
    <w:p>
      <w:pPr>
        <w:spacing w:after="0" w:line="100"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During the year ended December 31, 2017, the Company achieved five discovery milestones that were considered nonsubstantive and received $11.0 million in total milestone payments from Sanofi.</w:t>
      </w:r>
    </w:p>
    <w:p>
      <w:pPr>
        <w:spacing w:after="0" w:line="101"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As previously disclosed, in November 2017, Sanofi gave 90 days’ written notice to terminate all oncology programs in the Sanofi Collaboration Agreement, which officially terminated in February 2018. This resulted in an accounting change in estimate in 2017 with the research term ending in February 2018 (90 days later).</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20"/>
          </w:cols>
          <w:pgMar w:left="240" w:top="459" w:right="43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Company recognized approximately $13.0 million of revenue related to the Sanofi Collaboration Agreement during the year ended December 31, 2017. The Company’s short-term deferred revenue as of December 31, 2017 totaled approximately $0.9 million from the Sanofi Collaboration Agreement, which will be recognized as revenue through the end of the research term in February 2018, at which time all services under the collaboration ended.</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5. Convertible notes payable, related party</w:t>
      </w:r>
    </w:p>
    <w:p>
      <w:pPr>
        <w:spacing w:after="0" w:line="134" w:lineRule="exact"/>
        <w:rPr>
          <w:sz w:val="20"/>
          <w:szCs w:val="20"/>
          <w:color w:val="auto"/>
        </w:rPr>
      </w:pPr>
    </w:p>
    <w:p>
      <w:pPr>
        <w:ind w:left="200" w:right="620"/>
        <w:spacing w:after="0" w:line="239" w:lineRule="auto"/>
        <w:rPr>
          <w:sz w:val="20"/>
          <w:szCs w:val="20"/>
          <w:color w:val="auto"/>
        </w:rPr>
      </w:pPr>
      <w:r>
        <w:rPr>
          <w:rFonts w:ascii="Arial" w:cs="Arial" w:eastAsia="Arial" w:hAnsi="Arial"/>
          <w:sz w:val="18"/>
          <w:szCs w:val="18"/>
          <w:color w:val="auto"/>
        </w:rPr>
        <w:t>On January 8, 2016, the Company restructured the prior senior credit agreement with Sanofi into convertible notes payable. Under the restructured agreement, the Company could borrow up to $30,000,000 to fund certain expenses.</w:t>
      </w:r>
    </w:p>
    <w:p>
      <w:pPr>
        <w:spacing w:after="0" w:line="101" w:lineRule="exact"/>
        <w:rPr>
          <w:sz w:val="20"/>
          <w:szCs w:val="20"/>
          <w:color w:val="auto"/>
        </w:rPr>
      </w:pPr>
    </w:p>
    <w:p>
      <w:pPr>
        <w:ind w:left="200" w:right="80"/>
        <w:spacing w:after="0" w:line="238" w:lineRule="auto"/>
        <w:rPr>
          <w:sz w:val="20"/>
          <w:szCs w:val="20"/>
          <w:color w:val="auto"/>
        </w:rPr>
      </w:pPr>
      <w:r>
        <w:rPr>
          <w:rFonts w:ascii="Arial" w:cs="Arial" w:eastAsia="Arial" w:hAnsi="Arial"/>
          <w:sz w:val="18"/>
          <w:szCs w:val="18"/>
          <w:color w:val="auto"/>
        </w:rPr>
        <w:t>As previously disclosed, in November 2017, Sanofi provided 90 days’ written notice to terminate all oncology programs or the remaining portion of the research activities under the Sanofi Collaboration Agreement, which officially terminated in February 2018. With the termination of the Sanofi Collaboration Agreement, the maturity date of notes payable, related party became February 2020.</w:t>
      </w:r>
    </w:p>
    <w:p>
      <w:pPr>
        <w:spacing w:after="0" w:line="10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notes payable bore interest at LIBOR plus 8.5%. Subject to certain exceptions, there were no payments due prior to maturity, and interest is paid-in-kind. The notes payable were automatically convertible into shares of common stock upon the completion of an initial public offering and convertible at the option of the investor upon a financing in which the Company sold shares of a new series of preferred stock in which the Company receives proceeds of at least $30.0 million. The conversion rate upon such conversion was 95% of the initial public offering price or 95% of the financing purchase price. If the Company was acquired, then the acquirer of the Company had to pay $36.0 million in principal (120 percent of the outstanding debt of $30.0 million). The Company accounted for the amendment as a modification as the terms of the amendment were not substantially different from the original terms of the term loan.</w:t>
      </w:r>
    </w:p>
    <w:p>
      <w:pPr>
        <w:spacing w:after="0" w:line="101"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The Company borrowed $8,999,731 and $17,451,965 during the years ended December 31, 2017 and 2016, respectively. The Company recorded noncash interest expense of $2,934,532 and $1,062,213 during the years ended December 31, 2017 and 2016, respectively. The effective interest rate was 10.1% and 9.6% for the years ended December 31, 2017 and 2016, respectively.</w:t>
      </w:r>
    </w:p>
    <w:p>
      <w:pPr>
        <w:spacing w:after="0" w:line="100"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In June 2018, the Company and Sanofi agreed to amend the terms of existing notes payable. All current and future interest due on the notes payable was cancelled and forgiven in full. In addition, a milestone payment (Sanofi to pay the Company) of $6 million under the Sanofi Collaboration Agreement was cancelled and forgiven in full. Sanofi has no further payment obligations due to the Company under the Sanofi Collaboration Agreement. The Company will exchange its existing notes payable for new notes payable with amended terms from Sanofi immediately prior to the closing of the Company’s first issuance and sale of preferred stock prior to December 31, 2019.</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6. Grants</w:t>
      </w:r>
    </w:p>
    <w:p>
      <w:pPr>
        <w:spacing w:after="0" w:line="13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In September 2016, the Company was awarded a grant from the Cystic Fibrosis Foundation for the preclinical development of Neomorph antibiotics for treatment of Cystic Fibrosis related infections. In early 2017, the Company was awarded multiple antibiotic grants from Small Business Innovation Research through the government of the United States. In April 2017, the Company was awarded a grant for a total of $1.1 million from the Bill and Melinda Gates Foundation for research related to antibiotics for the treatment of tuberculosis and gram-negative infections.</w:t>
      </w:r>
    </w:p>
    <w:p>
      <w:pPr>
        <w:spacing w:after="0" w:line="14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220"/>
          </w:cols>
          <w:pgMar w:left="24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Revenue recorded under antibiotic grants during the year ended December 31, 2017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720" w:type="dxa"/>
            <w:vAlign w:val="bottom"/>
            <w:tcBorders>
              <w:bottom w:val="single" w:sz="8" w:color="auto"/>
            </w:tcBorders>
          </w:tcPr>
          <w:p>
            <w:pPr>
              <w:spacing w:after="0"/>
              <w:rPr>
                <w:sz w:val="19"/>
                <w:szCs w:val="19"/>
                <w:color w:val="auto"/>
              </w:rPr>
            </w:pPr>
          </w:p>
        </w:tc>
        <w:tc>
          <w:tcPr>
            <w:tcW w:w="3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Gates Foundation Grant</w:t>
            </w:r>
          </w:p>
        </w:tc>
        <w:tc>
          <w:tcPr>
            <w:tcW w:w="3400" w:type="dxa"/>
            <w:vAlign w:val="bottom"/>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649,569</w:t>
            </w:r>
          </w:p>
        </w:tc>
        <w:tc>
          <w:tcPr>
            <w:tcW w:w="80" w:type="dxa"/>
            <w:vAlign w:val="bottom"/>
            <w:shd w:val="clear" w:color="auto" w:fill="CCEEFF"/>
          </w:tcPr>
          <w:p>
            <w:pPr>
              <w:spacing w:after="0"/>
              <w:rPr>
                <w:sz w:val="17"/>
                <w:szCs w:val="17"/>
                <w:color w:val="auto"/>
              </w:rPr>
            </w:pPr>
          </w:p>
        </w:tc>
      </w:tr>
      <w:tr>
        <w:trPr>
          <w:trHeight w:val="203"/>
        </w:trPr>
        <w:tc>
          <w:tcPr>
            <w:tcW w:w="6740" w:type="dxa"/>
            <w:vAlign w:val="bottom"/>
            <w:gridSpan w:val="2"/>
          </w:tcPr>
          <w:p>
            <w:pPr>
              <w:spacing w:after="0" w:line="202" w:lineRule="exact"/>
              <w:rPr>
                <w:sz w:val="20"/>
                <w:szCs w:val="20"/>
                <w:color w:val="auto"/>
              </w:rPr>
            </w:pPr>
            <w:r>
              <w:rPr>
                <w:rFonts w:ascii="Arial" w:cs="Arial" w:eastAsia="Arial" w:hAnsi="Arial"/>
                <w:sz w:val="18"/>
                <w:szCs w:val="18"/>
                <w:color w:val="auto"/>
              </w:rPr>
              <w:t>Cystic Fibrosis Foundation Grant</w:t>
            </w: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320,000</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Small Business Innovation Research Grants</w:t>
            </w:r>
          </w:p>
        </w:tc>
        <w:tc>
          <w:tcPr>
            <w:tcW w:w="3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702,312</w:t>
            </w:r>
          </w:p>
        </w:tc>
        <w:tc>
          <w:tcPr>
            <w:tcW w:w="8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Grant Revenue</w:t>
            </w:r>
          </w:p>
        </w:tc>
        <w:tc>
          <w:tcPr>
            <w:tcW w:w="3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1,671,881</w:t>
            </w:r>
          </w:p>
        </w:tc>
        <w:tc>
          <w:tcPr>
            <w:tcW w:w="80" w:type="dxa"/>
            <w:vAlign w:val="bottom"/>
          </w:tcPr>
          <w:p>
            <w:pPr>
              <w:spacing w:after="0"/>
              <w:rPr>
                <w:sz w:val="19"/>
                <w:szCs w:val="19"/>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7. Balance sheet components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Prepaid expenses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920" w:type="dxa"/>
            <w:vAlign w:val="bottom"/>
            <w:tcBorders>
              <w:bottom w:val="single" w:sz="8" w:color="auto"/>
            </w:tcBorders>
            <w:gridSpan w:val="3"/>
          </w:tcPr>
          <w:p>
            <w:pPr>
              <w:jc w:val="right"/>
              <w:ind w:right="312"/>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2"/>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Prepaid software licenses</w:t>
            </w:r>
          </w:p>
        </w:tc>
        <w:tc>
          <w:tcPr>
            <w:tcW w:w="3480" w:type="dxa"/>
            <w:vAlign w:val="bottom"/>
            <w:gridSpan w:val="2"/>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$ 198,339</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206,346</w:t>
            </w:r>
          </w:p>
        </w:tc>
        <w:tc>
          <w:tcPr>
            <w:tcW w:w="80" w:type="dxa"/>
            <w:vAlign w:val="bottom"/>
            <w:shd w:val="clear" w:color="auto" w:fill="CCEEFF"/>
          </w:tcPr>
          <w:p>
            <w:pPr>
              <w:spacing w:after="0"/>
              <w:rPr>
                <w:sz w:val="17"/>
                <w:szCs w:val="17"/>
                <w:color w:val="auto"/>
              </w:rPr>
            </w:pPr>
          </w:p>
        </w:tc>
      </w:tr>
      <w:tr>
        <w:trPr>
          <w:trHeight w:val="203"/>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Prepaid rent</w:t>
            </w:r>
          </w:p>
        </w:tc>
        <w:tc>
          <w:tcPr>
            <w:tcW w:w="3480" w:type="dxa"/>
            <w:vAlign w:val="bottom"/>
            <w:gridSpan w:val="2"/>
          </w:tcPr>
          <w:p>
            <w:pPr>
              <w:jc w:val="right"/>
              <w:ind w:right="52"/>
              <w:spacing w:after="0" w:line="202" w:lineRule="exact"/>
              <w:rPr>
                <w:sz w:val="20"/>
                <w:szCs w:val="20"/>
                <w:color w:val="auto"/>
              </w:rPr>
            </w:pPr>
            <w:r>
              <w:rPr>
                <w:rFonts w:ascii="Arial" w:cs="Arial" w:eastAsia="Arial" w:hAnsi="Arial"/>
                <w:sz w:val="18"/>
                <w:szCs w:val="18"/>
                <w:color w:val="auto"/>
              </w:rPr>
              <w:t>172,761</w:t>
            </w:r>
          </w:p>
        </w:tc>
        <w:tc>
          <w:tcPr>
            <w:tcW w:w="2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165,205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maintenance services</w:t>
            </w:r>
          </w:p>
        </w:tc>
        <w:tc>
          <w:tcPr>
            <w:tcW w:w="348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110,314</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64,421</w:t>
            </w:r>
          </w:p>
        </w:tc>
        <w:tc>
          <w:tcPr>
            <w:tcW w:w="80" w:type="dxa"/>
            <w:vAlign w:val="bottom"/>
            <w:shd w:val="clear" w:color="auto" w:fill="CCEEFF"/>
          </w:tcPr>
          <w:p>
            <w:pPr>
              <w:spacing w:after="0"/>
              <w:rPr>
                <w:sz w:val="17"/>
                <w:szCs w:val="17"/>
                <w:color w:val="auto"/>
              </w:rPr>
            </w:pPr>
          </w:p>
        </w:tc>
      </w:tr>
      <w:tr>
        <w:trPr>
          <w:trHeight w:val="210"/>
        </w:trPr>
        <w:tc>
          <w:tcPr>
            <w:tcW w:w="650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540" w:type="dxa"/>
            <w:vAlign w:val="bottom"/>
          </w:tcPr>
          <w:p>
            <w:pPr>
              <w:spacing w:after="0"/>
              <w:rPr>
                <w:sz w:val="18"/>
                <w:szCs w:val="18"/>
                <w:color w:val="auto"/>
              </w:rPr>
            </w:pPr>
          </w:p>
        </w:tc>
        <w:tc>
          <w:tcPr>
            <w:tcW w:w="94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46,144</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107,830</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prepaid expenses and other current assets</w:t>
            </w:r>
          </w:p>
        </w:tc>
        <w:tc>
          <w:tcPr>
            <w:tcW w:w="3480" w:type="dxa"/>
            <w:vAlign w:val="bottom"/>
            <w:gridSpan w:val="2"/>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$ 527,558</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543,802</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9"/>
        </w:trPr>
        <w:tc>
          <w:tcPr>
            <w:tcW w:w="6500" w:type="dxa"/>
            <w:vAlign w:val="bottom"/>
            <w:gridSpan w:val="2"/>
          </w:tcPr>
          <w:p>
            <w:pPr>
              <w:spacing w:after="0"/>
              <w:rPr>
                <w:sz w:val="20"/>
                <w:szCs w:val="20"/>
                <w:color w:val="auto"/>
              </w:rPr>
            </w:pPr>
            <w:r>
              <w:rPr>
                <w:rFonts w:ascii="Arial" w:cs="Arial" w:eastAsia="Arial" w:hAnsi="Arial"/>
                <w:sz w:val="18"/>
                <w:szCs w:val="18"/>
                <w:color w:val="auto"/>
              </w:rPr>
              <w:t>Accrued expenses consisted of the following:</w:t>
            </w:r>
          </w:p>
        </w:tc>
        <w:tc>
          <w:tcPr>
            <w:tcW w:w="2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171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60" w:type="dxa"/>
            <w:vAlign w:val="bottom"/>
            <w:tcBorders>
              <w:bottom w:val="single" w:sz="8" w:color="auto"/>
            </w:tcBorders>
            <w:gridSpan w:val="2"/>
          </w:tcPr>
          <w:p>
            <w:pPr>
              <w:jc w:val="right"/>
              <w:ind w:right="472"/>
              <w:spacing w:after="0"/>
              <w:rPr>
                <w:sz w:val="20"/>
                <w:szCs w:val="20"/>
                <w:color w:val="auto"/>
              </w:rPr>
            </w:pPr>
            <w:r>
              <w:rPr>
                <w:rFonts w:ascii="Arial" w:cs="Arial" w:eastAsia="Arial" w:hAnsi="Arial"/>
                <w:sz w:val="18"/>
                <w:szCs w:val="18"/>
                <w:b w:val="1"/>
                <w:bCs w:val="1"/>
                <w:color w:val="auto"/>
              </w:rPr>
              <w:t>December 31,</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08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gridSpan w:val="2"/>
          </w:tcPr>
          <w:p>
            <w:pPr>
              <w:jc w:val="right"/>
              <w:ind w:right="372"/>
              <w:spacing w:after="0"/>
              <w:rPr>
                <w:sz w:val="20"/>
                <w:szCs w:val="20"/>
                <w:color w:val="auto"/>
              </w:rPr>
            </w:pPr>
            <w:r>
              <w:rPr>
                <w:rFonts w:ascii="Arial" w:cs="Arial" w:eastAsia="Arial" w:hAnsi="Arial"/>
                <w:sz w:val="18"/>
                <w:szCs w:val="18"/>
                <w:b w:val="1"/>
                <w:bCs w:val="1"/>
                <w:color w:val="auto"/>
              </w:rPr>
              <w:t>2017</w:t>
            </w:r>
          </w:p>
        </w:tc>
        <w:tc>
          <w:tcPr>
            <w:tcW w:w="11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compensation and benefits</w:t>
            </w:r>
          </w:p>
        </w:tc>
        <w:tc>
          <w:tcPr>
            <w:tcW w:w="3720" w:type="dxa"/>
            <w:vAlign w:val="bottom"/>
            <w:gridSpan w:val="2"/>
            <w:shd w:val="clear" w:color="auto" w:fill="CCEEFF"/>
          </w:tcPr>
          <w:p>
            <w:pPr>
              <w:jc w:val="right"/>
              <w:ind w:right="92"/>
              <w:spacing w:after="0" w:line="196" w:lineRule="exact"/>
              <w:rPr>
                <w:sz w:val="20"/>
                <w:szCs w:val="20"/>
                <w:color w:val="auto"/>
              </w:rPr>
            </w:pPr>
            <w:r>
              <w:rPr>
                <w:rFonts w:ascii="Arial" w:cs="Arial" w:eastAsia="Arial" w:hAnsi="Arial"/>
                <w:sz w:val="18"/>
                <w:szCs w:val="18"/>
                <w:color w:val="auto"/>
              </w:rPr>
              <w:t>$ 1,407,236</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$ 1,009,594</w:t>
            </w:r>
          </w:p>
        </w:tc>
        <w:tc>
          <w:tcPr>
            <w:tcW w:w="80" w:type="dxa"/>
            <w:vAlign w:val="bottom"/>
            <w:shd w:val="clear" w:color="auto" w:fill="CCEEFF"/>
          </w:tcPr>
          <w:p>
            <w:pPr>
              <w:spacing w:after="0"/>
              <w:rPr>
                <w:sz w:val="17"/>
                <w:szCs w:val="17"/>
                <w:color w:val="auto"/>
              </w:rPr>
            </w:pPr>
          </w:p>
        </w:tc>
      </w:tr>
      <w:tr>
        <w:trPr>
          <w:trHeight w:val="203"/>
        </w:trPr>
        <w:tc>
          <w:tcPr>
            <w:tcW w:w="6100" w:type="dxa"/>
            <w:vAlign w:val="bottom"/>
            <w:gridSpan w:val="2"/>
          </w:tcPr>
          <w:p>
            <w:pPr>
              <w:spacing w:after="0" w:line="202" w:lineRule="exact"/>
              <w:rPr>
                <w:sz w:val="20"/>
                <w:szCs w:val="20"/>
                <w:color w:val="auto"/>
              </w:rPr>
            </w:pPr>
            <w:r>
              <w:rPr>
                <w:rFonts w:ascii="Arial" w:cs="Arial" w:eastAsia="Arial" w:hAnsi="Arial"/>
                <w:sz w:val="18"/>
                <w:szCs w:val="18"/>
                <w:color w:val="auto"/>
              </w:rPr>
              <w:t>Accrued contract research organization costs</w:t>
            </w:r>
          </w:p>
        </w:tc>
        <w:tc>
          <w:tcPr>
            <w:tcW w:w="3720" w:type="dxa"/>
            <w:vAlign w:val="bottom"/>
            <w:gridSpan w:val="2"/>
          </w:tcPr>
          <w:p>
            <w:pPr>
              <w:jc w:val="right"/>
              <w:ind w:right="92"/>
              <w:spacing w:after="0" w:line="202" w:lineRule="exact"/>
              <w:rPr>
                <w:sz w:val="20"/>
                <w:szCs w:val="20"/>
                <w:color w:val="auto"/>
              </w:rPr>
            </w:pPr>
            <w:r>
              <w:rPr>
                <w:rFonts w:ascii="Arial" w:cs="Arial" w:eastAsia="Arial" w:hAnsi="Arial"/>
                <w:sz w:val="18"/>
                <w:szCs w:val="18"/>
                <w:color w:val="auto"/>
              </w:rPr>
              <w:t>381,757</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377,895</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other</w:t>
            </w:r>
          </w:p>
        </w:tc>
        <w:tc>
          <w:tcPr>
            <w:tcW w:w="2600" w:type="dxa"/>
            <w:vAlign w:val="bottom"/>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92"/>
              <w:spacing w:after="0" w:line="202" w:lineRule="exact"/>
              <w:rPr>
                <w:sz w:val="20"/>
                <w:szCs w:val="20"/>
                <w:color w:val="auto"/>
              </w:rPr>
            </w:pPr>
            <w:r>
              <w:rPr>
                <w:rFonts w:ascii="Arial" w:cs="Arial" w:eastAsia="Arial" w:hAnsi="Arial"/>
                <w:sz w:val="18"/>
                <w:szCs w:val="18"/>
                <w:color w:val="auto"/>
              </w:rPr>
              <w:t>370,216</w:t>
            </w:r>
          </w:p>
        </w:tc>
        <w:tc>
          <w:tcPr>
            <w:tcW w:w="11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467,073</w:t>
            </w:r>
          </w:p>
        </w:tc>
        <w:tc>
          <w:tcPr>
            <w:tcW w:w="8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0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Total accrued liabilities</w:t>
            </w:r>
          </w:p>
        </w:tc>
        <w:tc>
          <w:tcPr>
            <w:tcW w:w="372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8"/>
                <w:szCs w:val="18"/>
                <w:color w:val="auto"/>
              </w:rPr>
              <w:t>$ 2,159,209</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$ 1,854,562</w:t>
            </w:r>
          </w:p>
        </w:tc>
        <w:tc>
          <w:tcPr>
            <w:tcW w:w="80" w:type="dxa"/>
            <w:vAlign w:val="bottom"/>
          </w:tcPr>
          <w:p>
            <w:pPr>
              <w:spacing w:after="0"/>
              <w:rPr>
                <w:sz w:val="19"/>
                <w:szCs w:val="19"/>
                <w:color w:val="auto"/>
              </w:rPr>
            </w:pPr>
          </w:p>
        </w:tc>
      </w:tr>
    </w:tbl>
    <w:p>
      <w:pPr>
        <w:spacing w:after="0" w:line="18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8. Convertible preferred stock and stockholders’ deficit</w:t>
      </w:r>
    </w:p>
    <w:p>
      <w:pPr>
        <w:spacing w:after="0" w:line="134"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In conjunction with the recapitalization, certain put and call rights that the Company’s two primarily investors held were eliminated, and the holders of preferred units received an equivalent number of shares of Series A preferred stock. The holders of common units received an equivalent number of common stock.</w:t>
      </w:r>
    </w:p>
    <w:p>
      <w:pPr>
        <w:spacing w:after="0" w:line="101" w:lineRule="exact"/>
        <w:rPr>
          <w:sz w:val="20"/>
          <w:szCs w:val="20"/>
          <w:color w:val="auto"/>
        </w:rPr>
      </w:pPr>
    </w:p>
    <w:p>
      <w:pPr>
        <w:ind w:left="200" w:right="220"/>
        <w:spacing w:after="0" w:line="236" w:lineRule="auto"/>
        <w:rPr>
          <w:sz w:val="20"/>
          <w:szCs w:val="20"/>
          <w:color w:val="auto"/>
        </w:rPr>
      </w:pPr>
      <w:r>
        <w:rPr>
          <w:rFonts w:ascii="Arial" w:cs="Arial" w:eastAsia="Arial" w:hAnsi="Arial"/>
          <w:sz w:val="18"/>
          <w:szCs w:val="18"/>
          <w:color w:val="auto"/>
        </w:rPr>
        <w:t>In evaluating the above restructuring, the Company considered that the rights and preferences of each class of equity before and after the restructuring and determined that there were no substantive changes in the rights and preferences. The fair value of each stockholders’ interest remained unchanged as a result of the above restructuring. The restructuring lacked economic substance and should be accounted for in a manner consistent with a common control transaction. Therefore, the Company concluded that the restructuring represented a modification of equity, and not an extinguishment, and that there was no incremental value given to the holders of the equity requiring recognition.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F-88</w:t>
      </w:r>
    </w:p>
    <w:p>
      <w:pPr>
        <w:sectPr>
          <w:pgSz w:w="11900" w:h="16838" w:orient="portrait"/>
          <w:cols w:equalWidth="0" w:num="1">
            <w:col w:w="11240"/>
          </w:cols>
          <w:pgMar w:left="240" w:top="459" w:right="41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Series A Convertible Preferred Stock (“Series A Preferred Stock”) has the following characteristics: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w:t>
      </w:r>
    </w:p>
    <w:p>
      <w:pPr>
        <w:spacing w:after="0" w:line="124" w:lineRule="exact"/>
        <w:rPr>
          <w:sz w:val="20"/>
          <w:szCs w:val="20"/>
          <w:color w:val="auto"/>
        </w:rPr>
      </w:pPr>
    </w:p>
    <w:p>
      <w:pPr>
        <w:ind w:left="200" w:right="340"/>
        <w:spacing w:after="0" w:line="239" w:lineRule="auto"/>
        <w:rPr>
          <w:sz w:val="20"/>
          <w:szCs w:val="20"/>
          <w:color w:val="auto"/>
        </w:rPr>
      </w:pPr>
      <w:r>
        <w:rPr>
          <w:rFonts w:ascii="Arial" w:cs="Arial" w:eastAsia="Arial" w:hAnsi="Arial"/>
          <w:sz w:val="18"/>
          <w:szCs w:val="18"/>
          <w:color w:val="auto"/>
        </w:rPr>
        <w:t>The Series A Preferred Stock is entitled to vote together with the common stockholders as one class and are entitled to separate votes on certain matters.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200" w:right="440"/>
        <w:spacing w:after="0" w:line="239" w:lineRule="auto"/>
        <w:rPr>
          <w:sz w:val="20"/>
          <w:szCs w:val="20"/>
          <w:color w:val="auto"/>
        </w:rPr>
      </w:pPr>
      <w:r>
        <w:rPr>
          <w:rFonts w:ascii="Arial" w:cs="Arial" w:eastAsia="Arial" w:hAnsi="Arial"/>
          <w:sz w:val="18"/>
          <w:szCs w:val="18"/>
          <w:color w:val="auto"/>
        </w:rPr>
        <w:t>The Series A stockholders are entitled to receive an annual, cumulative 8% dividend, when and if declared by the Board of Directors. No dividends have been declared through December 31, 2017.</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24" w:lineRule="exact"/>
        <w:rPr>
          <w:sz w:val="20"/>
          <w:szCs w:val="20"/>
          <w:color w:val="auto"/>
        </w:rPr>
      </w:pPr>
    </w:p>
    <w:p>
      <w:pPr>
        <w:ind w:left="200" w:right="260"/>
        <w:spacing w:after="0" w:line="238" w:lineRule="auto"/>
        <w:rPr>
          <w:sz w:val="20"/>
          <w:szCs w:val="20"/>
          <w:color w:val="auto"/>
        </w:rPr>
      </w:pPr>
      <w:r>
        <w:rPr>
          <w:rFonts w:ascii="Arial" w:cs="Arial" w:eastAsia="Arial" w:hAnsi="Arial"/>
          <w:sz w:val="18"/>
          <w:szCs w:val="18"/>
          <w:color w:val="auto"/>
        </w:rPr>
        <w:t>The Series A stockholders are entitled to a liquidation preference of their original purchase price of $1.00 per share for Series A Preferred Stock shares, plus accumulated dividends, in the event of liquidation, dissolution, or winding up of the Company. In the event the Company merges with, or is acquired by, another entity, such merger or acquisition could be deemed a dissolution.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w:t>
      </w:r>
    </w:p>
    <w:p>
      <w:pPr>
        <w:spacing w:after="0" w:line="124"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Series A Preferred Stock is convertible upon approval of the holders of at least 66.66% of the outstanding shares of Series A preferred stock, on a share-for-share basis, subject to certain antidilution adjustments. The Series A preferred stock converts automatically on a share-for-share basis into shares of common stock upon the closing of the shares of common stock to the public in a firm commitment underwritten public offering pursuant to an effective registration statement under the Securities Act of 1933, as amended, resulting in at least $40,000,000 of gross proceeds to the Company.</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24" w:lineRule="exact"/>
        <w:rPr>
          <w:sz w:val="20"/>
          <w:szCs w:val="20"/>
          <w:color w:val="auto"/>
        </w:rPr>
      </w:pPr>
    </w:p>
    <w:p>
      <w:pPr>
        <w:ind w:left="200" w:right="540"/>
        <w:spacing w:after="0" w:line="299" w:lineRule="auto"/>
        <w:rPr>
          <w:sz w:val="20"/>
          <w:szCs w:val="20"/>
          <w:color w:val="auto"/>
        </w:rPr>
      </w:pPr>
      <w:r>
        <w:rPr>
          <w:rFonts w:ascii="Arial" w:cs="Arial" w:eastAsia="Arial" w:hAnsi="Arial"/>
          <w:sz w:val="16"/>
          <w:szCs w:val="16"/>
          <w:color w:val="auto"/>
        </w:rPr>
        <w:t>The Series A Preferred Stock can be redeemed in a merger or consolidation involving the Company or a sale, lease, transfer, exclusive license or other disposition of substantially all the assets of the Company. The preferred stock is otherwise not redeemable.</w:t>
      </w:r>
    </w:p>
    <w:p>
      <w:pPr>
        <w:spacing w:after="0" w:line="55"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Prior to the 2016 restructuring to a C Corporation, the holders of the Company’s Series A Preferred Units, Common Units and Capital interests had certain voting, dividend rights, as well as liquidation preferences and conversion privileges. All rights, preferences, and privileges associated with these Units were terminated at the time of the Company’s restructuring to a C Corporation.</w:t>
      </w:r>
    </w:p>
    <w:p>
      <w:pPr>
        <w:spacing w:after="0" w:line="100" w:lineRule="exact"/>
        <w:rPr>
          <w:sz w:val="20"/>
          <w:szCs w:val="20"/>
          <w:color w:val="auto"/>
        </w:rPr>
      </w:pPr>
    </w:p>
    <w:p>
      <w:pPr>
        <w:ind w:left="200" w:right="860"/>
        <w:spacing w:after="0" w:line="239" w:lineRule="auto"/>
        <w:rPr>
          <w:sz w:val="20"/>
          <w:szCs w:val="20"/>
          <w:color w:val="auto"/>
        </w:rPr>
      </w:pPr>
      <w:r>
        <w:rPr>
          <w:rFonts w:ascii="Arial" w:cs="Arial" w:eastAsia="Arial" w:hAnsi="Arial"/>
          <w:sz w:val="18"/>
          <w:szCs w:val="18"/>
          <w:color w:val="auto"/>
        </w:rPr>
        <w:t>During the year ended December 31, 2017, the Company changed the classification of the Series A Preferred Stock balances from permanent equity to mezzanine equity. The change was applied retrospectively.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124"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Each holder of common stock is entitled to one vote per share of common stock. Subject to the rights of holders of Series A Preferred Stock as described above, holders of common stock are also entitled (i) to receive dividends whenever funds are legally available and when declared by the Board of Directors and (ii) upon a deemed liquidation, to receive ratably and equally with the holders of Series A Preferred Stock all the asset and funds of the Company remaining after the payment to the holders of Series A Preferred Stock of the amounts which they are entitled, as provided above.</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20"/>
          </w:cols>
          <w:pgMar w:left="240" w:top="460"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9. Equity awards</w:t>
      </w:r>
    </w:p>
    <w:p>
      <w:pPr>
        <w:spacing w:after="0" w:line="134" w:lineRule="exact"/>
        <w:rPr>
          <w:sz w:val="20"/>
          <w:szCs w:val="20"/>
          <w:color w:val="auto"/>
        </w:rPr>
      </w:pPr>
    </w:p>
    <w:p>
      <w:pPr>
        <w:ind w:left="200" w:right="320"/>
        <w:spacing w:after="0" w:line="237"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The holders of participation units, the equity award previously given to employees (and to nonemployees on occasion) were also called Capital Interests on the Statements of Convertible Preferred Stock and Stockholders’ Deficit. The holders of participation units received an equivalent number of shares of restricted stock on the same vesting schedule.</w:t>
      </w:r>
    </w:p>
    <w:p>
      <w:pPr>
        <w:spacing w:after="0" w:line="101" w:lineRule="exact"/>
        <w:rPr>
          <w:sz w:val="20"/>
          <w:szCs w:val="20"/>
          <w:color w:val="auto"/>
        </w:rPr>
      </w:pPr>
    </w:p>
    <w:p>
      <w:pPr>
        <w:ind w:left="200" w:right="240"/>
        <w:spacing w:after="0" w:line="269" w:lineRule="auto"/>
        <w:rPr>
          <w:sz w:val="20"/>
          <w:szCs w:val="20"/>
          <w:color w:val="auto"/>
        </w:rPr>
      </w:pPr>
      <w:r>
        <w:rPr>
          <w:rFonts w:ascii="Arial" w:cs="Arial" w:eastAsia="Arial" w:hAnsi="Arial"/>
          <w:sz w:val="16"/>
          <w:szCs w:val="16"/>
          <w:color w:val="auto"/>
        </w:rPr>
        <w:t>The Company adopted the 2016 Stock Option and Grant Plan (2016 Plan) during the above described restructuring in January 2016. The maximum number of shares reserved and available for issuance under the 2016 Plan is 20,064,924 shares. As of December 31, 2017, 3,004,141 restricted stock awards were available for future grant under the Plan. The Company has issued restricted stock (as opposed to stock options) to employees since the adoption of the 2016 Plan. Upon grant of the restricted stock award and payment of any applicable purchase price by the employee, a grantee of the restricted stock is considered the record owner and is entitled to vote the restricted stock. Restricted stock may not be sold, assigned, transferred, pledged or otherwise encumbered or disposed of except as specifically provided in the 2016 Plan or award agreement. If an employee leaves the Company, the Company has the right and option to repurchase the unvested restricted stock. Restricted stock granted by the Company typically vest over four years and have a contractual life of ten years.</w:t>
      </w:r>
    </w:p>
    <w:p>
      <w:pPr>
        <w:spacing w:after="0" w:line="79" w:lineRule="exact"/>
        <w:rPr>
          <w:sz w:val="20"/>
          <w:szCs w:val="20"/>
          <w:color w:val="auto"/>
        </w:rPr>
      </w:pPr>
    </w:p>
    <w:p>
      <w:pPr>
        <w:ind w:left="200" w:right="180"/>
        <w:spacing w:after="0" w:line="236" w:lineRule="auto"/>
        <w:rPr>
          <w:sz w:val="20"/>
          <w:szCs w:val="20"/>
          <w:color w:val="auto"/>
        </w:rPr>
      </w:pPr>
      <w:r>
        <w:rPr>
          <w:rFonts w:ascii="Arial" w:cs="Arial" w:eastAsia="Arial" w:hAnsi="Arial"/>
          <w:sz w:val="18"/>
          <w:szCs w:val="18"/>
          <w:color w:val="auto"/>
        </w:rPr>
        <w:t>The Company granted 1,107,150 and 3,742,345 shares of restricted stock to employees for the years ended December 31, 2017 and 2016, respectively. For all grants during the years ended December 31, 2017 and 2016, the employees paid the Company for the fair value of the restricted stock awards. As a result, the Company did not recognize any stock-based compensation for restricted stock grants made in 2017 and 2016. However, the Company did recognize stock-based compensation related to grants of participation units and capitalized interests prior to January 1, 2016.</w:t>
      </w:r>
    </w:p>
    <w:p>
      <w:pPr>
        <w:spacing w:after="0" w:line="9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recorded stock-based compensation expense in the following expense categories in its Statements of Operations and</w:t>
      </w:r>
    </w:p>
    <w:p>
      <w:pPr>
        <w:ind w:left="200"/>
        <w:spacing w:after="0"/>
        <w:rPr>
          <w:sz w:val="20"/>
          <w:szCs w:val="20"/>
          <w:color w:val="auto"/>
        </w:rPr>
      </w:pPr>
      <w:r>
        <w:rPr>
          <w:rFonts w:ascii="Arial" w:cs="Arial" w:eastAsia="Arial" w:hAnsi="Arial"/>
          <w:sz w:val="18"/>
          <w:szCs w:val="18"/>
          <w:color w:val="auto"/>
        </w:rPr>
        <w:t>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19"/>
                <w:szCs w:val="19"/>
                <w:color w:val="auto"/>
              </w:rPr>
            </w:pPr>
          </w:p>
        </w:tc>
        <w:tc>
          <w:tcPr>
            <w:tcW w:w="40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2017</w:t>
            </w: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2016</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404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$ 122,880</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$ 198,309</w:t>
            </w:r>
          </w:p>
        </w:tc>
        <w:tc>
          <w:tcPr>
            <w:tcW w:w="80" w:type="dxa"/>
            <w:vAlign w:val="bottom"/>
            <w:shd w:val="clear" w:color="auto" w:fill="CCEEFF"/>
          </w:tcPr>
          <w:p>
            <w:pPr>
              <w:spacing w:after="0"/>
              <w:rPr>
                <w:sz w:val="17"/>
                <w:szCs w:val="17"/>
                <w:color w:val="auto"/>
              </w:rPr>
            </w:pPr>
          </w:p>
        </w:tc>
      </w:tr>
      <w:tr>
        <w:trPr>
          <w:trHeight w:val="215"/>
        </w:trPr>
        <w:tc>
          <w:tcPr>
            <w:tcW w:w="5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General and administrative expense</w:t>
            </w:r>
          </w:p>
        </w:tc>
        <w:tc>
          <w:tcPr>
            <w:tcW w:w="40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517,598</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787,174</w:t>
            </w:r>
          </w:p>
        </w:tc>
        <w:tc>
          <w:tcPr>
            <w:tcW w:w="80" w:type="dxa"/>
            <w:vAlign w:val="bottom"/>
          </w:tcPr>
          <w:p>
            <w:pPr>
              <w:spacing w:after="0"/>
              <w:rPr>
                <w:sz w:val="18"/>
                <w:szCs w:val="18"/>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For the year ended December 31, 2017, the above amounts included total stock-based expense for nonemployees of approximately $1,129.</w:t>
      </w:r>
    </w:p>
    <w:p>
      <w:pPr>
        <w:spacing w:after="0" w:line="127"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The following table summarizes the Company’s restricted stock activity for the year ended December 31, 2017, as well as total common stock at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Weighted-average</w:t>
            </w:r>
          </w:p>
        </w:tc>
      </w:tr>
      <w:tr>
        <w:trPr>
          <w:trHeight w:val="203"/>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60" w:type="dxa"/>
            <w:vAlign w:val="bottom"/>
            <w:gridSpan w:val="2"/>
          </w:tcPr>
          <w:p>
            <w:pPr>
              <w:jc w:val="right"/>
              <w:ind w:right="700"/>
              <w:spacing w:after="0" w:line="202" w:lineRule="exact"/>
              <w:rPr>
                <w:sz w:val="20"/>
                <w:szCs w:val="20"/>
                <w:color w:val="auto"/>
              </w:rPr>
            </w:pPr>
            <w:r>
              <w:rPr>
                <w:rFonts w:ascii="Arial" w:cs="Arial" w:eastAsia="Arial" w:hAnsi="Arial"/>
                <w:sz w:val="18"/>
                <w:szCs w:val="18"/>
                <w:b w:val="1"/>
                <w:bCs w:val="1"/>
                <w:color w:val="auto"/>
              </w:rPr>
              <w:t>Number of</w:t>
            </w:r>
          </w:p>
        </w:tc>
        <w:tc>
          <w:tcPr>
            <w:tcW w:w="540" w:type="dxa"/>
            <w:vAlign w:val="bottom"/>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8"/>
              </w:rPr>
              <w:t>grant date fair</w:t>
            </w:r>
          </w:p>
        </w:tc>
      </w:tr>
      <w:tr>
        <w:trPr>
          <w:trHeight w:val="221"/>
        </w:trPr>
        <w:tc>
          <w:tcPr>
            <w:tcW w:w="20" w:type="dxa"/>
            <w:vAlign w:val="bottom"/>
          </w:tcPr>
          <w:p>
            <w:pPr>
              <w:spacing w:after="0"/>
              <w:rPr>
                <w:sz w:val="19"/>
                <w:szCs w:val="19"/>
                <w:color w:val="auto"/>
              </w:rPr>
            </w:pPr>
          </w:p>
        </w:tc>
        <w:tc>
          <w:tcPr>
            <w:tcW w:w="516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color w:val="auto"/>
              </w:rPr>
              <w:t>restricted shares</w:t>
            </w: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8"/>
                <w:szCs w:val="18"/>
                <w:b w:val="1"/>
                <w:bCs w:val="1"/>
                <w:color w:val="auto"/>
                <w:w w:val="99"/>
              </w:rPr>
              <w:t>value</w:t>
            </w:r>
          </w:p>
        </w:tc>
      </w:tr>
      <w:tr>
        <w:trPr>
          <w:trHeight w:val="196"/>
        </w:trPr>
        <w:tc>
          <w:tcPr>
            <w:tcW w:w="20" w:type="dxa"/>
            <w:vAlign w:val="bottom"/>
          </w:tcPr>
          <w:p>
            <w:pPr>
              <w:spacing w:after="0"/>
              <w:rPr>
                <w:sz w:val="17"/>
                <w:szCs w:val="17"/>
                <w:color w:val="auto"/>
              </w:rPr>
            </w:pPr>
          </w:p>
        </w:tc>
        <w:tc>
          <w:tcPr>
            <w:tcW w:w="5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restricted stock on January 1, 2017</w:t>
            </w:r>
          </w:p>
        </w:tc>
        <w:tc>
          <w:tcPr>
            <w:tcW w:w="3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19,931,258</w:t>
            </w:r>
          </w:p>
        </w:tc>
        <w:tc>
          <w:tcPr>
            <w:tcW w:w="4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60" w:type="dxa"/>
            <w:vAlign w:val="bottom"/>
          </w:tcPr>
          <w:p>
            <w:pPr>
              <w:ind w:left="200"/>
              <w:spacing w:after="0" w:line="202" w:lineRule="exact"/>
              <w:rPr>
                <w:sz w:val="20"/>
                <w:szCs w:val="20"/>
                <w:color w:val="auto"/>
              </w:rPr>
            </w:pPr>
            <w:r>
              <w:rPr>
                <w:rFonts w:ascii="Arial" w:cs="Arial" w:eastAsia="Arial" w:hAnsi="Arial"/>
                <w:sz w:val="18"/>
                <w:szCs w:val="18"/>
                <w:color w:val="auto"/>
              </w:rPr>
              <w:t>Restricted stock granted</w:t>
            </w:r>
          </w:p>
        </w:tc>
        <w:tc>
          <w:tcPr>
            <w:tcW w:w="34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1,107,150</w:t>
            </w: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Restricted stock cancelled</w:t>
            </w:r>
          </w:p>
        </w:tc>
        <w:tc>
          <w:tcPr>
            <w:tcW w:w="20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(3,278,377)</w:t>
            </w:r>
          </w:p>
        </w:tc>
        <w:tc>
          <w:tcPr>
            <w:tcW w:w="54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17"/>
                <w:szCs w:val="17"/>
                <w:color w:val="auto"/>
              </w:rPr>
            </w:pPr>
          </w:p>
        </w:tc>
      </w:tr>
      <w:tr>
        <w:trPr>
          <w:trHeight w:val="222"/>
        </w:trPr>
        <w:tc>
          <w:tcPr>
            <w:tcW w:w="5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Restricted stock at December 31, 2017</w:t>
            </w:r>
          </w:p>
        </w:tc>
        <w:tc>
          <w:tcPr>
            <w:tcW w:w="2020" w:type="dxa"/>
            <w:vAlign w:val="bottom"/>
            <w:tcBorders>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17,760,031</w:t>
            </w:r>
          </w:p>
        </w:tc>
        <w:tc>
          <w:tcPr>
            <w:tcW w:w="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r>
    </w:tbl>
    <w:p>
      <w:pPr>
        <w:spacing w:after="0" w:line="11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As of December 31, 2017, there was approximately $0.6 million of total unrecognized compensation cost related to restricted stock with time-based vesting, which is expected to be recognized over a remaining weighted-average vesting period of approximately 1.1 years. The weighted-average grant date fair value of restricted stock granted was $0.01 for the year ended December 31, 2017.</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240"/>
          </w:cols>
          <w:pgMar w:left="240" w:top="459" w:right="41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During the years ended December 31, 2017 and December 31, 2016, no shares subject to performance-based milestones vested, and the Company did not record any stock-based compensation related to these performance-based restricted stock as the vesting conditions are not probable of achievement. The Company cancelled all 2,100,000 unvested performance-based restricted shares upon the resignation of a former executive during the year ended December 31, 2017.</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10. Commitments and contingencies</w:t>
      </w:r>
    </w:p>
    <w:p>
      <w:pPr>
        <w:spacing w:after="0" w:line="134" w:lineRule="exact"/>
        <w:rPr>
          <w:sz w:val="20"/>
          <w:szCs w:val="20"/>
          <w:color w:val="auto"/>
        </w:rPr>
      </w:pPr>
    </w:p>
    <w:p>
      <w:pPr>
        <w:ind w:left="200" w:right="160"/>
        <w:spacing w:after="0" w:line="237" w:lineRule="auto"/>
        <w:rPr>
          <w:sz w:val="20"/>
          <w:szCs w:val="20"/>
          <w:color w:val="auto"/>
        </w:rPr>
      </w:pPr>
      <w:r>
        <w:rPr>
          <w:rFonts w:ascii="Arial" w:cs="Arial" w:eastAsia="Arial" w:hAnsi="Arial"/>
          <w:sz w:val="18"/>
          <w:szCs w:val="18"/>
          <w:color w:val="auto"/>
        </w:rPr>
        <w:t>In May 2017, the Company and the landlord finalized an extension of the Company’s primary facilities in Cambridge, Massachusetts through February 2023. The lease extension includes a rent increase of approximately 12% starting in March 2018 and three percent annual rent increases through 2023. In May 2017, the Company and the landlord reduced the security deposit related to the facility lease, which is the restricted cash on the Company’s balance sheet, by approximately $107,000.</w:t>
      </w:r>
    </w:p>
    <w:p>
      <w:pPr>
        <w:spacing w:after="0" w:line="101"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In conjunction with the original lease, the landlord provided the Company with a $3.5 million tenant improvement allowance, of which the entire amount was utilized in 2013 and represented normal tenant improvements. The improvements are recorded as leasehold improvements on the balance sheet. The incentive has been recorded as a lease incentive obligation which is being amortized as a reduction of rent expense over the term of the lease. At December 31, 2017 and 2016, the deferred rent and lease incentive obligations are recorded as deferred rent on the balance sheet.</w:t>
      </w:r>
    </w:p>
    <w:p>
      <w:pPr>
        <w:spacing w:after="0" w:line="103" w:lineRule="exact"/>
        <w:rPr>
          <w:sz w:val="20"/>
          <w:szCs w:val="20"/>
          <w:color w:val="auto"/>
        </w:rPr>
      </w:pPr>
    </w:p>
    <w:p>
      <w:pPr>
        <w:ind w:left="200" w:right="900"/>
        <w:spacing w:after="0" w:line="239" w:lineRule="auto"/>
        <w:rPr>
          <w:sz w:val="20"/>
          <w:szCs w:val="20"/>
          <w:color w:val="auto"/>
        </w:rPr>
      </w:pPr>
      <w:r>
        <w:rPr>
          <w:rFonts w:ascii="Arial" w:cs="Arial" w:eastAsia="Arial" w:hAnsi="Arial"/>
          <w:sz w:val="18"/>
          <w:szCs w:val="18"/>
          <w:color w:val="auto"/>
        </w:rPr>
        <w:t>The Company recorded rent expense of $859,634 and $781,273 for the years ended December 31, 2017 and December 31, 2016, respectively.</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Minimum rental payments under the operating leases as of December 31,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Operating</w:t>
            </w:r>
          </w:p>
        </w:tc>
      </w:tr>
      <w:tr>
        <w:trPr>
          <w:trHeight w:val="221"/>
        </w:trPr>
        <w:tc>
          <w:tcPr>
            <w:tcW w:w="2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48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8"/>
              </w:rPr>
              <w:t>leases</w:t>
            </w:r>
          </w:p>
        </w:tc>
      </w:tr>
      <w:tr>
        <w:trPr>
          <w:trHeight w:val="196"/>
        </w:trPr>
        <w:tc>
          <w:tcPr>
            <w:tcW w:w="20" w:type="dxa"/>
            <w:vAlign w:val="bottom"/>
          </w:tcPr>
          <w:p>
            <w:pPr>
              <w:spacing w:after="0"/>
              <w:rPr>
                <w:sz w:val="17"/>
                <w:szCs w:val="17"/>
                <w:color w:val="auto"/>
              </w:rPr>
            </w:pPr>
          </w:p>
        </w:tc>
        <w:tc>
          <w:tcPr>
            <w:tcW w:w="5180" w:type="dxa"/>
            <w:vAlign w:val="bottom"/>
            <w:shd w:val="clear" w:color="auto" w:fill="CCEEFF"/>
          </w:tcPr>
          <w:p>
            <w:pPr>
              <w:jc w:val="right"/>
              <w:ind w:right="4712"/>
              <w:spacing w:after="0" w:line="196" w:lineRule="exact"/>
              <w:rPr>
                <w:sz w:val="20"/>
                <w:szCs w:val="20"/>
                <w:color w:val="auto"/>
              </w:rPr>
            </w:pPr>
            <w:r>
              <w:rPr>
                <w:rFonts w:ascii="Arial" w:cs="Arial" w:eastAsia="Arial" w:hAnsi="Arial"/>
                <w:sz w:val="18"/>
                <w:szCs w:val="18"/>
                <w:color w:val="auto"/>
                <w:w w:val="89"/>
              </w:rPr>
              <w:t>2018</w:t>
            </w:r>
          </w:p>
        </w:tc>
        <w:tc>
          <w:tcPr>
            <w:tcW w:w="57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$ 1,582,607</w:t>
            </w:r>
          </w:p>
        </w:tc>
        <w:tc>
          <w:tcPr>
            <w:tcW w:w="80" w:type="dxa"/>
            <w:vAlign w:val="bottom"/>
            <w:shd w:val="clear" w:color="auto" w:fill="CCEEFF"/>
          </w:tcPr>
          <w:p>
            <w:pPr>
              <w:spacing w:after="0"/>
              <w:rPr>
                <w:sz w:val="17"/>
                <w:szCs w:val="17"/>
                <w:color w:val="auto"/>
              </w:rPr>
            </w:pPr>
          </w:p>
        </w:tc>
      </w:tr>
      <w:tr>
        <w:trPr>
          <w:trHeight w:val="203"/>
        </w:trPr>
        <w:tc>
          <w:tcPr>
            <w:tcW w:w="5200" w:type="dxa"/>
            <w:vAlign w:val="bottom"/>
            <w:gridSpan w:val="2"/>
          </w:tcPr>
          <w:p>
            <w:pPr>
              <w:jc w:val="right"/>
              <w:ind w:right="4712"/>
              <w:spacing w:after="0" w:line="202" w:lineRule="exact"/>
              <w:rPr>
                <w:sz w:val="20"/>
                <w:szCs w:val="20"/>
                <w:color w:val="auto"/>
              </w:rPr>
            </w:pPr>
            <w:r>
              <w:rPr>
                <w:rFonts w:ascii="Arial" w:cs="Arial" w:eastAsia="Arial" w:hAnsi="Arial"/>
                <w:sz w:val="18"/>
                <w:szCs w:val="18"/>
                <w:color w:val="auto"/>
                <w:w w:val="94"/>
              </w:rPr>
              <w:t>2019</w:t>
            </w:r>
          </w:p>
        </w:tc>
        <w:tc>
          <w:tcPr>
            <w:tcW w:w="5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1,651,034</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jc w:val="right"/>
              <w:ind w:right="4712"/>
              <w:spacing w:after="0" w:line="202" w:lineRule="exact"/>
              <w:rPr>
                <w:sz w:val="20"/>
                <w:szCs w:val="20"/>
                <w:color w:val="auto"/>
              </w:rPr>
            </w:pPr>
            <w:r>
              <w:rPr>
                <w:rFonts w:ascii="Arial" w:cs="Arial" w:eastAsia="Arial" w:hAnsi="Arial"/>
                <w:sz w:val="18"/>
                <w:szCs w:val="18"/>
                <w:color w:val="auto"/>
                <w:w w:val="89"/>
              </w:rPr>
              <w:t>2020</w:t>
            </w:r>
          </w:p>
        </w:tc>
        <w:tc>
          <w:tcPr>
            <w:tcW w:w="57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1,700,565</w:t>
            </w:r>
          </w:p>
        </w:tc>
        <w:tc>
          <w:tcPr>
            <w:tcW w:w="80" w:type="dxa"/>
            <w:vAlign w:val="bottom"/>
            <w:shd w:val="clear" w:color="auto" w:fill="CCEEFF"/>
          </w:tcPr>
          <w:p>
            <w:pPr>
              <w:spacing w:after="0"/>
              <w:rPr>
                <w:sz w:val="17"/>
                <w:szCs w:val="17"/>
                <w:color w:val="auto"/>
              </w:rPr>
            </w:pPr>
          </w:p>
        </w:tc>
      </w:tr>
      <w:tr>
        <w:trPr>
          <w:trHeight w:val="203"/>
        </w:trPr>
        <w:tc>
          <w:tcPr>
            <w:tcW w:w="5200" w:type="dxa"/>
            <w:vAlign w:val="bottom"/>
            <w:gridSpan w:val="2"/>
          </w:tcPr>
          <w:p>
            <w:pPr>
              <w:jc w:val="right"/>
              <w:ind w:right="4712"/>
              <w:spacing w:after="0" w:line="202" w:lineRule="exact"/>
              <w:rPr>
                <w:sz w:val="20"/>
                <w:szCs w:val="20"/>
                <w:color w:val="auto"/>
              </w:rPr>
            </w:pPr>
            <w:r>
              <w:rPr>
                <w:rFonts w:ascii="Arial" w:cs="Arial" w:eastAsia="Arial" w:hAnsi="Arial"/>
                <w:sz w:val="18"/>
                <w:szCs w:val="18"/>
                <w:color w:val="auto"/>
                <w:w w:val="94"/>
              </w:rPr>
              <w:t>2021</w:t>
            </w:r>
          </w:p>
        </w:tc>
        <w:tc>
          <w:tcPr>
            <w:tcW w:w="57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1,751,582</w:t>
            </w:r>
          </w:p>
        </w:tc>
        <w:tc>
          <w:tcPr>
            <w:tcW w:w="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180" w:type="dxa"/>
            <w:vAlign w:val="bottom"/>
            <w:shd w:val="clear" w:color="auto" w:fill="CCEEFF"/>
          </w:tcPr>
          <w:p>
            <w:pPr>
              <w:jc w:val="right"/>
              <w:ind w:right="4712"/>
              <w:spacing w:after="0" w:line="202" w:lineRule="exact"/>
              <w:rPr>
                <w:sz w:val="20"/>
                <w:szCs w:val="20"/>
                <w:color w:val="auto"/>
              </w:rPr>
            </w:pPr>
            <w:r>
              <w:rPr>
                <w:rFonts w:ascii="Arial" w:cs="Arial" w:eastAsia="Arial" w:hAnsi="Arial"/>
                <w:sz w:val="18"/>
                <w:szCs w:val="18"/>
                <w:color w:val="auto"/>
                <w:w w:val="89"/>
              </w:rPr>
              <w:t>2022</w:t>
            </w:r>
          </w:p>
        </w:tc>
        <w:tc>
          <w:tcPr>
            <w:tcW w:w="484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1,804,129</w:t>
            </w:r>
          </w:p>
        </w:tc>
        <w:tc>
          <w:tcPr>
            <w:tcW w:w="8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c>
          <w:tcPr>
            <w:tcW w:w="57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$ 8,489,917</w:t>
            </w:r>
          </w:p>
        </w:tc>
        <w:tc>
          <w:tcPr>
            <w:tcW w:w="80" w:type="dxa"/>
            <w:vAlign w:val="bottom"/>
          </w:tcPr>
          <w:p>
            <w:pPr>
              <w:spacing w:after="0"/>
              <w:rPr>
                <w:sz w:val="19"/>
                <w:szCs w:val="19"/>
                <w:color w:val="auto"/>
              </w:rPr>
            </w:pPr>
          </w:p>
        </w:tc>
      </w:tr>
    </w:tbl>
    <w:p>
      <w:pPr>
        <w:spacing w:after="0" w:line="111"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The Company has entered into certain license agreements. Pursuant to the terms of those agreements, the Company may be required to pay up to $2,000,000 upon the achievement of various developments, regulatory and sales milestones. The payment of these amounts, however, is contingent upon the occurrence of various future events. Additionally, the Company has licensed technology from an academic institution for which it is required to pay annual license payments of $50,000 for as long as the patent is in effect. If any product related to the licenses technology from an academic institution are approved for sale, the Company may be required to pay a minimal royalty on future sales.</w:t>
      </w:r>
    </w:p>
    <w:p>
      <w:pPr>
        <w:spacing w:after="0" w:line="75"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Cystic Fibrosis Foundation grant agreement contains provisions related to potential future amounts payable by the Company to the Cystic Fibrosis Foundation upon product approval and upon the achievement of certain sales milestones. In addition, in the event of a change of control or licensing, sale, or other transfer of the technology, the Company shall pay the Cystic Fibrosis Foundation a payment equal to a percentage of the related transaction price, not to exceed $1.4 million, which amount shall be reduced by any payments previously made by the Company in connection with a product approval.</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240"/>
          </w:cols>
          <w:pgMar w:left="240" w:top="459" w:right="41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11. Employee retirement/savings plan</w:t>
      </w:r>
    </w:p>
    <w:p>
      <w:pPr>
        <w:spacing w:after="0" w:line="134" w:lineRule="exact"/>
        <w:rPr>
          <w:sz w:val="20"/>
          <w:szCs w:val="20"/>
          <w:color w:val="auto"/>
        </w:rPr>
      </w:pPr>
    </w:p>
    <w:p>
      <w:pPr>
        <w:ind w:left="200" w:right="600"/>
        <w:spacing w:after="0" w:line="238" w:lineRule="auto"/>
        <w:rPr>
          <w:sz w:val="20"/>
          <w:szCs w:val="20"/>
          <w:color w:val="auto"/>
        </w:rPr>
      </w:pPr>
      <w:r>
        <w:rPr>
          <w:rFonts w:ascii="Arial" w:cs="Arial" w:eastAsia="Arial" w:hAnsi="Arial"/>
          <w:sz w:val="18"/>
          <w:szCs w:val="18"/>
          <w:color w:val="auto"/>
        </w:rPr>
        <w:t>The Company maintains an employee retirement/savings plan (the Retirement Plan) which permits participants to make tax-deferred contributions by salary reduction pursuant to Section 401(k) of the Internal Revenue Code. The Company does not provide a matching contribution to the Retirement Plan.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 Related-party transactions</w:t>
      </w:r>
    </w:p>
    <w:p>
      <w:pPr>
        <w:spacing w:after="0" w:line="13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conjunction with the issuance of Series A preferred stock and common stock and the conversion of the prior credit agreement into convertible notes payable (Note 5), the Company simultaneously entered into a research collaboration with Sanofi in which it obtained an exclusive license focused on the development of drugs targeting important human oncogenes (Note 4). Under the terms of the Agreement, the Company would lead research collaboration for a period of five years, and Sanofi would potentially receive worldwide exclusive licenses to develop and commercialize the candidates discovered during the research term. The Company has total convertible notes payable from Sanofi of approximately $34 million and $22 million as of December 31, 2017 and 2016, respectively. (Note 5)</w:t>
      </w:r>
    </w:p>
    <w:p>
      <w:pPr>
        <w:spacing w:after="0" w:line="102"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The Company leases its facilities from an entity that participated in the Series A Unit financing in October 2012. Prior to and after the restructuring of the Company, the investor owned less than one percent of the Series A Preferred Units and Series A Preferred Stock of the Company, respectively. Payments made to the landlord totaled approximately $2.1 million and $2.2 million for the years ended December 31, 2017 and December 31, 2016, respectively.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13. Income taxes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U.S. tax reform</w:t>
      </w:r>
    </w:p>
    <w:p>
      <w:pPr>
        <w:spacing w:after="0" w:line="124"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On December 22, 2017, the Tax Cuts and Jobs Act (the “TCJA”) was signed into United States law. The TCJA includes a number of changes to existing tax law, including, among other things, a reduction in the federal corporate income tax rate to a flat rate of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w:t>
      </w:r>
    </w:p>
    <w:p>
      <w:pPr>
        <w:spacing w:after="0" w:line="103"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The Company remeasured certain deferred tax assets and liabilities based on the rates at which they are expected to reverse in the future. The provisional amount related to the re-measurement of the Company’s deferred tax balance was a reduction of $5.6 million. Due to the corresponding valuation allowance fully offsetting deferred taxes, there was no impact to the statement of operations and comprehensive loss.</w:t>
      </w:r>
    </w:p>
    <w:p>
      <w:pPr>
        <w:spacing w:after="0" w:line="70" w:lineRule="exact"/>
        <w:rPr>
          <w:sz w:val="20"/>
          <w:szCs w:val="20"/>
          <w:color w:val="auto"/>
        </w:rPr>
      </w:pPr>
    </w:p>
    <w:p>
      <w:pPr>
        <w:ind w:left="200" w:right="240"/>
        <w:spacing w:after="0" w:line="238" w:lineRule="auto"/>
        <w:rPr>
          <w:sz w:val="20"/>
          <w:szCs w:val="20"/>
          <w:color w:val="auto"/>
        </w:rPr>
      </w:pPr>
      <w:r>
        <w:rPr>
          <w:rFonts w:ascii="Arial" w:cs="Arial" w:eastAsia="Arial" w:hAnsi="Arial"/>
          <w:sz w:val="18"/>
          <w:szCs w:val="18"/>
          <w:color w:val="auto"/>
        </w:rPr>
        <w:t>The Company is still in the process of analyzing the impact to the Company of the TCJA and its analysis is not yet complete. Where the Company has been able to make reasonable estimates of the effects related to the TCJA, the Company has recorded provisional amounts. The ultimate impact to the Company’s financial statements of the TCJA may differ from the provisional amounts.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200" w:right="120"/>
        <w:spacing w:after="0" w:line="238" w:lineRule="auto"/>
        <w:rPr>
          <w:sz w:val="20"/>
          <w:szCs w:val="20"/>
          <w:color w:val="auto"/>
        </w:rPr>
      </w:pPr>
      <w:r>
        <w:rPr>
          <w:rFonts w:ascii="Arial" w:cs="Arial" w:eastAsia="Arial" w:hAnsi="Arial"/>
          <w:sz w:val="18"/>
          <w:szCs w:val="18"/>
          <w:color w:val="auto"/>
        </w:rPr>
        <w:t>There is no provision for income taxes because the Company has historically incurred and continues to incur operating losses and maintains a full valuation allowance against its net deferred tax assets. The Company has incurred pre-tax losses in the United States only for all periods presented.</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220"/>
          </w:cols>
          <w:pgMar w:left="24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provision for income tax differs from the amount expected by applying the federal statutory rate to the loss before taxes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95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2017</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9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 statutory income tax rate</w:t>
            </w:r>
          </w:p>
        </w:tc>
        <w:tc>
          <w:tcPr>
            <w:tcW w:w="720" w:type="dxa"/>
            <w:vAlign w:val="bottom"/>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34.0%</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34.0%</w:t>
            </w:r>
          </w:p>
        </w:tc>
        <w:tc>
          <w:tcPr>
            <w:tcW w:w="140" w:type="dxa"/>
            <w:vAlign w:val="bottom"/>
            <w:shd w:val="clear" w:color="auto" w:fill="CCEEFF"/>
          </w:tcPr>
          <w:p>
            <w:pPr>
              <w:spacing w:after="0"/>
              <w:rPr>
                <w:sz w:val="17"/>
                <w:szCs w:val="17"/>
                <w:color w:val="auto"/>
              </w:rPr>
            </w:pP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State income tax rate, net of federal benefit</w:t>
            </w: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6.9</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Research tax credits</w:t>
            </w: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4.1</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7"/>
                <w:szCs w:val="17"/>
                <w:color w:val="auto"/>
              </w:rPr>
            </w:pP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Write-off of net operating loss and research and development credit carryforwards</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(82.1)</w:t>
            </w: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72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67.6</w:t>
            </w:r>
          </w:p>
        </w:tc>
        <w:tc>
          <w:tcPr>
            <w:tcW w:w="7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(42.3)</w:t>
            </w:r>
          </w:p>
        </w:tc>
      </w:tr>
      <w:tr>
        <w:trPr>
          <w:trHeight w:val="203"/>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Non-deductible permanent expenses</w:t>
            </w:r>
          </w:p>
        </w:tc>
        <w:tc>
          <w:tcPr>
            <w:tcW w:w="7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(1.2)</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(1.5)</w:t>
            </w: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Remeasurement of deferred tax due to tax law change</w:t>
            </w:r>
          </w:p>
        </w:tc>
        <w:tc>
          <w:tcPr>
            <w:tcW w:w="72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(29.3)</w:t>
            </w: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r>
      <w:tr>
        <w:trPr>
          <w:trHeight w:val="210"/>
        </w:trPr>
        <w:tc>
          <w:tcPr>
            <w:tcW w:w="958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720" w:type="dxa"/>
            <w:vAlign w:val="bottom"/>
          </w:tcPr>
          <w:p>
            <w:pPr>
              <w:jc w:val="right"/>
              <w:ind w:right="72"/>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(0.2)</w:t>
            </w:r>
          </w:p>
        </w:tc>
      </w:tr>
      <w:tr>
        <w:trPr>
          <w:trHeight w:val="203"/>
        </w:trPr>
        <w:tc>
          <w:tcPr>
            <w:tcW w:w="20" w:type="dxa"/>
            <w:vAlign w:val="bottom"/>
          </w:tcPr>
          <w:p>
            <w:pPr>
              <w:spacing w:after="0"/>
              <w:rPr>
                <w:sz w:val="17"/>
                <w:szCs w:val="17"/>
                <w:color w:val="auto"/>
              </w:rPr>
            </w:pPr>
          </w:p>
        </w:tc>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Provision for income taxes</w:t>
            </w:r>
          </w:p>
        </w:tc>
        <w:tc>
          <w:tcPr>
            <w:tcW w:w="720" w:type="dxa"/>
            <w:vAlign w:val="bottom"/>
            <w:tcBorders>
              <w:top w:val="single" w:sz="8" w:color="auto"/>
            </w:tcBorders>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0.0%</w:t>
            </w:r>
          </w:p>
        </w:tc>
        <w:tc>
          <w:tcPr>
            <w:tcW w:w="6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0.0%</w:t>
            </w:r>
          </w:p>
        </w:tc>
        <w:tc>
          <w:tcPr>
            <w:tcW w:w="14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Significant components of the Company’s net deferred tax asset at December 31, 2017 and 2016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58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5580" w:type="dxa"/>
            <w:vAlign w:val="bottom"/>
          </w:tcPr>
          <w:p>
            <w:pPr>
              <w:spacing w:after="0"/>
              <w:rPr>
                <w:sz w:val="4"/>
                <w:szCs w:val="4"/>
                <w:color w:val="auto"/>
              </w:rPr>
            </w:pPr>
          </w:p>
        </w:tc>
        <w:tc>
          <w:tcPr>
            <w:tcW w:w="2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Deferred tax assets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Net operating loss carryforwards</w:t>
            </w:r>
          </w:p>
        </w:tc>
        <w:tc>
          <w:tcPr>
            <w:tcW w:w="27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12,272,047</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23,870,603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 credits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2,521,478</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2,772,715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tcPr>
          <w:p>
            <w:pPr>
              <w:ind w:left="200"/>
              <w:spacing w:after="0" w:line="202" w:lineRule="exact"/>
              <w:rPr>
                <w:sz w:val="20"/>
                <w:szCs w:val="20"/>
                <w:color w:val="auto"/>
              </w:rPr>
            </w:pPr>
            <w:r>
              <w:rPr>
                <w:rFonts w:ascii="Arial" w:cs="Arial" w:eastAsia="Arial" w:hAnsi="Arial"/>
                <w:sz w:val="18"/>
                <w:szCs w:val="18"/>
                <w:color w:val="auto"/>
              </w:rPr>
              <w:t>Other</w:t>
            </w:r>
          </w:p>
        </w:tc>
        <w:tc>
          <w:tcPr>
            <w:tcW w:w="2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72"/>
              <w:spacing w:after="0" w:line="202" w:lineRule="exact"/>
              <w:rPr>
                <w:sz w:val="20"/>
                <w:szCs w:val="20"/>
                <w:color w:val="auto"/>
              </w:rPr>
            </w:pPr>
            <w:r>
              <w:rPr>
                <w:rFonts w:ascii="Arial" w:cs="Arial" w:eastAsia="Arial" w:hAnsi="Arial"/>
                <w:sz w:val="18"/>
                <w:szCs w:val="18"/>
                <w:color w:val="auto"/>
              </w:rPr>
              <w:t>468,468</w:t>
            </w: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725,369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Gross deferred tax assets</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15,261,993</w:t>
            </w: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27,368,687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gridSpan w:val="2"/>
          </w:tcPr>
          <w:p>
            <w:pPr>
              <w:spacing w:after="0" w:line="202" w:lineRule="exact"/>
              <w:rPr>
                <w:sz w:val="20"/>
                <w:szCs w:val="20"/>
                <w:color w:val="auto"/>
              </w:rPr>
            </w:pPr>
            <w:r>
              <w:rPr>
                <w:rFonts w:ascii="Arial" w:cs="Arial" w:eastAsia="Arial" w:hAnsi="Arial"/>
                <w:sz w:val="18"/>
                <w:szCs w:val="18"/>
                <w:color w:val="auto"/>
              </w:rPr>
              <w:t>Valuation allowance</w:t>
            </w: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w w:val="97"/>
              </w:rPr>
              <w:t>(15,186,711)</w:t>
            </w:r>
          </w:p>
        </w:tc>
        <w:tc>
          <w:tcPr>
            <w:tcW w:w="320" w:type="dxa"/>
            <w:vAlign w:val="bottom"/>
          </w:tcPr>
          <w:p>
            <w:pPr>
              <w:spacing w:after="0"/>
              <w:rPr>
                <w:sz w:val="18"/>
                <w:szCs w:val="18"/>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w w:val="99"/>
              </w:rPr>
              <w:t>(26,933,978)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Net deferred tax assets</w:t>
            </w:r>
          </w:p>
        </w:tc>
        <w:tc>
          <w:tcPr>
            <w:tcW w:w="2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75,282</w:t>
            </w:r>
          </w:p>
        </w:tc>
        <w:tc>
          <w:tcPr>
            <w:tcW w:w="3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434,709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tcPr>
          <w:p>
            <w:pPr>
              <w:spacing w:after="0" w:line="202" w:lineRule="exact"/>
              <w:rPr>
                <w:sz w:val="20"/>
                <w:szCs w:val="20"/>
                <w:color w:val="auto"/>
              </w:rPr>
            </w:pPr>
            <w:r>
              <w:rPr>
                <w:rFonts w:ascii="Arial" w:cs="Arial" w:eastAsia="Arial" w:hAnsi="Arial"/>
                <w:sz w:val="18"/>
                <w:szCs w:val="18"/>
                <w:b w:val="1"/>
                <w:bCs w:val="1"/>
                <w:color w:val="auto"/>
              </w:rPr>
              <w:t>Deferred tax liabilities</w:t>
            </w:r>
          </w:p>
        </w:tc>
        <w:tc>
          <w:tcPr>
            <w:tcW w:w="2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5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Property and equipment</w:t>
            </w:r>
          </w:p>
        </w:tc>
        <w:tc>
          <w:tcPr>
            <w:tcW w:w="2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(75,282)</w:t>
            </w:r>
          </w:p>
        </w:tc>
        <w:tc>
          <w:tcPr>
            <w:tcW w:w="3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(434,709)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80" w:type="dxa"/>
            <w:vAlign w:val="bottom"/>
          </w:tcPr>
          <w:p>
            <w:pPr>
              <w:ind w:left="640"/>
              <w:spacing w:after="0"/>
              <w:rPr>
                <w:sz w:val="20"/>
                <w:szCs w:val="20"/>
                <w:color w:val="auto"/>
              </w:rPr>
            </w:pPr>
            <w:r>
              <w:rPr>
                <w:rFonts w:ascii="Arial" w:cs="Arial" w:eastAsia="Arial" w:hAnsi="Arial"/>
                <w:sz w:val="18"/>
                <w:szCs w:val="18"/>
                <w:color w:val="auto"/>
              </w:rPr>
              <w:t>Net deferred tax assets</w:t>
            </w:r>
          </w:p>
        </w:tc>
        <w:tc>
          <w:tcPr>
            <w:tcW w:w="2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shd w:val="clear" w:color="auto" w:fill="000000"/>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2017, the Company had federal and state net operating loss carryforwards of approximately $46,038,000 and</w:t>
      </w:r>
    </w:p>
    <w:p>
      <w:pPr>
        <w:ind w:left="200" w:right="640"/>
        <w:spacing w:after="0" w:line="239" w:lineRule="auto"/>
        <w:rPr>
          <w:sz w:val="20"/>
          <w:szCs w:val="20"/>
          <w:color w:val="auto"/>
        </w:rPr>
      </w:pPr>
      <w:r>
        <w:rPr>
          <w:rFonts w:ascii="Arial" w:cs="Arial" w:eastAsia="Arial" w:hAnsi="Arial"/>
          <w:sz w:val="18"/>
          <w:szCs w:val="18"/>
          <w:color w:val="auto"/>
        </w:rPr>
        <w:t>$41,203,000, respectively. The net operating loss carryforwards will expire at various times beginning in 2030 through 2037 for federal purposes and beginning in 2021 through 2022 for state purposes.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December 31, 2017, the Company also had federal and state research and development tax credit carryforwards of approximately</w:t>
      </w:r>
    </w:p>
    <w:p>
      <w:pPr>
        <w:ind w:left="200" w:right="220"/>
        <w:spacing w:after="0" w:line="239" w:lineRule="auto"/>
        <w:rPr>
          <w:sz w:val="20"/>
          <w:szCs w:val="20"/>
          <w:color w:val="auto"/>
        </w:rPr>
      </w:pPr>
      <w:r>
        <w:rPr>
          <w:rFonts w:ascii="Arial" w:cs="Arial" w:eastAsia="Arial" w:hAnsi="Arial"/>
          <w:sz w:val="18"/>
          <w:szCs w:val="18"/>
          <w:color w:val="auto"/>
        </w:rPr>
        <w:t>$1,649,000 and $1,017,000, respectively, to offset future income taxes. The tax credit carryforwards will expire at various times beginning in 2036 through 2037 for federal purposes and will expire at various times beginning in 2031 through 2032 for state purposes.</w:t>
      </w:r>
    </w:p>
    <w:p>
      <w:pPr>
        <w:spacing w:after="0" w:line="101"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Utilization of the net operating loss and tax credit carryforwards may be subject to a substantial annual limitation under Section 382 and 383 of the Internal Revenue Code due to certain ownership changes that have occurred previously or that could occur in the future. These ownership changes may limit the amount of net operating loss and tax credit carryforwards that can be utilized annually to offset future taxable income and tax, respectively. Any limitation may result in expiration of a portion of the net operating loss carryforwards or tax credit carryforwards before utilization.</w:t>
      </w:r>
    </w:p>
    <w:p>
      <w:pPr>
        <w:spacing w:after="0" w:line="103" w:lineRule="exact"/>
        <w:rPr>
          <w:sz w:val="20"/>
          <w:szCs w:val="20"/>
          <w:color w:val="auto"/>
        </w:rPr>
      </w:pPr>
    </w:p>
    <w:p>
      <w:pPr>
        <w:ind w:left="200" w:right="40"/>
        <w:spacing w:after="0" w:line="281" w:lineRule="auto"/>
        <w:rPr>
          <w:sz w:val="20"/>
          <w:szCs w:val="20"/>
          <w:color w:val="auto"/>
        </w:rPr>
      </w:pPr>
      <w:r>
        <w:rPr>
          <w:rFonts w:ascii="Arial" w:cs="Arial" w:eastAsia="Arial" w:hAnsi="Arial"/>
          <w:sz w:val="16"/>
          <w:szCs w:val="16"/>
          <w:color w:val="auto"/>
        </w:rPr>
        <w:t>The Company completed a study in May 2018 to determine the impact of certain cumulative changes in the ownership interest of significant shareholders as defined under Sections 382 and 383. The study determined that such changes triggered certain limitations on the Company’s net operating loss and tax credit carryforwards that would have otherwise been available to offset future taxable income and tax, respectively.</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240"/>
          </w:cols>
          <w:pgMar w:left="240" w:top="459" w:right="41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40"/>
        <w:spacing w:after="0" w:line="238" w:lineRule="auto"/>
        <w:rPr>
          <w:sz w:val="20"/>
          <w:szCs w:val="20"/>
          <w:color w:val="auto"/>
        </w:rPr>
      </w:pPr>
      <w:r>
        <w:rPr>
          <w:rFonts w:ascii="Arial" w:cs="Arial" w:eastAsia="Arial" w:hAnsi="Arial"/>
          <w:sz w:val="18"/>
          <w:szCs w:val="18"/>
          <w:color w:val="auto"/>
        </w:rPr>
        <w:t>The 2017 amounts in the table above reflect the related limitations to federal and state net operating loss and tax credit carryforwards. Additional ownership changes could occur in the future that could further limit the federal and state net operating loss and tax credit carryforwards.</w:t>
      </w:r>
    </w:p>
    <w:p>
      <w:pPr>
        <w:spacing w:after="0" w:line="100"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Management of the Company has evaluated the positive and negative evidence bearing upon the realizability of its deferred tax assets, which are comprised principally of net operating loss carryforwards, capitalized assets, and research and development credits. Under the applicable accounting standards, management has considered the Company’s history of losses since inception and concluded that it is more likely than not that the Company will not recognize the benefits of federal and state deferred tax assets. Accordingly, a full valuation allowance of $15.2 million and $26.9 million has been established at December 31, 2017 and 2016, respectively.</w:t>
      </w:r>
    </w:p>
    <w:p>
      <w:pPr>
        <w:spacing w:after="0" w:line="103"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The Company has not recorded any amounts for unrecognized tax benefits as of December 31, 2017 and 2016. The Company’s policy is to record interest and penalties related to income taxes as part of its income tax provision. As of December 31, 2017 and 2016 the Company had no accrued interest or penalties related to uncertain tax positions.</w:t>
      </w:r>
    </w:p>
    <w:p>
      <w:pPr>
        <w:spacing w:after="0" w:line="100"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The statute of limitations for assessment by the Internal Revenue Service (“IRS”) and state tax authorities is closed for tax years prior to December 31, 2014, although net operating loss and tax credit carryforwards that were generated prior to December 31, 2014 may still be adjusted upon examination by the IRS and state tax authorities if they either have been or will be used in a future period. There are currently no IRS or state tax audits in progress.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14. Subsequent events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has evaluated subsequent events through October 16, 2018, the date the financial statements were available to be issued.</w:t>
      </w:r>
    </w:p>
    <w:p>
      <w:pPr>
        <w:spacing w:after="0" w:line="104" w:lineRule="exact"/>
        <w:rPr>
          <w:sz w:val="20"/>
          <w:szCs w:val="20"/>
          <w:color w:val="auto"/>
        </w:rPr>
      </w:pPr>
    </w:p>
    <w:p>
      <w:pPr>
        <w:ind w:left="200" w:right="200"/>
        <w:spacing w:after="0" w:line="236" w:lineRule="auto"/>
        <w:rPr>
          <w:sz w:val="20"/>
          <w:szCs w:val="20"/>
          <w:color w:val="auto"/>
        </w:rPr>
      </w:pPr>
      <w:r>
        <w:rPr>
          <w:rFonts w:ascii="Arial" w:cs="Arial" w:eastAsia="Arial" w:hAnsi="Arial"/>
          <w:sz w:val="18"/>
          <w:szCs w:val="18"/>
          <w:color w:val="auto"/>
        </w:rPr>
        <w:t>As discussed in Note 5, in June 2018, the Company and Sanofi agreed to amend the terms of the existing notes payable. All current and future interest due on the notes payable was cancelled and forgiven in full. In addition, a milestone payment (Sanofi to pay the Company) of $6 million due to the Company under the Sanofi Collaboration Agreement was cancelled and forgiven in full. Sanofi has no further payment obligations due to the Company under the Sanofi Collaboration Agreement. The Company will exchange its existing notes payable for new notes payable, with an extended maturity date and certain other amended provisions, from Sanofi immediately prior to the closing of the Company’s first issuance and sale of preferred stock prior to December 31, 2019.</w:t>
      </w:r>
    </w:p>
    <w:p>
      <w:pPr>
        <w:spacing w:after="0" w:line="102" w:lineRule="exact"/>
        <w:rPr>
          <w:sz w:val="20"/>
          <w:szCs w:val="20"/>
          <w:color w:val="auto"/>
        </w:rPr>
      </w:pPr>
    </w:p>
    <w:p>
      <w:pPr>
        <w:ind w:left="200" w:right="300"/>
        <w:spacing w:after="0" w:line="239" w:lineRule="auto"/>
        <w:rPr>
          <w:sz w:val="20"/>
          <w:szCs w:val="20"/>
          <w:color w:val="auto"/>
        </w:rPr>
      </w:pPr>
      <w:r>
        <w:rPr>
          <w:rFonts w:ascii="Arial" w:cs="Arial" w:eastAsia="Arial" w:hAnsi="Arial"/>
          <w:sz w:val="18"/>
          <w:szCs w:val="18"/>
          <w:color w:val="auto"/>
        </w:rPr>
        <w:t>On October 3, 2018, the Company received $2 million in cash proceeds from an existing investor in exchange for a convertible promissory note purchase agreement with a maturity date of April 8, 2019 and an 8% annual interest rate.</w:t>
      </w:r>
    </w:p>
    <w:p>
      <w:pPr>
        <w:spacing w:after="0" w:line="101"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On October 15, 2018, the Company and Revolution Medicines, Inc. (“Revolution”) signed a merger agreement in which Revolution will acquire all the equity interests of the Company for a purchase price of approximately $70 million subject to adjustments and holdbacks for certain events. Subject to the achievement of certain closing conditions, including the conversion to preferred stock of all of the outstanding convertible notes payable held by Sanofi, the merger agreement is expected to close on or around October 22, 2018.</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220"/>
          </w:cols>
          <w:pgMar w:left="240" w:top="459" w:right="43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Condensed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171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7"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9120" w:type="dxa"/>
            <w:vAlign w:val="bottom"/>
            <w:gridSpan w:val="2"/>
          </w:tcPr>
          <w:p>
            <w:pPr>
              <w:jc w:val="center"/>
              <w:ind w:left="7832"/>
              <w:spacing w:after="0"/>
              <w:rPr>
                <w:sz w:val="20"/>
                <w:szCs w:val="20"/>
                <w:color w:val="auto"/>
              </w:rPr>
            </w:pPr>
            <w:r>
              <w:rPr>
                <w:rFonts w:ascii="Arial" w:cs="Arial" w:eastAsia="Arial" w:hAnsi="Arial"/>
                <w:sz w:val="18"/>
                <w:szCs w:val="18"/>
                <w:b w:val="1"/>
                <w:bCs w:val="1"/>
                <w:color w:val="auto"/>
                <w:w w:val="97"/>
              </w:rPr>
              <w:t>September 30,</w:t>
            </w:r>
          </w:p>
        </w:tc>
        <w:tc>
          <w:tcPr>
            <w:tcW w:w="1900" w:type="dxa"/>
            <w:vAlign w:val="bottom"/>
            <w:gridSpan w:val="3"/>
          </w:tcPr>
          <w:p>
            <w:pPr>
              <w:jc w:val="center"/>
              <w:ind w:left="432"/>
              <w:spacing w:after="0"/>
              <w:rPr>
                <w:sz w:val="20"/>
                <w:szCs w:val="20"/>
                <w:color w:val="auto"/>
              </w:rPr>
            </w:pPr>
            <w:r>
              <w:rPr>
                <w:rFonts w:ascii="Arial" w:cs="Arial" w:eastAsia="Arial" w:hAnsi="Arial"/>
                <w:sz w:val="18"/>
                <w:szCs w:val="18"/>
                <w:b w:val="1"/>
                <w:bCs w:val="1"/>
                <w:color w:val="auto"/>
                <w:w w:val="97"/>
              </w:rPr>
              <w:t>December 31,</w:t>
            </w:r>
          </w:p>
        </w:tc>
      </w:tr>
      <w:tr>
        <w:trPr>
          <w:trHeight w:val="223"/>
        </w:trPr>
        <w:tc>
          <w:tcPr>
            <w:tcW w:w="7920" w:type="dxa"/>
            <w:vAlign w:val="bottom"/>
            <w:tcBorders>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2018</w:t>
            </w:r>
          </w:p>
        </w:tc>
        <w:tc>
          <w:tcPr>
            <w:tcW w:w="64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r>
    </w:tbl>
    <w:p>
      <w:pPr>
        <w:spacing w:after="0" w:line="3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-118745</wp:posOffset>
            </wp:positionV>
            <wp:extent cx="6997700" cy="1289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8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Cash and cash equivalents</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640"/>
        <w:spacing w:after="0"/>
        <w:rPr>
          <w:sz w:val="20"/>
          <w:szCs w:val="20"/>
          <w:color w:val="auto"/>
        </w:rPr>
      </w:pPr>
      <w:r>
        <w:rPr>
          <w:rFonts w:ascii="Arial" w:cs="Arial" w:eastAsia="Arial" w:hAnsi="Arial"/>
          <w:sz w:val="18"/>
          <w:szCs w:val="18"/>
          <w:color w:val="auto"/>
        </w:rPr>
        <w:t>Total current assets</w:t>
      </w:r>
    </w:p>
    <w:p>
      <w:pPr>
        <w:ind w:left="200"/>
        <w:spacing w:after="0" w:line="234" w:lineRule="auto"/>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rPr>
          <w:sz w:val="20"/>
          <w:szCs w:val="20"/>
          <w:color w:val="auto"/>
        </w:rPr>
      </w:pPr>
      <w:r>
        <w:rPr>
          <w:rFonts w:ascii="Arial" w:cs="Arial" w:eastAsia="Arial" w:hAnsi="Arial"/>
          <w:sz w:val="18"/>
          <w:szCs w:val="18"/>
          <w:color w:val="auto"/>
        </w:rPr>
        <w:t>Restricted cash</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assets</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-120650</wp:posOffset>
            </wp:positionV>
            <wp:extent cx="6997700" cy="12890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5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4" w:lineRule="auto"/>
        <w:rPr>
          <w:sz w:val="20"/>
          <w:szCs w:val="20"/>
          <w:color w:val="auto"/>
        </w:rPr>
      </w:pPr>
      <w:r>
        <w:rPr>
          <w:rFonts w:ascii="Arial" w:cs="Arial" w:eastAsia="Arial" w:hAnsi="Arial"/>
          <w:sz w:val="18"/>
          <w:szCs w:val="18"/>
          <w:color w:val="auto"/>
        </w:rPr>
        <w:t>Accounts payable</w:t>
      </w:r>
    </w:p>
    <w:p>
      <w:pPr>
        <w:ind w:left="420"/>
        <w:spacing w:after="0" w:line="235" w:lineRule="auto"/>
        <w:rPr>
          <w:sz w:val="20"/>
          <w:szCs w:val="20"/>
          <w:color w:val="auto"/>
        </w:rPr>
      </w:pPr>
      <w:r>
        <w:rPr>
          <w:rFonts w:ascii="Arial" w:cs="Arial" w:eastAsia="Arial" w:hAnsi="Arial"/>
          <w:sz w:val="18"/>
          <w:szCs w:val="18"/>
          <w:color w:val="auto"/>
        </w:rPr>
        <w:t>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line="235" w:lineRule="auto"/>
        <w:rPr>
          <w:sz w:val="20"/>
          <w:szCs w:val="20"/>
          <w:color w:val="auto"/>
        </w:rPr>
      </w:pPr>
      <w:r>
        <w:rPr>
          <w:rFonts w:ascii="Arial" w:cs="Arial" w:eastAsia="Arial" w:hAnsi="Arial"/>
          <w:sz w:val="18"/>
          <w:szCs w:val="18"/>
          <w:color w:val="auto"/>
        </w:rPr>
        <w:t>Current portion capital lease</w:t>
      </w:r>
    </w:p>
    <w:p>
      <w:pPr>
        <w:ind w:left="420"/>
        <w:spacing w:after="0" w:line="235" w:lineRule="auto"/>
        <w:rPr>
          <w:sz w:val="20"/>
          <w:szCs w:val="20"/>
          <w:color w:val="auto"/>
        </w:rPr>
      </w:pPr>
      <w:r>
        <w:rPr>
          <w:rFonts w:ascii="Arial" w:cs="Arial" w:eastAsia="Arial" w:hAnsi="Arial"/>
          <w:sz w:val="18"/>
          <w:szCs w:val="18"/>
          <w:color w:val="auto"/>
        </w:rPr>
        <w:t>Current portion of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420"/>
        <w:spacing w:after="0"/>
        <w:rPr>
          <w:sz w:val="20"/>
          <w:szCs w:val="20"/>
          <w:color w:val="auto"/>
        </w:rPr>
      </w:pPr>
      <w:r>
        <w:rPr>
          <w:rFonts w:ascii="Arial" w:cs="Arial" w:eastAsia="Arial" w:hAnsi="Arial"/>
          <w:sz w:val="18"/>
          <w:szCs w:val="18"/>
          <w:color w:val="auto"/>
        </w:rPr>
        <w:t>Current portion of deferred rent</w:t>
      </w:r>
    </w:p>
    <w:p>
      <w:pPr>
        <w:spacing w:after="0" w:line="1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-1270</wp:posOffset>
            </wp:positionV>
            <wp:extent cx="6997700" cy="12890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4" w:lineRule="auto"/>
        <w:rPr>
          <w:sz w:val="20"/>
          <w:szCs w:val="20"/>
          <w:color w:val="auto"/>
        </w:rPr>
      </w:pPr>
      <w:r>
        <w:rPr>
          <w:rFonts w:ascii="Arial" w:cs="Arial" w:eastAsia="Arial" w:hAnsi="Arial"/>
          <w:sz w:val="18"/>
          <w:szCs w:val="18"/>
          <w:color w:val="auto"/>
        </w:rPr>
        <w:t>Convertible notes payable, related party</w:t>
      </w:r>
    </w:p>
    <w:p>
      <w:pPr>
        <w:ind w:left="200"/>
        <w:spacing w:after="0" w:line="235" w:lineRule="auto"/>
        <w:rPr>
          <w:sz w:val="20"/>
          <w:szCs w:val="20"/>
          <w:color w:val="auto"/>
        </w:rPr>
      </w:pPr>
      <w:r>
        <w:rPr>
          <w:rFonts w:ascii="Arial" w:cs="Arial" w:eastAsia="Arial" w:hAnsi="Arial"/>
          <w:sz w:val="18"/>
          <w:szCs w:val="18"/>
          <w:color w:val="auto"/>
        </w:rPr>
        <w:t>Capital lease,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ind w:left="200"/>
        <w:spacing w:after="0" w:line="235" w:lineRule="auto"/>
        <w:rPr>
          <w:sz w:val="20"/>
          <w:szCs w:val="20"/>
          <w:color w:val="auto"/>
        </w:rPr>
      </w:pPr>
      <w:r>
        <w:rPr>
          <w:rFonts w:ascii="Arial" w:cs="Arial" w:eastAsia="Arial" w:hAnsi="Arial"/>
          <w:sz w:val="18"/>
          <w:szCs w:val="18"/>
          <w:color w:val="auto"/>
        </w:rPr>
        <w:t>Deferred revenue, less current portion</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Deferred rent, less current 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liabilities</w:t>
      </w:r>
    </w:p>
    <w:p>
      <w:pPr>
        <w:spacing w:after="0" w:line="6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Commitments and contingencies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38100</wp:posOffset>
            </wp:positionV>
            <wp:extent cx="6997700" cy="12890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Convertible preferred stock</w:t>
      </w:r>
    </w:p>
    <w:p>
      <w:pPr>
        <w:jc w:val="both"/>
        <w:ind w:left="640" w:right="240" w:hanging="215"/>
        <w:spacing w:after="0" w:line="237" w:lineRule="auto"/>
        <w:rPr>
          <w:sz w:val="20"/>
          <w:szCs w:val="20"/>
          <w:color w:val="auto"/>
        </w:rPr>
      </w:pPr>
      <w:r>
        <w:rPr>
          <w:rFonts w:ascii="Arial" w:cs="Arial" w:eastAsia="Arial" w:hAnsi="Arial"/>
          <w:sz w:val="18"/>
          <w:szCs w:val="18"/>
          <w:color w:val="auto"/>
        </w:rPr>
        <w:t>Series A convertible preferred stock, $0.001 par value; 75,000,000 shares authorized, issued and outstanding at September 30, 2018 and December 31, 2017; aggregate liquidation preference of $104,466,444 and $99,983,111 at September 30, 2018 and December 31,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36195</wp:posOffset>
            </wp:positionV>
            <wp:extent cx="6997700" cy="12890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Stockholders’ deficit</w:t>
      </w:r>
    </w:p>
    <w:p>
      <w:pPr>
        <w:jc w:val="center"/>
        <w:ind w:right="180"/>
        <w:spacing w:after="0" w:line="234" w:lineRule="auto"/>
        <w:rPr>
          <w:sz w:val="20"/>
          <w:szCs w:val="20"/>
          <w:color w:val="auto"/>
        </w:rPr>
      </w:pPr>
      <w:r>
        <w:rPr>
          <w:rFonts w:ascii="Arial" w:cs="Arial" w:eastAsia="Arial" w:hAnsi="Arial"/>
          <w:sz w:val="18"/>
          <w:szCs w:val="18"/>
          <w:color w:val="auto"/>
        </w:rPr>
        <w:t>Common stock, $0.001 par value; 121,500,000 shares authorized, 19,017,534 and</w:t>
      </w:r>
    </w:p>
    <w:p>
      <w:pPr>
        <w:jc w:val="center"/>
        <w:ind w:right="4700"/>
        <w:spacing w:after="0" w:line="235" w:lineRule="auto"/>
        <w:rPr>
          <w:sz w:val="20"/>
          <w:szCs w:val="20"/>
          <w:color w:val="auto"/>
        </w:rPr>
      </w:pPr>
      <w:r>
        <w:rPr>
          <w:rFonts w:ascii="Arial" w:cs="Arial" w:eastAsia="Arial" w:hAnsi="Arial"/>
          <w:sz w:val="18"/>
          <w:szCs w:val="18"/>
          <w:color w:val="auto"/>
        </w:rPr>
        <w:t>19,083,561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2890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jc w:val="center"/>
        <w:ind w:right="4680"/>
        <w:spacing w:after="0" w:line="235" w:lineRule="auto"/>
        <w:rPr>
          <w:sz w:val="20"/>
          <w:szCs w:val="20"/>
          <w:color w:val="auto"/>
        </w:rPr>
      </w:pPr>
      <w:r>
        <w:rPr>
          <w:rFonts w:ascii="Arial" w:cs="Arial" w:eastAsia="Arial" w:hAnsi="Arial"/>
          <w:sz w:val="18"/>
          <w:szCs w:val="18"/>
          <w:color w:val="auto"/>
        </w:rPr>
        <w:t>Additional paid-in capital</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12065</wp:posOffset>
            </wp:positionV>
            <wp:extent cx="6997700" cy="12890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stockholders’ deficit</w:t>
      </w:r>
    </w:p>
    <w:p>
      <w:pPr>
        <w:spacing w:after="0" w:line="2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Total liabilities, convertible preferred stock and stockholders’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3810</wp:posOffset>
            </wp:positionV>
            <wp:extent cx="692912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9291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589,215</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18,616,527</w:t>
            </w:r>
          </w:p>
        </w:tc>
      </w:tr>
      <w:tr>
        <w:trPr>
          <w:trHeight w:val="199"/>
        </w:trPr>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2"/>
              <w:spacing w:after="0" w:line="200" w:lineRule="exact"/>
              <w:rPr>
                <w:sz w:val="20"/>
                <w:szCs w:val="20"/>
                <w:color w:val="auto"/>
              </w:rPr>
            </w:pPr>
            <w:r>
              <w:rPr>
                <w:rFonts w:ascii="Arial" w:cs="Arial" w:eastAsia="Arial" w:hAnsi="Arial"/>
                <w:sz w:val="18"/>
                <w:szCs w:val="18"/>
                <w:color w:val="auto"/>
              </w:rPr>
              <w:t>568,283</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527,558</w:t>
            </w:r>
          </w:p>
        </w:tc>
      </w:tr>
      <w:tr>
        <w:trPr>
          <w:trHeight w:val="213"/>
        </w:trPr>
        <w:tc>
          <w:tcPr>
            <w:tcW w:w="260" w:type="dxa"/>
            <w:vAlign w:val="bottom"/>
          </w:tcPr>
          <w:p>
            <w:pPr>
              <w:spacing w:after="0"/>
              <w:rPr>
                <w:sz w:val="18"/>
                <w:szCs w:val="18"/>
                <w:color w:val="auto"/>
              </w:rPr>
            </w:pP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1,157,498</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19,144,085</w:t>
            </w:r>
          </w:p>
        </w:tc>
      </w:tr>
      <w:tr>
        <w:trPr>
          <w:trHeight w:val="203"/>
        </w:trPr>
        <w:tc>
          <w:tcPr>
            <w:tcW w:w="260" w:type="dxa"/>
            <w:vAlign w:val="bottom"/>
          </w:tcPr>
          <w:p>
            <w:pPr>
              <w:spacing w:after="0"/>
              <w:rPr>
                <w:sz w:val="17"/>
                <w:szCs w:val="17"/>
                <w:color w:val="auto"/>
              </w:rPr>
            </w:pP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2,768,167</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4,008,581</w:t>
            </w:r>
          </w:p>
        </w:tc>
      </w:tr>
      <w:tr>
        <w:trPr>
          <w:trHeight w:val="199"/>
        </w:trPr>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2"/>
              <w:spacing w:after="0" w:line="200" w:lineRule="exact"/>
              <w:rPr>
                <w:sz w:val="20"/>
                <w:szCs w:val="20"/>
                <w:color w:val="auto"/>
              </w:rPr>
            </w:pPr>
            <w:r>
              <w:rPr>
                <w:rFonts w:ascii="Arial" w:cs="Arial" w:eastAsia="Arial" w:hAnsi="Arial"/>
                <w:sz w:val="18"/>
                <w:szCs w:val="18"/>
                <w:color w:val="auto"/>
              </w:rPr>
              <w:t>213,821</w:t>
            </w:r>
          </w:p>
        </w:tc>
        <w:tc>
          <w:tcPr>
            <w:tcW w:w="5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213,581</w:t>
            </w:r>
          </w:p>
        </w:tc>
      </w:tr>
      <w:tr>
        <w:trPr>
          <w:trHeight w:val="210"/>
        </w:trPr>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4,139,486</w:t>
            </w:r>
          </w:p>
        </w:tc>
        <w:tc>
          <w:tcPr>
            <w:tcW w:w="5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23,366,247</w:t>
            </w:r>
          </w:p>
        </w:tc>
      </w:tr>
      <w:tr>
        <w:trPr>
          <w:trHeight w:val="685"/>
        </w:trPr>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232"/>
              <w:spacing w:after="0"/>
              <w:rPr>
                <w:sz w:val="20"/>
                <w:szCs w:val="20"/>
                <w:color w:val="auto"/>
              </w:rPr>
            </w:pPr>
            <w:r>
              <w:rPr>
                <w:rFonts w:ascii="Arial" w:cs="Arial" w:eastAsia="Arial" w:hAnsi="Arial"/>
                <w:sz w:val="18"/>
                <w:szCs w:val="18"/>
                <w:color w:val="auto"/>
              </w:rPr>
              <w:t>2,217,276</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1,816,045</w:t>
            </w:r>
          </w:p>
        </w:tc>
      </w:tr>
      <w:tr>
        <w:trPr>
          <w:trHeight w:val="203"/>
        </w:trPr>
        <w:tc>
          <w:tcPr>
            <w:tcW w:w="260" w:type="dxa"/>
            <w:vAlign w:val="bottom"/>
          </w:tcPr>
          <w:p>
            <w:pPr>
              <w:spacing w:after="0"/>
              <w:rPr>
                <w:sz w:val="17"/>
                <w:szCs w:val="17"/>
                <w:color w:val="auto"/>
              </w:rPr>
            </w:pP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2,030,374</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2,159,209</w:t>
            </w:r>
          </w:p>
        </w:tc>
      </w:tr>
      <w:tr>
        <w:trPr>
          <w:trHeight w:val="203"/>
        </w:trPr>
        <w:tc>
          <w:tcPr>
            <w:tcW w:w="260" w:type="dxa"/>
            <w:vAlign w:val="bottom"/>
          </w:tcPr>
          <w:p>
            <w:pPr>
              <w:spacing w:after="0"/>
              <w:rPr>
                <w:sz w:val="17"/>
                <w:szCs w:val="17"/>
                <w:color w:val="auto"/>
              </w:rPr>
            </w:pP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135,730</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114,866</w:t>
            </w:r>
          </w:p>
        </w:tc>
      </w:tr>
      <w:tr>
        <w:trPr>
          <w:trHeight w:val="203"/>
        </w:trPr>
        <w:tc>
          <w:tcPr>
            <w:tcW w:w="260" w:type="dxa"/>
            <w:vAlign w:val="bottom"/>
          </w:tcPr>
          <w:p>
            <w:pPr>
              <w:spacing w:after="0"/>
              <w:rPr>
                <w:sz w:val="17"/>
                <w:szCs w:val="17"/>
                <w:color w:val="auto"/>
              </w:rPr>
            </w:pPr>
          </w:p>
        </w:tc>
        <w:tc>
          <w:tcPr>
            <w:tcW w:w="126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4,600,000</w:t>
            </w:r>
          </w:p>
        </w:tc>
        <w:tc>
          <w:tcPr>
            <w:tcW w:w="5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5,482,353</w:t>
            </w:r>
          </w:p>
        </w:tc>
      </w:tr>
    </w:tbl>
    <w:p>
      <w:pPr>
        <w:ind w:left="102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107,783</w:t>
      </w:r>
    </w:p>
    <w:p>
      <w:pPr>
        <w:spacing w:after="0" w:line="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8,983,380</w:t>
      </w:r>
      <w:r>
        <w:rPr>
          <w:rFonts w:ascii="Arial" w:cs="Arial" w:eastAsia="Arial" w:hAnsi="Arial"/>
          <w:sz w:val="16"/>
          <w:szCs w:val="16"/>
          <w:color w:val="auto"/>
        </w:rPr>
        <w:t>9,680,256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-147320</wp:posOffset>
            </wp:positionV>
            <wp:extent cx="189547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ind w:left="320"/>
        <w:spacing w:after="0" w:line="234" w:lineRule="auto"/>
        <w:tabs>
          <w:tab w:leader="none" w:pos="2080" w:val="left"/>
        </w:tabs>
        <w:rPr>
          <w:sz w:val="20"/>
          <w:szCs w:val="20"/>
          <w:color w:val="auto"/>
        </w:rPr>
      </w:pPr>
      <w:r>
        <w:rPr>
          <w:rFonts w:ascii="Arial" w:cs="Arial" w:eastAsia="Arial" w:hAnsi="Arial"/>
          <w:sz w:val="18"/>
          <w:szCs w:val="18"/>
          <w:color w:val="auto"/>
        </w:rPr>
        <w:t>30,000,000</w:t>
      </w:r>
      <w:r>
        <w:rPr>
          <w:sz w:val="20"/>
          <w:szCs w:val="20"/>
          <w:color w:val="auto"/>
        </w:rPr>
        <w:tab/>
      </w:r>
      <w:r>
        <w:rPr>
          <w:rFonts w:ascii="Arial" w:cs="Arial" w:eastAsia="Arial" w:hAnsi="Arial"/>
          <w:sz w:val="18"/>
          <w:szCs w:val="18"/>
          <w:color w:val="auto"/>
        </w:rPr>
        <w:t>33,989,320</w:t>
      </w:r>
    </w:p>
    <w:p>
      <w:pPr>
        <w:ind w:left="560"/>
        <w:spacing w:after="0" w:line="235" w:lineRule="auto"/>
        <w:tabs>
          <w:tab w:leader="none" w:pos="2320" w:val="left"/>
        </w:tabs>
        <w:rPr>
          <w:sz w:val="20"/>
          <w:szCs w:val="20"/>
          <w:color w:val="auto"/>
        </w:rPr>
      </w:pPr>
      <w:r>
        <w:rPr>
          <w:rFonts w:ascii="Arial" w:cs="Arial" w:eastAsia="Arial" w:hAnsi="Arial"/>
          <w:sz w:val="18"/>
          <w:szCs w:val="18"/>
          <w:color w:val="auto"/>
        </w:rPr>
        <w:t>198,565</w:t>
      </w:r>
      <w:r>
        <w:rPr>
          <w:sz w:val="20"/>
          <w:szCs w:val="20"/>
          <w:color w:val="auto"/>
        </w:rPr>
        <w:tab/>
      </w:r>
      <w:r>
        <w:rPr>
          <w:rFonts w:ascii="Arial" w:cs="Arial" w:eastAsia="Arial" w:hAnsi="Arial"/>
          <w:sz w:val="18"/>
          <w:szCs w:val="18"/>
          <w:color w:val="auto"/>
        </w:rPr>
        <w:t>301,364</w:t>
      </w:r>
    </w:p>
    <w:p>
      <w:pPr>
        <w:ind w:left="320"/>
        <w:spacing w:after="0" w:line="235" w:lineRule="auto"/>
        <w:tabs>
          <w:tab w:leader="none" w:pos="2080" w:val="left"/>
        </w:tabs>
        <w:rPr>
          <w:sz w:val="20"/>
          <w:szCs w:val="20"/>
          <w:color w:val="auto"/>
        </w:rPr>
      </w:pPr>
      <w:r>
        <w:rPr>
          <w:rFonts w:ascii="Arial" w:cs="Arial" w:eastAsia="Arial" w:hAnsi="Arial"/>
          <w:sz w:val="18"/>
          <w:szCs w:val="18"/>
          <w:color w:val="auto"/>
        </w:rPr>
        <w:t>13,800,000</w:t>
      </w:r>
      <w:r>
        <w:rPr>
          <w:sz w:val="20"/>
          <w:szCs w:val="20"/>
          <w:color w:val="auto"/>
        </w:rPr>
        <w:tab/>
      </w:r>
      <w:r>
        <w:rPr>
          <w:rFonts w:ascii="Arial" w:cs="Arial" w:eastAsia="Arial" w:hAnsi="Arial"/>
          <w:sz w:val="18"/>
          <w:szCs w:val="18"/>
          <w:color w:val="auto"/>
        </w:rPr>
        <w:t>17,250,000</w:t>
      </w:r>
    </w:p>
    <w:p>
      <w:pPr>
        <w:spacing w:after="0" w:line="1" w:lineRule="exact"/>
        <w:rPr>
          <w:sz w:val="20"/>
          <w:szCs w:val="20"/>
          <w:color w:val="auto"/>
        </w:rPr>
      </w:pPr>
    </w:p>
    <w:p>
      <w:pPr>
        <w:ind w:left="560"/>
        <w:spacing w:after="0"/>
        <w:tabs>
          <w:tab w:leader="none" w:pos="2320" w:val="left"/>
        </w:tabs>
        <w:rPr>
          <w:sz w:val="20"/>
          <w:szCs w:val="20"/>
          <w:color w:val="auto"/>
        </w:rPr>
      </w:pPr>
      <w:r>
        <w:rPr>
          <w:rFonts w:ascii="Arial" w:cs="Arial" w:eastAsia="Arial" w:hAnsi="Arial"/>
          <w:sz w:val="18"/>
          <w:szCs w:val="18"/>
          <w:color w:val="auto"/>
        </w:rPr>
        <w:t>314,400</w:t>
      </w:r>
      <w:r>
        <w:rPr>
          <w:sz w:val="20"/>
          <w:szCs w:val="20"/>
          <w:color w:val="auto"/>
        </w:rPr>
        <w:tab/>
      </w:r>
      <w:r>
        <w:rPr>
          <w:rFonts w:ascii="Arial" w:cs="Arial" w:eastAsia="Arial" w:hAnsi="Arial"/>
          <w:sz w:val="18"/>
          <w:szCs w:val="18"/>
          <w:color w:val="auto"/>
        </w:rPr>
        <w:t>255,067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189547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3" w:lineRule="exact"/>
        <w:rPr>
          <w:sz w:val="20"/>
          <w:szCs w:val="20"/>
          <w:color w:val="auto"/>
        </w:rPr>
      </w:pPr>
    </w:p>
    <w:p>
      <w:pPr>
        <w:ind w:left="320"/>
        <w:spacing w:after="0"/>
        <w:tabs>
          <w:tab w:leader="none" w:pos="2080" w:val="left"/>
        </w:tabs>
        <w:rPr>
          <w:sz w:val="20"/>
          <w:szCs w:val="20"/>
          <w:color w:val="auto"/>
        </w:rPr>
      </w:pPr>
      <w:r>
        <w:rPr>
          <w:rFonts w:ascii="Arial" w:cs="Arial" w:eastAsia="Arial" w:hAnsi="Arial"/>
          <w:sz w:val="18"/>
          <w:szCs w:val="18"/>
          <w:color w:val="auto"/>
        </w:rPr>
        <w:t>53,296,345</w:t>
      </w:r>
      <w:r>
        <w:rPr>
          <w:sz w:val="20"/>
          <w:szCs w:val="20"/>
          <w:color w:val="auto"/>
        </w:rPr>
        <w:tab/>
      </w:r>
      <w:r>
        <w:rPr>
          <w:rFonts w:ascii="Arial" w:cs="Arial" w:eastAsia="Arial" w:hAnsi="Arial"/>
          <w:sz w:val="18"/>
          <w:szCs w:val="18"/>
          <w:color w:val="auto"/>
        </w:rPr>
        <w:t>61,476,007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20" w:type="dxa"/>
            <w:vAlign w:val="bottom"/>
          </w:tcPr>
          <w:p>
            <w:pPr>
              <w:spacing w:after="0"/>
              <w:rPr>
                <w:sz w:val="18"/>
                <w:szCs w:val="18"/>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74,259,411</w:t>
            </w:r>
          </w:p>
        </w:tc>
        <w:tc>
          <w:tcPr>
            <w:tcW w:w="1440" w:type="dxa"/>
            <w:vAlign w:val="bottom"/>
          </w:tcPr>
          <w:p>
            <w:pPr>
              <w:jc w:val="right"/>
              <w:spacing w:after="0"/>
              <w:rPr>
                <w:sz w:val="20"/>
                <w:szCs w:val="20"/>
                <w:color w:val="auto"/>
              </w:rPr>
            </w:pPr>
            <w:r>
              <w:rPr>
                <w:rFonts w:ascii="Arial" w:cs="Arial" w:eastAsia="Arial" w:hAnsi="Arial"/>
                <w:sz w:val="18"/>
                <w:szCs w:val="18"/>
                <w:color w:val="auto"/>
              </w:rPr>
              <w:t>74,259,411</w:t>
            </w:r>
          </w:p>
        </w:tc>
        <w:tc>
          <w:tcPr>
            <w:tcW w:w="60" w:type="dxa"/>
            <w:vAlign w:val="bottom"/>
          </w:tcPr>
          <w:p>
            <w:pPr>
              <w:spacing w:after="0"/>
              <w:rPr>
                <w:sz w:val="18"/>
                <w:szCs w:val="18"/>
                <w:color w:val="auto"/>
              </w:rPr>
            </w:pPr>
          </w:p>
        </w:tc>
      </w:tr>
      <w:tr>
        <w:trPr>
          <w:trHeight w:val="667"/>
        </w:trPr>
        <w:tc>
          <w:tcPr>
            <w:tcW w:w="120" w:type="dxa"/>
            <w:vAlign w:val="bottom"/>
          </w:tcPr>
          <w:p>
            <w:pPr>
              <w:spacing w:after="0"/>
              <w:rPr>
                <w:sz w:val="24"/>
                <w:szCs w:val="24"/>
                <w:color w:val="auto"/>
              </w:rPr>
            </w:pP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19,018</w:t>
            </w:r>
          </w:p>
        </w:tc>
        <w:tc>
          <w:tcPr>
            <w:tcW w:w="1440" w:type="dxa"/>
            <w:vAlign w:val="bottom"/>
          </w:tcPr>
          <w:p>
            <w:pPr>
              <w:jc w:val="right"/>
              <w:spacing w:after="0"/>
              <w:rPr>
                <w:sz w:val="20"/>
                <w:szCs w:val="20"/>
                <w:color w:val="auto"/>
              </w:rPr>
            </w:pPr>
            <w:r>
              <w:rPr>
                <w:rFonts w:ascii="Arial" w:cs="Arial" w:eastAsia="Arial" w:hAnsi="Arial"/>
                <w:sz w:val="18"/>
                <w:szCs w:val="18"/>
                <w:color w:val="auto"/>
              </w:rPr>
              <w:t>19,084</w:t>
            </w:r>
          </w:p>
        </w:tc>
        <w:tc>
          <w:tcPr>
            <w:tcW w:w="60" w:type="dxa"/>
            <w:vAlign w:val="bottom"/>
          </w:tcPr>
          <w:p>
            <w:pPr>
              <w:spacing w:after="0"/>
              <w:rPr>
                <w:sz w:val="24"/>
                <w:szCs w:val="24"/>
                <w:color w:val="auto"/>
              </w:rPr>
            </w:pPr>
          </w:p>
        </w:tc>
      </w:tr>
      <w:tr>
        <w:trPr>
          <w:trHeight w:val="203"/>
        </w:trPr>
        <w:tc>
          <w:tcPr>
            <w:tcW w:w="120" w:type="dxa"/>
            <w:vAlign w:val="bottom"/>
          </w:tcPr>
          <w:p>
            <w:pPr>
              <w:spacing w:after="0"/>
              <w:rPr>
                <w:sz w:val="17"/>
                <w:szCs w:val="17"/>
                <w:color w:val="auto"/>
              </w:rPr>
            </w:pPr>
          </w:p>
        </w:tc>
        <w:tc>
          <w:tcPr>
            <w:tcW w:w="142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5,450,595</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5,088,905</w:t>
            </w:r>
          </w:p>
        </w:tc>
        <w:tc>
          <w:tcPr>
            <w:tcW w:w="60" w:type="dxa"/>
            <w:vAlign w:val="bottom"/>
          </w:tcPr>
          <w:p>
            <w:pPr>
              <w:spacing w:after="0"/>
              <w:rPr>
                <w:sz w:val="17"/>
                <w:szCs w:val="17"/>
                <w:color w:val="auto"/>
              </w:rPr>
            </w:pPr>
          </w:p>
        </w:tc>
      </w:tr>
      <w:tr>
        <w:trPr>
          <w:trHeight w:val="199"/>
        </w:trPr>
        <w:tc>
          <w:tcPr>
            <w:tcW w:w="120" w:type="dxa"/>
            <w:vAlign w:val="bottom"/>
          </w:tcPr>
          <w:p>
            <w:pPr>
              <w:spacing w:after="0"/>
              <w:rPr>
                <w:sz w:val="17"/>
                <w:szCs w:val="17"/>
                <w:color w:val="auto"/>
              </w:rPr>
            </w:pPr>
          </w:p>
        </w:tc>
        <w:tc>
          <w:tcPr>
            <w:tcW w:w="1420" w:type="dxa"/>
            <w:vAlign w:val="bottom"/>
          </w:tcPr>
          <w:p>
            <w:pPr>
              <w:jc w:val="right"/>
              <w:ind w:right="192"/>
              <w:spacing w:after="0" w:line="200" w:lineRule="exact"/>
              <w:rPr>
                <w:sz w:val="20"/>
                <w:szCs w:val="20"/>
                <w:color w:val="auto"/>
              </w:rPr>
            </w:pPr>
            <w:r>
              <w:rPr>
                <w:rFonts w:ascii="Arial" w:cs="Arial" w:eastAsia="Arial" w:hAnsi="Arial"/>
                <w:sz w:val="18"/>
                <w:szCs w:val="18"/>
                <w:color w:val="auto"/>
                <w:w w:val="99"/>
              </w:rPr>
              <w:t>(128,885,883)</w:t>
            </w:r>
          </w:p>
        </w:tc>
        <w:tc>
          <w:tcPr>
            <w:tcW w:w="15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(117,477,160)</w:t>
            </w:r>
          </w:p>
        </w:tc>
      </w:tr>
      <w:tr>
        <w:trPr>
          <w:trHeight w:val="20"/>
        </w:trPr>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420" w:type="dxa"/>
            <w:vAlign w:val="bottom"/>
          </w:tcPr>
          <w:p>
            <w:pPr>
              <w:jc w:val="right"/>
              <w:ind w:right="192"/>
              <w:spacing w:after="0"/>
              <w:rPr>
                <w:sz w:val="20"/>
                <w:szCs w:val="20"/>
                <w:color w:val="auto"/>
              </w:rPr>
            </w:pPr>
            <w:r>
              <w:rPr>
                <w:rFonts w:ascii="Arial" w:cs="Arial" w:eastAsia="Arial" w:hAnsi="Arial"/>
                <w:sz w:val="18"/>
                <w:szCs w:val="18"/>
                <w:color w:val="auto"/>
                <w:w w:val="99"/>
              </w:rPr>
              <w:t>(123,416,270)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(112,369,171)</w:t>
            </w:r>
          </w:p>
        </w:tc>
      </w:tr>
      <w:tr>
        <w:trPr>
          <w:trHeight w:val="221"/>
        </w:trPr>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ind w:right="252"/>
              <w:spacing w:after="0"/>
              <w:rPr>
                <w:sz w:val="20"/>
                <w:szCs w:val="20"/>
                <w:color w:val="auto"/>
              </w:rPr>
            </w:pPr>
            <w:r>
              <w:rPr>
                <w:rFonts w:ascii="Arial" w:cs="Arial" w:eastAsia="Arial" w:hAnsi="Arial"/>
                <w:sz w:val="18"/>
                <w:szCs w:val="18"/>
                <w:color w:val="auto"/>
              </w:rPr>
              <w:t>4,139,486</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23,366,247</w:t>
            </w:r>
          </w:p>
        </w:tc>
        <w:tc>
          <w:tcPr>
            <w:tcW w:w="60" w:type="dxa"/>
            <w:vAlign w:val="bottom"/>
          </w:tcPr>
          <w:p>
            <w:pPr>
              <w:spacing w:after="0"/>
              <w:rPr>
                <w:sz w:val="19"/>
                <w:szCs w:val="19"/>
                <w:color w:val="auto"/>
              </w:rPr>
            </w:pPr>
          </w:p>
        </w:tc>
      </w:tr>
    </w:tbl>
    <w:p>
      <w:pPr>
        <w:spacing w:after="0" w:line="109" w:lineRule="exact"/>
        <w:rPr>
          <w:sz w:val="20"/>
          <w:szCs w:val="20"/>
          <w:color w:val="auto"/>
        </w:rPr>
      </w:pPr>
    </w:p>
    <w:p>
      <w:pPr>
        <w:sectPr>
          <w:pgSz w:w="11900" w:h="16838" w:orient="portrait"/>
          <w:cols w:equalWidth="0" w:num="2">
            <w:col w:w="7420" w:space="720"/>
            <w:col w:w="310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F-95</w:t>
      </w:r>
    </w:p>
    <w:p>
      <w:pPr>
        <w:sectPr>
          <w:pgSz w:w="11900" w:h="16838" w:orient="portrait"/>
          <w:cols w:equalWidth="0" w:num="1">
            <w:col w:w="11240"/>
          </w:cols>
          <w:pgMar w:left="240" w:top="459" w:right="419" w:bottom="1440" w:gutter="0" w:footer="0" w:header="0"/>
          <w:type w:val="continuous"/>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right="1460"/>
        <w:spacing w:after="0" w:line="260" w:lineRule="auto"/>
        <w:rPr>
          <w:sz w:val="20"/>
          <w:szCs w:val="20"/>
          <w:color w:val="auto"/>
        </w:rPr>
      </w:pPr>
      <w:r>
        <w:rPr>
          <w:rFonts w:ascii="Arial" w:cs="Arial" w:eastAsia="Arial" w:hAnsi="Arial"/>
          <w:sz w:val="32"/>
          <w:szCs w:val="32"/>
          <w:b w:val="1"/>
          <w:bCs w:val="1"/>
          <w:color w:val="auto"/>
        </w:rPr>
        <w:t>Condensed statements of operations and comprehensive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6997700"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05"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-4445</wp:posOffset>
            </wp:positionV>
            <wp:extent cx="174117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700" w:type="dxa"/>
            <w:vAlign w:val="bottom"/>
            <w:tcBorders>
              <w:bottom w:val="single" w:sz="8" w:color="auto"/>
            </w:tcBorders>
          </w:tcPr>
          <w:p>
            <w:pPr>
              <w:spacing w:after="0"/>
              <w:rPr>
                <w:sz w:val="19"/>
                <w:szCs w:val="19"/>
                <w:color w:val="auto"/>
              </w:rPr>
            </w:pPr>
          </w:p>
        </w:tc>
        <w:tc>
          <w:tcPr>
            <w:tcW w:w="2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r>
      <w:tr>
        <w:trPr>
          <w:trHeight w:val="48"/>
        </w:trPr>
        <w:tc>
          <w:tcPr>
            <w:tcW w:w="20" w:type="dxa"/>
            <w:vAlign w:val="bottom"/>
          </w:tcPr>
          <w:p>
            <w:pPr>
              <w:spacing w:after="0"/>
              <w:rPr>
                <w:sz w:val="4"/>
                <w:szCs w:val="4"/>
                <w:color w:val="auto"/>
              </w:rPr>
            </w:pPr>
          </w:p>
        </w:tc>
        <w:tc>
          <w:tcPr>
            <w:tcW w:w="5700" w:type="dxa"/>
            <w:vAlign w:val="bottom"/>
          </w:tcPr>
          <w:p>
            <w:pPr>
              <w:spacing w:after="0"/>
              <w:rPr>
                <w:sz w:val="4"/>
                <w:szCs w:val="4"/>
                <w:color w:val="auto"/>
              </w:rPr>
            </w:pPr>
          </w:p>
        </w:tc>
        <w:tc>
          <w:tcPr>
            <w:tcW w:w="2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Collaboration revenue, related party</w:t>
            </w:r>
          </w:p>
        </w:tc>
        <w:tc>
          <w:tcPr>
            <w:tcW w:w="2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882,353</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4,402,077</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Collaboration revenue</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3,450,000</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Grant revenue</w:t>
            </w:r>
          </w:p>
        </w:tc>
        <w:tc>
          <w:tcPr>
            <w:tcW w:w="2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463,931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982,353</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revenue</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4,796,284</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5,384,430</w:t>
            </w:r>
          </w:p>
        </w:tc>
        <w:tc>
          <w:tcPr>
            <w:tcW w:w="140" w:type="dxa"/>
            <w:vAlign w:val="bottom"/>
            <w:shd w:val="clear" w:color="auto" w:fill="CCEEFF"/>
          </w:tcPr>
          <w:p>
            <w:pPr>
              <w:spacing w:after="0"/>
              <w:rPr>
                <w:sz w:val="17"/>
                <w:szCs w:val="17"/>
                <w:color w:val="auto"/>
              </w:rPr>
            </w:pP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14,936,903</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18,145,152</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2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5,335,931</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5,539,682</w:t>
            </w:r>
          </w:p>
        </w:tc>
        <w:tc>
          <w:tcPr>
            <w:tcW w:w="14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Total operating expenses</w:t>
            </w:r>
          </w:p>
        </w:tc>
        <w:tc>
          <w:tcPr>
            <w:tcW w:w="24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20,272,834</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23,684,834</w:t>
            </w:r>
          </w:p>
        </w:tc>
        <w:tc>
          <w:tcPr>
            <w:tcW w:w="14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Loss from operations</w:t>
            </w:r>
          </w:p>
        </w:tc>
        <w:tc>
          <w:tcPr>
            <w:tcW w:w="2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(15,476,550)</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(18,300,404)</w:t>
            </w: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Gain on restructuring of debt, related party</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5,053,805</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r>
      <w:tr>
        <w:trPr>
          <w:trHeight w:val="203"/>
        </w:trPr>
        <w:tc>
          <w:tcPr>
            <w:tcW w:w="5720" w:type="dxa"/>
            <w:vAlign w:val="bottom"/>
            <w:gridSpan w:val="2"/>
          </w:tcPr>
          <w:p>
            <w:pPr>
              <w:spacing w:after="0" w:line="202" w:lineRule="exact"/>
              <w:rPr>
                <w:sz w:val="20"/>
                <w:szCs w:val="20"/>
                <w:color w:val="auto"/>
              </w:rPr>
            </w:pPr>
            <w:r>
              <w:rPr>
                <w:rFonts w:ascii="Arial" w:cs="Arial" w:eastAsia="Arial" w:hAnsi="Arial"/>
                <w:sz w:val="18"/>
                <w:szCs w:val="18"/>
                <w:color w:val="auto"/>
              </w:rPr>
              <w:t>Interest and income</w:t>
            </w:r>
          </w:p>
        </w:tc>
        <w:tc>
          <w:tcPr>
            <w:tcW w:w="2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101,527</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16,697</w:t>
            </w:r>
          </w:p>
        </w:tc>
        <w:tc>
          <w:tcPr>
            <w:tcW w:w="1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expense</w:t>
            </w:r>
          </w:p>
        </w:tc>
        <w:tc>
          <w:tcPr>
            <w:tcW w:w="2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(1,087,505)</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(2,112,225)</w:t>
            </w: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ind w:left="420"/>
              <w:spacing w:after="0"/>
              <w:rPr>
                <w:sz w:val="20"/>
                <w:szCs w:val="20"/>
                <w:color w:val="auto"/>
              </w:rPr>
            </w:pPr>
            <w:r>
              <w:rPr>
                <w:rFonts w:ascii="Arial" w:cs="Arial" w:eastAsia="Arial" w:hAnsi="Arial"/>
                <w:sz w:val="18"/>
                <w:szCs w:val="18"/>
                <w:color w:val="auto"/>
              </w:rPr>
              <w:t>Net loss and comprehensive loss</w:t>
            </w:r>
          </w:p>
        </w:tc>
        <w:tc>
          <w:tcPr>
            <w:tcW w:w="2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(11,408,723)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(20,395,932)</w:t>
            </w:r>
          </w:p>
        </w:tc>
      </w:tr>
      <w:tr>
        <w:trPr>
          <w:trHeight w:val="20"/>
        </w:trPr>
        <w:tc>
          <w:tcPr>
            <w:tcW w:w="20" w:type="dxa"/>
            <w:vAlign w:val="bottom"/>
          </w:tcPr>
          <w:p>
            <w:pPr>
              <w:spacing w:after="0" w:line="20" w:lineRule="exact"/>
              <w:rPr>
                <w:sz w:val="1"/>
                <w:szCs w:val="1"/>
                <w:color w:val="auto"/>
              </w:rPr>
            </w:pPr>
          </w:p>
        </w:tc>
        <w:tc>
          <w:tcPr>
            <w:tcW w:w="570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240"/>
          </w:cols>
          <w:pgMar w:left="240" w:top="459" w:right="41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Condensed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81280</wp:posOffset>
            </wp:positionV>
            <wp:extent cx="6997700"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7"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5304790</wp:posOffset>
            </wp:positionH>
            <wp:positionV relativeFrom="paragraph">
              <wp:posOffset>-4445</wp:posOffset>
            </wp:positionV>
            <wp:extent cx="174117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741170"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68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8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Operating activities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90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(11,408,723)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(20,395,932)</w:t>
            </w:r>
          </w:p>
        </w:tc>
        <w:tc>
          <w:tcPr>
            <w:tcW w:w="0" w:type="dxa"/>
            <w:vAlign w:val="bottom"/>
          </w:tcPr>
          <w:p>
            <w:pPr>
              <w:spacing w:after="0"/>
              <w:rPr>
                <w:sz w:val="1"/>
                <w:szCs w:val="1"/>
                <w:color w:val="auto"/>
              </w:rPr>
            </w:pPr>
          </w:p>
        </w:tc>
      </w:tr>
      <w:tr>
        <w:trPr>
          <w:trHeight w:val="56"/>
        </w:trPr>
        <w:tc>
          <w:tcPr>
            <w:tcW w:w="6900" w:type="dxa"/>
            <w:vAlign w:val="bottom"/>
            <w:gridSpan w:val="2"/>
          </w:tcPr>
          <w:p>
            <w:pPr>
              <w:spacing w:after="0"/>
              <w:rPr>
                <w:sz w:val="4"/>
                <w:szCs w:val="4"/>
                <w:color w:val="auto"/>
              </w:rPr>
            </w:pPr>
          </w:p>
        </w:tc>
        <w:tc>
          <w:tcPr>
            <w:tcW w:w="1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200"/>
              <w:spacing w:after="0" w:line="202" w:lineRule="exact"/>
              <w:rPr>
                <w:sz w:val="20"/>
                <w:szCs w:val="20"/>
                <w:color w:val="auto"/>
              </w:rPr>
            </w:pPr>
            <w:r>
              <w:rPr>
                <w:rFonts w:ascii="Arial" w:cs="Arial" w:eastAsia="Arial" w:hAnsi="Arial"/>
                <w:sz w:val="18"/>
                <w:szCs w:val="18"/>
                <w:color w:val="auto"/>
              </w:rPr>
              <w:t>Noncash interest expense</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1,064,484</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2,112,225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362,284</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508,649</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200"/>
              <w:spacing w:after="0" w:line="202" w:lineRule="exact"/>
              <w:rPr>
                <w:sz w:val="20"/>
                <w:szCs w:val="20"/>
                <w:color w:val="auto"/>
              </w:rPr>
            </w:pPr>
            <w:r>
              <w:rPr>
                <w:rFonts w:ascii="Arial" w:cs="Arial" w:eastAsia="Arial" w:hAnsi="Arial"/>
                <w:sz w:val="18"/>
                <w:szCs w:val="18"/>
                <w:color w:val="auto"/>
              </w:rPr>
              <w:t>Gain on restructuring of debt, related party</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(5,053,805)</w:t>
            </w:r>
          </w:p>
        </w:tc>
        <w:tc>
          <w:tcPr>
            <w:tcW w:w="320" w:type="dxa"/>
            <w:vAlign w:val="bottom"/>
          </w:tcPr>
          <w:p>
            <w:pPr>
              <w:spacing w:after="0"/>
              <w:rPr>
                <w:sz w:val="17"/>
                <w:szCs w:val="17"/>
                <w:color w:val="auto"/>
              </w:rPr>
            </w:pPr>
          </w:p>
        </w:tc>
        <w:tc>
          <w:tcPr>
            <w:tcW w:w="11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Gain on sale of fixed assets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(2,476)</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200"/>
              <w:spacing w:after="0" w:line="202" w:lineRule="exact"/>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1,442,952</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1,869,436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42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(40,725)</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101,221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Accounts payable</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424,867</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1,004,348</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420"/>
              <w:spacing w:after="0" w:line="202" w:lineRule="exact"/>
              <w:rPr>
                <w:sz w:val="20"/>
                <w:szCs w:val="20"/>
                <w:color w:val="auto"/>
              </w:rPr>
            </w:pPr>
            <w:r>
              <w:rPr>
                <w:rFonts w:ascii="Arial" w:cs="Arial" w:eastAsia="Arial" w:hAnsi="Arial"/>
                <w:sz w:val="18"/>
                <w:szCs w:val="18"/>
                <w:color w:val="auto"/>
              </w:rPr>
              <w:t>Accrued expenses</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(128,834)</w:t>
            </w:r>
          </w:p>
        </w:tc>
        <w:tc>
          <w:tcPr>
            <w:tcW w:w="3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(173,096)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Deferred revenue</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(4,332,353)</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6,597,923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tcPr>
          <w:p>
            <w:pPr>
              <w:ind w:left="420"/>
              <w:spacing w:after="0" w:line="202" w:lineRule="exact"/>
              <w:rPr>
                <w:sz w:val="20"/>
                <w:szCs w:val="20"/>
                <w:color w:val="auto"/>
              </w:rPr>
            </w:pPr>
            <w:r>
              <w:rPr>
                <w:rFonts w:ascii="Arial" w:cs="Arial" w:eastAsia="Arial" w:hAnsi="Arial"/>
                <w:sz w:val="18"/>
                <w:szCs w:val="18"/>
                <w:color w:val="auto"/>
              </w:rPr>
              <w:t>Deferred rent</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(48,450)</w:t>
            </w:r>
          </w:p>
        </w:tc>
        <w:tc>
          <w:tcPr>
            <w:tcW w:w="32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(487,600)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ind w:left="640"/>
              <w:spacing w:after="0" w:line="202" w:lineRule="exact"/>
              <w:rPr>
                <w:sz w:val="20"/>
                <w:szCs w:val="20"/>
                <w:color w:val="auto"/>
              </w:rPr>
            </w:pPr>
            <w:r>
              <w:rPr>
                <w:rFonts w:ascii="Arial" w:cs="Arial" w:eastAsia="Arial" w:hAnsi="Arial"/>
                <w:sz w:val="18"/>
                <w:szCs w:val="18"/>
                <w:color w:val="auto"/>
              </w:rPr>
              <w:t>Net cash used in operating activities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(17,720,779)</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(8,862,826)</w:t>
            </w:r>
          </w:p>
        </w:tc>
        <w:tc>
          <w:tcPr>
            <w:tcW w:w="0" w:type="dxa"/>
            <w:vAlign w:val="bottom"/>
          </w:tcPr>
          <w:p>
            <w:pPr>
              <w:spacing w:after="0"/>
              <w:rPr>
                <w:sz w:val="1"/>
                <w:szCs w:val="1"/>
                <w:color w:val="auto"/>
              </w:rPr>
            </w:pPr>
          </w:p>
        </w:tc>
      </w:tr>
      <w:tr>
        <w:trPr>
          <w:trHeight w:val="277"/>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1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Purchases of property and equipment</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(226,174)</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(901,509)</w:t>
            </w: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line="202" w:lineRule="exact"/>
              <w:rPr>
                <w:sz w:val="20"/>
                <w:szCs w:val="20"/>
                <w:color w:val="auto"/>
              </w:rPr>
            </w:pPr>
            <w:r>
              <w:rPr>
                <w:rFonts w:ascii="Arial" w:cs="Arial" w:eastAsia="Arial" w:hAnsi="Arial"/>
                <w:sz w:val="18"/>
                <w:szCs w:val="18"/>
                <w:color w:val="auto"/>
              </w:rPr>
              <w:t>Change in restricted cash</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(240)</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106,707</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sale of property and equipment</w:t>
            </w:r>
          </w:p>
        </w:tc>
        <w:tc>
          <w:tcPr>
            <w:tcW w:w="1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2,476</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640"/>
              <w:spacing w:after="0"/>
              <w:rPr>
                <w:sz w:val="20"/>
                <w:szCs w:val="20"/>
                <w:color w:val="auto"/>
              </w:rPr>
            </w:pPr>
            <w:r>
              <w:rPr>
                <w:rFonts w:ascii="Arial" w:cs="Arial" w:eastAsia="Arial" w:hAnsi="Arial"/>
                <w:sz w:val="18"/>
                <w:szCs w:val="18"/>
                <w:color w:val="auto"/>
              </w:rPr>
              <w:t>Net cash used in investing activities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(223,938)</w:t>
            </w:r>
          </w:p>
        </w:tc>
        <w:tc>
          <w:tcPr>
            <w:tcW w:w="3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(794,802)</w:t>
            </w: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Financing activities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issuance of restricted stock</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3,100</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5,775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Repurchase of unvested restricted stock</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(3,760)</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(4,780)</w:t>
            </w:r>
          </w:p>
        </w:tc>
        <w:tc>
          <w:tcPr>
            <w:tcW w:w="0" w:type="dxa"/>
            <w:vAlign w:val="bottom"/>
          </w:tcPr>
          <w:p>
            <w:pPr>
              <w:spacing w:after="0"/>
              <w:rPr>
                <w:sz w:val="1"/>
                <w:szCs w:val="1"/>
                <w:color w:val="auto"/>
              </w:rPr>
            </w:pPr>
          </w:p>
        </w:tc>
      </w:tr>
      <w:tr>
        <w:trPr>
          <w:trHeight w:val="203"/>
        </w:trPr>
        <w:tc>
          <w:tcPr>
            <w:tcW w:w="6900" w:type="dxa"/>
            <w:vAlign w:val="bottom"/>
            <w:gridSpan w:val="2"/>
          </w:tcPr>
          <w:p>
            <w:pPr>
              <w:spacing w:after="0" w:line="202" w:lineRule="exact"/>
              <w:rPr>
                <w:sz w:val="20"/>
                <w:szCs w:val="20"/>
                <w:color w:val="auto"/>
              </w:rPr>
            </w:pPr>
            <w:r>
              <w:rPr>
                <w:rFonts w:ascii="Arial" w:cs="Arial" w:eastAsia="Arial" w:hAnsi="Arial"/>
                <w:sz w:val="18"/>
                <w:szCs w:val="18"/>
                <w:color w:val="auto"/>
              </w:rPr>
              <w:t>Proceeds from notes payable, related party</w:t>
            </w: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8,999,731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Repayments of capital lease</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(81,935)</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80" w:type="dxa"/>
            <w:vAlign w:val="bottom"/>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(82,595)</w:t>
            </w: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9,000,726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increase (decrease) in cash and cash equivalents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(18,027,312)</w:t>
            </w:r>
          </w:p>
        </w:tc>
        <w:tc>
          <w:tcPr>
            <w:tcW w:w="3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(656,902)</w:t>
            </w:r>
          </w:p>
        </w:tc>
        <w:tc>
          <w:tcPr>
            <w:tcW w:w="0" w:type="dxa"/>
            <w:vAlign w:val="bottom"/>
          </w:tcPr>
          <w:p>
            <w:pPr>
              <w:spacing w:after="0"/>
              <w:rPr>
                <w:sz w:val="1"/>
                <w:szCs w:val="1"/>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1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of period</w:t>
            </w:r>
          </w:p>
        </w:tc>
        <w:tc>
          <w:tcPr>
            <w:tcW w:w="12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18,616,527</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2,173,765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900" w:type="dxa"/>
            <w:vAlign w:val="bottom"/>
            <w:gridSpan w:val="2"/>
          </w:tcPr>
          <w:p>
            <w:pPr>
              <w:spacing w:after="0"/>
              <w:rPr>
                <w:sz w:val="20"/>
                <w:szCs w:val="20"/>
                <w:color w:val="auto"/>
              </w:rPr>
            </w:pPr>
            <w:r>
              <w:rPr>
                <w:rFonts w:ascii="Arial" w:cs="Arial" w:eastAsia="Arial" w:hAnsi="Arial"/>
                <w:sz w:val="18"/>
                <w:szCs w:val="18"/>
                <w:color w:val="auto"/>
              </w:rPr>
              <w:t>End of period</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589,215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1,516,863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68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1220" w:type="dxa"/>
            <w:vAlign w:val="bottom"/>
            <w:tcBorders>
              <w:top w:val="single" w:sz="8" w:color="auto"/>
            </w:tcBorders>
          </w:tcPr>
          <w:p>
            <w:pPr>
              <w:spacing w:after="0"/>
              <w:rPr>
                <w:sz w:val="6"/>
                <w:szCs w:val="6"/>
                <w:color w:val="auto"/>
              </w:rPr>
            </w:pPr>
          </w:p>
        </w:tc>
        <w:tc>
          <w:tcPr>
            <w:tcW w:w="320" w:type="dxa"/>
            <w:vAlign w:val="bottom"/>
            <w:tcBorders>
              <w:top w:val="single" w:sz="8" w:color="auto"/>
            </w:tcBorders>
          </w:tcPr>
          <w:p>
            <w:pPr>
              <w:spacing w:after="0"/>
              <w:rPr>
                <w:sz w:val="6"/>
                <w:szCs w:val="6"/>
                <w:color w:val="auto"/>
              </w:rPr>
            </w:pPr>
          </w:p>
        </w:tc>
        <w:tc>
          <w:tcPr>
            <w:tcW w:w="104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8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 of noncash activities</w:t>
            </w: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Equipment purchases included in accounts payable</w:t>
            </w:r>
          </w:p>
        </w:tc>
        <w:tc>
          <w:tcPr>
            <w:tcW w:w="14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The accompanying notes are an integral part of these condensed financial statements.</w:t>
      </w:r>
    </w:p>
    <w:p>
      <w:pPr>
        <w:spacing w:after="0" w:line="15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F-97</w:t>
      </w:r>
    </w:p>
    <w:p>
      <w:pPr>
        <w:sectPr>
          <w:pgSz w:w="11900" w:h="16838" w:orient="portrait"/>
          <w:cols w:equalWidth="0" w:num="1">
            <w:col w:w="11240"/>
          </w:cols>
          <w:pgMar w:left="240" w:top="459" w:right="41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Warp Drive Bio, Inc.</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Notes to the unaudited condensed financial statements</w:t>
      </w:r>
    </w:p>
    <w:p>
      <w:pPr>
        <w:spacing w:after="0" w:line="8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 Organization and basis of presentation</w:t>
      </w:r>
    </w:p>
    <w:p>
      <w:pPr>
        <w:spacing w:after="0" w:line="134" w:lineRule="exact"/>
        <w:rPr>
          <w:sz w:val="20"/>
          <w:szCs w:val="20"/>
          <w:color w:val="auto"/>
        </w:rPr>
      </w:pPr>
    </w:p>
    <w:p>
      <w:pPr>
        <w:ind w:left="200" w:right="80"/>
        <w:spacing w:after="0" w:line="239" w:lineRule="auto"/>
        <w:rPr>
          <w:sz w:val="20"/>
          <w:szCs w:val="20"/>
          <w:color w:val="auto"/>
        </w:rPr>
      </w:pPr>
      <w:r>
        <w:rPr>
          <w:rFonts w:ascii="Arial" w:cs="Arial" w:eastAsia="Arial" w:hAnsi="Arial"/>
          <w:sz w:val="18"/>
          <w:szCs w:val="18"/>
          <w:color w:val="auto"/>
        </w:rPr>
        <w:t>Warp Drive Bio, Inc. (the “Company”) operates on the core principle that nature is the most powerful inventor of new drugs, unconstrained by the boundaries of modern science.</w:t>
      </w:r>
    </w:p>
    <w:p>
      <w:pPr>
        <w:spacing w:after="0" w:line="101" w:lineRule="exact"/>
        <w:rPr>
          <w:sz w:val="20"/>
          <w:szCs w:val="20"/>
          <w:color w:val="auto"/>
        </w:rPr>
      </w:pPr>
    </w:p>
    <w:p>
      <w:pPr>
        <w:ind w:left="200" w:right="180"/>
        <w:spacing w:after="0" w:line="273" w:lineRule="auto"/>
        <w:rPr>
          <w:sz w:val="20"/>
          <w:szCs w:val="20"/>
          <w:color w:val="auto"/>
        </w:rPr>
      </w:pPr>
      <w:r>
        <w:rPr>
          <w:rFonts w:ascii="Arial" w:cs="Arial" w:eastAsia="Arial" w:hAnsi="Arial"/>
          <w:sz w:val="16"/>
          <w:szCs w:val="16"/>
          <w:color w:val="auto"/>
        </w:rPr>
        <w:t>The Company is deploying innovative Small Molecule-Assisted Receptor Targeting (SMART</w:t>
      </w:r>
      <w:r>
        <w:rPr>
          <w:rFonts w:ascii="Arial" w:cs="Arial" w:eastAsia="Arial" w:hAnsi="Arial"/>
          <w:sz w:val="10"/>
          <w:szCs w:val="10"/>
          <w:color w:val="auto"/>
        </w:rPr>
        <w:t>™</w:t>
      </w:r>
      <w:r>
        <w:rPr>
          <w:rFonts w:ascii="Arial" w:cs="Arial" w:eastAsia="Arial" w:hAnsi="Arial"/>
          <w:sz w:val="16"/>
          <w:szCs w:val="16"/>
          <w:color w:val="auto"/>
        </w:rPr>
        <w:t>) and Genomic Mining / antibiotic platforms to discover new medicines that have the potential to make a significant difference in the lives of patients. The Company was launched in 2011 through a partnership with Sanofi and with financing from Third Rock Ventures and Greylock Partners. As described in Note 13, on October 24, 2018, the Company and Revolution Medicines, Inc. (“Revolution”) completed a sale pursuant to an Agreement and Plan of Merger in which Revolution acquired all the Series A convertible preferred stock and the common stock of the Company.</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24" w:lineRule="exact"/>
        <w:rPr>
          <w:sz w:val="20"/>
          <w:szCs w:val="20"/>
          <w:color w:val="auto"/>
        </w:rPr>
      </w:pPr>
    </w:p>
    <w:p>
      <w:pPr>
        <w:ind w:left="200"/>
        <w:spacing w:after="0" w:line="270" w:lineRule="auto"/>
        <w:rPr>
          <w:sz w:val="20"/>
          <w:szCs w:val="20"/>
          <w:color w:val="auto"/>
        </w:rPr>
      </w:pPr>
      <w:r>
        <w:rPr>
          <w:rFonts w:ascii="Arial" w:cs="Arial" w:eastAsia="Arial" w:hAnsi="Arial"/>
          <w:sz w:val="16"/>
          <w:szCs w:val="16"/>
          <w:color w:val="auto"/>
        </w:rPr>
        <w:t>The accompanying unaudited interim financial statements of Warp Drive Bio, Inc. (the “Company”) should be read in conjunction with the Company’s audited financial statements as of and for the year ended December 31, 2017. The accompanying financial statements have been prepared in accordance with accounting principles generally accepted in the United States of America (“GAAP”) for interim financial information. Accordingly, since they are interim statements, the accompanying financial statements do not include all of the information and notes required by GAAP for a complete financial statement presentation. In the opinion of management, the interim financial statements reflect all adjustments consisting of normal, recurring adjustments that are necessary for a fair statement of the financial position, results of operations and cash flows for the condensed interim periods presented. Interim results are not necessarily indicative of results for a full year.</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Liquidity</w:t>
      </w:r>
    </w:p>
    <w:p>
      <w:pPr>
        <w:spacing w:after="0" w:line="124" w:lineRule="exact"/>
        <w:rPr>
          <w:sz w:val="20"/>
          <w:szCs w:val="20"/>
          <w:color w:val="auto"/>
        </w:rPr>
      </w:pPr>
    </w:p>
    <w:p>
      <w:pPr>
        <w:jc w:val="both"/>
        <w:ind w:left="200"/>
        <w:spacing w:after="0" w:line="238" w:lineRule="auto"/>
        <w:rPr>
          <w:sz w:val="20"/>
          <w:szCs w:val="20"/>
          <w:color w:val="auto"/>
        </w:rPr>
      </w:pPr>
      <w:r>
        <w:rPr>
          <w:rFonts w:ascii="Arial" w:cs="Arial" w:eastAsia="Arial" w:hAnsi="Arial"/>
          <w:sz w:val="18"/>
          <w:szCs w:val="18"/>
          <w:color w:val="auto"/>
        </w:rPr>
        <w:t>The Company’s financial statements have been prepared on the basis of continuity of operations, realization of assets and the satisfaction of liabilities and commitments in the ordinary course of business. The Company has primarily funded its operations with proceeds from the sales of preferred stock, convertible notes and payments received from collaboration arrangements.</w:t>
      </w:r>
    </w:p>
    <w:p>
      <w:pPr>
        <w:spacing w:after="0" w:line="100" w:lineRule="exact"/>
        <w:rPr>
          <w:sz w:val="20"/>
          <w:szCs w:val="20"/>
          <w:color w:val="auto"/>
        </w:rPr>
      </w:pPr>
    </w:p>
    <w:p>
      <w:pPr>
        <w:ind w:left="200" w:right="80"/>
        <w:spacing w:after="0" w:line="273" w:lineRule="auto"/>
        <w:rPr>
          <w:sz w:val="20"/>
          <w:szCs w:val="20"/>
          <w:color w:val="auto"/>
        </w:rPr>
      </w:pPr>
      <w:r>
        <w:rPr>
          <w:rFonts w:ascii="Arial" w:cs="Arial" w:eastAsia="Arial" w:hAnsi="Arial"/>
          <w:sz w:val="16"/>
          <w:szCs w:val="16"/>
          <w:color w:val="auto"/>
        </w:rPr>
        <w:t>The Company has incurred losses since its inception, including net losses of approximately $11.4 million and $18.2 million for the nine months ended September 30, 2018 and year ended December 31, 2017, respectively. As of September 30, 2018, the Company had an accumulated deficit of approximately $128.9 million. The Company expects that its operating losses and negative cash flows will continue for the foreseeable future. On October 3, 2018, the Company received $2 million in cash proceeds from an existing investor in exchange for a convertible promissory note purchase agreement with a maturity date of April 8, 2019 and an 8% annual interest rate. (See Note 13).</w:t>
      </w:r>
    </w:p>
    <w:p>
      <w:pPr>
        <w:spacing w:after="0" w:line="75"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The future viability of the Company is dependent on its ability to draw down additional capital from its parent company to finance its operations. There is no assurance that the Company will be successful in obtaining such financing from its parent. If adequate funds are not available to the Company, the Company may be required to delay, reduce or eliminate research and development programs, reduce operational costs, or obtain funds through arrangements with collaborators on terms unfavorable to the Company. The circumstances described above raise substantial doubt about the Company’s ability to continue as a going concern as of the date the financial statements are issued. The financial statements do not include any adjustments that might result from the outcome of this uncertainty.</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F-98</w:t>
      </w:r>
    </w:p>
    <w:p>
      <w:pPr>
        <w:sectPr>
          <w:pgSz w:w="11900" w:h="16838" w:orient="portrait"/>
          <w:cols w:equalWidth="0" w:num="1">
            <w:col w:w="11180"/>
          </w:cols>
          <w:pgMar w:left="240" w:top="459" w:right="47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2. Significant accounting policies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4" w:lineRule="exact"/>
        <w:rPr>
          <w:sz w:val="20"/>
          <w:szCs w:val="20"/>
          <w:color w:val="auto"/>
        </w:rPr>
      </w:pPr>
    </w:p>
    <w:p>
      <w:pPr>
        <w:jc w:val="both"/>
        <w:ind w:left="200" w:right="140"/>
        <w:spacing w:after="0" w:line="238"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24" w:lineRule="exact"/>
        <w:rPr>
          <w:sz w:val="20"/>
          <w:szCs w:val="20"/>
          <w:color w:val="auto"/>
        </w:rPr>
      </w:pPr>
    </w:p>
    <w:p>
      <w:pPr>
        <w:ind w:left="200" w:right="520"/>
        <w:spacing w:after="0" w:line="239" w:lineRule="auto"/>
        <w:rPr>
          <w:sz w:val="20"/>
          <w:szCs w:val="20"/>
          <w:color w:val="auto"/>
        </w:rPr>
      </w:pPr>
      <w:r>
        <w:rPr>
          <w:rFonts w:ascii="Arial" w:cs="Arial" w:eastAsia="Arial" w:hAnsi="Arial"/>
          <w:sz w:val="18"/>
          <w:szCs w:val="18"/>
          <w:color w:val="auto"/>
        </w:rPr>
        <w:t>The Company’s significant accounting policies are described in Note 2, “Summary of Significant Accounting Policies,” in the Company’s audited financial statements for the year ended December 31, 2017.</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Newly adopted accounting pronouncements</w:t>
      </w:r>
    </w:p>
    <w:p>
      <w:pPr>
        <w:spacing w:after="0" w:line="124"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March 2016, the FASB issued ASU No. 2016-09, Improvements to Employee Share-Based Payment Accounting, or ASU No. 2016-09, which simplifies several aspects of the accounting for share-based payment transactions, including the income tax consequences, classification of awards as either equity or liabilities and classification of cash flows. In 2018, the Company adopted ASU 2016-09 and elected to account prospectively for forfeitures as they occur rather than apply an estimated forfeiture rate to stock-based compensation expense. The adoption of ASU 2016-09 had no impact on the Company’s financial position, results of operations or cash flows.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Newly issued accounting pronouncements</w:t>
      </w:r>
    </w:p>
    <w:p>
      <w:pPr>
        <w:spacing w:after="0" w:line="124" w:lineRule="exact"/>
        <w:rPr>
          <w:sz w:val="20"/>
          <w:szCs w:val="20"/>
          <w:color w:val="auto"/>
        </w:rPr>
      </w:pPr>
    </w:p>
    <w:p>
      <w:pPr>
        <w:ind w:left="200" w:right="60"/>
        <w:spacing w:after="0" w:line="235" w:lineRule="auto"/>
        <w:rPr>
          <w:sz w:val="20"/>
          <w:szCs w:val="20"/>
          <w:color w:val="auto"/>
        </w:rPr>
      </w:pPr>
      <w:r>
        <w:rPr>
          <w:rFonts w:ascii="Arial" w:cs="Arial" w:eastAsia="Arial" w:hAnsi="Arial"/>
          <w:sz w:val="18"/>
          <w:szCs w:val="18"/>
          <w:color w:val="auto"/>
        </w:rPr>
        <w:t>In May 2014, the Financial Accounting Standards Board, or FASB, issued Accounting Standard Update, or ASU No. 2014-9, Revenue from Contracts with Customers,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ASU 2014-09 is effective for private companies for annual reporting periods beginning after December 15, 2018 and should be applied retrospectively to each prior reporting period presented or retrospectively with the cumulative effect of initially applying this update recognized at the date of initial application. The Company is currently evaluating the impact of the adoption of this standard on its financial statements.</w:t>
      </w:r>
    </w:p>
    <w:p>
      <w:pPr>
        <w:spacing w:after="0" w:line="107"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In February 2016, the FASB issued ASU 2016-02, Leases. This standard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12 months regardless of their classification. Leases with a term of 12 months or less will be accounted for similar to existing guidance for operating leases today. ASU 2016-02 is effective for private companies for annual reporting periods beginning after December 15, 2019. The Company is currently evaluating the impact of the adoption of this standard on its financial statements.</w:t>
      </w:r>
    </w:p>
    <w:p>
      <w:pPr>
        <w:spacing w:after="0" w:line="1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F-99</w:t>
      </w:r>
    </w:p>
    <w:p>
      <w:pPr>
        <w:sectPr>
          <w:pgSz w:w="11900" w:h="16838" w:orient="portrait"/>
          <w:cols w:equalWidth="0" w:num="1">
            <w:col w:w="11220"/>
          </w:cols>
          <w:pgMar w:left="240" w:top="459" w:right="43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In November 2016, FASB issued ASU No. 2016-18, Statement of Cash Flows, Restricted Cash, or ASU No. 2016-18, which provides guidance on the presentation of restricted cash and restricted cash equivalents in the statement of cash flows. Under ASU No. 2016-18, the statement of cash flows shall explain the change during the period in the total of cash, cash equivalents, and amounts generally described as restricted cash or restricted cash equivalents. Amounts generally described as restricted cash and cash equivalents should now be included with cash and cash equivalents when reconciling the beginning-of-period and end-of-period amounts shown on the statements of cash flows. This ASU is effective for private companies for reporting periods beginning after December 15, 2018, with early adoption permitted. Other than the revised statement of cash flows presentation, the adoption of ASU No. 2016-18 will not have an impact on the Company’s financial statements.</w:t>
      </w:r>
    </w:p>
    <w:p>
      <w:pPr>
        <w:spacing w:after="0" w:line="100"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In August 2018, the FASB issued ASU 2018-13, Fair Value Measurement (Topic 820)—Disclosure Framework—Changes to the Disclosure Requirements for Fair Value Measurement. ASU 2018-13 removes the disclosure requirement for the amount and reasons for transfers between Level 1 and Level 2 fair value measurements as well as the process for Level 3 fair value measurements. In addition, the ASU adds the disclosure requirements for changes in unrealized gains and losses included in Other comprehensive income (loss) for recurring Level 3 fair value measurements held at the end of the reporting period as well as the range and weighted average of significant unobservable inputs used to develop Level 3 fair value measurements. The ASU is effective for fiscal years beginning after December 15, 2019, and interim periods within those fiscal years and will be applied on a retrospective basis to all periods presented. Early adoption is permitted. The Company is currently evaluating the impact this standard will have on its financial statements and related disclosures.</w:t>
      </w:r>
    </w:p>
    <w:p>
      <w:pPr>
        <w:spacing w:after="0" w:line="100"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In November 2018, the FASB issued ASU 2018-18, Collaboration Arrangements (Topic 808): Clarifying the Interaction between Topic 808 and Topic 606 to clarify the interaction between the accounting guidance for collaborative arrangements and revenue from contracts with customers. The amendments become effective for the Company’s fiscal year, including interim periods, beginning January 1, 2021. Early adoption, including adoption in any interim period, is permitted. This guidance is required to be applied retrospectively as of the date of the Company’s adoption of the new revenue standard on January 1, 2019. The Company is currently evaluating the timing of the Company’s adoption and the expected impact this guidance could have on its financial statements and related disclosures.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3. Property and equipment</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Property and equipment consist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680" w:type="dxa"/>
            <w:vAlign w:val="bottom"/>
            <w:gridSpan w:val="3"/>
          </w:tcPr>
          <w:p>
            <w:pPr>
              <w:ind w:left="28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gridSpan w:val="3"/>
          </w:tcPr>
          <w:p>
            <w:pPr>
              <w:ind w:left="14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20" w:type="dxa"/>
            <w:vAlign w:val="bottom"/>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3720" w:type="dxa"/>
            <w:vAlign w:val="bottom"/>
            <w:tcBorders>
              <w:bottom w:val="single" w:sz="8" w:color="auto"/>
            </w:tcBorders>
          </w:tcPr>
          <w:p>
            <w:pPr>
              <w:jc w:val="center"/>
              <w:ind w:left="512"/>
              <w:spacing w:after="0"/>
              <w:rPr>
                <w:sz w:val="20"/>
                <w:szCs w:val="20"/>
                <w:color w:val="auto"/>
              </w:rPr>
            </w:pPr>
            <w:r>
              <w:rPr>
                <w:rFonts w:ascii="Arial" w:cs="Arial" w:eastAsia="Arial" w:hAnsi="Arial"/>
                <w:sz w:val="18"/>
                <w:szCs w:val="18"/>
                <w:b w:val="1"/>
                <w:bCs w:val="1"/>
                <w:color w:val="auto"/>
                <w:w w:val="97"/>
              </w:rPr>
              <w:t>Useful life</w:t>
            </w: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Lab equipment</w:t>
            </w:r>
          </w:p>
        </w:tc>
        <w:tc>
          <w:tcPr>
            <w:tcW w:w="3720" w:type="dxa"/>
            <w:vAlign w:val="bottom"/>
            <w:shd w:val="clear" w:color="auto" w:fill="CCEEFF"/>
          </w:tcPr>
          <w:p>
            <w:pPr>
              <w:jc w:val="center"/>
              <w:ind w:left="512"/>
              <w:spacing w:after="0" w:line="196" w:lineRule="exact"/>
              <w:rPr>
                <w:sz w:val="20"/>
                <w:szCs w:val="20"/>
                <w:color w:val="auto"/>
              </w:rPr>
            </w:pPr>
            <w:r>
              <w:rPr>
                <w:rFonts w:ascii="Arial" w:cs="Arial" w:eastAsia="Arial" w:hAnsi="Arial"/>
                <w:sz w:val="18"/>
                <w:szCs w:val="18"/>
                <w:color w:val="auto"/>
                <w:w w:val="94"/>
              </w:rPr>
              <w:t>5 years</w:t>
            </w:r>
          </w:p>
        </w:tc>
        <w:tc>
          <w:tcPr>
            <w:tcW w:w="460" w:type="dxa"/>
            <w:vAlign w:val="bottom"/>
            <w:gridSpan w:val="2"/>
            <w:shd w:val="clear" w:color="auto" w:fill="CCEEFF"/>
          </w:tcPr>
          <w:p>
            <w:pPr>
              <w:ind w:left="280"/>
              <w:spacing w:after="0" w:line="196"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9,131,787</w:t>
            </w:r>
          </w:p>
        </w:tc>
        <w:tc>
          <w:tcPr>
            <w:tcW w:w="2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8,971,721</w:t>
            </w:r>
          </w:p>
        </w:tc>
        <w:tc>
          <w:tcPr>
            <w:tcW w:w="120" w:type="dxa"/>
            <w:vAlign w:val="bottom"/>
            <w:shd w:val="clear" w:color="auto" w:fill="CCEEFF"/>
          </w:tcPr>
          <w:p>
            <w:pPr>
              <w:spacing w:after="0"/>
              <w:rPr>
                <w:sz w:val="17"/>
                <w:szCs w:val="17"/>
                <w:color w:val="auto"/>
              </w:rPr>
            </w:pPr>
          </w:p>
        </w:tc>
      </w:tr>
      <w:tr>
        <w:trPr>
          <w:trHeight w:val="203"/>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Computer equipment and software</w:t>
            </w:r>
          </w:p>
        </w:tc>
        <w:tc>
          <w:tcPr>
            <w:tcW w:w="3720" w:type="dxa"/>
            <w:vAlign w:val="bottom"/>
          </w:tcPr>
          <w:p>
            <w:pPr>
              <w:jc w:val="center"/>
              <w:ind w:left="512"/>
              <w:spacing w:after="0" w:line="202" w:lineRule="exact"/>
              <w:rPr>
                <w:sz w:val="20"/>
                <w:szCs w:val="20"/>
                <w:color w:val="auto"/>
              </w:rPr>
            </w:pPr>
            <w:r>
              <w:rPr>
                <w:rFonts w:ascii="Arial" w:cs="Arial" w:eastAsia="Arial" w:hAnsi="Arial"/>
                <w:sz w:val="18"/>
                <w:szCs w:val="18"/>
                <w:color w:val="auto"/>
                <w:w w:val="94"/>
              </w:rPr>
              <w:t>3 years</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762,334</w:t>
            </w:r>
          </w:p>
        </w:tc>
        <w:tc>
          <w:tcPr>
            <w:tcW w:w="28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738,132</w:t>
            </w:r>
          </w:p>
        </w:tc>
        <w:tc>
          <w:tcPr>
            <w:tcW w:w="1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Office furniture</w:t>
            </w:r>
          </w:p>
        </w:tc>
        <w:tc>
          <w:tcPr>
            <w:tcW w:w="3720" w:type="dxa"/>
            <w:vAlign w:val="bottom"/>
            <w:shd w:val="clear" w:color="auto" w:fill="CCEEFF"/>
          </w:tcPr>
          <w:p>
            <w:pPr>
              <w:jc w:val="center"/>
              <w:ind w:left="512"/>
              <w:spacing w:after="0" w:line="202" w:lineRule="exact"/>
              <w:rPr>
                <w:sz w:val="20"/>
                <w:szCs w:val="20"/>
                <w:color w:val="auto"/>
              </w:rPr>
            </w:pPr>
            <w:r>
              <w:rPr>
                <w:rFonts w:ascii="Arial" w:cs="Arial" w:eastAsia="Arial" w:hAnsi="Arial"/>
                <w:sz w:val="18"/>
                <w:szCs w:val="18"/>
                <w:color w:val="auto"/>
                <w:w w:val="94"/>
              </w:rPr>
              <w:t>5 years</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129,460</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129,460</w:t>
            </w:r>
          </w:p>
        </w:tc>
        <w:tc>
          <w:tcPr>
            <w:tcW w:w="120" w:type="dxa"/>
            <w:vAlign w:val="bottom"/>
            <w:shd w:val="clear" w:color="auto" w:fill="CCEEFF"/>
          </w:tcPr>
          <w:p>
            <w:pPr>
              <w:spacing w:after="0"/>
              <w:rPr>
                <w:sz w:val="17"/>
                <w:szCs w:val="17"/>
                <w:color w:val="auto"/>
              </w:rPr>
            </w:pPr>
          </w:p>
        </w:tc>
      </w:tr>
      <w:tr>
        <w:trPr>
          <w:trHeight w:val="210"/>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Leasehold improvements</w:t>
            </w:r>
          </w:p>
        </w:tc>
        <w:tc>
          <w:tcPr>
            <w:tcW w:w="3720" w:type="dxa"/>
            <w:vAlign w:val="bottom"/>
          </w:tcPr>
          <w:p>
            <w:pPr>
              <w:jc w:val="center"/>
              <w:ind w:left="512"/>
              <w:spacing w:after="0" w:line="202" w:lineRule="exact"/>
              <w:rPr>
                <w:sz w:val="20"/>
                <w:szCs w:val="20"/>
                <w:color w:val="auto"/>
              </w:rPr>
            </w:pPr>
            <w:r>
              <w:rPr>
                <w:rFonts w:ascii="Arial" w:cs="Arial" w:eastAsia="Arial" w:hAnsi="Arial"/>
                <w:sz w:val="18"/>
                <w:szCs w:val="18"/>
                <w:color w:val="auto"/>
                <w:w w:val="98"/>
              </w:rPr>
              <w:t>Lesser of useful life or lease term</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12"/>
              <w:spacing w:after="0" w:line="202" w:lineRule="exact"/>
              <w:rPr>
                <w:sz w:val="20"/>
                <w:szCs w:val="20"/>
                <w:color w:val="auto"/>
              </w:rPr>
            </w:pPr>
            <w:r>
              <w:rPr>
                <w:rFonts w:ascii="Arial" w:cs="Arial" w:eastAsia="Arial" w:hAnsi="Arial"/>
                <w:sz w:val="18"/>
                <w:szCs w:val="18"/>
                <w:color w:val="auto"/>
              </w:rPr>
              <w:t>4,827,801</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4,827,801</w:t>
            </w:r>
          </w:p>
        </w:tc>
        <w:tc>
          <w:tcPr>
            <w:tcW w:w="12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property and equipment, at cost</w:t>
            </w:r>
          </w:p>
        </w:tc>
        <w:tc>
          <w:tcPr>
            <w:tcW w:w="3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14,851,382</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14,667,114</w:t>
            </w:r>
          </w:p>
        </w:tc>
        <w:tc>
          <w:tcPr>
            <w:tcW w:w="120" w:type="dxa"/>
            <w:vAlign w:val="bottom"/>
            <w:shd w:val="clear" w:color="auto" w:fill="CCEEFF"/>
          </w:tcPr>
          <w:p>
            <w:pPr>
              <w:spacing w:after="0"/>
              <w:rPr>
                <w:sz w:val="17"/>
                <w:szCs w:val="17"/>
                <w:color w:val="auto"/>
              </w:rPr>
            </w:pPr>
          </w:p>
        </w:tc>
      </w:tr>
      <w:tr>
        <w:trPr>
          <w:trHeight w:val="210"/>
        </w:trPr>
        <w:tc>
          <w:tcPr>
            <w:tcW w:w="4240" w:type="dxa"/>
            <w:vAlign w:val="bottom"/>
            <w:gridSpan w:val="2"/>
          </w:tcPr>
          <w:p>
            <w:pPr>
              <w:spacing w:after="0" w:line="202" w:lineRule="exact"/>
              <w:rPr>
                <w:sz w:val="20"/>
                <w:szCs w:val="20"/>
                <w:color w:val="auto"/>
              </w:rPr>
            </w:pPr>
            <w:r>
              <w:rPr>
                <w:rFonts w:ascii="Arial" w:cs="Arial" w:eastAsia="Arial" w:hAnsi="Arial"/>
                <w:sz w:val="18"/>
                <w:szCs w:val="18"/>
                <w:color w:val="auto"/>
              </w:rPr>
              <w:t>Accumulated depreciation and amortization</w:t>
            </w:r>
          </w:p>
        </w:tc>
        <w:tc>
          <w:tcPr>
            <w:tcW w:w="3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(12,083,215)</w:t>
            </w:r>
          </w:p>
        </w:tc>
        <w:tc>
          <w:tcPr>
            <w:tcW w:w="280" w:type="dxa"/>
            <w:vAlign w:val="bottom"/>
          </w:tcPr>
          <w:p>
            <w:pPr>
              <w:spacing w:after="0"/>
              <w:rPr>
                <w:sz w:val="18"/>
                <w:szCs w:val="18"/>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(10,658,533)</w:t>
            </w:r>
          </w:p>
        </w:tc>
      </w:tr>
      <w:tr>
        <w:trPr>
          <w:trHeight w:val="203"/>
        </w:trPr>
        <w:tc>
          <w:tcPr>
            <w:tcW w:w="20" w:type="dxa"/>
            <w:vAlign w:val="bottom"/>
          </w:tcPr>
          <w:p>
            <w:pPr>
              <w:spacing w:after="0"/>
              <w:rPr>
                <w:sz w:val="17"/>
                <w:szCs w:val="17"/>
                <w:color w:val="auto"/>
              </w:rPr>
            </w:pPr>
          </w:p>
        </w:tc>
        <w:tc>
          <w:tcPr>
            <w:tcW w:w="42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3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2,768,167</w:t>
            </w:r>
          </w:p>
        </w:tc>
        <w:tc>
          <w:tcPr>
            <w:tcW w:w="280" w:type="dxa"/>
            <w:vAlign w:val="bottom"/>
            <w:tcBorders>
              <w:top w:val="single" w:sz="8" w:color="auto"/>
            </w:tcBorders>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4,008,581</w:t>
            </w:r>
          </w:p>
        </w:tc>
        <w:tc>
          <w:tcPr>
            <w:tcW w:w="12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Borders>
              <w:bottom w:val="single" w:sz="8" w:color="auto"/>
            </w:tcBorders>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0"/>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720" w:type="dxa"/>
            <w:vAlign w:val="bottom"/>
          </w:tcPr>
          <w:p>
            <w:pPr>
              <w:ind w:left="1040"/>
              <w:spacing w:after="0"/>
              <w:rPr>
                <w:sz w:val="20"/>
                <w:szCs w:val="20"/>
                <w:color w:val="auto"/>
              </w:rPr>
            </w:pPr>
            <w:r>
              <w:rPr>
                <w:rFonts w:ascii="Arial" w:cs="Arial" w:eastAsia="Arial" w:hAnsi="Arial"/>
                <w:sz w:val="18"/>
                <w:szCs w:val="18"/>
                <w:color w:val="auto"/>
              </w:rPr>
              <w:t>F-100</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4. Collaborations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Roche collaboration</w:t>
      </w:r>
    </w:p>
    <w:p>
      <w:pPr>
        <w:spacing w:after="0" w:line="124"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In October 2017, the Company and F. Hoffman-La Roche Limited and Hoffman-La Roche Inc. (“Roche”) entered into a collaboration agreement (“Roche Collaboration Agreement”) utilizing the Company’s proprietary genome mining platform to discover and develop multiple novel classes of antibiotics.</w:t>
      </w:r>
    </w:p>
    <w:p>
      <w:pPr>
        <w:spacing w:after="0" w:line="100" w:lineRule="exact"/>
        <w:rPr>
          <w:sz w:val="20"/>
          <w:szCs w:val="20"/>
          <w:color w:val="auto"/>
        </w:rPr>
      </w:pPr>
    </w:p>
    <w:p>
      <w:pPr>
        <w:ind w:left="200" w:right="160"/>
        <w:spacing w:after="0" w:line="238" w:lineRule="auto"/>
        <w:rPr>
          <w:sz w:val="20"/>
          <w:szCs w:val="20"/>
          <w:color w:val="auto"/>
        </w:rPr>
      </w:pPr>
      <w:r>
        <w:rPr>
          <w:rFonts w:ascii="Arial" w:cs="Arial" w:eastAsia="Arial" w:hAnsi="Arial"/>
          <w:sz w:val="18"/>
          <w:szCs w:val="18"/>
          <w:color w:val="auto"/>
        </w:rPr>
        <w:t>Under the Roche Collaboration Agreement, the Company is focused on antibiotics with activity against clinically important, drug-resistant, Gram-negative pathogens. The Company’s platform enables access to natural product drugs that have not been analyzed previously, due to historical technology limitations.</w:t>
      </w:r>
    </w:p>
    <w:p>
      <w:pPr>
        <w:spacing w:after="0" w:line="100"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Company is solely responsible for the conduct of research and development activities for each antibiotic program through selection of a drug development candidate. Roche may or may not exercise options for antibiotic programs at the drug development candidate stage. Roche has no obligations to develop or commercialize under the Roche Collaboration Agreement, until such time, if any, that Roche exercises an option for a drug development candidate.</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Roche paid the Company a $23 million nonrefundable, up-front fee in October 2017.</w:t>
      </w:r>
    </w:p>
    <w:p>
      <w:pPr>
        <w:spacing w:after="0" w:line="104"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The Company estimates that the sum of the nonrefundable up-front fee already paid, potential option fees and potential milestone payments for preclinical events could total $87 million.</w:t>
      </w:r>
    </w:p>
    <w:p>
      <w:pPr>
        <w:spacing w:after="0" w:line="101" w:lineRule="exact"/>
        <w:rPr>
          <w:sz w:val="20"/>
          <w:szCs w:val="20"/>
          <w:color w:val="auto"/>
        </w:rPr>
      </w:pPr>
    </w:p>
    <w:p>
      <w:pPr>
        <w:ind w:left="200" w:right="740"/>
        <w:spacing w:after="0" w:line="239" w:lineRule="auto"/>
        <w:rPr>
          <w:sz w:val="20"/>
          <w:szCs w:val="20"/>
          <w:color w:val="auto"/>
        </w:rPr>
      </w:pPr>
      <w:r>
        <w:rPr>
          <w:rFonts w:ascii="Arial" w:cs="Arial" w:eastAsia="Arial" w:hAnsi="Arial"/>
          <w:sz w:val="18"/>
          <w:szCs w:val="18"/>
          <w:color w:val="auto"/>
        </w:rPr>
        <w:t>The Company estimates that the total potential clinical, regulatory and sales milestones on products licensed to Roche could total an additional $300 million.</w:t>
      </w:r>
    </w:p>
    <w:p>
      <w:pPr>
        <w:spacing w:after="0" w:line="101" w:lineRule="exact"/>
        <w:rPr>
          <w:sz w:val="20"/>
          <w:szCs w:val="20"/>
          <w:color w:val="auto"/>
        </w:rPr>
      </w:pPr>
    </w:p>
    <w:p>
      <w:pPr>
        <w:ind w:left="200" w:right="100"/>
        <w:spacing w:after="0" w:line="238" w:lineRule="auto"/>
        <w:rPr>
          <w:sz w:val="20"/>
          <w:szCs w:val="20"/>
          <w:color w:val="auto"/>
        </w:rPr>
      </w:pPr>
      <w:r>
        <w:rPr>
          <w:rFonts w:ascii="Arial" w:cs="Arial" w:eastAsia="Arial" w:hAnsi="Arial"/>
          <w:sz w:val="18"/>
          <w:szCs w:val="18"/>
          <w:color w:val="auto"/>
        </w:rPr>
        <w:t>The research term will be in effect for a period of time beginning in October 2017 through the later of October 2022 or 24 months after the Company achieves certain research milestones for the last eligible antibiotic programs. The Company is currently estimating a research term of five years for the Roche Collaboration Agreement.</w:t>
      </w:r>
    </w:p>
    <w:p>
      <w:pPr>
        <w:spacing w:after="0" w:line="100"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The Roche Collaboration Agreement automatically terminates if Roche does not exercise an option on a development candidate by October 2022. Roche may voluntarily terminate the Roche Collaboration Agreement in its entirety or on a program by program basis upon 90 days’ written notice.</w:t>
      </w:r>
    </w:p>
    <w:p>
      <w:pPr>
        <w:spacing w:after="0" w:line="100" w:lineRule="exact"/>
        <w:rPr>
          <w:sz w:val="20"/>
          <w:szCs w:val="20"/>
          <w:color w:val="auto"/>
        </w:rPr>
      </w:pPr>
    </w:p>
    <w:p>
      <w:pPr>
        <w:ind w:left="200" w:right="400"/>
        <w:spacing w:after="0" w:line="239" w:lineRule="auto"/>
        <w:rPr>
          <w:sz w:val="20"/>
          <w:szCs w:val="20"/>
          <w:color w:val="auto"/>
        </w:rPr>
      </w:pPr>
      <w:r>
        <w:rPr>
          <w:rFonts w:ascii="Arial" w:cs="Arial" w:eastAsia="Arial" w:hAnsi="Arial"/>
          <w:sz w:val="18"/>
          <w:szCs w:val="18"/>
          <w:color w:val="auto"/>
        </w:rPr>
        <w:t>The Company is eligible to receive tiered royalties for antibiotic programs for which Roche exercises its options up to low double digits on future net sales.</w:t>
      </w:r>
    </w:p>
    <w:p>
      <w:pPr>
        <w:spacing w:after="0" w:line="101" w:lineRule="exact"/>
        <w:rPr>
          <w:sz w:val="20"/>
          <w:szCs w:val="20"/>
          <w:color w:val="auto"/>
        </w:rPr>
      </w:pPr>
    </w:p>
    <w:p>
      <w:pPr>
        <w:ind w:left="200" w:right="220"/>
        <w:spacing w:after="0" w:line="239" w:lineRule="auto"/>
        <w:rPr>
          <w:sz w:val="20"/>
          <w:szCs w:val="20"/>
          <w:color w:val="auto"/>
        </w:rPr>
      </w:pPr>
      <w:r>
        <w:rPr>
          <w:rFonts w:ascii="Arial" w:cs="Arial" w:eastAsia="Arial" w:hAnsi="Arial"/>
          <w:sz w:val="18"/>
          <w:szCs w:val="18"/>
          <w:color w:val="auto"/>
        </w:rPr>
        <w:t>As there is no discernable patter of performance, the revenue is recognized on a straight-line basis over the research term, assumed to last five years.</w:t>
      </w:r>
    </w:p>
    <w:p>
      <w:pPr>
        <w:spacing w:after="0" w:line="101" w:lineRule="exact"/>
        <w:rPr>
          <w:sz w:val="20"/>
          <w:szCs w:val="20"/>
          <w:color w:val="auto"/>
        </w:rPr>
      </w:pPr>
    </w:p>
    <w:p>
      <w:pPr>
        <w:jc w:val="both"/>
        <w:ind w:left="200" w:right="80"/>
        <w:spacing w:after="0" w:line="238" w:lineRule="auto"/>
        <w:rPr>
          <w:sz w:val="20"/>
          <w:szCs w:val="20"/>
          <w:color w:val="auto"/>
        </w:rPr>
      </w:pPr>
      <w:r>
        <w:rPr>
          <w:rFonts w:ascii="Arial" w:cs="Arial" w:eastAsia="Arial" w:hAnsi="Arial"/>
          <w:sz w:val="18"/>
          <w:szCs w:val="18"/>
          <w:color w:val="auto"/>
        </w:rPr>
        <w:t>The Company recognized approximately $3.5 million in collaboration revenue related solely to the up-front fee during the nine months ended September 30, 2018. The Company recorded total deferred revenue of approximately $18.4 million ($4.6 million in current portion of deferred revenue and $13.8 million in deferred revenue less current portion) as of September 30, 2018.</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Sanofi collaboration</w:t>
      </w:r>
    </w:p>
    <w:p>
      <w:pPr>
        <w:spacing w:after="0" w:line="124" w:lineRule="exact"/>
        <w:rPr>
          <w:sz w:val="20"/>
          <w:szCs w:val="20"/>
          <w:color w:val="auto"/>
        </w:rPr>
      </w:pPr>
    </w:p>
    <w:p>
      <w:pPr>
        <w:ind w:left="200" w:right="20"/>
        <w:spacing w:after="0" w:line="237" w:lineRule="auto"/>
        <w:rPr>
          <w:sz w:val="20"/>
          <w:szCs w:val="20"/>
          <w:color w:val="auto"/>
        </w:rPr>
      </w:pPr>
      <w:r>
        <w:rPr>
          <w:rFonts w:ascii="Arial" w:cs="Arial" w:eastAsia="Arial" w:hAnsi="Arial"/>
          <w:sz w:val="18"/>
          <w:szCs w:val="18"/>
          <w:color w:val="auto"/>
        </w:rPr>
        <w:t>In January 2016, the Company and Sanofi entered into a collaboration and license agreement (Sanofi Collaboration Agreement) utilizing the Company’s proprietary SMART</w:t>
      </w:r>
      <w:r>
        <w:rPr>
          <w:rFonts w:ascii="Arial" w:cs="Arial" w:eastAsia="Arial" w:hAnsi="Arial"/>
          <w:sz w:val="11"/>
          <w:szCs w:val="11"/>
          <w:color w:val="auto"/>
        </w:rPr>
        <w:t>™</w:t>
      </w:r>
      <w:r>
        <w:rPr>
          <w:rFonts w:ascii="Arial" w:cs="Arial" w:eastAsia="Arial" w:hAnsi="Arial"/>
          <w:sz w:val="18"/>
          <w:szCs w:val="18"/>
          <w:color w:val="auto"/>
        </w:rPr>
        <w:t xml:space="preserve"> and genome mining platforms to discover novel oncology therapeutics and antibiotics. The Sanofi Collaboration Agreement focused on the development of drugs targeting important human oncogenes and new antibiotics. The Company was solely responsible for the conduct of research and development activities for each collaboration program until the</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F-101</w:t>
      </w:r>
    </w:p>
    <w:p>
      <w:pPr>
        <w:sectPr>
          <w:pgSz w:w="11900" w:h="16838" w:orient="portrait"/>
          <w:cols w:equalWidth="0" w:num="1">
            <w:col w:w="11220"/>
          </w:cols>
          <w:pgMar w:left="240" w:top="459" w:right="43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200" w:right="100"/>
        <w:spacing w:after="0" w:line="281" w:lineRule="auto"/>
        <w:rPr>
          <w:sz w:val="20"/>
          <w:szCs w:val="20"/>
          <w:color w:val="auto"/>
        </w:rPr>
      </w:pPr>
      <w:r>
        <w:rPr>
          <w:rFonts w:ascii="Arial" w:cs="Arial" w:eastAsia="Arial" w:hAnsi="Arial"/>
          <w:sz w:val="16"/>
          <w:szCs w:val="16"/>
          <w:color w:val="auto"/>
        </w:rPr>
        <w:t>applicable transition stage (i.e., the specified point in time at which the research and development efforts are transitioned from the Company to Sanofi) for the respective collaboration program, unless otherwise agreed to by the parties in writing. Sanofi had no obligations to develop or commercialize under any collaboration program, until such time, if any, that the applicable transition has occurred.</w:t>
      </w:r>
    </w:p>
    <w:p>
      <w:pPr>
        <w:spacing w:after="0" w:line="70" w:lineRule="exact"/>
        <w:rPr>
          <w:sz w:val="20"/>
          <w:szCs w:val="20"/>
          <w:color w:val="auto"/>
        </w:rPr>
      </w:pPr>
    </w:p>
    <w:p>
      <w:pPr>
        <w:jc w:val="both"/>
        <w:ind w:left="200" w:right="240"/>
        <w:spacing w:after="0" w:line="299" w:lineRule="auto"/>
        <w:rPr>
          <w:sz w:val="20"/>
          <w:szCs w:val="20"/>
          <w:color w:val="auto"/>
        </w:rPr>
      </w:pPr>
      <w:r>
        <w:rPr>
          <w:rFonts w:ascii="Arial" w:cs="Arial" w:eastAsia="Arial" w:hAnsi="Arial"/>
          <w:sz w:val="16"/>
          <w:szCs w:val="16"/>
          <w:color w:val="auto"/>
        </w:rPr>
        <w:t>Under the terms of the Sanofi Collaboration Agreement, the Company would lead the research collaboration for a period of five years, and Sanofi would receive worldwide exclusive licenses to develop and commercialize product candidates discovered during the research term.</w:t>
      </w:r>
    </w:p>
    <w:p>
      <w:pPr>
        <w:spacing w:after="0" w:line="55"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The Company and Sanofi initially focused on three defined oncology programs targeting different mutants and states of the oncogenic protein Ras. For the antibiotic program, the Company led initial discovery efforts, and Sanofi would lead any subsequent discovery and development activities. The Company reached the transition stage for the antibiotic program during the year ended December 31, 2016. The estimated research term for the antibiotic program was one year.</w:t>
      </w:r>
    </w:p>
    <w:p>
      <w:pPr>
        <w:spacing w:after="0" w:line="101" w:lineRule="exact"/>
        <w:rPr>
          <w:sz w:val="20"/>
          <w:szCs w:val="20"/>
          <w:color w:val="auto"/>
        </w:rPr>
      </w:pPr>
    </w:p>
    <w:p>
      <w:pPr>
        <w:jc w:val="both"/>
        <w:ind w:left="200" w:right="60"/>
        <w:spacing w:after="0" w:line="238" w:lineRule="auto"/>
        <w:rPr>
          <w:sz w:val="20"/>
          <w:szCs w:val="20"/>
          <w:color w:val="auto"/>
        </w:rPr>
      </w:pPr>
      <w:r>
        <w:rPr>
          <w:rFonts w:ascii="Arial" w:cs="Arial" w:eastAsia="Arial" w:hAnsi="Arial"/>
          <w:sz w:val="18"/>
          <w:szCs w:val="18"/>
          <w:color w:val="auto"/>
        </w:rPr>
        <w:t>In July 2017, Sanofi provided 90 days’ written notice to terminate the antibiotic portion of the Sanofi Collaboration Agreement, which officially terminated in October 2017. In November 2017, Sanofi provided 90 days’ written notice to terminate all oncology programs or the remaining portion of the research activities under the Sanofi Collaboration Agreement, which officially terminated in February 2018.</w:t>
      </w:r>
    </w:p>
    <w:p>
      <w:pPr>
        <w:spacing w:after="0" w:line="100" w:lineRule="exact"/>
        <w:rPr>
          <w:sz w:val="20"/>
          <w:szCs w:val="20"/>
          <w:color w:val="auto"/>
        </w:rPr>
      </w:pPr>
    </w:p>
    <w:p>
      <w:pPr>
        <w:ind w:left="200" w:right="80"/>
        <w:spacing w:after="0" w:line="237" w:lineRule="auto"/>
        <w:rPr>
          <w:sz w:val="20"/>
          <w:szCs w:val="20"/>
          <w:color w:val="auto"/>
        </w:rPr>
      </w:pPr>
      <w:r>
        <w:rPr>
          <w:rFonts w:ascii="Arial" w:cs="Arial" w:eastAsia="Arial" w:hAnsi="Arial"/>
          <w:sz w:val="18"/>
          <w:szCs w:val="18"/>
          <w:color w:val="auto"/>
        </w:rPr>
        <w:t>From the start of the Sanofi Collaboration Agreement through December 31, 2017, the Company received $15.8 million in milestone payments from Sanofi. In June 2018, a milestone payment of $6.0 million, which was achieved in December 2017, was cancelled and forgiven in full per the terms of the convertible notes payable amendment (see Note 5). This milestone payment was not previously recorded for accounting purposes due to collectability not being reasonably assured.</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Company did not receive any milestone payments from Sanofi during the nine months ended September 30, 2018.</w:t>
      </w:r>
    </w:p>
    <w:p>
      <w:pPr>
        <w:spacing w:after="0" w:line="104"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auto"/>
        </w:rPr>
        <w:t>The Company recognized approximately $0.9 million of revenue related to the Sanofi Collaboration Agreement during the nine months ended September 30, 2018. The Company had zero deferred revenue as of September 30, 2018 related to the Sanofi Collaboration Agreement and no additional revenue will be recognized as the Company has fulfilled its obligations to Sanofi up through the termination date which occurred in February 2018.</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5. Convertible notes payable, related party</w:t>
      </w:r>
    </w:p>
    <w:p>
      <w:pPr>
        <w:spacing w:after="0" w:line="134" w:lineRule="exact"/>
        <w:rPr>
          <w:sz w:val="20"/>
          <w:szCs w:val="20"/>
          <w:color w:val="auto"/>
        </w:rPr>
      </w:pPr>
    </w:p>
    <w:p>
      <w:pPr>
        <w:ind w:left="200" w:right="40"/>
        <w:spacing w:after="0" w:line="235" w:lineRule="auto"/>
        <w:rPr>
          <w:sz w:val="20"/>
          <w:szCs w:val="20"/>
          <w:color w:val="auto"/>
        </w:rPr>
      </w:pPr>
      <w:r>
        <w:rPr>
          <w:rFonts w:ascii="Arial" w:cs="Arial" w:eastAsia="Arial" w:hAnsi="Arial"/>
          <w:sz w:val="18"/>
          <w:szCs w:val="18"/>
          <w:color w:val="auto"/>
        </w:rPr>
        <w:t>Under the January 2016 convertible notes payable agreement with Sanofi, the Company could borrow up to $30.0 million to fund certain expenses. The notes payable bore interest at LIBOR plus 8.5%. Subject to certain exceptions, there were no payments due prior to maturity, and interest is paid-in-kind. The notes payable were automatically convertible into shares of common stock upon the completion of an initial public offering and convertible at the option of the investor upon a financing in which the Company sold shares of a new series of preferred stock in which the Company receives proceeds of at least $30.0 million. The conversion rate upon such conversion was 95% of the initial public offering price or 95% of the financing purchase price. If the Company was acquired, the debt would be settled at 120% of the outstanding principal balance or $36.0 million. On October 17, 2018, in conjunction with the acquisition of the Company by Revolution (“Parties”), the Parties agreed to convert the debt to 18 million shares of Series A Preferred stock or 5.4 million Revolution shares, which had a fair value of $2.06 per share.</w:t>
      </w:r>
    </w:p>
    <w:p>
      <w:pPr>
        <w:spacing w:after="0" w:line="107" w:lineRule="exact"/>
        <w:rPr>
          <w:sz w:val="20"/>
          <w:szCs w:val="20"/>
          <w:color w:val="auto"/>
        </w:rPr>
      </w:pPr>
    </w:p>
    <w:p>
      <w:pPr>
        <w:ind w:left="200" w:right="540"/>
        <w:spacing w:after="0" w:line="239" w:lineRule="auto"/>
        <w:rPr>
          <w:sz w:val="20"/>
          <w:szCs w:val="20"/>
          <w:color w:val="auto"/>
        </w:rPr>
      </w:pPr>
      <w:r>
        <w:rPr>
          <w:rFonts w:ascii="Arial" w:cs="Arial" w:eastAsia="Arial" w:hAnsi="Arial"/>
          <w:sz w:val="18"/>
          <w:szCs w:val="18"/>
          <w:color w:val="auto"/>
        </w:rPr>
        <w:t>In November 2017, Sanofi provided 90 days’ written notice to terminate all oncology programs or the remaining portion of the research activities under the Sanofi Collaboration Agreement, which officially terminated in</w:t>
      </w:r>
    </w:p>
    <w:p>
      <w:pPr>
        <w:spacing w:after="0" w:line="14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F-102</w:t>
      </w:r>
    </w:p>
    <w:p>
      <w:pPr>
        <w:sectPr>
          <w:pgSz w:w="11900" w:h="16838" w:orient="portrait"/>
          <w:cols w:equalWidth="0" w:num="1">
            <w:col w:w="11160"/>
          </w:cols>
          <w:pgMar w:left="240" w:top="460" w:right="49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60"/>
        <w:spacing w:after="0" w:line="239" w:lineRule="auto"/>
        <w:rPr>
          <w:sz w:val="20"/>
          <w:szCs w:val="20"/>
          <w:color w:val="auto"/>
        </w:rPr>
      </w:pPr>
      <w:r>
        <w:rPr>
          <w:rFonts w:ascii="Arial" w:cs="Arial" w:eastAsia="Arial" w:hAnsi="Arial"/>
          <w:sz w:val="18"/>
          <w:szCs w:val="18"/>
          <w:color w:val="auto"/>
        </w:rPr>
        <w:t>February 2018. With the termination of the Sanofi Collaboration Agreement, the maturity date of the convertible notes payable, related party became February 2020.</w:t>
      </w:r>
    </w:p>
    <w:p>
      <w:pPr>
        <w:spacing w:after="0" w:line="101"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In June 2018, the Company and Sanofi (“Parties”) agreed to amend the terms of the existing convertible notes payable. Per the terms of the amended agreement, all current and future interest due on the convertible notes payable was cancelled and forgiven in full. Additionally, the Parties agreed to exchange the existing convertible notes payable with new notes payable with an extended maturity date and certain other amended provisions immediately prior to a future closing of the Company’s first issuance and sale of preferred stock prior to December 31, 2019. As no preferred stock financing occurred prior to the merger between Revolution and the Company (see Note 13), no exchange of notes payable occurred.</w:t>
      </w:r>
    </w:p>
    <w:p>
      <w:pPr>
        <w:spacing w:after="0" w:line="102" w:lineRule="exact"/>
        <w:rPr>
          <w:sz w:val="20"/>
          <w:szCs w:val="20"/>
          <w:color w:val="auto"/>
        </w:rPr>
      </w:pPr>
    </w:p>
    <w:p>
      <w:pPr>
        <w:ind w:left="200" w:right="100"/>
        <w:spacing w:after="0" w:line="237" w:lineRule="auto"/>
        <w:rPr>
          <w:sz w:val="20"/>
          <w:szCs w:val="20"/>
          <w:color w:val="auto"/>
        </w:rPr>
      </w:pPr>
      <w:r>
        <w:rPr>
          <w:rFonts w:ascii="Arial" w:cs="Arial" w:eastAsia="Arial" w:hAnsi="Arial"/>
          <w:sz w:val="18"/>
          <w:szCs w:val="18"/>
          <w:color w:val="auto"/>
        </w:rPr>
        <w:t>The Company recognized a gain on the restructuring of debt, related party due to the cancellation of current and future interest due on the convertible notes payable of $5.1 million in the nine months ended September 30, 2018. The restructuring of debt was considered a troubled debt restructuring because of the doubt surrounding the Company’s ability to continue as a going concern and Sanofi was granting the Company a concession, namely cancelling all current and future interest due on the convertible notes payable.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6. Fair value measurements</w:t>
      </w:r>
    </w:p>
    <w:p>
      <w:pPr>
        <w:spacing w:after="0" w:line="134" w:lineRule="exact"/>
        <w:rPr>
          <w:sz w:val="20"/>
          <w:szCs w:val="20"/>
          <w:color w:val="auto"/>
        </w:rPr>
      </w:pPr>
    </w:p>
    <w:p>
      <w:pPr>
        <w:jc w:val="both"/>
        <w:ind w:left="200" w:right="300"/>
        <w:spacing w:after="0" w:line="238" w:lineRule="auto"/>
        <w:rPr>
          <w:sz w:val="20"/>
          <w:szCs w:val="20"/>
          <w:color w:val="auto"/>
        </w:rPr>
      </w:pPr>
      <w:r>
        <w:rPr>
          <w:rFonts w:ascii="Arial" w:cs="Arial" w:eastAsia="Arial" w:hAnsi="Arial"/>
          <w:sz w:val="18"/>
          <w:szCs w:val="18"/>
          <w:color w:val="auto"/>
        </w:rPr>
        <w:t>Financial Accounting Standards Board Accounting Standards Codification (ASC) 825, Financial Instruments, requires disclosure of the fair value of financial instruments. For financial instruments including cash equivalents, accounts payable and accrued expenses, the carrying amount approximates fair value due to their short-term nature.</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ASC 820, Fair Value Measurements and Disclosures (ASC 820), defines fair value and establishes a framework for measuring fair value in accordance with GAAP and expands disclosures about fair value measurements. ASC 820 codifies the definition of fair value as the price that would be received to sell an asset or paid to transfer a liability in an orderly transaction between market participants at the measurement date, clarifies the principle that fair value should be based on the assumptions market participants would use when pricing the asset or liability, and establishes a fair value hierarchy that prioritizes the information used to develop those assumptions. The valuation hierarchy is based upon the transparency of inputs to the valuation of an asset or liability as of the measurement date.</w:t>
      </w:r>
    </w:p>
    <w:p>
      <w:pPr>
        <w:spacing w:after="0" w:line="1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Fair value measurements are classified and disclosed in one of the following three categories: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 Quoted prices in active markets for identical assets or liabilities.</w:t>
      </w:r>
    </w:p>
    <w:p>
      <w:pPr>
        <w:spacing w:after="0" w:line="104" w:lineRule="exact"/>
        <w:rPr>
          <w:sz w:val="20"/>
          <w:szCs w:val="20"/>
          <w:color w:val="auto"/>
        </w:rPr>
      </w:pPr>
    </w:p>
    <w:p>
      <w:pPr>
        <w:jc w:val="both"/>
        <w:ind w:left="420" w:right="460"/>
        <w:spacing w:after="0" w:line="238" w:lineRule="auto"/>
        <w:rPr>
          <w:sz w:val="20"/>
          <w:szCs w:val="20"/>
          <w:color w:val="auto"/>
        </w:rPr>
      </w:pPr>
      <w:r>
        <w:rPr>
          <w:rFonts w:ascii="Arial" w:cs="Arial" w:eastAsia="Arial" w:hAnsi="Arial"/>
          <w:sz w:val="18"/>
          <w:szCs w:val="18"/>
          <w:color w:val="auto"/>
        </w:rPr>
        <w:t>Level 2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00" w:lineRule="exact"/>
        <w:rPr>
          <w:sz w:val="20"/>
          <w:szCs w:val="20"/>
          <w:color w:val="auto"/>
        </w:rPr>
      </w:pPr>
    </w:p>
    <w:p>
      <w:pPr>
        <w:jc w:val="center"/>
        <w:ind w:left="560" w:right="100"/>
        <w:spacing w:after="0" w:line="411" w:lineRule="auto"/>
        <w:rPr>
          <w:sz w:val="20"/>
          <w:szCs w:val="20"/>
          <w:color w:val="auto"/>
        </w:rPr>
      </w:pPr>
      <w:r>
        <w:rPr>
          <w:rFonts w:ascii="Arial" w:cs="Arial" w:eastAsia="Arial" w:hAnsi="Arial"/>
          <w:sz w:val="18"/>
          <w:szCs w:val="18"/>
          <w:color w:val="auto"/>
        </w:rPr>
        <w:t>Level 3 Unobservable inputs that are supported by little or no market activity and that are significant to the fair value of assets or liabilities. F-103</w:t>
      </w:r>
    </w:p>
    <w:p>
      <w:pPr>
        <w:sectPr>
          <w:pgSz w:w="11900" w:h="16838" w:orient="portrait"/>
          <w:cols w:equalWidth="0" w:num="1">
            <w:col w:w="11200"/>
          </w:cols>
          <w:pgMar w:left="240" w:top="459" w:right="4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380"/>
        <w:spacing w:after="0" w:line="239" w:lineRule="auto"/>
        <w:rPr>
          <w:sz w:val="20"/>
          <w:szCs w:val="20"/>
          <w:color w:val="auto"/>
        </w:rPr>
      </w:pPr>
      <w:r>
        <w:rPr>
          <w:rFonts w:ascii="Arial" w:cs="Arial" w:eastAsia="Arial" w:hAnsi="Arial"/>
          <w:sz w:val="18"/>
          <w:szCs w:val="18"/>
          <w:color w:val="auto"/>
        </w:rPr>
        <w:t>The Company measures the following financial assets at fair value on a recurring basis. The fair value of these assets was determined as follows at September 30, 2018 and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6"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ind w:right="512"/>
              <w:spacing w:after="0"/>
              <w:rPr>
                <w:sz w:val="20"/>
                <w:szCs w:val="20"/>
                <w:color w:val="auto"/>
              </w:rPr>
            </w:pPr>
            <w:r>
              <w:rPr>
                <w:rFonts w:ascii="Arial" w:cs="Arial" w:eastAsia="Arial" w:hAnsi="Arial"/>
                <w:sz w:val="18"/>
                <w:szCs w:val="18"/>
                <w:b w:val="1"/>
                <w:bCs w:val="1"/>
                <w:color w:val="auto"/>
                <w:w w:val="99"/>
              </w:rPr>
              <w:t>Other</w:t>
            </w:r>
          </w:p>
        </w:tc>
        <w:tc>
          <w:tcPr>
            <w:tcW w:w="38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Significant</w:t>
            </w: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ind w:left="160"/>
              <w:spacing w:after="0" w:line="202" w:lineRule="exact"/>
              <w:rPr>
                <w:sz w:val="20"/>
                <w:szCs w:val="20"/>
                <w:color w:val="auto"/>
              </w:rPr>
            </w:pPr>
            <w:r>
              <w:rPr>
                <w:rFonts w:ascii="Arial" w:cs="Arial" w:eastAsia="Arial" w:hAnsi="Arial"/>
                <w:sz w:val="18"/>
                <w:szCs w:val="18"/>
                <w:b w:val="1"/>
                <w:bCs w:val="1"/>
                <w:color w:val="auto"/>
              </w:rPr>
              <w:t>Balance at</w:t>
            </w:r>
          </w:p>
        </w:tc>
        <w:tc>
          <w:tcPr>
            <w:tcW w:w="1820" w:type="dxa"/>
            <w:vAlign w:val="bottom"/>
            <w:gridSpan w:val="2"/>
          </w:tcPr>
          <w:p>
            <w:pPr>
              <w:ind w:left="220"/>
              <w:spacing w:after="0" w:line="202" w:lineRule="exact"/>
              <w:rPr>
                <w:sz w:val="20"/>
                <w:szCs w:val="20"/>
                <w:color w:val="auto"/>
              </w:rPr>
            </w:pPr>
            <w:r>
              <w:rPr>
                <w:rFonts w:ascii="Arial" w:cs="Arial" w:eastAsia="Arial" w:hAnsi="Arial"/>
                <w:sz w:val="18"/>
                <w:szCs w:val="18"/>
                <w:b w:val="1"/>
                <w:bCs w:val="1"/>
                <w:color w:val="auto"/>
              </w:rPr>
              <w:t>Active markets</w:t>
            </w:r>
          </w:p>
        </w:tc>
        <w:tc>
          <w:tcPr>
            <w:tcW w:w="120" w:type="dxa"/>
            <w:vAlign w:val="bottom"/>
          </w:tcPr>
          <w:p>
            <w:pPr>
              <w:spacing w:after="0"/>
              <w:rPr>
                <w:sz w:val="17"/>
                <w:szCs w:val="17"/>
                <w:color w:val="auto"/>
              </w:rPr>
            </w:pPr>
          </w:p>
        </w:tc>
        <w:tc>
          <w:tcPr>
            <w:tcW w:w="1500" w:type="dxa"/>
            <w:vAlign w:val="bottom"/>
            <w:gridSpan w:val="2"/>
          </w:tcPr>
          <w:p>
            <w:pPr>
              <w:jc w:val="right"/>
              <w:ind w:right="292"/>
              <w:spacing w:after="0" w:line="202" w:lineRule="exact"/>
              <w:rPr>
                <w:sz w:val="20"/>
                <w:szCs w:val="20"/>
                <w:color w:val="auto"/>
              </w:rPr>
            </w:pPr>
            <w:r>
              <w:rPr>
                <w:rFonts w:ascii="Arial" w:cs="Arial" w:eastAsia="Arial" w:hAnsi="Arial"/>
                <w:sz w:val="18"/>
                <w:szCs w:val="18"/>
                <w:b w:val="1"/>
                <w:bCs w:val="1"/>
                <w:color w:val="auto"/>
              </w:rPr>
              <w:t>observable</w:t>
            </w:r>
          </w:p>
        </w:tc>
        <w:tc>
          <w:tcPr>
            <w:tcW w:w="1480" w:type="dxa"/>
            <w:vAlign w:val="bottom"/>
            <w:gridSpan w:val="3"/>
          </w:tcPr>
          <w:p>
            <w:pPr>
              <w:ind w:left="26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900" w:type="dxa"/>
            <w:vAlign w:val="bottom"/>
            <w:gridSpan w:val="4"/>
          </w:tcPr>
          <w:p>
            <w:pPr>
              <w:ind w:left="260"/>
              <w:spacing w:after="0" w:line="202" w:lineRule="exact"/>
              <w:rPr>
                <w:sz w:val="20"/>
                <w:szCs w:val="20"/>
                <w:color w:val="auto"/>
              </w:rPr>
            </w:pPr>
            <w:r>
              <w:rPr>
                <w:rFonts w:ascii="Arial" w:cs="Arial" w:eastAsia="Arial" w:hAnsi="Arial"/>
                <w:sz w:val="18"/>
                <w:szCs w:val="18"/>
                <w:b w:val="1"/>
                <w:bCs w:val="1"/>
                <w:color w:val="auto"/>
              </w:rPr>
              <w:t>September 30,</w:t>
            </w:r>
          </w:p>
        </w:tc>
        <w:tc>
          <w:tcPr>
            <w:tcW w:w="1820" w:type="dxa"/>
            <w:vAlign w:val="bottom"/>
            <w:gridSpan w:val="2"/>
          </w:tcPr>
          <w:p>
            <w:pPr>
              <w:ind w:left="340"/>
              <w:spacing w:after="0" w:line="202" w:lineRule="exact"/>
              <w:rPr>
                <w:sz w:val="20"/>
                <w:szCs w:val="20"/>
                <w:color w:val="auto"/>
              </w:rPr>
            </w:pPr>
            <w:r>
              <w:rPr>
                <w:rFonts w:ascii="Arial" w:cs="Arial" w:eastAsia="Arial" w:hAnsi="Arial"/>
                <w:sz w:val="18"/>
                <w:szCs w:val="18"/>
                <w:b w:val="1"/>
                <w:bCs w:val="1"/>
                <w:color w:val="auto"/>
              </w:rPr>
              <w:t>for identical</w:t>
            </w:r>
          </w:p>
        </w:tc>
        <w:tc>
          <w:tcPr>
            <w:tcW w:w="120" w:type="dxa"/>
            <w:vAlign w:val="bottom"/>
          </w:tcPr>
          <w:p>
            <w:pPr>
              <w:spacing w:after="0"/>
              <w:rPr>
                <w:sz w:val="17"/>
                <w:szCs w:val="17"/>
                <w:color w:val="auto"/>
              </w:rPr>
            </w:pPr>
          </w:p>
        </w:tc>
        <w:tc>
          <w:tcPr>
            <w:tcW w:w="1500" w:type="dxa"/>
            <w:vAlign w:val="bottom"/>
            <w:gridSpan w:val="2"/>
          </w:tcPr>
          <w:p>
            <w:pPr>
              <w:ind w:left="400"/>
              <w:spacing w:after="0" w:line="202" w:lineRule="exact"/>
              <w:rPr>
                <w:sz w:val="20"/>
                <w:szCs w:val="20"/>
                <w:color w:val="auto"/>
              </w:rPr>
            </w:pPr>
            <w:r>
              <w:rPr>
                <w:rFonts w:ascii="Arial" w:cs="Arial" w:eastAsia="Arial" w:hAnsi="Arial"/>
                <w:sz w:val="18"/>
                <w:szCs w:val="18"/>
                <w:b w:val="1"/>
                <w:bCs w:val="1"/>
                <w:color w:val="auto"/>
              </w:rPr>
              <w:t>inputs</w:t>
            </w:r>
          </w:p>
        </w:tc>
        <w:tc>
          <w:tcPr>
            <w:tcW w:w="380" w:type="dxa"/>
            <w:vAlign w:val="bottom"/>
          </w:tcPr>
          <w:p>
            <w:pPr>
              <w:spacing w:after="0"/>
              <w:rPr>
                <w:sz w:val="17"/>
                <w:szCs w:val="17"/>
                <w:color w:val="auto"/>
              </w:rPr>
            </w:pPr>
          </w:p>
        </w:tc>
        <w:tc>
          <w:tcPr>
            <w:tcW w:w="11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6"/>
              </w:rPr>
              <w:t>inputs</w:t>
            </w:r>
          </w:p>
        </w:tc>
      </w:tr>
      <w:tr>
        <w:trPr>
          <w:trHeight w:val="221"/>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1820" w:type="dxa"/>
            <w:vAlign w:val="bottom"/>
            <w:tcBorders>
              <w:bottom w:val="single" w:sz="8" w:color="auto"/>
            </w:tcBorders>
            <w:gridSpan w:val="2"/>
          </w:tcPr>
          <w:p>
            <w:pPr>
              <w:ind w:left="200"/>
              <w:spacing w:after="0"/>
              <w:rPr>
                <w:sz w:val="20"/>
                <w:szCs w:val="20"/>
                <w:color w:val="auto"/>
              </w:rPr>
            </w:pPr>
            <w:r>
              <w:rPr>
                <w:rFonts w:ascii="Arial" w:cs="Arial" w:eastAsia="Arial" w:hAnsi="Arial"/>
                <w:sz w:val="18"/>
                <w:szCs w:val="18"/>
                <w:b w:val="1"/>
                <w:bCs w:val="1"/>
                <w:color w:val="auto"/>
              </w:rPr>
              <w:t>assets (Level 1)</w:t>
            </w:r>
          </w:p>
        </w:tc>
        <w:tc>
          <w:tcPr>
            <w:tcW w:w="1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8"/>
                <w:szCs w:val="18"/>
                <w:b w:val="1"/>
                <w:bCs w:val="1"/>
                <w:color w:val="auto"/>
              </w:rPr>
              <w:t>(level 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8"/>
                <w:szCs w:val="18"/>
                <w:b w:val="1"/>
                <w:bCs w:val="1"/>
                <w:color w:val="auto"/>
                <w:w w:val="98"/>
              </w:rPr>
              <w:t>(level 3)</w:t>
            </w:r>
          </w:p>
        </w:tc>
      </w:tr>
      <w:tr>
        <w:trPr>
          <w:trHeight w:val="48"/>
        </w:trPr>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560" w:type="dxa"/>
            <w:vAlign w:val="bottom"/>
            <w:gridSpan w:val="2"/>
          </w:tcPr>
          <w:p>
            <w:pPr>
              <w:ind w:left="26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40" w:type="dxa"/>
            <w:vAlign w:val="bottom"/>
          </w:tcPr>
          <w:p>
            <w:pPr>
              <w:ind w:left="160"/>
              <w:spacing w:after="0" w:line="202" w:lineRule="exact"/>
              <w:rPr>
                <w:sz w:val="20"/>
                <w:szCs w:val="20"/>
                <w:color w:val="auto"/>
              </w:rPr>
            </w:pPr>
            <w:r>
              <w:rPr>
                <w:rFonts w:ascii="Arial" w:cs="Arial" w:eastAsia="Arial" w:hAnsi="Arial"/>
                <w:sz w:val="18"/>
                <w:szCs w:val="18"/>
                <w:color w:val="auto"/>
              </w:rPr>
              <w:t>414,268</w:t>
            </w:r>
          </w:p>
        </w:tc>
        <w:tc>
          <w:tcPr>
            <w:tcW w:w="480" w:type="dxa"/>
            <w:vAlign w:val="bottom"/>
          </w:tcPr>
          <w:p>
            <w:pPr>
              <w:ind w:left="20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414,268</w:t>
            </w:r>
          </w:p>
        </w:tc>
        <w:tc>
          <w:tcPr>
            <w:tcW w:w="520" w:type="dxa"/>
            <w:vAlign w:val="bottom"/>
            <w:gridSpan w:val="2"/>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560" w:type="dxa"/>
            <w:vAlign w:val="bottom"/>
            <w:gridSpan w:val="2"/>
            <w:shd w:val="clear" w:color="auto" w:fill="CCEEFF"/>
          </w:tcPr>
          <w:p>
            <w:pPr>
              <w:ind w:left="26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414,268</w:t>
            </w:r>
          </w:p>
        </w:tc>
        <w:tc>
          <w:tcPr>
            <w:tcW w:w="4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32"/>
              <w:spacing w:after="0" w:line="202" w:lineRule="exact"/>
              <w:rPr>
                <w:sz w:val="20"/>
                <w:szCs w:val="20"/>
                <w:color w:val="auto"/>
              </w:rPr>
            </w:pPr>
            <w:r>
              <w:rPr>
                <w:rFonts w:ascii="Arial" w:cs="Arial" w:eastAsia="Arial" w:hAnsi="Arial"/>
                <w:sz w:val="18"/>
                <w:szCs w:val="18"/>
                <w:color w:val="auto"/>
              </w:rPr>
              <w:t>414,268</w:t>
            </w:r>
          </w:p>
        </w:tc>
        <w:tc>
          <w:tcPr>
            <w:tcW w:w="520" w:type="dxa"/>
            <w:vAlign w:val="bottom"/>
            <w:gridSpan w:val="2"/>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9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42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20" w:type="dxa"/>
            <w:vAlign w:val="bottom"/>
            <w:gridSpan w:val="2"/>
          </w:tcPr>
          <w:p>
            <w:pPr>
              <w:ind w:left="320"/>
              <w:spacing w:after="0"/>
              <w:rPr>
                <w:sz w:val="20"/>
                <w:szCs w:val="20"/>
                <w:color w:val="auto"/>
              </w:rPr>
            </w:pPr>
            <w:r>
              <w:rPr>
                <w:rFonts w:ascii="Arial" w:cs="Arial" w:eastAsia="Arial" w:hAnsi="Arial"/>
                <w:sz w:val="18"/>
                <w:szCs w:val="18"/>
                <w:b w:val="1"/>
                <w:bCs w:val="1"/>
                <w:color w:val="auto"/>
              </w:rPr>
              <w:t>Quoted prices in</w:t>
            </w:r>
          </w:p>
        </w:tc>
        <w:tc>
          <w:tcPr>
            <w:tcW w:w="120" w:type="dxa"/>
            <w:vAlign w:val="bottom"/>
          </w:tcPr>
          <w:p>
            <w:pPr>
              <w:spacing w:after="0"/>
              <w:rPr>
                <w:sz w:val="19"/>
                <w:szCs w:val="19"/>
                <w:color w:val="auto"/>
              </w:rPr>
            </w:pPr>
          </w:p>
        </w:tc>
        <w:tc>
          <w:tcPr>
            <w:tcW w:w="1500" w:type="dxa"/>
            <w:vAlign w:val="bottom"/>
            <w:gridSpan w:val="2"/>
          </w:tcPr>
          <w:p>
            <w:pPr>
              <w:ind w:left="320"/>
              <w:spacing w:after="0"/>
              <w:rPr>
                <w:sz w:val="20"/>
                <w:szCs w:val="20"/>
                <w:color w:val="auto"/>
              </w:rPr>
            </w:pPr>
            <w:r>
              <w:rPr>
                <w:rFonts w:ascii="Arial" w:cs="Arial" w:eastAsia="Arial" w:hAnsi="Arial"/>
                <w:sz w:val="18"/>
                <w:szCs w:val="18"/>
                <w:b w:val="1"/>
                <w:bCs w:val="1"/>
                <w:color w:val="auto"/>
              </w:rPr>
              <w:t>Significant</w:t>
            </w: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20" w:type="dxa"/>
            <w:vAlign w:val="bottom"/>
            <w:gridSpan w:val="2"/>
          </w:tcPr>
          <w:p>
            <w:pPr>
              <w:jc w:val="center"/>
              <w:ind w:left="152"/>
              <w:spacing w:after="0" w:line="202" w:lineRule="exact"/>
              <w:rPr>
                <w:sz w:val="20"/>
                <w:szCs w:val="20"/>
                <w:color w:val="auto"/>
              </w:rPr>
            </w:pPr>
            <w:r>
              <w:rPr>
                <w:rFonts w:ascii="Arial" w:cs="Arial" w:eastAsia="Arial" w:hAnsi="Arial"/>
                <w:sz w:val="18"/>
                <w:szCs w:val="18"/>
                <w:b w:val="1"/>
                <w:bCs w:val="1"/>
                <w:color w:val="auto"/>
                <w:w w:val="97"/>
              </w:rPr>
              <w:t>active markets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ind w:right="432"/>
              <w:spacing w:after="0" w:line="202" w:lineRule="exact"/>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17"/>
                <w:szCs w:val="17"/>
                <w:color w:val="auto"/>
              </w:rPr>
            </w:pPr>
          </w:p>
        </w:tc>
        <w:tc>
          <w:tcPr>
            <w:tcW w:w="110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7"/>
              </w:rPr>
              <w:t>Significant</w:t>
            </w: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Balance at</w:t>
            </w:r>
          </w:p>
        </w:tc>
        <w:tc>
          <w:tcPr>
            <w:tcW w:w="480" w:type="dxa"/>
            <w:vAlign w:val="bottom"/>
          </w:tcPr>
          <w:p>
            <w:pPr>
              <w:spacing w:after="0"/>
              <w:rPr>
                <w:sz w:val="17"/>
                <w:szCs w:val="17"/>
                <w:color w:val="auto"/>
              </w:rPr>
            </w:pPr>
          </w:p>
        </w:tc>
        <w:tc>
          <w:tcPr>
            <w:tcW w:w="1340" w:type="dxa"/>
            <w:vAlign w:val="bottom"/>
          </w:tcPr>
          <w:p>
            <w:pPr>
              <w:jc w:val="center"/>
              <w:ind w:right="172"/>
              <w:spacing w:after="0" w:line="202" w:lineRule="exact"/>
              <w:rPr>
                <w:sz w:val="20"/>
                <w:szCs w:val="20"/>
                <w:color w:val="auto"/>
              </w:rPr>
            </w:pPr>
            <w:r>
              <w:rPr>
                <w:rFonts w:ascii="Arial" w:cs="Arial" w:eastAsia="Arial" w:hAnsi="Arial"/>
                <w:sz w:val="18"/>
                <w:szCs w:val="18"/>
                <w:b w:val="1"/>
                <w:bCs w:val="1"/>
                <w:color w:val="auto"/>
                <w:w w:val="97"/>
              </w:rPr>
              <w:t>for identical</w:t>
            </w:r>
          </w:p>
        </w:tc>
        <w:tc>
          <w:tcPr>
            <w:tcW w:w="120" w:type="dxa"/>
            <w:vAlign w:val="bottom"/>
          </w:tcPr>
          <w:p>
            <w:pPr>
              <w:spacing w:after="0"/>
              <w:rPr>
                <w:sz w:val="17"/>
                <w:szCs w:val="17"/>
                <w:color w:val="auto"/>
              </w:rPr>
            </w:pPr>
          </w:p>
        </w:tc>
        <w:tc>
          <w:tcPr>
            <w:tcW w:w="1500" w:type="dxa"/>
            <w:vAlign w:val="bottom"/>
            <w:gridSpan w:val="2"/>
          </w:tcPr>
          <w:p>
            <w:pPr>
              <w:jc w:val="right"/>
              <w:ind w:right="172"/>
              <w:spacing w:after="0" w:line="202" w:lineRule="exact"/>
              <w:rPr>
                <w:sz w:val="20"/>
                <w:szCs w:val="20"/>
                <w:color w:val="auto"/>
              </w:rPr>
            </w:pPr>
            <w:r>
              <w:rPr>
                <w:rFonts w:ascii="Arial" w:cs="Arial" w:eastAsia="Arial" w:hAnsi="Arial"/>
                <w:sz w:val="18"/>
                <w:szCs w:val="18"/>
                <w:b w:val="1"/>
                <w:bCs w:val="1"/>
                <w:color w:val="auto"/>
              </w:rPr>
              <w:t>observable</w:t>
            </w:r>
          </w:p>
        </w:tc>
        <w:tc>
          <w:tcPr>
            <w:tcW w:w="1480" w:type="dxa"/>
            <w:vAlign w:val="bottom"/>
            <w:gridSpan w:val="3"/>
          </w:tcPr>
          <w:p>
            <w:pPr>
              <w:ind w:left="260"/>
              <w:spacing w:after="0" w:line="202" w:lineRule="exact"/>
              <w:rPr>
                <w:sz w:val="20"/>
                <w:szCs w:val="20"/>
                <w:color w:val="auto"/>
              </w:rPr>
            </w:pPr>
            <w:r>
              <w:rPr>
                <w:rFonts w:ascii="Arial" w:cs="Arial" w:eastAsia="Arial" w:hAnsi="Arial"/>
                <w:sz w:val="18"/>
                <w:szCs w:val="18"/>
                <w:b w:val="1"/>
                <w:bCs w:val="1"/>
                <w:color w:val="auto"/>
              </w:rPr>
              <w:t>unobservable</w:t>
            </w:r>
          </w:p>
        </w:tc>
      </w:tr>
      <w:tr>
        <w:trPr>
          <w:trHeight w:val="203"/>
        </w:trPr>
        <w:tc>
          <w:tcPr>
            <w:tcW w:w="2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gridSpan w:val="3"/>
          </w:tcPr>
          <w:p>
            <w:pPr>
              <w:ind w:left="300"/>
              <w:spacing w:after="0" w:line="202" w:lineRule="exact"/>
              <w:rPr>
                <w:sz w:val="20"/>
                <w:szCs w:val="20"/>
                <w:color w:val="auto"/>
              </w:rPr>
            </w:pPr>
            <w:r>
              <w:rPr>
                <w:rFonts w:ascii="Arial" w:cs="Arial" w:eastAsia="Arial" w:hAnsi="Arial"/>
                <w:sz w:val="18"/>
                <w:szCs w:val="18"/>
                <w:b w:val="1"/>
                <w:bCs w:val="1"/>
                <w:color w:val="auto"/>
              </w:rPr>
              <w:t>December 31,</w:t>
            </w:r>
          </w:p>
        </w:tc>
        <w:tc>
          <w:tcPr>
            <w:tcW w:w="480" w:type="dxa"/>
            <w:vAlign w:val="bottom"/>
          </w:tcPr>
          <w:p>
            <w:pPr>
              <w:spacing w:after="0"/>
              <w:rPr>
                <w:sz w:val="17"/>
                <w:szCs w:val="17"/>
                <w:color w:val="auto"/>
              </w:rPr>
            </w:pPr>
          </w:p>
        </w:tc>
        <w:tc>
          <w:tcPr>
            <w:tcW w:w="1340" w:type="dxa"/>
            <w:vAlign w:val="bottom"/>
          </w:tcPr>
          <w:p>
            <w:pPr>
              <w:jc w:val="center"/>
              <w:ind w:right="172"/>
              <w:spacing w:after="0" w:line="202" w:lineRule="exact"/>
              <w:rPr>
                <w:sz w:val="20"/>
                <w:szCs w:val="20"/>
                <w:color w:val="auto"/>
              </w:rPr>
            </w:pPr>
            <w:r>
              <w:rPr>
                <w:rFonts w:ascii="Arial" w:cs="Arial" w:eastAsia="Arial" w:hAnsi="Arial"/>
                <w:sz w:val="18"/>
                <w:szCs w:val="18"/>
                <w:b w:val="1"/>
                <w:bCs w:val="1"/>
                <w:color w:val="auto"/>
                <w:w w:val="99"/>
              </w:rPr>
              <w:t>assets</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ind w:right="372"/>
              <w:spacing w:after="0" w:line="202" w:lineRule="exact"/>
              <w:rPr>
                <w:sz w:val="20"/>
                <w:szCs w:val="20"/>
                <w:color w:val="auto"/>
              </w:rPr>
            </w:pPr>
            <w:r>
              <w:rPr>
                <w:rFonts w:ascii="Arial" w:cs="Arial" w:eastAsia="Arial" w:hAnsi="Arial"/>
                <w:sz w:val="18"/>
                <w:szCs w:val="18"/>
                <w:b w:val="1"/>
                <w:bCs w:val="1"/>
                <w:color w:val="auto"/>
              </w:rPr>
              <w:t>inputs</w:t>
            </w:r>
          </w:p>
        </w:tc>
        <w:tc>
          <w:tcPr>
            <w:tcW w:w="380" w:type="dxa"/>
            <w:vAlign w:val="bottom"/>
          </w:tcPr>
          <w:p>
            <w:pPr>
              <w:spacing w:after="0"/>
              <w:rPr>
                <w:sz w:val="17"/>
                <w:szCs w:val="17"/>
                <w:color w:val="auto"/>
              </w:rPr>
            </w:pPr>
          </w:p>
        </w:tc>
        <w:tc>
          <w:tcPr>
            <w:tcW w:w="1100" w:type="dxa"/>
            <w:vAlign w:val="bottom"/>
            <w:gridSpan w:val="2"/>
          </w:tcPr>
          <w:p>
            <w:pPr>
              <w:jc w:val="center"/>
              <w:ind w:right="180"/>
              <w:spacing w:after="0" w:line="202" w:lineRule="exact"/>
              <w:rPr>
                <w:sz w:val="20"/>
                <w:szCs w:val="20"/>
                <w:color w:val="auto"/>
              </w:rPr>
            </w:pPr>
            <w:r>
              <w:rPr>
                <w:rFonts w:ascii="Arial" w:cs="Arial" w:eastAsia="Arial" w:hAnsi="Arial"/>
                <w:sz w:val="18"/>
                <w:szCs w:val="18"/>
                <w:b w:val="1"/>
                <w:bCs w:val="1"/>
                <w:color w:val="auto"/>
                <w:w w:val="96"/>
              </w:rPr>
              <w:t>inputs</w:t>
            </w:r>
          </w:p>
        </w:tc>
      </w:tr>
      <w:tr>
        <w:trPr>
          <w:trHeight w:val="235"/>
        </w:trPr>
        <w:tc>
          <w:tcPr>
            <w:tcW w:w="20" w:type="dxa"/>
            <w:vAlign w:val="bottom"/>
          </w:tcPr>
          <w:p>
            <w:pPr>
              <w:spacing w:after="0"/>
              <w:rPr>
                <w:sz w:val="20"/>
                <w:szCs w:val="20"/>
                <w:color w:val="auto"/>
              </w:rPr>
            </w:pPr>
          </w:p>
        </w:tc>
        <w:tc>
          <w:tcPr>
            <w:tcW w:w="4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172"/>
              <w:spacing w:after="0"/>
              <w:rPr>
                <w:sz w:val="20"/>
                <w:szCs w:val="20"/>
                <w:color w:val="auto"/>
              </w:rPr>
            </w:pPr>
            <w:r>
              <w:rPr>
                <w:rFonts w:ascii="Arial" w:cs="Arial" w:eastAsia="Arial" w:hAnsi="Arial"/>
                <w:sz w:val="18"/>
                <w:szCs w:val="18"/>
                <w:b w:val="1"/>
                <w:bCs w:val="1"/>
                <w:color w:val="auto"/>
                <w:w w:val="98"/>
              </w:rPr>
              <w:t>(Level 1)</w:t>
            </w:r>
          </w:p>
        </w:tc>
        <w:tc>
          <w:tcPr>
            <w:tcW w:w="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2"/>
              <w:spacing w:after="0"/>
              <w:rPr>
                <w:sz w:val="20"/>
                <w:szCs w:val="20"/>
                <w:color w:val="auto"/>
              </w:rPr>
            </w:pPr>
            <w:r>
              <w:rPr>
                <w:rFonts w:ascii="Arial" w:cs="Arial" w:eastAsia="Arial" w:hAnsi="Arial"/>
                <w:sz w:val="18"/>
                <w:szCs w:val="18"/>
                <w:b w:val="1"/>
                <w:bCs w:val="1"/>
                <w:color w:val="auto"/>
                <w:w w:val="95"/>
              </w:rPr>
              <w:t>(Level 2)</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98"/>
              </w:rPr>
              <w:t>(Level 3)</w:t>
            </w:r>
          </w:p>
        </w:tc>
      </w:tr>
      <w:tr>
        <w:trPr>
          <w:trHeight w:val="48"/>
        </w:trPr>
        <w:tc>
          <w:tcPr>
            <w:tcW w:w="20" w:type="dxa"/>
            <w:vAlign w:val="bottom"/>
          </w:tcPr>
          <w:p>
            <w:pPr>
              <w:spacing w:after="0"/>
              <w:rPr>
                <w:sz w:val="4"/>
                <w:szCs w:val="4"/>
                <w:color w:val="auto"/>
              </w:rPr>
            </w:pPr>
          </w:p>
        </w:tc>
        <w:tc>
          <w:tcPr>
            <w:tcW w:w="4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Assets:</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00" w:type="dxa"/>
            <w:vAlign w:val="bottom"/>
          </w:tcPr>
          <w:p>
            <w:pPr>
              <w:ind w:left="200"/>
              <w:spacing w:after="0" w:line="202" w:lineRule="exact"/>
              <w:rPr>
                <w:sz w:val="20"/>
                <w:szCs w:val="20"/>
                <w:color w:val="auto"/>
              </w:rPr>
            </w:pPr>
            <w:r>
              <w:rPr>
                <w:rFonts w:ascii="Arial" w:cs="Arial" w:eastAsia="Arial" w:hAnsi="Arial"/>
                <w:sz w:val="18"/>
                <w:szCs w:val="18"/>
                <w:color w:val="auto"/>
              </w:rPr>
              <w:t>Money market funds</w:t>
            </w:r>
          </w:p>
        </w:tc>
        <w:tc>
          <w:tcPr>
            <w:tcW w:w="660" w:type="dxa"/>
            <w:vAlign w:val="bottom"/>
            <w:gridSpan w:val="3"/>
          </w:tcPr>
          <w:p>
            <w:pPr>
              <w:ind w:left="56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ind w:left="160"/>
              <w:spacing w:after="0" w:line="202" w:lineRule="exact"/>
              <w:rPr>
                <w:sz w:val="20"/>
                <w:szCs w:val="20"/>
                <w:color w:val="auto"/>
              </w:rPr>
            </w:pPr>
            <w:r>
              <w:rPr>
                <w:rFonts w:ascii="Arial" w:cs="Arial" w:eastAsia="Arial" w:hAnsi="Arial"/>
                <w:sz w:val="18"/>
                <w:szCs w:val="18"/>
                <w:color w:val="auto"/>
              </w:rPr>
              <w:t>18,411,704</w:t>
            </w:r>
          </w:p>
        </w:tc>
        <w:tc>
          <w:tcPr>
            <w:tcW w:w="480" w:type="dxa"/>
            <w:vAlign w:val="bottom"/>
          </w:tcPr>
          <w:p>
            <w:pPr>
              <w:ind w:left="32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18,411,704</w:t>
            </w:r>
          </w:p>
        </w:tc>
        <w:tc>
          <w:tcPr>
            <w:tcW w:w="520" w:type="dxa"/>
            <w:vAlign w:val="bottom"/>
            <w:gridSpan w:val="2"/>
          </w:tcPr>
          <w:p>
            <w:pPr>
              <w:ind w:left="42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660" w:type="dxa"/>
            <w:vAlign w:val="bottom"/>
            <w:gridSpan w:val="3"/>
            <w:shd w:val="clear" w:color="auto" w:fill="CCEEFF"/>
          </w:tcPr>
          <w:p>
            <w:pPr>
              <w:ind w:left="56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18,411,704</w:t>
            </w:r>
          </w:p>
        </w:tc>
        <w:tc>
          <w:tcPr>
            <w:tcW w:w="48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18,411,704</w:t>
            </w: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260"/>
              <w:spacing w:after="0" w:line="202" w:lineRule="exact"/>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860" w:type="dxa"/>
            <w:vAlign w:val="bottom"/>
            <w:tcBorders>
              <w:bottom w:val="single" w:sz="8" w:color="auto"/>
            </w:tcBorders>
            <w:gridSpan w:val="4"/>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6"/>
        </w:trPr>
        <w:tc>
          <w:tcPr>
            <w:tcW w:w="4880" w:type="dxa"/>
            <w:vAlign w:val="bottom"/>
            <w:gridSpan w:val="5"/>
          </w:tcPr>
          <w:p>
            <w:pPr>
              <w:spacing w:after="0"/>
              <w:rPr>
                <w:sz w:val="20"/>
                <w:szCs w:val="20"/>
                <w:color w:val="auto"/>
              </w:rPr>
            </w:pPr>
            <w:r>
              <w:rPr>
                <w:rFonts w:ascii="Arial" w:cs="Arial" w:eastAsia="Arial" w:hAnsi="Arial"/>
                <w:sz w:val="22"/>
                <w:szCs w:val="22"/>
                <w:b w:val="1"/>
                <w:bCs w:val="1"/>
                <w:color w:val="auto"/>
              </w:rPr>
              <w:t>7. Prepaid expenses and other current assets</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2"/>
        </w:trPr>
        <w:tc>
          <w:tcPr>
            <w:tcW w:w="6120" w:type="dxa"/>
            <w:vAlign w:val="bottom"/>
            <w:gridSpan w:val="6"/>
          </w:tcPr>
          <w:p>
            <w:pPr>
              <w:spacing w:after="0"/>
              <w:rPr>
                <w:sz w:val="20"/>
                <w:szCs w:val="20"/>
                <w:color w:val="auto"/>
              </w:rPr>
            </w:pPr>
            <w:r>
              <w:rPr>
                <w:rFonts w:ascii="Arial" w:cs="Arial" w:eastAsia="Arial" w:hAnsi="Arial"/>
                <w:sz w:val="18"/>
                <w:szCs w:val="18"/>
                <w:color w:val="auto"/>
              </w:rPr>
              <w:t>Prepaid expenses and other current assets consist of the following:</w:t>
            </w: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42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3"/>
          </w:tcPr>
          <w:p>
            <w:pPr>
              <w:spacing w:after="0"/>
              <w:rPr>
                <w:sz w:val="10"/>
                <w:szCs w:val="10"/>
                <w:color w:val="auto"/>
              </w:rPr>
            </w:pPr>
          </w:p>
        </w:tc>
        <w:tc>
          <w:tcPr>
            <w:tcW w:w="1480" w:type="dxa"/>
            <w:vAlign w:val="bottom"/>
            <w:tcBorders>
              <w:bottom w:val="single" w:sz="8" w:color="auto"/>
            </w:tcBorders>
            <w:gridSpan w:val="3"/>
          </w:tcPr>
          <w:p>
            <w:pPr>
              <w:spacing w:after="0"/>
              <w:rPr>
                <w:sz w:val="10"/>
                <w:szCs w:val="10"/>
                <w:color w:val="auto"/>
              </w:rPr>
            </w:pPr>
          </w:p>
        </w:tc>
      </w:tr>
      <w:tr>
        <w:trPr>
          <w:trHeight w:val="224"/>
        </w:trPr>
        <w:tc>
          <w:tcPr>
            <w:tcW w:w="2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rPr>
              <w:t>September 30,</w:t>
            </w:r>
          </w:p>
        </w:tc>
        <w:tc>
          <w:tcPr>
            <w:tcW w:w="1480" w:type="dxa"/>
            <w:vAlign w:val="bottom"/>
            <w:gridSpan w:val="3"/>
          </w:tcPr>
          <w:p>
            <w:pPr>
              <w:ind w:left="260"/>
              <w:spacing w:after="0"/>
              <w:rPr>
                <w:sz w:val="20"/>
                <w:szCs w:val="20"/>
                <w:color w:val="auto"/>
              </w:rPr>
            </w:pPr>
            <w:r>
              <w:rPr>
                <w:rFonts w:ascii="Arial" w:cs="Arial" w:eastAsia="Arial" w:hAnsi="Arial"/>
                <w:sz w:val="18"/>
                <w:szCs w:val="18"/>
                <w:b w:val="1"/>
                <w:bCs w:val="1"/>
                <w:color w:val="auto"/>
              </w:rPr>
              <w:t>December 31,</w:t>
            </w:r>
          </w:p>
        </w:tc>
      </w:tr>
      <w:tr>
        <w:trPr>
          <w:trHeight w:val="221"/>
        </w:trPr>
        <w:tc>
          <w:tcPr>
            <w:tcW w:w="20" w:type="dxa"/>
            <w:vAlign w:val="bottom"/>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99"/>
              </w:rPr>
              <w:t>2017</w:t>
            </w:r>
          </w:p>
        </w:tc>
        <w:tc>
          <w:tcPr>
            <w:tcW w:w="6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4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Prepaid software licenses</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212"/>
              <w:spacing w:after="0" w:line="196" w:lineRule="exact"/>
              <w:rPr>
                <w:sz w:val="20"/>
                <w:szCs w:val="20"/>
                <w:color w:val="auto"/>
              </w:rPr>
            </w:pPr>
            <w:r>
              <w:rPr>
                <w:rFonts w:ascii="Arial" w:cs="Arial" w:eastAsia="Arial" w:hAnsi="Arial"/>
                <w:sz w:val="18"/>
                <w:szCs w:val="18"/>
                <w:color w:val="auto"/>
              </w:rPr>
              <w:t>196,113</w:t>
            </w:r>
          </w:p>
        </w:tc>
        <w:tc>
          <w:tcPr>
            <w:tcW w:w="380" w:type="dxa"/>
            <w:vAlign w:val="bottom"/>
            <w:shd w:val="clear" w:color="auto" w:fill="CCEEFF"/>
          </w:tcPr>
          <w:p>
            <w:pPr>
              <w:ind w:left="26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198,339</w:t>
            </w:r>
          </w:p>
        </w:tc>
        <w:tc>
          <w:tcPr>
            <w:tcW w:w="60" w:type="dxa"/>
            <w:vAlign w:val="bottom"/>
            <w:shd w:val="clear" w:color="auto" w:fill="CCEEFF"/>
          </w:tcPr>
          <w:p>
            <w:pPr>
              <w:spacing w:after="0"/>
              <w:rPr>
                <w:sz w:val="17"/>
                <w:szCs w:val="17"/>
                <w:color w:val="auto"/>
              </w:rPr>
            </w:pPr>
          </w:p>
        </w:tc>
      </w:tr>
      <w:tr>
        <w:trPr>
          <w:trHeight w:val="203"/>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Prepaid rent</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jc w:val="right"/>
              <w:ind w:right="212"/>
              <w:spacing w:after="0" w:line="202" w:lineRule="exact"/>
              <w:rPr>
                <w:sz w:val="20"/>
                <w:szCs w:val="20"/>
                <w:color w:val="auto"/>
              </w:rPr>
            </w:pPr>
            <w:r>
              <w:rPr>
                <w:rFonts w:ascii="Arial" w:cs="Arial" w:eastAsia="Arial" w:hAnsi="Arial"/>
                <w:sz w:val="18"/>
                <w:szCs w:val="18"/>
                <w:color w:val="auto"/>
              </w:rPr>
              <w:t>187,261</w:t>
            </w:r>
          </w:p>
        </w:tc>
        <w:tc>
          <w:tcPr>
            <w:tcW w:w="38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172,761</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Prepaid maintenance services</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160,873</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110,314</w:t>
            </w:r>
          </w:p>
        </w:tc>
        <w:tc>
          <w:tcPr>
            <w:tcW w:w="60" w:type="dxa"/>
            <w:vAlign w:val="bottom"/>
            <w:shd w:val="clear" w:color="auto" w:fill="CCEEFF"/>
          </w:tcPr>
          <w:p>
            <w:pPr>
              <w:spacing w:after="0"/>
              <w:rPr>
                <w:sz w:val="17"/>
                <w:szCs w:val="17"/>
                <w:color w:val="auto"/>
              </w:rPr>
            </w:pPr>
          </w:p>
        </w:tc>
      </w:tr>
      <w:tr>
        <w:trPr>
          <w:trHeight w:val="210"/>
        </w:trPr>
        <w:tc>
          <w:tcPr>
            <w:tcW w:w="4220" w:type="dxa"/>
            <w:vAlign w:val="bottom"/>
            <w:gridSpan w:val="2"/>
          </w:tcPr>
          <w:p>
            <w:pPr>
              <w:spacing w:after="0" w:line="202" w:lineRule="exact"/>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12"/>
              <w:spacing w:after="0" w:line="202" w:lineRule="exact"/>
              <w:rPr>
                <w:sz w:val="20"/>
                <w:szCs w:val="20"/>
                <w:color w:val="auto"/>
              </w:rPr>
            </w:pPr>
            <w:r>
              <w:rPr>
                <w:rFonts w:ascii="Arial" w:cs="Arial" w:eastAsia="Arial" w:hAnsi="Arial"/>
                <w:sz w:val="18"/>
                <w:szCs w:val="18"/>
                <w:color w:val="auto"/>
              </w:rPr>
              <w:t>24,036</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46,144</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420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prepaid expenses and other current assets</w:t>
            </w: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212"/>
              <w:spacing w:after="0" w:line="202" w:lineRule="exact"/>
              <w:rPr>
                <w:sz w:val="20"/>
                <w:szCs w:val="20"/>
                <w:color w:val="auto"/>
              </w:rPr>
            </w:pPr>
            <w:r>
              <w:rPr>
                <w:rFonts w:ascii="Arial" w:cs="Arial" w:eastAsia="Arial" w:hAnsi="Arial"/>
                <w:sz w:val="18"/>
                <w:szCs w:val="18"/>
                <w:color w:val="auto"/>
              </w:rPr>
              <w:t>568,283</w:t>
            </w: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527,558</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8. Convertible preferred stock and stockholders’ deficit</w:t>
      </w:r>
    </w:p>
    <w:p>
      <w:pPr>
        <w:spacing w:after="0" w:line="134" w:lineRule="exact"/>
        <w:rPr>
          <w:sz w:val="20"/>
          <w:szCs w:val="20"/>
          <w:color w:val="auto"/>
        </w:rPr>
      </w:pPr>
    </w:p>
    <w:p>
      <w:pPr>
        <w:ind w:left="200" w:right="180"/>
        <w:spacing w:after="0" w:line="237"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In conjunction with the recapitalization, certain put and call rights that the Company’s two primarily investors held were eliminated, and the holders of preferred units received an equivalent number of shares of Series A preferred stock. The holders of common units received an equivalent number of common stock.</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Series A convertible preferred stock</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Series A Convertible Preferred Stock (“Series A Preferred Stock”) has the following characteristics: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Voting</w:t>
      </w:r>
    </w:p>
    <w:p>
      <w:pPr>
        <w:spacing w:after="0" w:line="124" w:lineRule="exact"/>
        <w:rPr>
          <w:sz w:val="20"/>
          <w:szCs w:val="20"/>
          <w:color w:val="auto"/>
        </w:rPr>
      </w:pPr>
    </w:p>
    <w:p>
      <w:pPr>
        <w:ind w:left="200" w:right="360"/>
        <w:spacing w:after="0" w:line="239" w:lineRule="auto"/>
        <w:rPr>
          <w:sz w:val="20"/>
          <w:szCs w:val="20"/>
          <w:color w:val="auto"/>
        </w:rPr>
      </w:pPr>
      <w:r>
        <w:rPr>
          <w:rFonts w:ascii="Arial" w:cs="Arial" w:eastAsia="Arial" w:hAnsi="Arial"/>
          <w:sz w:val="18"/>
          <w:szCs w:val="18"/>
          <w:color w:val="auto"/>
        </w:rPr>
        <w:t>The Series A Preferred Stock is entitled to vote together with the common stockholders as one class and are entitled to separate votes on certain matters.</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F-104</w:t>
      </w:r>
    </w:p>
    <w:p>
      <w:pPr>
        <w:sectPr>
          <w:pgSz w:w="11900" w:h="16838" w:orient="portrait"/>
          <w:cols w:equalWidth="0" w:num="1">
            <w:col w:w="11240"/>
          </w:cols>
          <w:pgMar w:left="240" w:top="459" w:right="41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Dividends</w:t>
      </w:r>
    </w:p>
    <w:p>
      <w:pPr>
        <w:spacing w:after="0" w:line="124"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The Series A stockholders are entitled to receive an annual, cumulative 8% dividend, when and if declared by the Board of Directors. No dividends have been declared through September 30, 2018.</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Liquidation preference</w:t>
      </w:r>
    </w:p>
    <w:p>
      <w:pPr>
        <w:spacing w:after="0" w:line="124"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The Series A stockholders are entitled to a liquidation preference of their original purchase price of $1.00 per share for Series A Preferred Stock shares, plus accumulated dividends, in the event of liquidation, dissolution, or winding up of the Company. In the event the Company merges with, or is acquired by, another entity, such merger or acquisition could be deemed a dissolution.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Conversion</w:t>
      </w:r>
    </w:p>
    <w:p>
      <w:pPr>
        <w:spacing w:after="0" w:line="124" w:lineRule="exact"/>
        <w:rPr>
          <w:sz w:val="20"/>
          <w:szCs w:val="20"/>
          <w:color w:val="auto"/>
        </w:rPr>
      </w:pPr>
    </w:p>
    <w:p>
      <w:pPr>
        <w:ind w:left="200" w:right="120"/>
        <w:spacing w:after="0" w:line="281" w:lineRule="auto"/>
        <w:rPr>
          <w:sz w:val="20"/>
          <w:szCs w:val="20"/>
          <w:color w:val="auto"/>
        </w:rPr>
      </w:pPr>
      <w:r>
        <w:rPr>
          <w:rFonts w:ascii="Arial" w:cs="Arial" w:eastAsia="Arial" w:hAnsi="Arial"/>
          <w:sz w:val="16"/>
          <w:szCs w:val="16"/>
          <w:color w:val="auto"/>
        </w:rPr>
        <w:t>The Series A Preferred Stock is convertible upon approval of the holders of at least 66.66% of the outstanding shares of Series A preferred stock, on a share-for-share basis, subject to certain antidilution adjustments. The Series A preferred stock converts automatically on a share-for-share basis into shares of common stock up on the closing of a qualified initial public offering (IPO), as defined.</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Redemption rights</w:t>
      </w:r>
    </w:p>
    <w:p>
      <w:pPr>
        <w:spacing w:after="0" w:line="12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Series A Preferred Stock can be redeemed upon a deemed liquidation, as defined by the articles of incorporation. The preferred stock is otherwise not redeemable.</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Each holder of common stock is entitled to one vote per share of common stock. Subject to the rights of holders of Series A Preferred Stock as described above, holders of common stock are also entitled (i) to receive dividends whenever funds are legally available and when declared by the Board of Directors and (ii) upon a deemed liquidation, to receive ratably and equally with the holders of Series A Preferred Stock all the asset and funds of the Company remaining after the payment to the holders of Series A Preferred Stock of the amounts which they are entitled, as provided above.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9. Commitments and contingencies</w:t>
      </w:r>
    </w:p>
    <w:p>
      <w:pPr>
        <w:spacing w:after="0" w:line="134" w:lineRule="exact"/>
        <w:rPr>
          <w:sz w:val="20"/>
          <w:szCs w:val="20"/>
          <w:color w:val="auto"/>
        </w:rPr>
      </w:pPr>
    </w:p>
    <w:p>
      <w:pPr>
        <w:jc w:val="both"/>
        <w:ind w:left="200" w:right="300"/>
        <w:spacing w:after="0" w:line="238" w:lineRule="auto"/>
        <w:rPr>
          <w:sz w:val="20"/>
          <w:szCs w:val="20"/>
          <w:color w:val="auto"/>
        </w:rPr>
      </w:pPr>
      <w:r>
        <w:rPr>
          <w:rFonts w:ascii="Arial" w:cs="Arial" w:eastAsia="Arial" w:hAnsi="Arial"/>
          <w:sz w:val="18"/>
          <w:szCs w:val="18"/>
          <w:color w:val="auto"/>
        </w:rPr>
        <w:t>In May 2017, the Company and the landlord finalized an extension of the Company’s facility lease in Cambridge, Massachusetts through February 2023. The lease extension includes a rent increase of approximately 12% starting in March 2018 and three percent annual rent increases through 2023.</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w:t>
      </w:r>
    </w:p>
    <w:p>
      <w:pPr>
        <w:spacing w:after="0" w:line="124" w:lineRule="exact"/>
        <w:rPr>
          <w:sz w:val="20"/>
          <w:szCs w:val="20"/>
          <w:color w:val="auto"/>
        </w:rPr>
      </w:pPr>
    </w:p>
    <w:p>
      <w:pPr>
        <w:jc w:val="both"/>
        <w:ind w:left="200" w:right="300"/>
        <w:spacing w:after="0" w:line="239" w:lineRule="auto"/>
        <w:rPr>
          <w:sz w:val="20"/>
          <w:szCs w:val="20"/>
          <w:color w:val="auto"/>
        </w:rPr>
      </w:pPr>
      <w:r>
        <w:rPr>
          <w:rFonts w:ascii="Arial" w:cs="Arial" w:eastAsia="Arial" w:hAnsi="Arial"/>
          <w:sz w:val="18"/>
          <w:szCs w:val="18"/>
          <w:color w:val="auto"/>
        </w:rPr>
        <w:t>The Company recorded rent expense of $1.1 million and $0.6 million for the nine months ended September 30, 2018 and September 30, 2017, respectively.</w:t>
      </w:r>
    </w:p>
    <w:p>
      <w:pPr>
        <w:spacing w:after="0" w:line="14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F-105</w:t>
      </w:r>
    </w:p>
    <w:p>
      <w:pPr>
        <w:sectPr>
          <w:pgSz w:w="11900" w:h="16838" w:orient="portrait"/>
          <w:cols w:equalWidth="0" w:num="1">
            <w:col w:w="11100"/>
          </w:cols>
          <w:pgMar w:left="240" w:top="459" w:right="5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of September 30, 2018, the Company had the following contractual obligations related to its facility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8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440" w:type="dxa"/>
            <w:vAlign w:val="bottom"/>
            <w:tcBorders>
              <w:bottom w:val="single" w:sz="8" w:color="auto"/>
            </w:tcBorders>
          </w:tcPr>
          <w:p>
            <w:pPr>
              <w:spacing w:after="0"/>
              <w:rPr>
                <w:sz w:val="19"/>
                <w:szCs w:val="19"/>
                <w:color w:val="auto"/>
              </w:rPr>
            </w:pPr>
          </w:p>
        </w:tc>
        <w:tc>
          <w:tcPr>
            <w:tcW w:w="5580" w:type="dxa"/>
            <w:vAlign w:val="bottom"/>
            <w:tcBorders>
              <w:bottom w:val="single" w:sz="8" w:color="auto"/>
            </w:tcBorders>
            <w:gridSpan w:val="4"/>
          </w:tcPr>
          <w:p>
            <w:pPr>
              <w:ind w:left="4100"/>
              <w:spacing w:after="0"/>
              <w:rPr>
                <w:sz w:val="20"/>
                <w:szCs w:val="20"/>
                <w:color w:val="auto"/>
              </w:rPr>
            </w:pPr>
            <w:r>
              <w:rPr>
                <w:rFonts w:ascii="Arial" w:cs="Arial" w:eastAsia="Arial" w:hAnsi="Arial"/>
                <w:sz w:val="18"/>
                <w:szCs w:val="18"/>
                <w:b w:val="1"/>
                <w:bCs w:val="1"/>
                <w:color w:val="auto"/>
              </w:rPr>
              <w:t>Operating leases</w:t>
            </w: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jc w:val="right"/>
              <w:ind w:right="4012"/>
              <w:spacing w:after="0" w:line="196" w:lineRule="exact"/>
              <w:rPr>
                <w:sz w:val="20"/>
                <w:szCs w:val="20"/>
                <w:color w:val="auto"/>
              </w:rPr>
            </w:pPr>
            <w:r>
              <w:rPr>
                <w:rFonts w:ascii="Arial" w:cs="Arial" w:eastAsia="Arial" w:hAnsi="Arial"/>
                <w:sz w:val="18"/>
                <w:szCs w:val="18"/>
                <w:color w:val="auto"/>
                <w:w w:val="95"/>
              </w:rPr>
              <w:t>2018 (remainder)</w:t>
            </w:r>
          </w:p>
        </w:tc>
        <w:tc>
          <w:tcPr>
            <w:tcW w:w="4460" w:type="dxa"/>
            <w:vAlign w:val="bottom"/>
            <w:gridSpan w:val="2"/>
            <w:shd w:val="clear" w:color="auto" w:fill="CCEEFF"/>
          </w:tcPr>
          <w:p>
            <w:pPr>
              <w:ind w:left="4100"/>
              <w:spacing w:after="0" w:line="196"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402,691</w:t>
            </w:r>
          </w:p>
        </w:tc>
        <w:tc>
          <w:tcPr>
            <w:tcW w:w="60" w:type="dxa"/>
            <w:vAlign w:val="bottom"/>
            <w:shd w:val="clear" w:color="auto" w:fill="CCEEFF"/>
          </w:tcPr>
          <w:p>
            <w:pPr>
              <w:spacing w:after="0"/>
              <w:rPr>
                <w:sz w:val="17"/>
                <w:szCs w:val="17"/>
                <w:color w:val="auto"/>
              </w:rPr>
            </w:pPr>
          </w:p>
        </w:tc>
      </w:tr>
      <w:tr>
        <w:trPr>
          <w:trHeight w:val="203"/>
        </w:trPr>
        <w:tc>
          <w:tcPr>
            <w:tcW w:w="5460" w:type="dxa"/>
            <w:vAlign w:val="bottom"/>
            <w:gridSpan w:val="2"/>
          </w:tcPr>
          <w:p>
            <w:pPr>
              <w:jc w:val="right"/>
              <w:ind w:right="4972"/>
              <w:spacing w:after="0" w:line="202" w:lineRule="exact"/>
              <w:rPr>
                <w:sz w:val="20"/>
                <w:szCs w:val="20"/>
                <w:color w:val="auto"/>
              </w:rPr>
            </w:pPr>
            <w:r>
              <w:rPr>
                <w:rFonts w:ascii="Arial" w:cs="Arial" w:eastAsia="Arial" w:hAnsi="Arial"/>
                <w:sz w:val="18"/>
                <w:szCs w:val="18"/>
                <w:color w:val="auto"/>
                <w:w w:val="94"/>
              </w:rPr>
              <w:t>2019</w:t>
            </w:r>
          </w:p>
        </w:tc>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1,659,087</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jc w:val="right"/>
              <w:ind w:right="4972"/>
              <w:spacing w:after="0" w:line="202" w:lineRule="exact"/>
              <w:rPr>
                <w:sz w:val="20"/>
                <w:szCs w:val="20"/>
                <w:color w:val="auto"/>
              </w:rPr>
            </w:pPr>
            <w:r>
              <w:rPr>
                <w:rFonts w:ascii="Arial" w:cs="Arial" w:eastAsia="Arial" w:hAnsi="Arial"/>
                <w:sz w:val="18"/>
                <w:szCs w:val="18"/>
                <w:color w:val="auto"/>
                <w:w w:val="89"/>
              </w:rPr>
              <w:t>2020</w:t>
            </w:r>
          </w:p>
        </w:tc>
        <w:tc>
          <w:tcPr>
            <w:tcW w:w="4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1,700,565</w:t>
            </w:r>
          </w:p>
        </w:tc>
        <w:tc>
          <w:tcPr>
            <w:tcW w:w="60" w:type="dxa"/>
            <w:vAlign w:val="bottom"/>
            <w:shd w:val="clear" w:color="auto" w:fill="CCEEFF"/>
          </w:tcPr>
          <w:p>
            <w:pPr>
              <w:spacing w:after="0"/>
              <w:rPr>
                <w:sz w:val="17"/>
                <w:szCs w:val="17"/>
                <w:color w:val="auto"/>
              </w:rPr>
            </w:pPr>
          </w:p>
        </w:tc>
      </w:tr>
      <w:tr>
        <w:trPr>
          <w:trHeight w:val="203"/>
        </w:trPr>
        <w:tc>
          <w:tcPr>
            <w:tcW w:w="5460" w:type="dxa"/>
            <w:vAlign w:val="bottom"/>
            <w:gridSpan w:val="2"/>
          </w:tcPr>
          <w:p>
            <w:pPr>
              <w:jc w:val="right"/>
              <w:ind w:right="4972"/>
              <w:spacing w:after="0" w:line="202" w:lineRule="exact"/>
              <w:rPr>
                <w:sz w:val="20"/>
                <w:szCs w:val="20"/>
                <w:color w:val="auto"/>
              </w:rPr>
            </w:pPr>
            <w:r>
              <w:rPr>
                <w:rFonts w:ascii="Arial" w:cs="Arial" w:eastAsia="Arial" w:hAnsi="Arial"/>
                <w:sz w:val="18"/>
                <w:szCs w:val="18"/>
                <w:color w:val="auto"/>
                <w:w w:val="94"/>
              </w:rPr>
              <w:t>2021</w:t>
            </w:r>
          </w:p>
        </w:tc>
        <w:tc>
          <w:tcPr>
            <w:tcW w:w="4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1,751,582</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jc w:val="right"/>
              <w:ind w:right="4972"/>
              <w:spacing w:after="0" w:line="202" w:lineRule="exact"/>
              <w:rPr>
                <w:sz w:val="20"/>
                <w:szCs w:val="20"/>
                <w:color w:val="auto"/>
              </w:rPr>
            </w:pPr>
            <w:r>
              <w:rPr>
                <w:rFonts w:ascii="Arial" w:cs="Arial" w:eastAsia="Arial" w:hAnsi="Arial"/>
                <w:sz w:val="18"/>
                <w:szCs w:val="18"/>
                <w:color w:val="auto"/>
                <w:w w:val="89"/>
              </w:rPr>
              <w:t>2022</w:t>
            </w:r>
          </w:p>
        </w:tc>
        <w:tc>
          <w:tcPr>
            <w:tcW w:w="4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1,804,129</w:t>
            </w:r>
          </w:p>
        </w:tc>
        <w:tc>
          <w:tcPr>
            <w:tcW w:w="60" w:type="dxa"/>
            <w:vAlign w:val="bottom"/>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302,155</w:t>
            </w:r>
          </w:p>
        </w:tc>
        <w:tc>
          <w:tcPr>
            <w:tcW w:w="6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17"/>
                <w:szCs w:val="17"/>
                <w:color w:val="auto"/>
              </w:rPr>
            </w:pPr>
          </w:p>
        </w:tc>
        <w:tc>
          <w:tcPr>
            <w:tcW w:w="4460" w:type="dxa"/>
            <w:vAlign w:val="bottom"/>
            <w:gridSpan w:val="2"/>
            <w:shd w:val="clear" w:color="auto" w:fill="CCEEFF"/>
          </w:tcPr>
          <w:p>
            <w:pPr>
              <w:ind w:left="410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7,620,209</w:t>
            </w:r>
          </w:p>
        </w:tc>
        <w:tc>
          <w:tcPr>
            <w:tcW w:w="6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bottom w:val="single" w:sz="8" w:color="auto"/>
            </w:tcBorders>
          </w:tcPr>
          <w:p>
            <w:pPr>
              <w:spacing w:after="0" w:line="20" w:lineRule="exact"/>
              <w:rPr>
                <w:sz w:val="1"/>
                <w:szCs w:val="1"/>
                <w:color w:val="auto"/>
              </w:rPr>
            </w:pPr>
          </w:p>
        </w:tc>
        <w:tc>
          <w:tcPr>
            <w:tcW w:w="4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Capital lease obligations</w:t>
      </w:r>
    </w:p>
    <w:p>
      <w:pPr>
        <w:spacing w:after="0" w:line="124" w:lineRule="exact"/>
        <w:rPr>
          <w:sz w:val="20"/>
          <w:szCs w:val="20"/>
          <w:color w:val="auto"/>
        </w:rPr>
      </w:pPr>
    </w:p>
    <w:p>
      <w:pPr>
        <w:ind w:left="200" w:right="600"/>
        <w:spacing w:after="0" w:line="239" w:lineRule="auto"/>
        <w:rPr>
          <w:sz w:val="20"/>
          <w:szCs w:val="20"/>
          <w:color w:val="auto"/>
        </w:rPr>
      </w:pPr>
      <w:r>
        <w:rPr>
          <w:rFonts w:ascii="Arial" w:cs="Arial" w:eastAsia="Arial" w:hAnsi="Arial"/>
          <w:sz w:val="18"/>
          <w:szCs w:val="18"/>
          <w:color w:val="auto"/>
        </w:rPr>
        <w:t>The Company’s capital lease obligations amounted to $0.3 million and $0.4 million as of September 30, 2018 and December 30, 2017, respectively.</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Licenses</w:t>
      </w:r>
    </w:p>
    <w:p>
      <w:pPr>
        <w:spacing w:after="0" w:line="124" w:lineRule="exact"/>
        <w:rPr>
          <w:sz w:val="20"/>
          <w:szCs w:val="20"/>
          <w:color w:val="auto"/>
        </w:rPr>
      </w:pPr>
    </w:p>
    <w:p>
      <w:pPr>
        <w:ind w:left="200" w:right="60"/>
        <w:spacing w:after="0" w:line="273" w:lineRule="auto"/>
        <w:rPr>
          <w:sz w:val="20"/>
          <w:szCs w:val="20"/>
          <w:color w:val="auto"/>
        </w:rPr>
      </w:pPr>
      <w:r>
        <w:rPr>
          <w:rFonts w:ascii="Arial" w:cs="Arial" w:eastAsia="Arial" w:hAnsi="Arial"/>
          <w:sz w:val="16"/>
          <w:szCs w:val="16"/>
          <w:color w:val="auto"/>
        </w:rPr>
        <w:t>The Company has entered into certain license agreements. Pursuant to the terms of those agreements, the Company may be required to pay up to $2.0 million upon the achievement of various developments, regulatory and sales milestones. The payment of these amounts, however, is contingent upon the occurrence of various future events. Additionally, the Company has licensed technology from an academic institution for which it is required to pay annual license payments of $50,000 for as long as the patent is in effect. If any product related to the licenses technology from an academic institution are approved for sale, the Company may be required to pay a minimal royalty on future sales.</w:t>
      </w:r>
    </w:p>
    <w:p>
      <w:pPr>
        <w:spacing w:after="0" w:line="75" w:lineRule="exact"/>
        <w:rPr>
          <w:sz w:val="20"/>
          <w:szCs w:val="20"/>
          <w:color w:val="auto"/>
        </w:rPr>
      </w:pPr>
    </w:p>
    <w:p>
      <w:pPr>
        <w:ind w:left="200" w:right="100"/>
        <w:spacing w:after="0" w:line="236" w:lineRule="auto"/>
        <w:rPr>
          <w:sz w:val="20"/>
          <w:szCs w:val="20"/>
          <w:color w:val="auto"/>
        </w:rPr>
      </w:pPr>
      <w:r>
        <w:rPr>
          <w:rFonts w:ascii="Arial" w:cs="Arial" w:eastAsia="Arial" w:hAnsi="Arial"/>
          <w:sz w:val="18"/>
          <w:szCs w:val="18"/>
          <w:color w:val="auto"/>
        </w:rPr>
        <w:t>The Cystic Fibrosis Foundation antibiotic grant agreement contains provisions related to potential future amounts payable by the Company to the Cystic Fibrosis Foundation upon product approval and achievement of certain sales milestones. In addition, in the event of a change in control or licensing, sale, or other transfer of the technology, the Company shall pay the Cystic Fibrosis Foundation a payment equal to a percentage of the related transaction price, not to exceed $1.4 million, which amount shall be reduced by any payments previously made by the Company in connection with a product approval. In conjunction with the acquisition of the Company by Revolution in October 2018, $1.4 million became due. See Note 13 for more details.</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10. Income taxes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2017 U.S. tax reform</w:t>
      </w:r>
    </w:p>
    <w:p>
      <w:pPr>
        <w:spacing w:after="0" w:line="124" w:lineRule="exact"/>
        <w:rPr>
          <w:sz w:val="20"/>
          <w:szCs w:val="20"/>
          <w:color w:val="auto"/>
        </w:rPr>
      </w:pPr>
    </w:p>
    <w:p>
      <w:pPr>
        <w:ind w:left="200" w:right="120"/>
        <w:spacing w:after="0" w:line="270" w:lineRule="auto"/>
        <w:rPr>
          <w:sz w:val="20"/>
          <w:szCs w:val="20"/>
          <w:color w:val="auto"/>
        </w:rPr>
      </w:pPr>
      <w:r>
        <w:rPr>
          <w:rFonts w:ascii="Arial" w:cs="Arial" w:eastAsia="Arial" w:hAnsi="Arial"/>
          <w:sz w:val="16"/>
          <w:szCs w:val="16"/>
          <w:color w:val="auto"/>
        </w:rPr>
        <w:t>On December 22, 2017, the Tax Cuts and Jobs Act (the “TCJA”) was signed into United States law. The TCJA includes a number of changes to existing tax law, including, among other things, a permanent reduction in the federal corporate income tax rate from 34% to 21%, effective as of January 1, 2018, as well as limitation of the deduction for net operating losses to 80% of annual taxable income and elimination of net operating loss carrybacks, in each case, for losses arising in taxable years beginning after December 31, 2017 (though any such net operating losses may be carried forward indefinitely). The tax rate change resulted in (i) a reduction in the gross amount of the Company’s deferred tax assets recorded as of December 31, 2017, without an impact on the net amount of its deferred tax assets, which are recorded with a full valuation allowance, and (ii) no income tax expense or benefit being recognized as of the enactment date of the TCJA.</w:t>
      </w:r>
    </w:p>
    <w:p>
      <w:pPr>
        <w:spacing w:after="0" w:line="77"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In December 2017, the SEC staff issued Staff Accounting Bulletin No. 118, Income Tax Accounting Implications of the Tax Cuts and Jobs Act (“SAB 118”) which allows the Company to record provisional amounts during a</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F-106</w:t>
      </w:r>
    </w:p>
    <w:p>
      <w:pPr>
        <w:sectPr>
          <w:pgSz w:w="11900" w:h="16838" w:orient="portrait"/>
          <w:cols w:equalWidth="0" w:num="1">
            <w:col w:w="11240"/>
          </w:cols>
          <w:pgMar w:left="240" w:top="459" w:right="41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measurement period not to extend beyond one year of the enactment date. During the three and nine months ended September 30, 2018, the Company did not make any adjustments to the provisional amounts recorded as a result of the TCJA. The Company’s accounting for the elements of U.S. Tax Reform is complete.</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24" w:lineRule="exact"/>
        <w:rPr>
          <w:sz w:val="20"/>
          <w:szCs w:val="20"/>
          <w:color w:val="auto"/>
        </w:rPr>
      </w:pPr>
    </w:p>
    <w:p>
      <w:pPr>
        <w:ind w:left="200" w:right="160"/>
        <w:spacing w:after="0" w:line="236" w:lineRule="auto"/>
        <w:rPr>
          <w:sz w:val="20"/>
          <w:szCs w:val="20"/>
          <w:color w:val="auto"/>
        </w:rPr>
      </w:pPr>
      <w:r>
        <w:rPr>
          <w:rFonts w:ascii="Arial" w:cs="Arial" w:eastAsia="Arial" w:hAnsi="Arial"/>
          <w:sz w:val="18"/>
          <w:szCs w:val="18"/>
          <w:color w:val="auto"/>
        </w:rPr>
        <w:t>During the nine months ended September 30, 2018 and 2017, the Company recorded no income tax benefits for the net operating losses incurred or for the research and development tax credits generated in each period due to its uncertainty of realizing a benefit from those items. The Company has provided a valuation allowance for the full amounts of its net deferred tax assets because, at September 30, 2018 and December 31, 2017, it was more likely than not that any future benefit from deductible temporary differences and net operating loss and tax credit carryforwards would not be realized.</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As of September 30, 2018 and December 31, 2017, the Company had not recorded any amounts for unrecognized tax benefits. The statute of limitations for assessment by the Internal Revenue Service (“IRS”) and state tax authorities is closed for tax years prior to December 31, 2014, although net operating loss and tax credit carryforwards that were generated prior to December 31, 2014 may still be adjusted upon examination by the IRS and state tax authorities if they either have been or will be used in a future period. There are currently no IRS or state tax audits in progress.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11. Related party transactions</w:t>
      </w:r>
    </w:p>
    <w:p>
      <w:pPr>
        <w:spacing w:after="0" w:line="134" w:lineRule="exact"/>
        <w:rPr>
          <w:sz w:val="20"/>
          <w:szCs w:val="20"/>
          <w:color w:val="auto"/>
        </w:rPr>
      </w:pPr>
    </w:p>
    <w:p>
      <w:pPr>
        <w:ind w:left="200"/>
        <w:spacing w:after="0" w:line="271" w:lineRule="auto"/>
        <w:rPr>
          <w:sz w:val="20"/>
          <w:szCs w:val="20"/>
          <w:color w:val="auto"/>
        </w:rPr>
      </w:pPr>
      <w:r>
        <w:rPr>
          <w:rFonts w:ascii="Arial" w:cs="Arial" w:eastAsia="Arial" w:hAnsi="Arial"/>
          <w:sz w:val="16"/>
          <w:szCs w:val="16"/>
          <w:color w:val="auto"/>
        </w:rPr>
        <w:t>In conjunction with the issuance of Series A preferred stock and common stock and the conversion of the prior credit agreement into convertible notes payable (Note 5), the Company simultaneously entered into a research collaboration with Sanofi in 2016 in which it obtained an exclusive license focused on the development of drugs targeting important human oncogenes (Note 4). Under the terms of the Agreement, the Company would lead research collaboration for a period of five years, and Sanofi would potentially receive worldwide exclusive licenses to develop and commercialize the candidates discovered during the research term. The Company has total convertible notes payable from Sanofi of approximately $30 million and $34 million as of September 30, 2018 and December 31, 2017, respectively. (See Notes 5 and 13)</w:t>
      </w:r>
    </w:p>
    <w:p>
      <w:pPr>
        <w:spacing w:after="0" w:line="77" w:lineRule="exact"/>
        <w:rPr>
          <w:sz w:val="20"/>
          <w:szCs w:val="20"/>
          <w:color w:val="auto"/>
        </w:rPr>
      </w:pPr>
    </w:p>
    <w:p>
      <w:pPr>
        <w:ind w:left="200" w:right="220"/>
        <w:spacing w:after="0" w:line="237" w:lineRule="auto"/>
        <w:rPr>
          <w:sz w:val="20"/>
          <w:szCs w:val="20"/>
          <w:color w:val="auto"/>
        </w:rPr>
      </w:pPr>
      <w:r>
        <w:rPr>
          <w:rFonts w:ascii="Arial" w:cs="Arial" w:eastAsia="Arial" w:hAnsi="Arial"/>
          <w:sz w:val="18"/>
          <w:szCs w:val="18"/>
          <w:color w:val="auto"/>
        </w:rPr>
        <w:t>The Company leases its facilities from an entity that participated in the Series A Unit financing in October 2012. Prior to and after the restructuring of the Company, the investor owned less than one percent of the Series A Preferred Units and Series A Preferred Stock of the Company, respectively. Payments made to the landlord totaled approximately $1.2 million and $1.1 million for the nine months ended September 30, 2018 and 2017, respectively.</w:t>
      </w:r>
    </w:p>
    <w:p>
      <w:pPr>
        <w:spacing w:after="0" w:line="14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F-107</w:t>
      </w:r>
    </w:p>
    <w:p>
      <w:pPr>
        <w:sectPr>
          <w:pgSz w:w="11900" w:h="16838" w:orient="portrait"/>
          <w:cols w:equalWidth="0" w:num="1">
            <w:col w:w="11220"/>
          </w:cols>
          <w:pgMar w:left="240" w:top="460" w:right="43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12. Stock-based compensation</w:t>
      </w:r>
    </w:p>
    <w:p>
      <w:pPr>
        <w:spacing w:after="0" w:line="13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In January 2016, the Company amended the Limited Liability Company Agreement with its preferred shareholders and restructured the Company as a C Corporation. The holders of participation units, the equity award previously given to employees (and to nonemployees on occasion) received an equivalent number of shares of restricted stock on the same vesting schedule. Restricted stock granted by the Company typically vest over four years and have a contractual life of ten years. The following table provides stock-based compensation by the financial statement line item in which it is reflected: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72390</wp:posOffset>
            </wp:positionV>
            <wp:extent cx="6997700"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2"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jc w:val="center"/>
        <w:ind w:left="89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5862320</wp:posOffset>
            </wp:positionH>
            <wp:positionV relativeFrom="paragraph">
              <wp:posOffset>-4445</wp:posOffset>
            </wp:positionV>
            <wp:extent cx="122618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226185" cy="8890"/>
                    </a:xfrm>
                    <a:prstGeom prst="rect">
                      <a:avLst/>
                    </a:prstGeom>
                    <a:noFill/>
                  </pic:spPr>
                </pic:pic>
              </a:graphicData>
            </a:graphic>
          </wp:anchor>
        </w:drawing>
      </w: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92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2018</w:t>
            </w: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auto"/>
            </w:tcBorders>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32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55,382</w:t>
            </w:r>
          </w:p>
        </w:tc>
        <w:tc>
          <w:tcPr>
            <w:tcW w:w="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96,759</w:t>
            </w:r>
          </w:p>
        </w:tc>
        <w:tc>
          <w:tcPr>
            <w:tcW w:w="80" w:type="dxa"/>
            <w:vAlign w:val="bottom"/>
            <w:shd w:val="clear" w:color="auto" w:fill="CCEEFF"/>
          </w:tcPr>
          <w:p>
            <w:pPr>
              <w:spacing w:after="0"/>
              <w:rPr>
                <w:sz w:val="17"/>
                <w:szCs w:val="17"/>
                <w:color w:val="auto"/>
              </w:rPr>
            </w:pPr>
          </w:p>
        </w:tc>
      </w:tr>
      <w:tr>
        <w:trPr>
          <w:trHeight w:val="210"/>
        </w:trPr>
        <w:tc>
          <w:tcPr>
            <w:tcW w:w="5940" w:type="dxa"/>
            <w:vAlign w:val="bottom"/>
            <w:gridSpan w:val="2"/>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3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306,902</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411,890</w:t>
            </w:r>
          </w:p>
        </w:tc>
        <w:tc>
          <w:tcPr>
            <w:tcW w:w="8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5920" w:type="dxa"/>
            <w:vAlign w:val="bottom"/>
            <w:shd w:val="clear" w:color="auto" w:fill="CCEEFF"/>
          </w:tcPr>
          <w:p>
            <w:pPr>
              <w:spacing w:after="0"/>
              <w:rPr>
                <w:sz w:val="17"/>
                <w:szCs w:val="17"/>
                <w:color w:val="auto"/>
              </w:rPr>
            </w:pPr>
          </w:p>
        </w:tc>
        <w:tc>
          <w:tcPr>
            <w:tcW w:w="32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line="202" w:lineRule="exact"/>
              <w:rPr>
                <w:sz w:val="20"/>
                <w:szCs w:val="20"/>
                <w:color w:val="auto"/>
              </w:rPr>
            </w:pPr>
            <w:r>
              <w:rPr>
                <w:rFonts w:ascii="Arial" w:cs="Arial" w:eastAsia="Arial" w:hAnsi="Arial"/>
                <w:sz w:val="18"/>
                <w:szCs w:val="18"/>
                <w:color w:val="auto"/>
              </w:rPr>
              <w:t>362,284</w:t>
            </w:r>
          </w:p>
        </w:tc>
        <w:tc>
          <w:tcPr>
            <w:tcW w:w="2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508,649</w:t>
            </w:r>
          </w:p>
        </w:tc>
        <w:tc>
          <w:tcPr>
            <w:tcW w:w="80" w:type="dxa"/>
            <w:vAlign w:val="bottom"/>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Borders>
              <w:bottom w:val="single" w:sz="8" w:color="auto"/>
            </w:tcBorders>
          </w:tcPr>
          <w:p>
            <w:pPr>
              <w:spacing w:after="0" w:line="20" w:lineRule="exact"/>
              <w:rPr>
                <w:sz w:val="1"/>
                <w:szCs w:val="1"/>
                <w:color w:val="auto"/>
              </w:rPr>
            </w:pPr>
          </w:p>
        </w:tc>
        <w:tc>
          <w:tcPr>
            <w:tcW w:w="3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The Company granted 310,000 and 577,500 shares of restricted stock to employees during the nine months ended September 30, 2018 and 2017, respectively. For all the grants during the nine months ended September 30, 2018 and 2017, the employees paid the Company the fair value of the restricted awards. As a result, the Company did not recognize any stock-based compensation for the restricted stock grants made during the nine months ended September 30, 2018 and 2017. However, the Company did recognize stock-based compensation related to grants of participation units prior to January 1, 2016.</w:t>
      </w:r>
    </w:p>
    <w:p>
      <w:pPr>
        <w:spacing w:after="0" w:line="103" w:lineRule="exact"/>
        <w:rPr>
          <w:sz w:val="20"/>
          <w:szCs w:val="20"/>
          <w:color w:val="auto"/>
        </w:rPr>
      </w:pPr>
    </w:p>
    <w:p>
      <w:pPr>
        <w:ind w:left="200" w:right="160"/>
        <w:spacing w:after="0" w:line="235" w:lineRule="auto"/>
        <w:rPr>
          <w:sz w:val="20"/>
          <w:szCs w:val="20"/>
          <w:color w:val="auto"/>
        </w:rPr>
      </w:pPr>
      <w:r>
        <w:rPr>
          <w:rFonts w:ascii="Arial" w:cs="Arial" w:eastAsia="Arial" w:hAnsi="Arial"/>
          <w:sz w:val="18"/>
          <w:szCs w:val="18"/>
          <w:color w:val="auto"/>
        </w:rPr>
        <w:t>The Company has utilized significant estimates and assumptions in determining the fair value of its common stock and common units. The Board of Directors determined the estimated fair value of the Company’s common stock based on a number of objective and subjective factors, including the lack of an active public market for the Company’s common and convertible preferred stock; the prices of shares of the Company’s convertible preferred stock that the Company had sold to outside investors in arm’s length transactions, and the rights, preferences, and privileges of that convertible preferred stock relative to the Company’s common stock; the Company’s results of operations and financial condition; the Company’s entry into collaboration agreements; the material risks related to the Company’s business; the Company’s business strategy; the market performance of publicly traded companies in the life sciences and biotechnology sectors; and the likelihood of achieving a liquidity event for the holders of the Company’s common stock, such as an initial public offering (IPO), given prevailing market conditions. Significant changes to the key assumptions used in the valuations could have resulted in different fair values of the Company’s common stock at each valuation date.</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13. Subsequent events</w:t>
      </w:r>
    </w:p>
    <w:p>
      <w:pPr>
        <w:spacing w:after="0" w:line="13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Company has evaluated subsequent events through September 19, 2019, the date the financial statements were available to be issued.</w:t>
      </w:r>
    </w:p>
    <w:p>
      <w:pPr>
        <w:spacing w:after="0" w:line="127" w:lineRule="exact"/>
        <w:rPr>
          <w:sz w:val="20"/>
          <w:szCs w:val="20"/>
          <w:color w:val="auto"/>
        </w:rPr>
      </w:pPr>
    </w:p>
    <w:p>
      <w:pPr>
        <w:ind w:left="200" w:right="320"/>
        <w:spacing w:after="0" w:line="239" w:lineRule="auto"/>
        <w:rPr>
          <w:sz w:val="20"/>
          <w:szCs w:val="20"/>
          <w:color w:val="auto"/>
        </w:rPr>
      </w:pPr>
      <w:r>
        <w:rPr>
          <w:rFonts w:ascii="Arial" w:cs="Arial" w:eastAsia="Arial" w:hAnsi="Arial"/>
          <w:sz w:val="18"/>
          <w:szCs w:val="18"/>
          <w:color w:val="auto"/>
        </w:rPr>
        <w:t>On October 3, 2018, the Company received $2 million in cash proceeds from an existing investor in exchange for a convertible promissory note purchase agreement with a maturity date of April 8, 2019 and an 8% annual interest rate.</w:t>
      </w:r>
    </w:p>
    <w:p>
      <w:pPr>
        <w:spacing w:after="0" w:line="101"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On October 17, 2018, the Company and Sanofi entered into a Note Conversion Agreement to convert the $30 million convertible notes payable to 18 million shares of Series A convertible preferred stock of the Company just before the sale pursuant to an Agreement and Plan of Merger with Revolution on October 24, 2018.</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F-108</w:t>
      </w:r>
    </w:p>
    <w:p>
      <w:pPr>
        <w:sectPr>
          <w:pgSz w:w="11900" w:h="16838" w:orient="portrait"/>
          <w:cols w:equalWidth="0" w:num="1">
            <w:col w:w="11240"/>
          </w:cols>
          <w:pgMar w:left="240" w:top="459" w:right="419"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140"/>
        <w:spacing w:after="0" w:line="238" w:lineRule="auto"/>
        <w:rPr>
          <w:sz w:val="20"/>
          <w:szCs w:val="20"/>
          <w:color w:val="auto"/>
        </w:rPr>
      </w:pPr>
      <w:r>
        <w:rPr>
          <w:rFonts w:ascii="Arial" w:cs="Arial" w:eastAsia="Arial" w:hAnsi="Arial"/>
          <w:sz w:val="18"/>
          <w:szCs w:val="18"/>
          <w:color w:val="auto"/>
        </w:rPr>
        <w:t>On October 24, 2018, the Company and Revolution closed the sale pursuant to an Agreement and Plan of Merger in which Revolution acquired all the Series A convertible preferred stock and the common stock of the Company in exchange for Revolution Series B preferred stock for total consideration valued $69.0 million, subject to adjustments and holdbacks for certain events.</w:t>
      </w:r>
    </w:p>
    <w:p>
      <w:pPr>
        <w:spacing w:after="0" w:line="100"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As a result of the merger agreement, the Cystic Fibrosis Foundation received approximately $1.4M of Revolution Series B preferred stock in accordance with the contractual terms of the Company’s grant agreement with the Cystic Fibrosis Foundation (See Note 9).</w:t>
      </w:r>
    </w:p>
    <w:p>
      <w:pPr>
        <w:spacing w:after="0" w:line="141"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F-109</w:t>
      </w:r>
    </w:p>
    <w:p>
      <w:pPr>
        <w:sectPr>
          <w:pgSz w:w="11900" w:h="16838" w:orient="portrait"/>
          <w:cols w:equalWidth="0" w:num="1">
            <w:col w:w="11060"/>
          </w:cols>
          <w:pgMar w:left="240" w:top="459" w:right="59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i w:val="1"/>
          <w:i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1572895</wp:posOffset>
            </wp:positionV>
            <wp:extent cx="2032635" cy="44577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03263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i w:val="1"/>
          <w:i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spacing w:after="0"/>
        <w:tabs>
          <w:tab w:leader="none" w:pos="2940" w:val="left"/>
          <w:tab w:leader="none" w:pos="5200" w:val="left"/>
          <w:tab w:leader="none" w:pos="8480" w:val="left"/>
        </w:tabs>
        <w:rPr>
          <w:sz w:val="20"/>
          <w:szCs w:val="20"/>
          <w:color w:val="auto"/>
        </w:rPr>
      </w:pPr>
      <w:r>
        <w:rPr>
          <w:rFonts w:ascii="Arial" w:cs="Arial" w:eastAsia="Arial" w:hAnsi="Arial"/>
          <w:sz w:val="24"/>
          <w:szCs w:val="24"/>
          <w:b w:val="1"/>
          <w:bCs w:val="1"/>
          <w:color w:val="auto"/>
        </w:rPr>
        <w:t>J.P. Morgan</w:t>
      </w:r>
      <w:r>
        <w:rPr>
          <w:sz w:val="20"/>
          <w:szCs w:val="20"/>
          <w:color w:val="auto"/>
        </w:rPr>
        <w:tab/>
      </w:r>
      <w:r>
        <w:rPr>
          <w:rFonts w:ascii="Arial" w:cs="Arial" w:eastAsia="Arial" w:hAnsi="Arial"/>
          <w:sz w:val="24"/>
          <w:szCs w:val="24"/>
          <w:b w:val="1"/>
          <w:bCs w:val="1"/>
          <w:color w:val="auto"/>
        </w:rPr>
        <w:t>Cowen</w:t>
      </w:r>
      <w:r>
        <w:rPr>
          <w:sz w:val="20"/>
          <w:szCs w:val="20"/>
          <w:color w:val="auto"/>
        </w:rPr>
        <w:tab/>
      </w:r>
      <w:r>
        <w:rPr>
          <w:rFonts w:ascii="Arial" w:cs="Arial" w:eastAsia="Arial" w:hAnsi="Arial"/>
          <w:sz w:val="24"/>
          <w:szCs w:val="24"/>
          <w:b w:val="1"/>
          <w:bCs w:val="1"/>
          <w:color w:val="auto"/>
        </w:rPr>
        <w:t>SVB Leerink</w:t>
      </w:r>
      <w:r>
        <w:rPr>
          <w:sz w:val="20"/>
          <w:szCs w:val="20"/>
          <w:color w:val="auto"/>
        </w:rPr>
        <w:tab/>
      </w:r>
      <w:r>
        <w:rPr>
          <w:rFonts w:ascii="Arial" w:cs="Arial" w:eastAsia="Arial" w:hAnsi="Arial"/>
          <w:sz w:val="24"/>
          <w:szCs w:val="24"/>
          <w:b w:val="1"/>
          <w:bCs w:val="1"/>
          <w:color w:val="auto"/>
        </w:rPr>
        <w:t>Guggenheim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200" w:type="dxa"/>
        <w:tblCellMar>
          <w:top w:w="0" w:type="dxa"/>
          <w:left w:w="0" w:type="dxa"/>
          <w:bottom w:w="0" w:type="dxa"/>
          <w:right w:w="0" w:type="dxa"/>
        </w:tblCellMar>
      </w:tblPr>
      <w:tr>
        <w:trPr>
          <w:trHeight w:val="211"/>
        </w:trPr>
        <w:tc>
          <w:tcPr>
            <w:tcW w:w="1780" w:type="dxa"/>
            <w:vAlign w:val="bottom"/>
          </w:tcPr>
          <w:p>
            <w:pPr>
              <w:spacing w:after="0"/>
              <w:rPr>
                <w:sz w:val="20"/>
                <w:szCs w:val="20"/>
                <w:color w:val="auto"/>
              </w:rPr>
            </w:pPr>
            <w:r>
              <w:rPr>
                <w:rFonts w:ascii="Arial" w:cs="Arial" w:eastAsia="Arial" w:hAnsi="Arial"/>
                <w:sz w:val="18"/>
                <w:szCs w:val="18"/>
                <w:color w:val="auto"/>
              </w:rPr>
              <w:t>Prospectus dated</w:t>
            </w:r>
          </w:p>
        </w:tc>
        <w:tc>
          <w:tcPr>
            <w:tcW w:w="900" w:type="dxa"/>
            <w:vAlign w:val="bottom"/>
          </w:tcPr>
          <w:p>
            <w:pPr>
              <w:jc w:val="right"/>
              <w:spacing w:after="0"/>
              <w:rPr>
                <w:sz w:val="20"/>
                <w:szCs w:val="20"/>
                <w:color w:val="auto"/>
              </w:rPr>
            </w:pPr>
            <w:r>
              <w:rPr>
                <w:rFonts w:ascii="Arial" w:cs="Arial" w:eastAsia="Arial" w:hAnsi="Arial"/>
                <w:sz w:val="18"/>
                <w:szCs w:val="18"/>
                <w:color w:val="auto"/>
              </w:rPr>
              <w:t>, 2020</w:t>
            </w:r>
          </w:p>
        </w:tc>
      </w:tr>
    </w:tbl>
    <w:p>
      <w:pPr>
        <w:sectPr>
          <w:pgSz w:w="11900" w:h="16838" w:orient="portrait"/>
          <w:cols w:equalWidth="0" w:num="1">
            <w:col w:w="11220"/>
          </w:cols>
          <w:pgMar w:left="240" w:top="459" w:right="43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PART II</w:t>
      </w:r>
    </w:p>
    <w:p>
      <w:pPr>
        <w:spacing w:after="0" w:line="12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Information not required in prospectus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24" w:lineRule="exact"/>
        <w:rPr>
          <w:sz w:val="20"/>
          <w:szCs w:val="20"/>
          <w:color w:val="auto"/>
        </w:rPr>
      </w:pPr>
    </w:p>
    <w:p>
      <w:pPr>
        <w:ind w:left="200" w:right="200"/>
        <w:spacing w:after="0" w:line="238" w:lineRule="auto"/>
        <w:rPr>
          <w:sz w:val="20"/>
          <w:szCs w:val="20"/>
          <w:color w:val="auto"/>
        </w:rPr>
      </w:pPr>
      <w:r>
        <w:rPr>
          <w:rFonts w:ascii="Arial" w:cs="Arial" w:eastAsia="Arial" w:hAnsi="Arial"/>
          <w:sz w:val="18"/>
          <w:szCs w:val="18"/>
          <w:color w:val="auto"/>
        </w:rPr>
        <w:t>The following table sets forth the costs and expenses, other than the underwriting discounts and commissions, payable by the registrant in connection with the sale of common stock being registered. All amounts are estimates except for the Securities and Exchange Commission, or SEC, registration fee, the FINRA filing fee and the Nasdaq Global Market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69850</wp:posOffset>
            </wp:positionV>
            <wp:extent cx="6997700"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Amount paid</w:t>
            </w:r>
          </w:p>
        </w:tc>
      </w:tr>
      <w:tr>
        <w:trPr>
          <w:trHeight w:val="221"/>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Item</w:t>
            </w:r>
          </w:p>
        </w:tc>
        <w:tc>
          <w:tcPr>
            <w:tcW w:w="3340" w:type="dxa"/>
            <w:vAlign w:val="bottom"/>
          </w:tcPr>
          <w:p>
            <w:pPr>
              <w:spacing w:after="0"/>
              <w:rPr>
                <w:sz w:val="19"/>
                <w:szCs w:val="19"/>
                <w:color w:val="auto"/>
              </w:rPr>
            </w:pPr>
          </w:p>
        </w:tc>
        <w:tc>
          <w:tcPr>
            <w:tcW w:w="1140" w:type="dxa"/>
            <w:vAlign w:val="bottom"/>
            <w:gridSpan w:val="3"/>
          </w:tcPr>
          <w:p>
            <w:pPr>
              <w:ind w:left="20"/>
              <w:spacing w:after="0"/>
              <w:rPr>
                <w:sz w:val="20"/>
                <w:szCs w:val="20"/>
                <w:color w:val="auto"/>
              </w:rPr>
            </w:pPr>
            <w:r>
              <w:rPr>
                <w:rFonts w:ascii="Arial" w:cs="Arial" w:eastAsia="Arial" w:hAnsi="Arial"/>
                <w:sz w:val="18"/>
                <w:szCs w:val="18"/>
                <w:b w:val="1"/>
                <w:bCs w:val="1"/>
                <w:color w:val="auto"/>
              </w:rPr>
              <w:t>or to be paid</w:t>
            </w:r>
          </w:p>
        </w:tc>
      </w:tr>
      <w:tr>
        <w:trPr>
          <w:trHeight w:val="196"/>
        </w:trPr>
        <w:tc>
          <w:tcPr>
            <w:tcW w:w="20" w:type="dxa"/>
            <w:vAlign w:val="bottom"/>
          </w:tcPr>
          <w:p>
            <w:pPr>
              <w:spacing w:after="0"/>
              <w:rPr>
                <w:sz w:val="17"/>
                <w:szCs w:val="17"/>
                <w:color w:val="auto"/>
              </w:rPr>
            </w:pPr>
          </w:p>
        </w:tc>
        <w:tc>
          <w:tcPr>
            <w:tcW w:w="65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3520" w:type="dxa"/>
            <w:vAlign w:val="bottom"/>
            <w:tcBorders>
              <w:top w:val="single" w:sz="8" w:color="auto"/>
            </w:tcBorders>
            <w:gridSpan w:val="2"/>
            <w:shd w:val="clear" w:color="auto" w:fill="CCEEFF"/>
          </w:tcPr>
          <w:p>
            <w:pPr>
              <w:ind w:left="3320"/>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23,883</w:t>
            </w:r>
          </w:p>
        </w:tc>
        <w:tc>
          <w:tcPr>
            <w:tcW w:w="60" w:type="dxa"/>
            <w:vAlign w:val="bottom"/>
            <w:tcBorders>
              <w:top w:val="single" w:sz="8" w:color="auto"/>
            </w:tcBorders>
            <w:shd w:val="clear" w:color="auto" w:fill="CCEEFF"/>
          </w:tcPr>
          <w:p>
            <w:pPr>
              <w:spacing w:after="0"/>
              <w:rPr>
                <w:sz w:val="17"/>
                <w:szCs w:val="17"/>
                <w:color w:val="auto"/>
              </w:rPr>
            </w:pP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FINRA filing fee</w:t>
            </w: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28,100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Nasdaq Global Market Listing fee</w:t>
            </w:r>
          </w:p>
        </w:tc>
        <w:tc>
          <w:tcPr>
            <w:tcW w:w="3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125,000</w:t>
            </w:r>
          </w:p>
        </w:tc>
        <w:tc>
          <w:tcPr>
            <w:tcW w:w="60" w:type="dxa"/>
            <w:vAlign w:val="bottom"/>
            <w:shd w:val="clear" w:color="auto" w:fill="CCEEFF"/>
          </w:tcPr>
          <w:p>
            <w:pPr>
              <w:spacing w:after="0"/>
              <w:rPr>
                <w:sz w:val="17"/>
                <w:szCs w:val="17"/>
                <w:color w:val="auto"/>
              </w:rPr>
            </w:pP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3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1,600,000</w:t>
            </w:r>
          </w:p>
        </w:tc>
        <w:tc>
          <w:tcPr>
            <w:tcW w:w="60" w:type="dxa"/>
            <w:vAlign w:val="bottom"/>
            <w:shd w:val="clear" w:color="auto" w:fill="CCEEFF"/>
          </w:tcPr>
          <w:p>
            <w:pPr>
              <w:spacing w:after="0"/>
              <w:rPr>
                <w:sz w:val="17"/>
                <w:szCs w:val="17"/>
                <w:color w:val="auto"/>
              </w:rPr>
            </w:pP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800,000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Blue Sky, qualification fees and expenses</w:t>
            </w:r>
          </w:p>
        </w:tc>
        <w:tc>
          <w:tcPr>
            <w:tcW w:w="3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7"/>
                <w:szCs w:val="17"/>
                <w:color w:val="auto"/>
              </w:rPr>
            </w:pPr>
          </w:p>
        </w:tc>
      </w:tr>
      <w:tr>
        <w:trPr>
          <w:trHeight w:val="203"/>
        </w:trPr>
        <w:tc>
          <w:tcPr>
            <w:tcW w:w="6560" w:type="dxa"/>
            <w:vAlign w:val="bottom"/>
            <w:gridSpan w:val="2"/>
          </w:tcPr>
          <w:p>
            <w:pPr>
              <w:spacing w:after="0" w:line="202" w:lineRule="exact"/>
              <w:rPr>
                <w:sz w:val="20"/>
                <w:szCs w:val="20"/>
                <w:color w:val="auto"/>
              </w:rPr>
            </w:pPr>
            <w:r>
              <w:rPr>
                <w:rFonts w:ascii="Arial" w:cs="Arial" w:eastAsia="Arial" w:hAnsi="Arial"/>
                <w:sz w:val="18"/>
                <w:szCs w:val="18"/>
                <w:color w:val="auto"/>
              </w:rPr>
              <w:t>Transfer Agent fees and expenses</w:t>
            </w: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5,000</w:t>
            </w:r>
          </w:p>
        </w:tc>
        <w:tc>
          <w:tcPr>
            <w:tcW w:w="6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Miscellaneous expenses</w:t>
            </w:r>
          </w:p>
        </w:tc>
        <w:tc>
          <w:tcPr>
            <w:tcW w:w="33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108,017</w:t>
            </w:r>
          </w:p>
        </w:tc>
        <w:tc>
          <w:tcPr>
            <w:tcW w:w="60" w:type="dxa"/>
            <w:vAlign w:val="bottom"/>
            <w:shd w:val="clear" w:color="auto" w:fill="CCEEFF"/>
          </w:tcPr>
          <w:p>
            <w:pPr>
              <w:spacing w:after="0"/>
              <w:rPr>
                <w:sz w:val="17"/>
                <w:szCs w:val="17"/>
                <w:color w:val="auto"/>
              </w:rPr>
            </w:pPr>
          </w:p>
        </w:tc>
      </w:tr>
      <w:tr>
        <w:trPr>
          <w:trHeight w:val="222"/>
        </w:trPr>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3520" w:type="dxa"/>
            <w:vAlign w:val="bottom"/>
            <w:tcBorders>
              <w:bottom w:val="single" w:sz="8" w:color="auto"/>
            </w:tcBorders>
            <w:gridSpan w:val="2"/>
          </w:tcPr>
          <w:p>
            <w:pPr>
              <w:ind w:left="33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3,200,000</w:t>
            </w:r>
          </w:p>
        </w:tc>
        <w:tc>
          <w:tcPr>
            <w:tcW w:w="60" w:type="dxa"/>
            <w:vAlign w:val="bottom"/>
          </w:tcPr>
          <w:p>
            <w:pPr>
              <w:spacing w:after="0"/>
              <w:rPr>
                <w:sz w:val="19"/>
                <w:szCs w:val="19"/>
                <w:color w:val="auto"/>
              </w:rPr>
            </w:pPr>
          </w:p>
        </w:tc>
      </w:tr>
    </w:tbl>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24" w:lineRule="exact"/>
        <w:rPr>
          <w:sz w:val="20"/>
          <w:szCs w:val="20"/>
          <w:color w:val="auto"/>
        </w:rPr>
      </w:pPr>
    </w:p>
    <w:p>
      <w:pPr>
        <w:ind w:left="200" w:right="20"/>
        <w:spacing w:after="0" w:line="236" w:lineRule="auto"/>
        <w:rPr>
          <w:sz w:val="20"/>
          <w:szCs w:val="20"/>
          <w:color w:val="auto"/>
        </w:rPr>
      </w:pPr>
      <w:r>
        <w:rPr>
          <w:rFonts w:ascii="Arial" w:cs="Arial" w:eastAsia="Arial" w:hAnsi="Arial"/>
          <w:sz w:val="18"/>
          <w:szCs w:val="18"/>
          <w:color w:val="auto"/>
        </w:rPr>
        <w:t>As permitted by Section 102 of the Delaware General Corporation Law, we have adopted provisions in our amended and restated certificate of incorporation and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12" w:lineRule="exact"/>
        <w:rPr>
          <w:sz w:val="20"/>
          <w:szCs w:val="20"/>
          <w:color w:val="auto"/>
        </w:rPr>
      </w:pPr>
    </w:p>
    <w:p>
      <w:pPr>
        <w:ind w:left="420" w:hanging="216"/>
        <w:spacing w:after="0"/>
        <w:tabs>
          <w:tab w:leader="none" w:pos="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ind w:left="420" w:hanging="216"/>
        <w:spacing w:after="0" w:line="234" w:lineRule="auto"/>
        <w:tabs>
          <w:tab w:leader="none" w:pos="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ind w:left="420" w:hanging="216"/>
        <w:spacing w:after="0" w:line="234" w:lineRule="auto"/>
        <w:tabs>
          <w:tab w:leader="none" w:pos="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act related to unlawful stock repurchases, redemptions or other distributions or payment of dividends; or</w:t>
      </w:r>
    </w:p>
    <w:p>
      <w:pPr>
        <w:ind w:left="420" w:hanging="216"/>
        <w:spacing w:after="0"/>
        <w:tabs>
          <w:tab w:leader="none" w:pos="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04" w:lineRule="exact"/>
        <w:rPr>
          <w:sz w:val="20"/>
          <w:szCs w:val="20"/>
          <w:color w:val="auto"/>
        </w:rPr>
      </w:pPr>
    </w:p>
    <w:p>
      <w:pPr>
        <w:ind w:left="200" w:right="40"/>
        <w:spacing w:after="0" w:line="238" w:lineRule="auto"/>
        <w:rPr>
          <w:sz w:val="20"/>
          <w:szCs w:val="20"/>
          <w:color w:val="auto"/>
        </w:rPr>
      </w:pPr>
      <w:r>
        <w:rPr>
          <w:rFonts w:ascii="Arial" w:cs="Arial" w:eastAsia="Arial" w:hAnsi="Arial"/>
          <w:sz w:val="18"/>
          <w:szCs w:val="18"/>
          <w:color w:val="auto"/>
        </w:rPr>
        <w:t>These limitations of liability do not affect the availability of equitable remedies such as injunctive relief or rescission. Our amended and restated certificate of incorporation also authorizes us to indemnify our officers, directors and other agents to the fullest extent permitted under Delaware law.</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 permitted by Section 145 of the Delaware General Corporation Law, our amended and restated bylaws provide that:</w:t>
      </w:r>
    </w:p>
    <w:p>
      <w:pPr>
        <w:spacing w:after="0" w:line="117" w:lineRule="exact"/>
        <w:rPr>
          <w:sz w:val="20"/>
          <w:szCs w:val="20"/>
          <w:color w:val="auto"/>
        </w:rPr>
      </w:pPr>
    </w:p>
    <w:p>
      <w:pPr>
        <w:ind w:left="420" w:right="100" w:hanging="216"/>
        <w:spacing w:after="0" w:line="239" w:lineRule="auto"/>
        <w:tabs>
          <w:tab w:leader="none" w:pos="4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shall indemnify our directors and officers, and may indemnify our employees and agents to the fullest extent permitted by the Delaware General Corporation Law, subject to limited exceptions;</w:t>
      </w:r>
    </w:p>
    <w:p>
      <w:pPr>
        <w:spacing w:after="0" w:line="114" w:lineRule="exact"/>
        <w:rPr>
          <w:rFonts w:ascii="Arial" w:cs="Arial" w:eastAsia="Arial" w:hAnsi="Arial"/>
          <w:sz w:val="18"/>
          <w:szCs w:val="18"/>
          <w:color w:val="auto"/>
        </w:rPr>
      </w:pPr>
    </w:p>
    <w:p>
      <w:pPr>
        <w:ind w:left="420" w:right="360" w:hanging="216"/>
        <w:spacing w:after="0" w:line="239" w:lineRule="auto"/>
        <w:tabs>
          <w:tab w:leader="none" w:pos="4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we shall advance expenses to our directors and officers and may advance expenses to our employees and agents in connection with a legal proceeding to the fullest extent permitted by the Delaware General Corporation Law, subject to limited exceptions; and</w:t>
      </w:r>
    </w:p>
    <w:p>
      <w:pPr>
        <w:spacing w:after="0" w:line="114" w:lineRule="exact"/>
        <w:rPr>
          <w:rFonts w:ascii="Arial" w:cs="Arial" w:eastAsia="Arial" w:hAnsi="Arial"/>
          <w:sz w:val="18"/>
          <w:szCs w:val="18"/>
          <w:color w:val="auto"/>
        </w:rPr>
      </w:pPr>
    </w:p>
    <w:p>
      <w:pPr>
        <w:ind w:left="420" w:hanging="216"/>
        <w:spacing w:after="0"/>
        <w:tabs>
          <w:tab w:leader="none" w:pos="4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rights provided in our amended and restated bylaws are not exclusive.</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59" w:right="41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80"/>
        <w:spacing w:after="0" w:line="235" w:lineRule="auto"/>
        <w:rPr>
          <w:sz w:val="20"/>
          <w:szCs w:val="20"/>
          <w:color w:val="auto"/>
        </w:rPr>
      </w:pPr>
      <w:r>
        <w:rPr>
          <w:rFonts w:ascii="Arial" w:cs="Arial" w:eastAsia="Arial" w:hAnsi="Arial"/>
          <w:sz w:val="18"/>
          <w:szCs w:val="18"/>
          <w:color w:val="auto"/>
        </w:rPr>
        <w:t>Our amended and restated certificate of incorporation, to be attached as Exhibit 3.3 hereto, and our amended and restated bylaws, to be attached as Exhibit 3.5 hereto, provide for the indemnification provisions described above and elsewhere herein. We have entered into separate indemnification agreements with our directors and officers which may be broader than the specific indemnification provisions contained in the Delaware General Corporation Law. These indemnification agreements generally require us, among other things, to indemnify our officers and directors against liabilities that may arise by reason of their status or service as directors or officers, other than liabilities arising from willful misconduct. These indemnification agreements also generally require us to advance any expenses incurred by the directors or officers as a result of any proceeding against them as to which they could be indemnified. In addition, we have purchased a policy of directors’ and officers’ liability insurance that insures our directors and officers against the cost of defense, settlement or payment of a judgment in some circumstances.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07" w:lineRule="exact"/>
        <w:rPr>
          <w:sz w:val="20"/>
          <w:szCs w:val="20"/>
          <w:color w:val="auto"/>
        </w:rPr>
      </w:pPr>
    </w:p>
    <w:p>
      <w:pPr>
        <w:ind w:left="200" w:right="260"/>
        <w:spacing w:after="0" w:line="239" w:lineRule="auto"/>
        <w:rPr>
          <w:sz w:val="20"/>
          <w:szCs w:val="20"/>
          <w:color w:val="auto"/>
        </w:rPr>
      </w:pPr>
      <w:r>
        <w:rPr>
          <w:rFonts w:ascii="Arial" w:cs="Arial" w:eastAsia="Arial" w:hAnsi="Arial"/>
          <w:sz w:val="18"/>
          <w:szCs w:val="18"/>
          <w:color w:val="auto"/>
        </w:rPr>
        <w:t>The form of Underwriting Agreement, attached as Exhibit 1.1 hereto, provides for indemnification by the underwriters of us and our officers who sign this Registration Statement and directors for specified liabilities, including matters arising under the Securities Act.</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24" w:lineRule="exact"/>
        <w:rPr>
          <w:sz w:val="20"/>
          <w:szCs w:val="20"/>
          <w:color w:val="auto"/>
        </w:rPr>
      </w:pPr>
    </w:p>
    <w:p>
      <w:pPr>
        <w:ind w:left="200"/>
        <w:spacing w:after="0" w:line="239" w:lineRule="auto"/>
        <w:rPr>
          <w:sz w:val="20"/>
          <w:szCs w:val="20"/>
          <w:color w:val="auto"/>
        </w:rPr>
      </w:pPr>
      <w:r>
        <w:rPr>
          <w:rFonts w:ascii="Arial" w:cs="Arial" w:eastAsia="Arial" w:hAnsi="Arial"/>
          <w:sz w:val="18"/>
          <w:szCs w:val="18"/>
          <w:color w:val="auto"/>
        </w:rPr>
        <w:t>The following list sets forth information as to all securities we have sold since January 1, 2016, which were not registered under the Securities Act.</w:t>
      </w:r>
    </w:p>
    <w:p>
      <w:pPr>
        <w:spacing w:after="0" w:line="114" w:lineRule="exact"/>
        <w:rPr>
          <w:sz w:val="20"/>
          <w:szCs w:val="20"/>
          <w:color w:val="auto"/>
        </w:rPr>
      </w:pPr>
    </w:p>
    <w:p>
      <w:pPr>
        <w:ind w:left="640" w:right="440" w:hanging="436"/>
        <w:spacing w:after="0" w:line="239" w:lineRule="auto"/>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February, July, October and December 2016 and April and May 2017, we issued an aggregate of 10,315,088 shares of Series A preferred stock to five accredited investors at a price per share of $4.87, for a total amount raised of $50.2 million.</w:t>
      </w:r>
    </w:p>
    <w:p>
      <w:pPr>
        <w:spacing w:after="0" w:line="114" w:lineRule="exact"/>
        <w:rPr>
          <w:rFonts w:ascii="Arial" w:cs="Arial" w:eastAsia="Arial" w:hAnsi="Arial"/>
          <w:sz w:val="18"/>
          <w:szCs w:val="18"/>
          <w:color w:val="auto"/>
        </w:rPr>
      </w:pPr>
    </w:p>
    <w:p>
      <w:pPr>
        <w:ind w:left="640" w:right="140" w:hanging="436"/>
        <w:spacing w:after="0" w:line="239" w:lineRule="auto"/>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March and June 2018, we issued an aggregate of 7,731,155 shares of Series B preferred stock to 17 accredited investors at a price per share of $7.30, for a total amount raised of $56.4 million.</w:t>
      </w:r>
    </w:p>
    <w:p>
      <w:pPr>
        <w:spacing w:after="0" w:line="114" w:lineRule="exact"/>
        <w:rPr>
          <w:rFonts w:ascii="Arial" w:cs="Arial" w:eastAsia="Arial" w:hAnsi="Arial"/>
          <w:sz w:val="18"/>
          <w:szCs w:val="18"/>
          <w:color w:val="auto"/>
        </w:rPr>
      </w:pPr>
    </w:p>
    <w:p>
      <w:pPr>
        <w:ind w:left="640" w:right="320" w:hanging="436"/>
        <w:spacing w:after="0" w:line="239" w:lineRule="auto"/>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October 2018, we issued an aggregate of 6,797,915 shares of Series B preferred stock to 91 accredited investors pursuant to our acquisition of Warp Drive Bio, Inc.</w:t>
      </w:r>
    </w:p>
    <w:p>
      <w:pPr>
        <w:spacing w:after="0" w:line="114" w:lineRule="exact"/>
        <w:rPr>
          <w:rFonts w:ascii="Arial" w:cs="Arial" w:eastAsia="Arial" w:hAnsi="Arial"/>
          <w:sz w:val="18"/>
          <w:szCs w:val="18"/>
          <w:color w:val="auto"/>
        </w:rPr>
      </w:pPr>
    </w:p>
    <w:p>
      <w:pPr>
        <w:ind w:left="640" w:right="120" w:hanging="436"/>
        <w:spacing w:after="0" w:line="239" w:lineRule="auto"/>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October 2018, we issued an aggregate of 200,493 shares of Series B preferred stock to one accredited investor at a price per share of $10.03 pursuant to the conversion of a promissory note.</w:t>
      </w:r>
    </w:p>
    <w:p>
      <w:pPr>
        <w:spacing w:after="0" w:line="114" w:lineRule="exact"/>
        <w:rPr>
          <w:rFonts w:ascii="Arial" w:cs="Arial" w:eastAsia="Arial" w:hAnsi="Arial"/>
          <w:sz w:val="18"/>
          <w:szCs w:val="18"/>
          <w:color w:val="auto"/>
        </w:rPr>
      </w:pPr>
    </w:p>
    <w:p>
      <w:pPr>
        <w:ind w:left="640" w:right="240" w:hanging="436"/>
        <w:spacing w:after="0" w:line="239" w:lineRule="auto"/>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November 2018, we issued an aggregate of 435,544 shares of Series B preferred stock to eight accredited investors at a price per share of $10.03, for a total amount raised of $4.4 million.</w:t>
      </w:r>
    </w:p>
    <w:p>
      <w:pPr>
        <w:spacing w:after="0" w:line="114" w:lineRule="exact"/>
        <w:rPr>
          <w:rFonts w:ascii="Arial" w:cs="Arial" w:eastAsia="Arial" w:hAnsi="Arial"/>
          <w:sz w:val="18"/>
          <w:szCs w:val="18"/>
          <w:color w:val="auto"/>
        </w:rPr>
      </w:pPr>
    </w:p>
    <w:p>
      <w:pPr>
        <w:ind w:left="640" w:right="200" w:hanging="436"/>
        <w:spacing w:after="0" w:line="239" w:lineRule="auto"/>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June and July 2019, we issued an aggregate of 10,004,514 shares of Series C preferred stock to 34 accredited investors at a price per share of $10.03, for a total amount raised of $100.3 million.</w:t>
      </w:r>
    </w:p>
    <w:p>
      <w:pPr>
        <w:spacing w:after="0" w:line="114" w:lineRule="exact"/>
        <w:rPr>
          <w:rFonts w:ascii="Arial" w:cs="Arial" w:eastAsia="Arial" w:hAnsi="Arial"/>
          <w:sz w:val="18"/>
          <w:szCs w:val="18"/>
          <w:color w:val="auto"/>
        </w:rPr>
      </w:pPr>
    </w:p>
    <w:p>
      <w:pPr>
        <w:ind w:left="640" w:right="300" w:hanging="436"/>
        <w:spacing w:after="0" w:line="238" w:lineRule="auto"/>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granted stock options and stock awards to employees, directors and consultants covering an aggregate of 6,674,926 shares of common stock, at a weighted-average exercise price of $2.86 per share. Of these, options covering an aggregate of 435,549 shares were cancelled without being exercised.</w:t>
      </w:r>
    </w:p>
    <w:p>
      <w:pPr>
        <w:spacing w:after="0" w:line="113" w:lineRule="exact"/>
        <w:rPr>
          <w:rFonts w:ascii="Arial" w:cs="Arial" w:eastAsia="Arial" w:hAnsi="Arial"/>
          <w:sz w:val="18"/>
          <w:szCs w:val="18"/>
          <w:color w:val="auto"/>
        </w:rPr>
      </w:pPr>
    </w:p>
    <w:p>
      <w:pPr>
        <w:ind w:left="640" w:right="460" w:hanging="436"/>
        <w:spacing w:after="0" w:line="239" w:lineRule="auto"/>
        <w:tabs>
          <w:tab w:leader="none" w:pos="6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We sold an aggregate of 1,707,011 shares of common stock to employees, directors and consultants for cash consideration in the aggregate amount of $1.2 million pursuant to stock options and restricted stock awards.</w:t>
      </w:r>
    </w:p>
    <w:p>
      <w:pPr>
        <w:spacing w:after="0" w:line="101" w:lineRule="exact"/>
        <w:rPr>
          <w:sz w:val="20"/>
          <w:szCs w:val="20"/>
          <w:color w:val="auto"/>
        </w:rPr>
      </w:pPr>
    </w:p>
    <w:p>
      <w:pPr>
        <w:ind w:left="200" w:right="180"/>
        <w:spacing w:after="0" w:line="238" w:lineRule="auto"/>
        <w:rPr>
          <w:sz w:val="20"/>
          <w:szCs w:val="20"/>
          <w:color w:val="auto"/>
        </w:rPr>
      </w:pPr>
      <w:r>
        <w:rPr>
          <w:rFonts w:ascii="Arial" w:cs="Arial" w:eastAsia="Arial" w:hAnsi="Arial"/>
          <w:sz w:val="18"/>
          <w:szCs w:val="18"/>
          <w:color w:val="auto"/>
        </w:rPr>
        <w:t>We claimed exemption from registration under the Securities Act for the sale and issuance of securities in the transactions described in paragraphs (1) through (5) by virtue of Section 4(a)(2) and/or Regulation D promulgated thereunder as transactions not involving any public offering. All of the purchasers of unregistered</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80"/>
          </w:cols>
          <w:pgMar w:left="240" w:top="460" w:right="47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securities for which we relied on Section 4(a)(2) and/or Regulation D represented that they were accredited investors as defined under the Securities Act. We claimed such exemption on the basis that (a) the purchasers in each case represented that they intended to acquire the securities for investment only and not with a view to the distribution thereof and that they either received adequate information about the registrant or had access, through employment or other relationships, to such information and (b) appropriate legends were affixed to the stock certificates issued in such transactions.</w:t>
      </w:r>
    </w:p>
    <w:p>
      <w:pPr>
        <w:spacing w:after="0" w:line="103" w:lineRule="exact"/>
        <w:rPr>
          <w:sz w:val="20"/>
          <w:szCs w:val="20"/>
          <w:color w:val="auto"/>
        </w:rPr>
      </w:pPr>
    </w:p>
    <w:p>
      <w:pPr>
        <w:ind w:left="200" w:right="200"/>
        <w:spacing w:after="0" w:line="237" w:lineRule="auto"/>
        <w:rPr>
          <w:sz w:val="20"/>
          <w:szCs w:val="20"/>
          <w:color w:val="auto"/>
        </w:rPr>
      </w:pPr>
      <w:r>
        <w:rPr>
          <w:rFonts w:ascii="Arial" w:cs="Arial" w:eastAsia="Arial" w:hAnsi="Arial"/>
          <w:sz w:val="18"/>
          <w:szCs w:val="18"/>
          <w:color w:val="auto"/>
        </w:rPr>
        <w:t>We claimed exemption from registration under the Securities Act for the sales and issuances of securities in the transactions described in paragraphs (6) and (7) above under Section 4(a)(2) of the Securities Act in that such sales and issuances did not involve a public offering or under Rule 701 promulgated under the Securities Act, in that they were offered and sold either pursuant to written compensatory plans or pursuant to a written contract relating to compensation, as provided by Rule 701.</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16. Exhibits and financial statement schedules.</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85090</wp:posOffset>
            </wp:positionV>
            <wp:extent cx="6997700"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5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gridSpan w:val="4"/>
          </w:tcPr>
          <w:p>
            <w:pPr>
              <w:jc w:val="right"/>
              <w:ind w:right="912"/>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32"/>
        </w:trPr>
        <w:tc>
          <w:tcPr>
            <w:tcW w:w="96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150"/>
        </w:trPr>
        <w:tc>
          <w:tcPr>
            <w:tcW w:w="96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6560" w:type="dxa"/>
            <w:vAlign w:val="bottom"/>
            <w:gridSpan w:val="24"/>
          </w:tcPr>
          <w:p>
            <w:pPr>
              <w:spacing w:after="0"/>
              <w:rPr>
                <w:sz w:val="20"/>
                <w:szCs w:val="20"/>
                <w:color w:val="auto"/>
              </w:rPr>
            </w:pPr>
            <w:r>
              <w:rPr>
                <w:rFonts w:ascii="Arial" w:cs="Arial" w:eastAsia="Arial" w:hAnsi="Arial"/>
                <w:sz w:val="18"/>
                <w:szCs w:val="18"/>
                <w:b w:val="1"/>
                <w:bCs w:val="1"/>
                <w:color w:val="auto"/>
              </w:rPr>
              <w:t>Exhibit description</w:t>
            </w:r>
          </w:p>
        </w:tc>
        <w:tc>
          <w:tcPr>
            <w:tcW w:w="580" w:type="dxa"/>
            <w:vAlign w:val="bottom"/>
          </w:tcPr>
          <w:p>
            <w:pPr>
              <w:jc w:val="center"/>
              <w:ind w:right="52"/>
              <w:spacing w:after="0"/>
              <w:rPr>
                <w:sz w:val="20"/>
                <w:szCs w:val="20"/>
                <w:color w:val="auto"/>
              </w:rPr>
            </w:pPr>
            <w:r>
              <w:rPr>
                <w:rFonts w:ascii="Arial" w:cs="Arial" w:eastAsia="Arial" w:hAnsi="Arial"/>
                <w:sz w:val="18"/>
                <w:szCs w:val="18"/>
                <w:b w:val="1"/>
                <w:bCs w:val="1"/>
                <w:color w:val="auto"/>
                <w:w w:val="97"/>
              </w:rPr>
              <w:t>Form</w:t>
            </w:r>
          </w:p>
        </w:tc>
        <w:tc>
          <w:tcPr>
            <w:tcW w:w="1160" w:type="dxa"/>
            <w:vAlign w:val="bottom"/>
          </w:tcPr>
          <w:p>
            <w:pPr>
              <w:jc w:val="right"/>
              <w:ind w:right="12"/>
              <w:spacing w:after="0"/>
              <w:rPr>
                <w:sz w:val="20"/>
                <w:szCs w:val="20"/>
                <w:color w:val="auto"/>
              </w:rPr>
            </w:pPr>
            <w:r>
              <w:rPr>
                <w:rFonts w:ascii="Arial" w:cs="Arial" w:eastAsia="Arial" w:hAnsi="Arial"/>
                <w:sz w:val="18"/>
                <w:szCs w:val="18"/>
                <w:b w:val="1"/>
                <w:bCs w:val="1"/>
                <w:color w:val="auto"/>
              </w:rPr>
              <w:t>Date</w:t>
            </w:r>
          </w:p>
        </w:tc>
        <w:tc>
          <w:tcPr>
            <w:tcW w:w="1780" w:type="dxa"/>
            <w:vAlign w:val="bottom"/>
            <w:gridSpan w:val="2"/>
          </w:tcPr>
          <w:p>
            <w:pPr>
              <w:jc w:val="right"/>
              <w:spacing w:after="0"/>
              <w:rPr>
                <w:sz w:val="20"/>
                <w:szCs w:val="20"/>
                <w:color w:val="auto"/>
              </w:rPr>
            </w:pPr>
            <w:r>
              <w:rPr>
                <w:rFonts w:ascii="Arial" w:cs="Arial" w:eastAsia="Arial" w:hAnsi="Arial"/>
                <w:sz w:val="18"/>
                <w:szCs w:val="18"/>
                <w:b w:val="1"/>
                <w:bCs w:val="1"/>
                <w:color w:val="auto"/>
              </w:rPr>
              <w:t>Number   herewith</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40" w:type="dxa"/>
            <w:vAlign w:val="bottom"/>
            <w:tcBorders>
              <w:top w:val="single" w:sz="8" w:color="auto"/>
            </w:tcBorders>
          </w:tcPr>
          <w:p>
            <w:pPr>
              <w:jc w:val="right"/>
              <w:ind w:right="532"/>
              <w:spacing w:after="0"/>
              <w:rPr>
                <w:sz w:val="20"/>
                <w:szCs w:val="20"/>
                <w:color w:val="auto"/>
              </w:rPr>
            </w:pPr>
            <w:r>
              <w:rPr>
                <w:rFonts w:ascii="Arial" w:cs="Arial" w:eastAsia="Arial" w:hAnsi="Arial"/>
                <w:sz w:val="18"/>
                <w:szCs w:val="18"/>
                <w:color w:val="auto"/>
              </w:rPr>
              <w:t>1.1</w:t>
            </w:r>
          </w:p>
        </w:tc>
        <w:tc>
          <w:tcPr>
            <w:tcW w:w="2600" w:type="dxa"/>
            <w:vAlign w:val="bottom"/>
            <w:tcBorders>
              <w:top w:val="single" w:sz="8" w:color="auto"/>
              <w:bottom w:val="single" w:sz="8" w:color="0000EE"/>
            </w:tcBorders>
            <w:gridSpan w:val="8"/>
          </w:tcPr>
          <w:p>
            <w:pPr>
              <w:spacing w:after="0"/>
              <w:rPr>
                <w:rFonts w:ascii="Arial" w:cs="Arial" w:eastAsia="Arial" w:hAnsi="Arial"/>
                <w:sz w:val="18"/>
                <w:szCs w:val="18"/>
                <w:color w:val="0000EE"/>
                <w:w w:val="96"/>
              </w:rPr>
            </w:pPr>
            <w:hyperlink r:id="rId592">
              <w:r>
                <w:rPr>
                  <w:rFonts w:ascii="Arial" w:cs="Arial" w:eastAsia="Arial" w:hAnsi="Arial"/>
                  <w:sz w:val="18"/>
                  <w:szCs w:val="18"/>
                  <w:color w:val="0000EE"/>
                  <w:w w:val="96"/>
                </w:rPr>
                <w:t>Form of Underwriting Agreement.</w:t>
              </w:r>
            </w:hyperlink>
          </w:p>
        </w:tc>
        <w:tc>
          <w:tcPr>
            <w:tcW w:w="3960" w:type="dxa"/>
            <w:vAlign w:val="bottom"/>
            <w:tcBorders>
              <w:top w:val="single" w:sz="8" w:color="auto"/>
            </w:tcBorders>
            <w:gridSpan w:val="16"/>
          </w:tcPr>
          <w:p>
            <w:pPr>
              <w:spacing w:after="0"/>
              <w:rPr>
                <w:sz w:val="19"/>
                <w:szCs w:val="19"/>
                <w:color w:val="auto"/>
              </w:rPr>
            </w:pPr>
          </w:p>
        </w:tc>
        <w:tc>
          <w:tcPr>
            <w:tcW w:w="580" w:type="dxa"/>
            <w:vAlign w:val="bottom"/>
            <w:tcBorders>
              <w:top w:val="single" w:sz="8" w:color="auto"/>
            </w:tcBorders>
          </w:tcPr>
          <w:p>
            <w:pPr>
              <w:jc w:val="center"/>
              <w:ind w:right="52"/>
              <w:spacing w:after="0"/>
              <w:rPr>
                <w:sz w:val="20"/>
                <w:szCs w:val="20"/>
                <w:color w:val="auto"/>
              </w:rPr>
            </w:pPr>
            <w:r>
              <w:rPr>
                <w:rFonts w:ascii="Arial" w:cs="Arial" w:eastAsia="Arial" w:hAnsi="Arial"/>
                <w:sz w:val="18"/>
                <w:szCs w:val="18"/>
                <w:color w:val="auto"/>
                <w:w w:val="99"/>
              </w:rPr>
              <w:t>S-1</w:t>
            </w: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1/17/2020</w:t>
            </w: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1.1</w:t>
            </w: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60" w:type="dxa"/>
            <w:vAlign w:val="bottom"/>
            <w:gridSpan w:val="2"/>
          </w:tcPr>
          <w:p>
            <w:pPr>
              <w:jc w:val="right"/>
              <w:ind w:right="532"/>
              <w:spacing w:after="0"/>
              <w:rPr>
                <w:sz w:val="20"/>
                <w:szCs w:val="20"/>
                <w:color w:val="auto"/>
              </w:rPr>
            </w:pPr>
            <w:r>
              <w:rPr>
                <w:rFonts w:ascii="Arial" w:cs="Arial" w:eastAsia="Arial" w:hAnsi="Arial"/>
                <w:sz w:val="18"/>
                <w:szCs w:val="18"/>
                <w:color w:val="auto"/>
              </w:rPr>
              <w:t>2.1</w:t>
            </w:r>
          </w:p>
        </w:tc>
        <w:tc>
          <w:tcPr>
            <w:tcW w:w="6560" w:type="dxa"/>
            <w:vAlign w:val="bottom"/>
            <w:gridSpan w:val="24"/>
          </w:tcPr>
          <w:p>
            <w:pPr>
              <w:spacing w:after="0"/>
              <w:rPr>
                <w:rFonts w:ascii="Arial" w:cs="Arial" w:eastAsia="Arial" w:hAnsi="Arial"/>
                <w:sz w:val="18"/>
                <w:szCs w:val="18"/>
                <w:color w:val="0000EE"/>
              </w:rPr>
            </w:pPr>
            <w:hyperlink r:id="rId593">
              <w:r>
                <w:rPr>
                  <w:rFonts w:ascii="Arial" w:cs="Arial" w:eastAsia="Arial" w:hAnsi="Arial"/>
                  <w:sz w:val="18"/>
                  <w:szCs w:val="18"/>
                  <w:color w:val="0000EE"/>
                </w:rPr>
                <w:t>Agreement and Plan of Merger, dated as of October 15, 2018, by and among</w:t>
              </w:r>
            </w:hyperlink>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560" w:type="dxa"/>
            <w:vAlign w:val="bottom"/>
            <w:gridSpan w:val="24"/>
          </w:tcPr>
          <w:p>
            <w:pPr>
              <w:spacing w:after="0" w:line="182" w:lineRule="exact"/>
              <w:rPr>
                <w:rFonts w:ascii="Arial" w:cs="Arial" w:eastAsia="Arial" w:hAnsi="Arial"/>
                <w:sz w:val="18"/>
                <w:szCs w:val="18"/>
                <w:color w:val="0000EE"/>
              </w:rPr>
            </w:pPr>
            <w:hyperlink r:id="rId593">
              <w:r>
                <w:rPr>
                  <w:rFonts w:ascii="Arial" w:cs="Arial" w:eastAsia="Arial" w:hAnsi="Arial"/>
                  <w:sz w:val="18"/>
                  <w:szCs w:val="18"/>
                  <w:color w:val="0000EE"/>
                </w:rPr>
                <w:t>Revolution Medicines, Inc., Trotsky Merger Sub, Inc., Warp Drive Bio, Inc., and</w:t>
              </w:r>
            </w:hyperlink>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10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593">
              <w:r>
                <w:rPr>
                  <w:rFonts w:ascii="Arial" w:cs="Arial" w:eastAsia="Arial" w:hAnsi="Arial"/>
                  <w:sz w:val="18"/>
                  <w:szCs w:val="18"/>
                  <w:color w:val="0000EE"/>
                </w:rPr>
                <w:t>Fortis Advisors LLC.</w:t>
              </w:r>
            </w:hyperlink>
          </w:p>
        </w:tc>
        <w:tc>
          <w:tcPr>
            <w:tcW w:w="460" w:type="dxa"/>
            <w:vAlign w:val="bottom"/>
            <w:gridSpan w:val="6"/>
          </w:tcPr>
          <w:p>
            <w:pPr>
              <w:spacing w:after="0"/>
              <w:rPr>
                <w:sz w:val="15"/>
                <w:szCs w:val="15"/>
                <w:color w:val="auto"/>
              </w:rPr>
            </w:pPr>
          </w:p>
        </w:tc>
        <w:tc>
          <w:tcPr>
            <w:tcW w:w="580" w:type="dxa"/>
            <w:vAlign w:val="bottom"/>
          </w:tcPr>
          <w:p>
            <w:pPr>
              <w:jc w:val="center"/>
              <w:ind w:right="52"/>
              <w:spacing w:after="0" w:line="182" w:lineRule="exact"/>
              <w:rPr>
                <w:sz w:val="20"/>
                <w:szCs w:val="20"/>
                <w:color w:val="auto"/>
              </w:rPr>
            </w:pPr>
            <w:r>
              <w:rPr>
                <w:rFonts w:ascii="Arial" w:cs="Arial" w:eastAsia="Arial" w:hAnsi="Arial"/>
                <w:sz w:val="18"/>
                <w:szCs w:val="18"/>
                <w:color w:val="auto"/>
                <w:w w:val="99"/>
              </w:rPr>
              <w:t>S-1</w:t>
            </w:r>
          </w:p>
        </w:tc>
        <w:tc>
          <w:tcPr>
            <w:tcW w:w="1160" w:type="dxa"/>
            <w:vAlign w:val="bottom"/>
          </w:tcPr>
          <w:p>
            <w:pPr>
              <w:jc w:val="right"/>
              <w:ind w:right="172"/>
              <w:spacing w:after="0" w:line="182" w:lineRule="exact"/>
              <w:rPr>
                <w:sz w:val="20"/>
                <w:szCs w:val="20"/>
                <w:color w:val="auto"/>
              </w:rPr>
            </w:pPr>
            <w:r>
              <w:rPr>
                <w:rFonts w:ascii="Arial" w:cs="Arial" w:eastAsia="Arial" w:hAnsi="Arial"/>
                <w:sz w:val="18"/>
                <w:szCs w:val="18"/>
                <w:color w:val="auto"/>
              </w:rPr>
              <w:t>1/17/2020</w:t>
            </w:r>
          </w:p>
        </w:tc>
        <w:tc>
          <w:tcPr>
            <w:tcW w:w="780" w:type="dxa"/>
            <w:vAlign w:val="bottom"/>
          </w:tcPr>
          <w:p>
            <w:pPr>
              <w:jc w:val="center"/>
              <w:spacing w:after="0" w:line="182" w:lineRule="exact"/>
              <w:rPr>
                <w:sz w:val="20"/>
                <w:szCs w:val="20"/>
                <w:color w:val="auto"/>
              </w:rPr>
            </w:pPr>
            <w:r>
              <w:rPr>
                <w:rFonts w:ascii="Arial" w:cs="Arial" w:eastAsia="Arial" w:hAnsi="Arial"/>
                <w:sz w:val="18"/>
                <w:szCs w:val="18"/>
                <w:color w:val="auto"/>
                <w:w w:val="95"/>
              </w:rPr>
              <w:t>2.1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tcPr>
          <w:p>
            <w:pPr>
              <w:jc w:val="right"/>
              <w:ind w:right="532"/>
              <w:spacing w:after="0"/>
              <w:rPr>
                <w:sz w:val="20"/>
                <w:szCs w:val="20"/>
                <w:color w:val="auto"/>
              </w:rPr>
            </w:pPr>
            <w:r>
              <w:rPr>
                <w:rFonts w:ascii="Arial" w:cs="Arial" w:eastAsia="Arial" w:hAnsi="Arial"/>
                <w:sz w:val="18"/>
                <w:szCs w:val="18"/>
                <w:color w:val="auto"/>
              </w:rPr>
              <w:t>3.1</w:t>
            </w:r>
          </w:p>
        </w:tc>
        <w:tc>
          <w:tcPr>
            <w:tcW w:w="6020" w:type="dxa"/>
            <w:vAlign w:val="bottom"/>
            <w:tcBorders>
              <w:bottom w:val="single" w:sz="8" w:color="0000EE"/>
            </w:tcBorders>
            <w:gridSpan w:val="17"/>
          </w:tcPr>
          <w:p>
            <w:pPr>
              <w:spacing w:after="0"/>
              <w:rPr>
                <w:rFonts w:ascii="Arial" w:cs="Arial" w:eastAsia="Arial" w:hAnsi="Arial"/>
                <w:sz w:val="18"/>
                <w:szCs w:val="18"/>
                <w:color w:val="0000EE"/>
                <w:w w:val="97"/>
              </w:rPr>
            </w:pPr>
            <w:hyperlink r:id="rId594">
              <w:r>
                <w:rPr>
                  <w:rFonts w:ascii="Arial" w:cs="Arial" w:eastAsia="Arial" w:hAnsi="Arial"/>
                  <w:sz w:val="18"/>
                  <w:szCs w:val="18"/>
                  <w:color w:val="0000EE"/>
                  <w:w w:val="97"/>
                </w:rPr>
                <w:t>Amended and Restated Certificate of Incorporation, as amended, currently in</w:t>
              </w:r>
            </w:hyperlink>
          </w:p>
        </w:tc>
        <w:tc>
          <w:tcPr>
            <w:tcW w:w="540" w:type="dxa"/>
            <w:vAlign w:val="bottom"/>
            <w:gridSpan w:val="7"/>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Borders>
              <w:bottom w:val="single" w:sz="8" w:color="0000EE"/>
            </w:tcBorders>
          </w:tcPr>
          <w:p>
            <w:pPr>
              <w:spacing w:after="0" w:line="182" w:lineRule="exact"/>
              <w:rPr>
                <w:rFonts w:ascii="Arial" w:cs="Arial" w:eastAsia="Arial" w:hAnsi="Arial"/>
                <w:sz w:val="18"/>
                <w:szCs w:val="18"/>
                <w:color w:val="0000EE"/>
                <w:w w:val="93"/>
              </w:rPr>
            </w:pPr>
            <w:hyperlink r:id="rId594">
              <w:r>
                <w:rPr>
                  <w:rFonts w:ascii="Arial" w:cs="Arial" w:eastAsia="Arial" w:hAnsi="Arial"/>
                  <w:sz w:val="18"/>
                  <w:szCs w:val="18"/>
                  <w:color w:val="0000EE"/>
                  <w:w w:val="93"/>
                </w:rPr>
                <w:t>effect.</w:t>
              </w:r>
            </w:hyperlink>
          </w:p>
        </w:tc>
        <w:tc>
          <w:tcPr>
            <w:tcW w:w="6080" w:type="dxa"/>
            <w:vAlign w:val="bottom"/>
            <w:gridSpan w:val="23"/>
          </w:tcPr>
          <w:p>
            <w:pPr>
              <w:spacing w:after="0"/>
              <w:rPr>
                <w:sz w:val="15"/>
                <w:szCs w:val="15"/>
                <w:color w:val="auto"/>
              </w:rPr>
            </w:pPr>
          </w:p>
        </w:tc>
        <w:tc>
          <w:tcPr>
            <w:tcW w:w="580" w:type="dxa"/>
            <w:vAlign w:val="bottom"/>
          </w:tcPr>
          <w:p>
            <w:pPr>
              <w:jc w:val="center"/>
              <w:ind w:right="52"/>
              <w:spacing w:after="0" w:line="182" w:lineRule="exact"/>
              <w:rPr>
                <w:sz w:val="20"/>
                <w:szCs w:val="20"/>
                <w:color w:val="auto"/>
              </w:rPr>
            </w:pPr>
            <w:r>
              <w:rPr>
                <w:rFonts w:ascii="Arial" w:cs="Arial" w:eastAsia="Arial" w:hAnsi="Arial"/>
                <w:sz w:val="18"/>
                <w:szCs w:val="18"/>
                <w:color w:val="auto"/>
                <w:w w:val="99"/>
              </w:rPr>
              <w:t>S-1</w:t>
            </w:r>
          </w:p>
        </w:tc>
        <w:tc>
          <w:tcPr>
            <w:tcW w:w="1160" w:type="dxa"/>
            <w:vAlign w:val="bottom"/>
          </w:tcPr>
          <w:p>
            <w:pPr>
              <w:jc w:val="right"/>
              <w:ind w:right="172"/>
              <w:spacing w:after="0" w:line="182" w:lineRule="exact"/>
              <w:rPr>
                <w:sz w:val="20"/>
                <w:szCs w:val="20"/>
                <w:color w:val="auto"/>
              </w:rPr>
            </w:pPr>
            <w:r>
              <w:rPr>
                <w:rFonts w:ascii="Arial" w:cs="Arial" w:eastAsia="Arial" w:hAnsi="Arial"/>
                <w:sz w:val="18"/>
                <w:szCs w:val="18"/>
                <w:color w:val="auto"/>
              </w:rPr>
              <w:t>1/17/2020</w:t>
            </w:r>
          </w:p>
        </w:tc>
        <w:tc>
          <w:tcPr>
            <w:tcW w:w="78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60" w:type="dxa"/>
            <w:vAlign w:val="bottom"/>
            <w:gridSpan w:val="2"/>
          </w:tcPr>
          <w:p>
            <w:pPr>
              <w:jc w:val="right"/>
              <w:ind w:right="532"/>
              <w:spacing w:after="0"/>
              <w:rPr>
                <w:sz w:val="20"/>
                <w:szCs w:val="20"/>
                <w:color w:val="auto"/>
              </w:rPr>
            </w:pPr>
            <w:r>
              <w:rPr>
                <w:rFonts w:ascii="Arial" w:cs="Arial" w:eastAsia="Arial" w:hAnsi="Arial"/>
                <w:sz w:val="18"/>
                <w:szCs w:val="18"/>
                <w:color w:val="auto"/>
              </w:rPr>
              <w:t>3.2</w:t>
            </w:r>
          </w:p>
        </w:tc>
        <w:tc>
          <w:tcPr>
            <w:tcW w:w="6560" w:type="dxa"/>
            <w:vAlign w:val="bottom"/>
            <w:gridSpan w:val="24"/>
          </w:tcPr>
          <w:p>
            <w:pPr>
              <w:spacing w:after="0"/>
              <w:rPr>
                <w:rFonts w:ascii="Arial" w:cs="Arial" w:eastAsia="Arial" w:hAnsi="Arial"/>
                <w:sz w:val="18"/>
                <w:szCs w:val="18"/>
                <w:color w:val="0000EE"/>
              </w:rPr>
            </w:pPr>
            <w:hyperlink w:anchor="page351">
              <w:r>
                <w:rPr>
                  <w:rFonts w:ascii="Arial" w:cs="Arial" w:eastAsia="Arial" w:hAnsi="Arial"/>
                  <w:sz w:val="18"/>
                  <w:szCs w:val="18"/>
                  <w:color w:val="0000EE"/>
                </w:rPr>
                <w:t>Amended and Restated Certificate of Incorporation, effecting a stock split.</w:t>
              </w:r>
            </w:hyperlink>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tcPr>
          <w:p>
            <w:pPr>
              <w:jc w:val="right"/>
              <w:ind w:right="532"/>
              <w:spacing w:after="0"/>
              <w:rPr>
                <w:sz w:val="20"/>
                <w:szCs w:val="20"/>
                <w:color w:val="auto"/>
              </w:rPr>
            </w:pPr>
            <w:r>
              <w:rPr>
                <w:rFonts w:ascii="Arial" w:cs="Arial" w:eastAsia="Arial" w:hAnsi="Arial"/>
                <w:sz w:val="18"/>
                <w:szCs w:val="18"/>
                <w:color w:val="auto"/>
              </w:rPr>
              <w:t>3.3</w:t>
            </w:r>
          </w:p>
        </w:tc>
        <w:tc>
          <w:tcPr>
            <w:tcW w:w="5760" w:type="dxa"/>
            <w:vAlign w:val="bottom"/>
            <w:tcBorders>
              <w:bottom w:val="single" w:sz="8" w:color="0000EE"/>
            </w:tcBorders>
            <w:gridSpan w:val="16"/>
          </w:tcPr>
          <w:p>
            <w:pPr>
              <w:spacing w:after="0"/>
              <w:rPr>
                <w:rFonts w:ascii="Arial" w:cs="Arial" w:eastAsia="Arial" w:hAnsi="Arial"/>
                <w:sz w:val="18"/>
                <w:szCs w:val="18"/>
                <w:color w:val="0000EE"/>
                <w:w w:val="97"/>
              </w:rPr>
            </w:pPr>
            <w:hyperlink w:anchor="page377">
              <w:r>
                <w:rPr>
                  <w:rFonts w:ascii="Arial" w:cs="Arial" w:eastAsia="Arial" w:hAnsi="Arial"/>
                  <w:sz w:val="18"/>
                  <w:szCs w:val="18"/>
                  <w:color w:val="0000EE"/>
                  <w:w w:val="97"/>
                </w:rPr>
                <w:t>Form of Amended and Restated Certificate of Incorporation, to be in effect</w:t>
              </w:r>
            </w:hyperlink>
          </w:p>
        </w:tc>
        <w:tc>
          <w:tcPr>
            <w:tcW w:w="800" w:type="dxa"/>
            <w:vAlign w:val="bottom"/>
            <w:gridSpan w:val="8"/>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20" w:type="dxa"/>
            <w:vAlign w:val="bottom"/>
            <w:tcBorders>
              <w:bottom w:val="single" w:sz="8" w:color="0000EE"/>
            </w:tcBorders>
            <w:gridSpan w:val="14"/>
          </w:tcPr>
          <w:p>
            <w:pPr>
              <w:spacing w:after="0" w:line="182" w:lineRule="exact"/>
              <w:rPr>
                <w:rFonts w:ascii="Arial" w:cs="Arial" w:eastAsia="Arial" w:hAnsi="Arial"/>
                <w:sz w:val="18"/>
                <w:szCs w:val="18"/>
                <w:color w:val="0000EE"/>
                <w:w w:val="97"/>
              </w:rPr>
            </w:pPr>
            <w:hyperlink w:anchor="page377">
              <w:r>
                <w:rPr>
                  <w:rFonts w:ascii="Arial" w:cs="Arial" w:eastAsia="Arial" w:hAnsi="Arial"/>
                  <w:sz w:val="18"/>
                  <w:szCs w:val="18"/>
                  <w:color w:val="0000EE"/>
                  <w:w w:val="97"/>
                </w:rPr>
                <w:t>immediately prior to the consummation of this offering.</w:t>
              </w:r>
            </w:hyperlink>
          </w:p>
        </w:tc>
        <w:tc>
          <w:tcPr>
            <w:tcW w:w="2340" w:type="dxa"/>
            <w:vAlign w:val="bottom"/>
            <w:gridSpan w:val="10"/>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60" w:type="dxa"/>
            <w:vAlign w:val="bottom"/>
            <w:gridSpan w:val="2"/>
          </w:tcPr>
          <w:p>
            <w:pPr>
              <w:jc w:val="right"/>
              <w:ind w:right="532"/>
              <w:spacing w:after="0"/>
              <w:rPr>
                <w:sz w:val="20"/>
                <w:szCs w:val="20"/>
                <w:color w:val="auto"/>
              </w:rPr>
            </w:pPr>
            <w:r>
              <w:rPr>
                <w:rFonts w:ascii="Arial" w:cs="Arial" w:eastAsia="Arial" w:hAnsi="Arial"/>
                <w:sz w:val="18"/>
                <w:szCs w:val="18"/>
                <w:color w:val="auto"/>
              </w:rPr>
              <w:t>3.4</w:t>
            </w:r>
          </w:p>
        </w:tc>
        <w:tc>
          <w:tcPr>
            <w:tcW w:w="2040" w:type="dxa"/>
            <w:vAlign w:val="bottom"/>
            <w:tcBorders>
              <w:bottom w:val="single" w:sz="8" w:color="0000EE"/>
            </w:tcBorders>
            <w:gridSpan w:val="5"/>
          </w:tcPr>
          <w:p>
            <w:pPr>
              <w:spacing w:after="0"/>
              <w:rPr>
                <w:rFonts w:ascii="Arial" w:cs="Arial" w:eastAsia="Arial" w:hAnsi="Arial"/>
                <w:sz w:val="18"/>
                <w:szCs w:val="18"/>
                <w:color w:val="0000EE"/>
                <w:w w:val="96"/>
              </w:rPr>
            </w:pPr>
            <w:hyperlink r:id="rId595">
              <w:r>
                <w:rPr>
                  <w:rFonts w:ascii="Arial" w:cs="Arial" w:eastAsia="Arial" w:hAnsi="Arial"/>
                  <w:sz w:val="18"/>
                  <w:szCs w:val="18"/>
                  <w:color w:val="0000EE"/>
                  <w:w w:val="96"/>
                </w:rPr>
                <w:t>Bylaws, currently in effect.</w:t>
              </w:r>
            </w:hyperlink>
          </w:p>
        </w:tc>
        <w:tc>
          <w:tcPr>
            <w:tcW w:w="4520" w:type="dxa"/>
            <w:vAlign w:val="bottom"/>
            <w:gridSpan w:val="19"/>
          </w:tcPr>
          <w:p>
            <w:pPr>
              <w:spacing w:after="0"/>
              <w:rPr>
                <w:sz w:val="21"/>
                <w:szCs w:val="21"/>
                <w:color w:val="auto"/>
              </w:rPr>
            </w:pPr>
          </w:p>
        </w:tc>
        <w:tc>
          <w:tcPr>
            <w:tcW w:w="580" w:type="dxa"/>
            <w:vAlign w:val="bottom"/>
          </w:tcPr>
          <w:p>
            <w:pPr>
              <w:jc w:val="center"/>
              <w:ind w:right="52"/>
              <w:spacing w:after="0"/>
              <w:rPr>
                <w:sz w:val="20"/>
                <w:szCs w:val="20"/>
                <w:color w:val="auto"/>
              </w:rPr>
            </w:pPr>
            <w:r>
              <w:rPr>
                <w:rFonts w:ascii="Arial" w:cs="Arial" w:eastAsia="Arial" w:hAnsi="Arial"/>
                <w:sz w:val="18"/>
                <w:szCs w:val="18"/>
                <w:color w:val="auto"/>
                <w:w w:val="99"/>
              </w:rPr>
              <w:t>S-1</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1/17/2020</w:t>
            </w: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gridSpan w:val="2"/>
          </w:tcPr>
          <w:p>
            <w:pPr>
              <w:jc w:val="right"/>
              <w:ind w:right="532"/>
              <w:spacing w:after="0"/>
              <w:rPr>
                <w:sz w:val="20"/>
                <w:szCs w:val="20"/>
                <w:color w:val="auto"/>
              </w:rPr>
            </w:pPr>
            <w:r>
              <w:rPr>
                <w:rFonts w:ascii="Arial" w:cs="Arial" w:eastAsia="Arial" w:hAnsi="Arial"/>
                <w:sz w:val="18"/>
                <w:szCs w:val="18"/>
                <w:color w:val="auto"/>
              </w:rPr>
              <w:t>3.5</w:t>
            </w:r>
          </w:p>
        </w:tc>
        <w:tc>
          <w:tcPr>
            <w:tcW w:w="6560" w:type="dxa"/>
            <w:vAlign w:val="bottom"/>
            <w:gridSpan w:val="24"/>
          </w:tcPr>
          <w:p>
            <w:pPr>
              <w:spacing w:after="0"/>
              <w:rPr>
                <w:rFonts w:ascii="Arial" w:cs="Arial" w:eastAsia="Arial" w:hAnsi="Arial"/>
                <w:sz w:val="18"/>
                <w:szCs w:val="18"/>
                <w:color w:val="0000EE"/>
              </w:rPr>
            </w:pPr>
            <w:hyperlink w:anchor="page384">
              <w:r>
                <w:rPr>
                  <w:rFonts w:ascii="Arial" w:cs="Arial" w:eastAsia="Arial" w:hAnsi="Arial"/>
                  <w:sz w:val="18"/>
                  <w:szCs w:val="18"/>
                  <w:color w:val="0000EE"/>
                </w:rPr>
                <w:t>Form of Amended and Restated Bylaws, to be in effect immediately prior to the</w:t>
              </w:r>
            </w:hyperlink>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1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384">
              <w:r>
                <w:rPr>
                  <w:rFonts w:ascii="Arial" w:cs="Arial" w:eastAsia="Arial" w:hAnsi="Arial"/>
                  <w:sz w:val="18"/>
                  <w:szCs w:val="18"/>
                  <w:color w:val="0000EE"/>
                </w:rPr>
                <w:t>consummation of this offering.</w:t>
              </w:r>
            </w:hyperlink>
          </w:p>
        </w:tc>
        <w:tc>
          <w:tcPr>
            <w:tcW w:w="440" w:type="dxa"/>
            <w:vAlign w:val="bottom"/>
            <w:gridSpan w:val="5"/>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tcPr>
          <w:p>
            <w:pPr>
              <w:jc w:val="right"/>
              <w:ind w:right="532"/>
              <w:spacing w:after="0"/>
              <w:rPr>
                <w:sz w:val="20"/>
                <w:szCs w:val="20"/>
                <w:color w:val="auto"/>
              </w:rPr>
            </w:pPr>
            <w:r>
              <w:rPr>
                <w:rFonts w:ascii="Arial" w:cs="Arial" w:eastAsia="Arial" w:hAnsi="Arial"/>
                <w:sz w:val="18"/>
                <w:szCs w:val="18"/>
                <w:color w:val="auto"/>
              </w:rPr>
              <w:t>4.1</w:t>
            </w:r>
          </w:p>
        </w:tc>
        <w:tc>
          <w:tcPr>
            <w:tcW w:w="6560" w:type="dxa"/>
            <w:vAlign w:val="bottom"/>
            <w:gridSpan w:val="24"/>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596">
              <w:r>
                <w:rPr>
                  <w:rFonts w:ascii="Arial" w:cs="Arial" w:eastAsia="Arial" w:hAnsi="Arial"/>
                  <w:sz w:val="18"/>
                  <w:szCs w:val="18"/>
                  <w:color w:val="0000EE"/>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through </w:t>
            </w:r>
            <w:hyperlink w:anchor="page384">
              <w:r>
                <w:rPr>
                  <w:rFonts w:ascii="Arial" w:cs="Arial" w:eastAsia="Arial" w:hAnsi="Arial"/>
                  <w:sz w:val="18"/>
                  <w:szCs w:val="18"/>
                  <w:color w:val="0000EE"/>
                </w:rPr>
                <w:t>3.5.</w:t>
              </w:r>
            </w:hyperlink>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tcPr>
          <w:p>
            <w:pPr>
              <w:jc w:val="right"/>
              <w:ind w:right="532"/>
              <w:spacing w:after="0"/>
              <w:rPr>
                <w:sz w:val="20"/>
                <w:szCs w:val="20"/>
                <w:color w:val="auto"/>
              </w:rPr>
            </w:pPr>
            <w:r>
              <w:rPr>
                <w:rFonts w:ascii="Arial" w:cs="Arial" w:eastAsia="Arial" w:hAnsi="Arial"/>
                <w:sz w:val="18"/>
                <w:szCs w:val="18"/>
                <w:color w:val="auto"/>
              </w:rPr>
              <w:t>4.2</w:t>
            </w:r>
          </w:p>
        </w:tc>
        <w:tc>
          <w:tcPr>
            <w:tcW w:w="6560" w:type="dxa"/>
            <w:vAlign w:val="bottom"/>
            <w:gridSpan w:val="24"/>
          </w:tcPr>
          <w:p>
            <w:pPr>
              <w:spacing w:after="0"/>
              <w:rPr>
                <w:rFonts w:ascii="Arial" w:cs="Arial" w:eastAsia="Arial" w:hAnsi="Arial"/>
                <w:sz w:val="18"/>
                <w:szCs w:val="18"/>
                <w:color w:val="0000EE"/>
              </w:rPr>
            </w:pPr>
            <w:hyperlink r:id="rId597">
              <w:r>
                <w:rPr>
                  <w:rFonts w:ascii="Arial" w:cs="Arial" w:eastAsia="Arial" w:hAnsi="Arial"/>
                  <w:sz w:val="18"/>
                  <w:szCs w:val="18"/>
                  <w:color w:val="0000EE"/>
                </w:rPr>
                <w:t>Form of Common Stock Certificate.</w:t>
              </w:r>
            </w:hyperlink>
          </w:p>
        </w:tc>
        <w:tc>
          <w:tcPr>
            <w:tcW w:w="580" w:type="dxa"/>
            <w:vAlign w:val="bottom"/>
          </w:tcPr>
          <w:p>
            <w:pPr>
              <w:jc w:val="center"/>
              <w:ind w:right="52"/>
              <w:spacing w:after="0"/>
              <w:rPr>
                <w:sz w:val="20"/>
                <w:szCs w:val="20"/>
                <w:color w:val="auto"/>
              </w:rPr>
            </w:pPr>
            <w:r>
              <w:rPr>
                <w:rFonts w:ascii="Arial" w:cs="Arial" w:eastAsia="Arial" w:hAnsi="Arial"/>
                <w:sz w:val="18"/>
                <w:szCs w:val="18"/>
                <w:color w:val="auto"/>
                <w:w w:val="99"/>
              </w:rPr>
              <w:t>S-1</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1/17/2020</w:t>
            </w:r>
          </w:p>
        </w:tc>
        <w:tc>
          <w:tcPr>
            <w:tcW w:w="7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960" w:type="dxa"/>
            <w:vAlign w:val="bottom"/>
            <w:gridSpan w:val="2"/>
          </w:tcPr>
          <w:p>
            <w:pPr>
              <w:jc w:val="right"/>
              <w:ind w:right="532"/>
              <w:spacing w:after="0"/>
              <w:rPr>
                <w:sz w:val="20"/>
                <w:szCs w:val="20"/>
                <w:color w:val="auto"/>
              </w:rPr>
            </w:pPr>
            <w:r>
              <w:rPr>
                <w:rFonts w:ascii="Arial" w:cs="Arial" w:eastAsia="Arial" w:hAnsi="Arial"/>
                <w:sz w:val="18"/>
                <w:szCs w:val="18"/>
                <w:color w:val="auto"/>
              </w:rPr>
              <w:t>5.1</w:t>
            </w:r>
          </w:p>
        </w:tc>
        <w:tc>
          <w:tcPr>
            <w:tcW w:w="26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5"/>
              </w:rPr>
            </w:pPr>
            <w:hyperlink w:anchor="page414">
              <w:r>
                <w:rPr>
                  <w:rFonts w:ascii="Arial" w:cs="Arial" w:eastAsia="Arial" w:hAnsi="Arial"/>
                  <w:sz w:val="18"/>
                  <w:szCs w:val="18"/>
                  <w:color w:val="0000EE"/>
                  <w:w w:val="95"/>
                </w:rPr>
                <w:t>Opinion of Latham &amp; Watkins LLP.</w:t>
              </w:r>
            </w:hyperlink>
          </w:p>
        </w:tc>
        <w:tc>
          <w:tcPr>
            <w:tcW w:w="80" w:type="dxa"/>
            <w:vAlign w:val="bottom"/>
            <w:tcBorders>
              <w:top w:val="single" w:sz="8" w:color="0000EE"/>
            </w:tcBorders>
          </w:tcPr>
          <w:p>
            <w:pPr>
              <w:spacing w:after="0"/>
              <w:rPr>
                <w:sz w:val="21"/>
                <w:szCs w:val="21"/>
                <w:color w:val="auto"/>
              </w:rPr>
            </w:pPr>
          </w:p>
        </w:tc>
        <w:tc>
          <w:tcPr>
            <w:tcW w:w="3820" w:type="dxa"/>
            <w:vAlign w:val="bottom"/>
            <w:gridSpan w:val="13"/>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960" w:type="dxa"/>
            <w:vAlign w:val="bottom"/>
            <w:gridSpan w:val="2"/>
          </w:tcPr>
          <w:p>
            <w:pPr>
              <w:spacing w:after="0"/>
              <w:rPr>
                <w:sz w:val="20"/>
                <w:szCs w:val="20"/>
                <w:color w:val="auto"/>
              </w:rPr>
            </w:pPr>
            <w:r>
              <w:rPr>
                <w:rFonts w:ascii="Arial" w:cs="Arial" w:eastAsia="Arial" w:hAnsi="Arial"/>
                <w:sz w:val="18"/>
                <w:szCs w:val="18"/>
                <w:color w:val="auto"/>
              </w:rPr>
              <w:t>10.1†</w:t>
            </w:r>
          </w:p>
        </w:tc>
        <w:tc>
          <w:tcPr>
            <w:tcW w:w="6240" w:type="dxa"/>
            <w:vAlign w:val="bottom"/>
            <w:tcBorders>
              <w:bottom w:val="single" w:sz="8" w:color="0000EE"/>
            </w:tcBorders>
            <w:gridSpan w:val="21"/>
          </w:tcPr>
          <w:p>
            <w:pPr>
              <w:spacing w:after="0"/>
              <w:rPr>
                <w:rFonts w:ascii="Arial" w:cs="Arial" w:eastAsia="Arial" w:hAnsi="Arial"/>
                <w:sz w:val="18"/>
                <w:szCs w:val="18"/>
                <w:color w:val="0000EE"/>
                <w:w w:val="97"/>
              </w:rPr>
            </w:pPr>
            <w:hyperlink r:id="rId598">
              <w:r>
                <w:rPr>
                  <w:rFonts w:ascii="Arial" w:cs="Arial" w:eastAsia="Arial" w:hAnsi="Arial"/>
                  <w:sz w:val="18"/>
                  <w:szCs w:val="18"/>
                  <w:color w:val="0000EE"/>
                  <w:w w:val="97"/>
                </w:rPr>
                <w:t>Collaborative Research, Development and Commercialization Agreement, dated</w:t>
              </w:r>
            </w:hyperlink>
          </w:p>
        </w:tc>
        <w:tc>
          <w:tcPr>
            <w:tcW w:w="320" w:type="dxa"/>
            <w:vAlign w:val="bottom"/>
            <w:gridSpan w:val="3"/>
          </w:tcPr>
          <w:p>
            <w:pPr>
              <w:spacing w:after="0"/>
              <w:rPr>
                <w:sz w:val="21"/>
                <w:szCs w:val="21"/>
                <w:color w:val="auto"/>
              </w:rPr>
            </w:pPr>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560" w:type="dxa"/>
            <w:vAlign w:val="bottom"/>
            <w:gridSpan w:val="24"/>
          </w:tcPr>
          <w:p>
            <w:pPr>
              <w:spacing w:after="0" w:line="182" w:lineRule="exact"/>
              <w:rPr>
                <w:rFonts w:ascii="Arial" w:cs="Arial" w:eastAsia="Arial" w:hAnsi="Arial"/>
                <w:sz w:val="18"/>
                <w:szCs w:val="18"/>
                <w:color w:val="0000EE"/>
              </w:rPr>
            </w:pPr>
            <w:hyperlink r:id="rId598">
              <w:r>
                <w:rPr>
                  <w:rFonts w:ascii="Arial" w:cs="Arial" w:eastAsia="Arial" w:hAnsi="Arial"/>
                  <w:sz w:val="18"/>
                  <w:szCs w:val="18"/>
                  <w:color w:val="0000EE"/>
                </w:rPr>
                <w:t>as of June 8, 2018, by and between Revolution Medicines, Inc. and Aventis, Inc.,</w:t>
              </w:r>
            </w:hyperlink>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r:id="rId598">
              <w:r>
                <w:rPr>
                  <w:rFonts w:ascii="Arial" w:cs="Arial" w:eastAsia="Arial" w:hAnsi="Arial"/>
                  <w:sz w:val="18"/>
                  <w:szCs w:val="18"/>
                  <w:color w:val="0000EE"/>
                  <w:w w:val="96"/>
                </w:rPr>
                <w:t>as amended.</w:t>
              </w:r>
            </w:hyperlink>
          </w:p>
        </w:tc>
        <w:tc>
          <w:tcPr>
            <w:tcW w:w="5300" w:type="dxa"/>
            <w:vAlign w:val="bottom"/>
            <w:tcBorders>
              <w:top w:val="single" w:sz="8" w:color="0000EE"/>
            </w:tcBorders>
            <w:gridSpan w:val="20"/>
          </w:tcPr>
          <w:p>
            <w:pPr>
              <w:spacing w:after="0"/>
              <w:rPr>
                <w:sz w:val="15"/>
                <w:szCs w:val="15"/>
                <w:color w:val="auto"/>
              </w:rPr>
            </w:pPr>
          </w:p>
        </w:tc>
        <w:tc>
          <w:tcPr>
            <w:tcW w:w="240" w:type="dxa"/>
            <w:vAlign w:val="bottom"/>
            <w:gridSpan w:val="2"/>
          </w:tcPr>
          <w:p>
            <w:pPr>
              <w:spacing w:after="0"/>
              <w:rPr>
                <w:sz w:val="15"/>
                <w:szCs w:val="15"/>
                <w:color w:val="auto"/>
              </w:rPr>
            </w:pPr>
          </w:p>
        </w:tc>
        <w:tc>
          <w:tcPr>
            <w:tcW w:w="580" w:type="dxa"/>
            <w:vAlign w:val="bottom"/>
          </w:tcPr>
          <w:p>
            <w:pPr>
              <w:jc w:val="center"/>
              <w:ind w:right="52"/>
              <w:spacing w:after="0" w:line="182" w:lineRule="exact"/>
              <w:rPr>
                <w:sz w:val="20"/>
                <w:szCs w:val="20"/>
                <w:color w:val="auto"/>
              </w:rPr>
            </w:pPr>
            <w:r>
              <w:rPr>
                <w:rFonts w:ascii="Arial" w:cs="Arial" w:eastAsia="Arial" w:hAnsi="Arial"/>
                <w:sz w:val="18"/>
                <w:szCs w:val="18"/>
                <w:color w:val="auto"/>
                <w:w w:val="99"/>
              </w:rPr>
              <w:t>S-1</w:t>
            </w:r>
          </w:p>
        </w:tc>
        <w:tc>
          <w:tcPr>
            <w:tcW w:w="1160" w:type="dxa"/>
            <w:vAlign w:val="bottom"/>
          </w:tcPr>
          <w:p>
            <w:pPr>
              <w:jc w:val="right"/>
              <w:ind w:right="172"/>
              <w:spacing w:after="0" w:line="182" w:lineRule="exact"/>
              <w:rPr>
                <w:sz w:val="20"/>
                <w:szCs w:val="20"/>
                <w:color w:val="auto"/>
              </w:rPr>
            </w:pPr>
            <w:r>
              <w:rPr>
                <w:rFonts w:ascii="Arial" w:cs="Arial" w:eastAsia="Arial" w:hAnsi="Arial"/>
                <w:sz w:val="18"/>
                <w:szCs w:val="18"/>
                <w:color w:val="auto"/>
              </w:rPr>
              <w:t>1/17/2020</w:t>
            </w:r>
          </w:p>
        </w:tc>
        <w:tc>
          <w:tcPr>
            <w:tcW w:w="780" w:type="dxa"/>
            <w:vAlign w:val="bottom"/>
          </w:tcPr>
          <w:p>
            <w:pPr>
              <w:jc w:val="center"/>
              <w:spacing w:after="0" w:line="182" w:lineRule="exact"/>
              <w:rPr>
                <w:sz w:val="20"/>
                <w:szCs w:val="20"/>
                <w:color w:val="auto"/>
              </w:rPr>
            </w:pPr>
            <w:r>
              <w:rPr>
                <w:rFonts w:ascii="Arial" w:cs="Arial" w:eastAsia="Arial" w:hAnsi="Arial"/>
                <w:sz w:val="18"/>
                <w:szCs w:val="18"/>
                <w:color w:val="auto"/>
                <w:w w:val="96"/>
              </w:rPr>
              <w:t>10.1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60" w:type="dxa"/>
            <w:vAlign w:val="bottom"/>
            <w:gridSpan w:val="2"/>
          </w:tcPr>
          <w:p>
            <w:pPr>
              <w:jc w:val="right"/>
              <w:ind w:right="532"/>
              <w:spacing w:after="0"/>
              <w:rPr>
                <w:sz w:val="20"/>
                <w:szCs w:val="20"/>
                <w:color w:val="auto"/>
              </w:rPr>
            </w:pPr>
            <w:r>
              <w:rPr>
                <w:rFonts w:ascii="Arial" w:cs="Arial" w:eastAsia="Arial" w:hAnsi="Arial"/>
                <w:sz w:val="18"/>
                <w:szCs w:val="18"/>
                <w:color w:val="auto"/>
                <w:w w:val="91"/>
              </w:rPr>
              <w:t>10.2</w:t>
            </w:r>
          </w:p>
        </w:tc>
        <w:tc>
          <w:tcPr>
            <w:tcW w:w="6560" w:type="dxa"/>
            <w:vAlign w:val="bottom"/>
            <w:gridSpan w:val="24"/>
          </w:tcPr>
          <w:p>
            <w:pPr>
              <w:spacing w:after="0"/>
              <w:rPr>
                <w:rFonts w:ascii="Arial" w:cs="Arial" w:eastAsia="Arial" w:hAnsi="Arial"/>
                <w:sz w:val="18"/>
                <w:szCs w:val="18"/>
                <w:color w:val="0000EE"/>
              </w:rPr>
            </w:pPr>
            <w:hyperlink r:id="rId599">
              <w:r>
                <w:rPr>
                  <w:rFonts w:ascii="Arial" w:cs="Arial" w:eastAsia="Arial" w:hAnsi="Arial"/>
                  <w:sz w:val="18"/>
                  <w:szCs w:val="18"/>
                  <w:color w:val="0000EE"/>
                </w:rPr>
                <w:t>Amended and Restated Investors’ Rights Agreement, dated as of June 5, 2019,</w:t>
              </w:r>
            </w:hyperlink>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720" w:type="dxa"/>
            <w:vAlign w:val="bottom"/>
            <w:tcBorders>
              <w:top w:val="single" w:sz="8" w:color="0000EE"/>
              <w:bottom w:val="single" w:sz="8" w:color="0000EE"/>
            </w:tcBorders>
            <w:gridSpan w:val="15"/>
          </w:tcPr>
          <w:p>
            <w:pPr>
              <w:spacing w:after="0" w:line="182" w:lineRule="exact"/>
              <w:rPr>
                <w:rFonts w:ascii="Arial" w:cs="Arial" w:eastAsia="Arial" w:hAnsi="Arial"/>
                <w:sz w:val="18"/>
                <w:szCs w:val="18"/>
                <w:color w:val="0000EE"/>
                <w:w w:val="97"/>
              </w:rPr>
            </w:pPr>
            <w:hyperlink r:id="rId599">
              <w:r>
                <w:rPr>
                  <w:rFonts w:ascii="Arial" w:cs="Arial" w:eastAsia="Arial" w:hAnsi="Arial"/>
                  <w:sz w:val="18"/>
                  <w:szCs w:val="18"/>
                  <w:color w:val="0000EE"/>
                  <w:w w:val="97"/>
                </w:rPr>
                <w:t>by and among Revolution Medicines, Inc. and the investors listed therein.</w:t>
              </w:r>
            </w:hyperlink>
          </w:p>
        </w:tc>
        <w:tc>
          <w:tcPr>
            <w:tcW w:w="500" w:type="dxa"/>
            <w:vAlign w:val="bottom"/>
            <w:tcBorders>
              <w:top w:val="single" w:sz="8" w:color="0000EE"/>
            </w:tcBorders>
            <w:gridSpan w:val="5"/>
          </w:tcPr>
          <w:p>
            <w:pPr>
              <w:spacing w:after="0"/>
              <w:rPr>
                <w:sz w:val="15"/>
                <w:szCs w:val="15"/>
                <w:color w:val="auto"/>
              </w:rPr>
            </w:pPr>
          </w:p>
        </w:tc>
        <w:tc>
          <w:tcPr>
            <w:tcW w:w="340" w:type="dxa"/>
            <w:vAlign w:val="bottom"/>
            <w:gridSpan w:val="4"/>
          </w:tcPr>
          <w:p>
            <w:pPr>
              <w:spacing w:after="0"/>
              <w:rPr>
                <w:sz w:val="15"/>
                <w:szCs w:val="15"/>
                <w:color w:val="auto"/>
              </w:rPr>
            </w:pPr>
          </w:p>
        </w:tc>
        <w:tc>
          <w:tcPr>
            <w:tcW w:w="580" w:type="dxa"/>
            <w:vAlign w:val="bottom"/>
          </w:tcPr>
          <w:p>
            <w:pPr>
              <w:jc w:val="center"/>
              <w:ind w:right="52"/>
              <w:spacing w:after="0" w:line="182" w:lineRule="exact"/>
              <w:rPr>
                <w:sz w:val="20"/>
                <w:szCs w:val="20"/>
                <w:color w:val="auto"/>
              </w:rPr>
            </w:pPr>
            <w:r>
              <w:rPr>
                <w:rFonts w:ascii="Arial" w:cs="Arial" w:eastAsia="Arial" w:hAnsi="Arial"/>
                <w:sz w:val="18"/>
                <w:szCs w:val="18"/>
                <w:color w:val="auto"/>
                <w:w w:val="99"/>
              </w:rPr>
              <w:t>S-1</w:t>
            </w:r>
          </w:p>
        </w:tc>
        <w:tc>
          <w:tcPr>
            <w:tcW w:w="1160" w:type="dxa"/>
            <w:vAlign w:val="bottom"/>
          </w:tcPr>
          <w:p>
            <w:pPr>
              <w:jc w:val="right"/>
              <w:ind w:right="172"/>
              <w:spacing w:after="0" w:line="182" w:lineRule="exact"/>
              <w:rPr>
                <w:sz w:val="20"/>
                <w:szCs w:val="20"/>
                <w:color w:val="auto"/>
              </w:rPr>
            </w:pPr>
            <w:r>
              <w:rPr>
                <w:rFonts w:ascii="Arial" w:cs="Arial" w:eastAsia="Arial" w:hAnsi="Arial"/>
                <w:sz w:val="18"/>
                <w:szCs w:val="18"/>
                <w:color w:val="auto"/>
              </w:rPr>
              <w:t>1/17/2020</w:t>
            </w:r>
          </w:p>
        </w:tc>
        <w:tc>
          <w:tcPr>
            <w:tcW w:w="780" w:type="dxa"/>
            <w:vAlign w:val="bottom"/>
          </w:tcPr>
          <w:p>
            <w:pPr>
              <w:jc w:val="center"/>
              <w:spacing w:after="0" w:line="182" w:lineRule="exact"/>
              <w:rPr>
                <w:sz w:val="20"/>
                <w:szCs w:val="20"/>
                <w:color w:val="auto"/>
              </w:rPr>
            </w:pPr>
            <w:r>
              <w:rPr>
                <w:rFonts w:ascii="Arial" w:cs="Arial" w:eastAsia="Arial" w:hAnsi="Arial"/>
                <w:sz w:val="18"/>
                <w:szCs w:val="18"/>
                <w:color w:val="auto"/>
                <w:w w:val="96"/>
              </w:rPr>
              <w:t>10.2</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960" w:type="dxa"/>
            <w:vAlign w:val="bottom"/>
            <w:gridSpan w:val="2"/>
          </w:tcPr>
          <w:p>
            <w:pPr>
              <w:spacing w:after="0"/>
              <w:rPr>
                <w:sz w:val="20"/>
                <w:szCs w:val="20"/>
                <w:color w:val="auto"/>
              </w:rPr>
            </w:pPr>
            <w:r>
              <w:rPr>
                <w:rFonts w:ascii="Arial" w:cs="Arial" w:eastAsia="Arial" w:hAnsi="Arial"/>
                <w:sz w:val="18"/>
                <w:szCs w:val="18"/>
                <w:color w:val="auto"/>
              </w:rPr>
              <w:t>10.3A</w:t>
            </w:r>
          </w:p>
        </w:tc>
        <w:tc>
          <w:tcPr>
            <w:tcW w:w="6560" w:type="dxa"/>
            <w:vAlign w:val="bottom"/>
            <w:gridSpan w:val="24"/>
          </w:tcPr>
          <w:p>
            <w:pPr>
              <w:spacing w:after="0"/>
              <w:rPr>
                <w:rFonts w:ascii="Arial" w:cs="Arial" w:eastAsia="Arial" w:hAnsi="Arial"/>
                <w:sz w:val="18"/>
                <w:szCs w:val="18"/>
                <w:color w:val="0000EE"/>
                <w:w w:val="99"/>
              </w:rPr>
            </w:pPr>
            <w:hyperlink r:id="rId600">
              <w:r>
                <w:rPr>
                  <w:rFonts w:ascii="Arial" w:cs="Arial" w:eastAsia="Arial" w:hAnsi="Arial"/>
                  <w:sz w:val="18"/>
                  <w:szCs w:val="18"/>
                  <w:color w:val="0000EE"/>
                  <w:w w:val="99"/>
                </w:rPr>
                <w:t>Lease between HCP LS Redwood City, LLC and Revolution Medicines, Inc., dated</w:t>
              </w:r>
            </w:hyperlink>
          </w:p>
        </w:tc>
        <w:tc>
          <w:tcPr>
            <w:tcW w:w="5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600">
              <w:r>
                <w:rPr>
                  <w:rFonts w:ascii="Arial" w:cs="Arial" w:eastAsia="Arial" w:hAnsi="Arial"/>
                  <w:sz w:val="18"/>
                  <w:szCs w:val="18"/>
                  <w:color w:val="0000EE"/>
                </w:rPr>
                <w:t>as of January 15, 2015.</w:t>
              </w:r>
            </w:hyperlink>
          </w:p>
        </w:tc>
        <w:tc>
          <w:tcPr>
            <w:tcW w:w="160" w:type="dxa"/>
            <w:vAlign w:val="bottom"/>
          </w:tcPr>
          <w:p>
            <w:pPr>
              <w:spacing w:after="0"/>
              <w:rPr>
                <w:sz w:val="15"/>
                <w:szCs w:val="15"/>
                <w:color w:val="auto"/>
              </w:rPr>
            </w:pPr>
          </w:p>
        </w:tc>
        <w:tc>
          <w:tcPr>
            <w:tcW w:w="580" w:type="dxa"/>
            <w:vAlign w:val="bottom"/>
          </w:tcPr>
          <w:p>
            <w:pPr>
              <w:jc w:val="center"/>
              <w:ind w:right="52"/>
              <w:spacing w:after="0" w:line="182" w:lineRule="exact"/>
              <w:rPr>
                <w:sz w:val="20"/>
                <w:szCs w:val="20"/>
                <w:color w:val="auto"/>
              </w:rPr>
            </w:pPr>
            <w:r>
              <w:rPr>
                <w:rFonts w:ascii="Arial" w:cs="Arial" w:eastAsia="Arial" w:hAnsi="Arial"/>
                <w:sz w:val="18"/>
                <w:szCs w:val="18"/>
                <w:color w:val="auto"/>
                <w:w w:val="99"/>
              </w:rPr>
              <w:t>S-1</w:t>
            </w:r>
          </w:p>
        </w:tc>
        <w:tc>
          <w:tcPr>
            <w:tcW w:w="1160" w:type="dxa"/>
            <w:vAlign w:val="bottom"/>
          </w:tcPr>
          <w:p>
            <w:pPr>
              <w:jc w:val="right"/>
              <w:ind w:right="172"/>
              <w:spacing w:after="0" w:line="182" w:lineRule="exact"/>
              <w:rPr>
                <w:sz w:val="20"/>
                <w:szCs w:val="20"/>
                <w:color w:val="auto"/>
              </w:rPr>
            </w:pPr>
            <w:r>
              <w:rPr>
                <w:rFonts w:ascii="Arial" w:cs="Arial" w:eastAsia="Arial" w:hAnsi="Arial"/>
                <w:sz w:val="18"/>
                <w:szCs w:val="18"/>
                <w:color w:val="auto"/>
              </w:rPr>
              <w:t>1/17/2020</w:t>
            </w:r>
          </w:p>
        </w:tc>
        <w:tc>
          <w:tcPr>
            <w:tcW w:w="1780" w:type="dxa"/>
            <w:vAlign w:val="bottom"/>
            <w:gridSpan w:val="2"/>
          </w:tcPr>
          <w:p>
            <w:pPr>
              <w:jc w:val="center"/>
              <w:ind w:right="912"/>
              <w:spacing w:after="0" w:line="182" w:lineRule="exact"/>
              <w:rPr>
                <w:sz w:val="20"/>
                <w:szCs w:val="20"/>
                <w:color w:val="auto"/>
              </w:rPr>
            </w:pPr>
            <w:r>
              <w:rPr>
                <w:rFonts w:ascii="Arial" w:cs="Arial" w:eastAsia="Arial" w:hAnsi="Arial"/>
                <w:sz w:val="18"/>
                <w:szCs w:val="18"/>
                <w:color w:val="auto"/>
                <w:w w:val="97"/>
              </w:rPr>
              <w:t>10.3A</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560" w:type="dxa"/>
            <w:vAlign w:val="bottom"/>
            <w:tcBorders>
              <w:top w:val="single" w:sz="8" w:color="0000EE"/>
              <w:bottom w:val="single" w:sz="8" w:color="auto"/>
            </w:tcBorders>
          </w:tcPr>
          <w:p>
            <w:pPr>
              <w:spacing w:after="0" w:line="20" w:lineRule="exact"/>
              <w:rPr>
                <w:sz w:val="1"/>
                <w:szCs w:val="1"/>
                <w:color w:val="auto"/>
              </w:rPr>
            </w:pPr>
          </w:p>
        </w:tc>
        <w:tc>
          <w:tcPr>
            <w:tcW w:w="260" w:type="dxa"/>
            <w:vAlign w:val="bottom"/>
            <w:tcBorders>
              <w:top w:val="single" w:sz="8" w:color="0000EE"/>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240" w:top="459" w:right="41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7520" w:type="dxa"/>
            <w:vAlign w:val="bottom"/>
            <w:vMerge w:val="restart"/>
          </w:tcPr>
          <w:p>
            <w:pPr>
              <w:spacing w:after="0"/>
              <w:rPr>
                <w:sz w:val="20"/>
                <w:szCs w:val="20"/>
                <w:color w:val="auto"/>
              </w:rPr>
            </w:pPr>
            <w:r>
              <w:rPr>
                <w:rFonts w:ascii="Arial" w:cs="Arial" w:eastAsia="Arial" w:hAnsi="Arial"/>
                <w:sz w:val="18"/>
                <w:szCs w:val="18"/>
                <w:b w:val="1"/>
                <w:bCs w:val="1"/>
                <w:color w:val="auto"/>
              </w:rPr>
              <w:t>Exhibit</w:t>
            </w:r>
          </w:p>
        </w:tc>
        <w:tc>
          <w:tcPr>
            <w:tcW w:w="2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Incorporated by reference</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151"/>
        </w:trPr>
        <w:tc>
          <w:tcPr>
            <w:tcW w:w="752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 Exhibit description</w:t>
            </w:r>
          </w:p>
        </w:tc>
        <w:tc>
          <w:tcPr>
            <w:tcW w:w="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Form</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Date  Number</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herewith</w:t>
            </w:r>
          </w:p>
        </w:tc>
        <w:tc>
          <w:tcPr>
            <w:tcW w:w="0" w:type="dxa"/>
            <w:vAlign w:val="bottom"/>
          </w:tcPr>
          <w:p>
            <w:pPr>
              <w:spacing w:after="0"/>
              <w:rPr>
                <w:sz w:val="1"/>
                <w:szCs w:val="1"/>
                <w:color w:val="auto"/>
              </w:rPr>
            </w:pPr>
          </w:p>
        </w:tc>
      </w:tr>
    </w:tbl>
    <w:p>
      <w:pPr>
        <w:spacing w:after="0" w:line="57" w:lineRule="exact"/>
        <w:rPr>
          <w:sz w:val="20"/>
          <w:szCs w:val="20"/>
          <w:color w:val="auto"/>
        </w:rPr>
      </w:pPr>
    </w:p>
    <w:p>
      <w:pPr>
        <w:sectPr>
          <w:pgSz w:w="11900" w:h="16838" w:orient="portrait"/>
          <w:cols w:equalWidth="0" w:num="1">
            <w:col w:w="11240"/>
          </w:cols>
          <w:pgMar w:left="240" w:top="459" w:right="419" w:bottom="1440" w:gutter="0" w:footer="0" w:header="0"/>
        </w:sectPr>
      </w:pPr>
    </w:p>
    <w:p>
      <w:pPr>
        <w:ind w:left="960" w:right="720" w:hanging="755"/>
        <w:spacing w:after="0" w:line="239"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10.3B</w:t>
      </w:r>
      <w:r>
        <w:rPr>
          <w:sz w:val="20"/>
          <w:szCs w:val="20"/>
          <w:color w:val="auto"/>
        </w:rPr>
        <w:tab/>
      </w:r>
      <w:hyperlink r:id="rId603">
        <w:r>
          <w:rPr>
            <w:rFonts w:ascii="Arial" w:cs="Arial" w:eastAsia="Arial" w:hAnsi="Arial"/>
            <w:sz w:val="18"/>
            <w:szCs w:val="18"/>
            <w:u w:val="single" w:color="auto"/>
            <w:color w:val="0000EE"/>
          </w:rPr>
          <w:t>First Amendment to Lease by and between HCP LS Redwood City, LLC and</w:t>
        </w:r>
      </w:hyperlink>
      <w:r>
        <w:rPr>
          <w:rFonts w:ascii="Arial" w:cs="Arial" w:eastAsia="Arial" w:hAnsi="Arial"/>
          <w:sz w:val="18"/>
          <w:szCs w:val="18"/>
          <w:u w:val="single" w:color="auto"/>
          <w:color w:val="0000EE"/>
        </w:rPr>
        <w:t xml:space="preserve"> </w:t>
      </w:r>
      <w:hyperlink r:id="rId603">
        <w:r>
          <w:rPr>
            <w:rFonts w:ascii="Arial" w:cs="Arial" w:eastAsia="Arial" w:hAnsi="Arial"/>
            <w:sz w:val="18"/>
            <w:szCs w:val="18"/>
            <w:u w:val="single" w:color="auto"/>
            <w:color w:val="0000EE"/>
          </w:rPr>
          <w:t>Revolution Medicines, Inc., dated as of September 16, 2016.</w:t>
        </w:r>
      </w:hyperlink>
    </w:p>
    <w:p>
      <w:pPr>
        <w:spacing w:after="0" w:line="60" w:lineRule="exact"/>
        <w:rPr>
          <w:sz w:val="20"/>
          <w:szCs w:val="20"/>
          <w:color w:val="auto"/>
        </w:rPr>
      </w:pPr>
    </w:p>
    <w:p>
      <w:pPr>
        <w:ind w:left="960" w:right="2180" w:hanging="755"/>
        <w:spacing w:after="0" w:line="299"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10.3C</w:t>
      </w:r>
      <w:r>
        <w:rPr>
          <w:sz w:val="20"/>
          <w:szCs w:val="20"/>
          <w:color w:val="auto"/>
        </w:rPr>
        <w:tab/>
      </w:r>
      <w:hyperlink r:id="rId604">
        <w:r>
          <w:rPr>
            <w:rFonts w:ascii="Arial" w:cs="Arial" w:eastAsia="Arial" w:hAnsi="Arial"/>
            <w:sz w:val="16"/>
            <w:szCs w:val="16"/>
            <w:u w:val="single" w:color="auto"/>
            <w:color w:val="0000EE"/>
          </w:rPr>
          <w:t>Sublease between OncoMed Pharmaceuticals, Inc. and</w:t>
        </w:r>
      </w:hyperlink>
      <w:r>
        <w:rPr>
          <w:rFonts w:ascii="Arial" w:cs="Arial" w:eastAsia="Arial" w:hAnsi="Arial"/>
          <w:sz w:val="16"/>
          <w:szCs w:val="16"/>
          <w:u w:val="single" w:color="auto"/>
          <w:color w:val="0000EE"/>
        </w:rPr>
        <w:t xml:space="preserve"> </w:t>
      </w:r>
      <w:hyperlink r:id="rId604">
        <w:r>
          <w:rPr>
            <w:rFonts w:ascii="Arial" w:cs="Arial" w:eastAsia="Arial" w:hAnsi="Arial"/>
            <w:sz w:val="16"/>
            <w:szCs w:val="16"/>
            <w:u w:val="single" w:color="auto"/>
            <w:color w:val="0000EE"/>
          </w:rPr>
          <w:t>Revolution Medicines, Inc., dated as of January 16, 2019.</w:t>
        </w:r>
      </w:hyperlink>
    </w:p>
    <w:p>
      <w:pPr>
        <w:spacing w:after="0" w:line="14" w:lineRule="exact"/>
        <w:rPr>
          <w:sz w:val="20"/>
          <w:szCs w:val="20"/>
          <w:color w:val="auto"/>
        </w:rPr>
      </w:pPr>
    </w:p>
    <w:p>
      <w:pPr>
        <w:ind w:left="960" w:hanging="755"/>
        <w:spacing w:after="0" w:line="239"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10.4A</w:t>
      </w:r>
      <w:r>
        <w:rPr>
          <w:sz w:val="20"/>
          <w:szCs w:val="20"/>
          <w:color w:val="auto"/>
        </w:rPr>
        <w:tab/>
      </w:r>
      <w:hyperlink r:id="rId605">
        <w:r>
          <w:rPr>
            <w:rFonts w:ascii="Arial" w:cs="Arial" w:eastAsia="Arial" w:hAnsi="Arial"/>
            <w:sz w:val="18"/>
            <w:szCs w:val="18"/>
            <w:u w:val="single" w:color="auto"/>
            <w:color w:val="0000EE"/>
          </w:rPr>
          <w:t>Lease Agreement between Are-Tech Square, LLC and Warp Drive Bio, LLC, dated as</w:t>
        </w:r>
      </w:hyperlink>
      <w:r>
        <w:rPr>
          <w:rFonts w:ascii="Arial" w:cs="Arial" w:eastAsia="Arial" w:hAnsi="Arial"/>
          <w:sz w:val="18"/>
          <w:szCs w:val="18"/>
          <w:u w:val="single" w:color="auto"/>
          <w:color w:val="0000EE"/>
        </w:rPr>
        <w:t xml:space="preserve"> </w:t>
      </w:r>
      <w:hyperlink r:id="rId605">
        <w:r>
          <w:rPr>
            <w:rFonts w:ascii="Arial" w:cs="Arial" w:eastAsia="Arial" w:hAnsi="Arial"/>
            <w:sz w:val="18"/>
            <w:szCs w:val="18"/>
            <w:u w:val="single" w:color="auto"/>
            <w:color w:val="0000EE"/>
          </w:rPr>
          <w:t>of August 22, 2012.</w:t>
        </w:r>
      </w:hyperlink>
    </w:p>
    <w:p>
      <w:pPr>
        <w:spacing w:after="0" w:line="60" w:lineRule="exact"/>
        <w:rPr>
          <w:sz w:val="20"/>
          <w:szCs w:val="20"/>
          <w:color w:val="auto"/>
        </w:rPr>
      </w:pPr>
    </w:p>
    <w:p>
      <w:pPr>
        <w:ind w:left="960" w:right="240" w:hanging="755"/>
        <w:spacing w:after="0" w:line="239"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10.4B</w:t>
      </w:r>
      <w:r>
        <w:rPr>
          <w:sz w:val="20"/>
          <w:szCs w:val="20"/>
          <w:color w:val="auto"/>
        </w:rPr>
        <w:tab/>
      </w:r>
      <w:hyperlink r:id="rId606">
        <w:r>
          <w:rPr>
            <w:rFonts w:ascii="Arial" w:cs="Arial" w:eastAsia="Arial" w:hAnsi="Arial"/>
            <w:sz w:val="18"/>
            <w:szCs w:val="18"/>
            <w:u w:val="single" w:color="auto"/>
            <w:color w:val="0000EE"/>
          </w:rPr>
          <w:t>First Amendment to Lease by and between Are-Tech Square, LLC and Warp Drive</w:t>
        </w:r>
      </w:hyperlink>
      <w:r>
        <w:rPr>
          <w:rFonts w:ascii="Arial" w:cs="Arial" w:eastAsia="Arial" w:hAnsi="Arial"/>
          <w:sz w:val="18"/>
          <w:szCs w:val="18"/>
          <w:u w:val="single" w:color="auto"/>
          <w:color w:val="0000EE"/>
        </w:rPr>
        <w:t xml:space="preserve"> </w:t>
      </w:r>
      <w:hyperlink r:id="rId606">
        <w:r>
          <w:rPr>
            <w:rFonts w:ascii="Arial" w:cs="Arial" w:eastAsia="Arial" w:hAnsi="Arial"/>
            <w:sz w:val="18"/>
            <w:szCs w:val="18"/>
            <w:u w:val="single" w:color="auto"/>
            <w:color w:val="0000EE"/>
          </w:rPr>
          <w:t>Bio, Inc., dated as of May 18, 2017.</w:t>
        </w:r>
      </w:hyperlink>
    </w:p>
    <w:p>
      <w:pPr>
        <w:spacing w:after="0" w:line="60" w:lineRule="exact"/>
        <w:rPr>
          <w:sz w:val="20"/>
          <w:szCs w:val="20"/>
          <w:color w:val="auto"/>
        </w:rPr>
      </w:pPr>
    </w:p>
    <w:p>
      <w:pPr>
        <w:ind w:left="960" w:right="420" w:hanging="755"/>
        <w:spacing w:after="0" w:line="239" w:lineRule="auto"/>
        <w:tabs>
          <w:tab w:leader="none" w:pos="940" w:val="left"/>
        </w:tabs>
        <w:rPr>
          <w:rFonts w:ascii="Arial" w:cs="Arial" w:eastAsia="Arial" w:hAnsi="Arial"/>
          <w:sz w:val="18"/>
          <w:szCs w:val="18"/>
          <w:u w:val="single" w:color="auto"/>
          <w:color w:val="0000EE"/>
        </w:rPr>
      </w:pPr>
      <w:r>
        <w:rPr>
          <w:rFonts w:ascii="Arial" w:cs="Arial" w:eastAsia="Arial" w:hAnsi="Arial"/>
          <w:sz w:val="18"/>
          <w:szCs w:val="18"/>
          <w:color w:val="auto"/>
        </w:rPr>
        <w:t>10.5A</w:t>
      </w:r>
      <w:r>
        <w:rPr>
          <w:sz w:val="20"/>
          <w:szCs w:val="20"/>
          <w:color w:val="auto"/>
        </w:rPr>
        <w:tab/>
      </w:r>
      <w:hyperlink r:id="rId607">
        <w:r>
          <w:rPr>
            <w:rFonts w:ascii="Arial" w:cs="Arial" w:eastAsia="Arial" w:hAnsi="Arial"/>
            <w:sz w:val="18"/>
            <w:szCs w:val="18"/>
            <w:u w:val="single" w:color="auto"/>
            <w:color w:val="0000EE"/>
          </w:rPr>
          <w:t>Assignment and Assumption of Lease by and between Warp Drive Bio, LLC and</w:t>
        </w:r>
      </w:hyperlink>
      <w:r>
        <w:rPr>
          <w:rFonts w:ascii="Arial" w:cs="Arial" w:eastAsia="Arial" w:hAnsi="Arial"/>
          <w:sz w:val="18"/>
          <w:szCs w:val="18"/>
          <w:u w:val="single" w:color="auto"/>
          <w:color w:val="0000EE"/>
        </w:rPr>
        <w:t xml:space="preserve"> </w:t>
      </w:r>
      <w:hyperlink r:id="rId607">
        <w:r>
          <w:rPr>
            <w:rFonts w:ascii="Arial" w:cs="Arial" w:eastAsia="Arial" w:hAnsi="Arial"/>
            <w:sz w:val="18"/>
            <w:szCs w:val="18"/>
            <w:u w:val="single" w:color="auto"/>
            <w:color w:val="0000EE"/>
          </w:rPr>
          <w:t>Revolution Medicines, Inc., dated as of January 30, 2019.</w:t>
        </w:r>
      </w:hyperlink>
    </w:p>
    <w:p>
      <w:pPr>
        <w:spacing w:after="0" w:line="60" w:lineRule="exact"/>
        <w:rPr>
          <w:sz w:val="20"/>
          <w:szCs w:val="20"/>
          <w:color w:val="auto"/>
        </w:rPr>
      </w:pPr>
    </w:p>
    <w:p>
      <w:pPr>
        <w:ind w:left="960" w:right="420" w:hanging="755"/>
        <w:spacing w:after="0" w:line="299" w:lineRule="auto"/>
        <w:tabs>
          <w:tab w:leader="none" w:pos="940" w:val="left"/>
        </w:tabs>
        <w:rPr>
          <w:rFonts w:ascii="Arial" w:cs="Arial" w:eastAsia="Arial" w:hAnsi="Arial"/>
          <w:sz w:val="16"/>
          <w:szCs w:val="16"/>
          <w:u w:val="single" w:color="auto"/>
          <w:color w:val="0000EE"/>
        </w:rPr>
      </w:pPr>
      <w:r>
        <w:rPr>
          <w:rFonts w:ascii="Arial" w:cs="Arial" w:eastAsia="Arial" w:hAnsi="Arial"/>
          <w:sz w:val="18"/>
          <w:szCs w:val="18"/>
          <w:color w:val="auto"/>
        </w:rPr>
        <w:t>10.5B</w:t>
      </w:r>
      <w:r>
        <w:rPr>
          <w:sz w:val="20"/>
          <w:szCs w:val="20"/>
          <w:color w:val="auto"/>
        </w:rPr>
        <w:tab/>
      </w:r>
      <w:hyperlink r:id="rId608">
        <w:r>
          <w:rPr>
            <w:rFonts w:ascii="Arial" w:cs="Arial" w:eastAsia="Arial" w:hAnsi="Arial"/>
            <w:sz w:val="16"/>
            <w:szCs w:val="16"/>
            <w:u w:val="single" w:color="auto"/>
            <w:color w:val="0000EE"/>
          </w:rPr>
          <w:t>Sublease Agreement between Revolution Medicines, Inc., as successor to Warp</w:t>
        </w:r>
      </w:hyperlink>
      <w:r>
        <w:rPr>
          <w:rFonts w:ascii="Arial" w:cs="Arial" w:eastAsia="Arial" w:hAnsi="Arial"/>
          <w:sz w:val="16"/>
          <w:szCs w:val="16"/>
          <w:u w:val="single" w:color="auto"/>
          <w:color w:val="0000EE"/>
        </w:rPr>
        <w:t xml:space="preserve"> </w:t>
      </w:r>
      <w:hyperlink r:id="rId608">
        <w:r>
          <w:rPr>
            <w:rFonts w:ascii="Arial" w:cs="Arial" w:eastAsia="Arial" w:hAnsi="Arial"/>
            <w:sz w:val="16"/>
            <w:szCs w:val="16"/>
            <w:u w:val="single" w:color="auto"/>
            <w:color w:val="0000EE"/>
          </w:rPr>
          <w:t>Drive Bio, LLC, and Casma Therapeutics, Inc., dated as of February 4, 2019.</w:t>
        </w:r>
      </w:hyperlink>
    </w:p>
    <w:p>
      <w:pPr>
        <w:spacing w:after="0" w:line="14" w:lineRule="exact"/>
        <w:rPr>
          <w:sz w:val="20"/>
          <w:szCs w:val="20"/>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 xml:space="preserve">10.6(a)# </w:t>
      </w:r>
      <w:hyperlink r:id="rId609">
        <w:r>
          <w:rPr>
            <w:rFonts w:ascii="Arial" w:cs="Arial" w:eastAsia="Arial" w:hAnsi="Arial"/>
            <w:sz w:val="18"/>
            <w:szCs w:val="18"/>
            <w:u w:val="single" w:color="auto"/>
            <w:color w:val="0000EE"/>
          </w:rPr>
          <w:t>2014 Equity Incentive Plan, as amended.</w:t>
        </w:r>
      </w:hyperlink>
    </w:p>
    <w:p>
      <w:pPr>
        <w:spacing w:after="0" w:line="63" w:lineRule="exact"/>
        <w:rPr>
          <w:sz w:val="20"/>
          <w:szCs w:val="20"/>
          <w:color w:val="auto"/>
        </w:rPr>
      </w:pPr>
    </w:p>
    <w:p>
      <w:pPr>
        <w:ind w:left="960" w:right="160" w:hanging="755"/>
        <w:spacing w:after="0" w:line="238"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10.6(b)# </w:t>
      </w:r>
      <w:hyperlink r:id="rId610">
        <w:r>
          <w:rPr>
            <w:rFonts w:ascii="Arial" w:cs="Arial" w:eastAsia="Arial" w:hAnsi="Arial"/>
            <w:sz w:val="18"/>
            <w:szCs w:val="18"/>
            <w:u w:val="single" w:color="auto"/>
            <w:color w:val="0000EE"/>
          </w:rPr>
          <w:t>Form of Amended and Restated Early Exercise Stock Option Grant Notice and</w:t>
        </w:r>
      </w:hyperlink>
      <w:r>
        <w:rPr>
          <w:rFonts w:ascii="Arial" w:cs="Arial" w:eastAsia="Arial" w:hAnsi="Arial"/>
          <w:sz w:val="18"/>
          <w:szCs w:val="18"/>
          <w:color w:val="auto"/>
        </w:rPr>
        <w:t xml:space="preserve"> </w:t>
      </w:r>
      <w:hyperlink r:id="rId610">
        <w:r>
          <w:rPr>
            <w:rFonts w:ascii="Arial" w:cs="Arial" w:eastAsia="Arial" w:hAnsi="Arial"/>
            <w:sz w:val="18"/>
            <w:szCs w:val="18"/>
            <w:u w:val="single" w:color="auto"/>
            <w:color w:val="0000EE"/>
          </w:rPr>
          <w:t>Amended and Restated Stock Option Agreement under 2014 Equity Incentive Plan,</w:t>
        </w:r>
      </w:hyperlink>
      <w:r>
        <w:rPr>
          <w:rFonts w:ascii="Arial" w:cs="Arial" w:eastAsia="Arial" w:hAnsi="Arial"/>
          <w:sz w:val="18"/>
          <w:szCs w:val="18"/>
          <w:u w:val="single" w:color="auto"/>
          <w:color w:val="0000EE"/>
        </w:rPr>
        <w:t xml:space="preserve"> </w:t>
      </w:r>
      <w:hyperlink r:id="rId610">
        <w:r>
          <w:rPr>
            <w:rFonts w:ascii="Arial" w:cs="Arial" w:eastAsia="Arial" w:hAnsi="Arial"/>
            <w:sz w:val="18"/>
            <w:szCs w:val="18"/>
            <w:u w:val="single" w:color="auto"/>
            <w:color w:val="0000EE"/>
          </w:rPr>
          <w:t>as amended.</w:t>
        </w:r>
      </w:hyperlink>
    </w:p>
    <w:p>
      <w:pPr>
        <w:spacing w:after="0" w:line="59"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18"/>
          <w:szCs w:val="18"/>
          <w:color w:val="auto"/>
        </w:rPr>
        <w:t xml:space="preserve">10.7(a)# </w:t>
      </w:r>
      <w:hyperlink w:anchor="page416">
        <w:r>
          <w:rPr>
            <w:rFonts w:ascii="Arial" w:cs="Arial" w:eastAsia="Arial" w:hAnsi="Arial"/>
            <w:sz w:val="18"/>
            <w:szCs w:val="18"/>
            <w:u w:val="single" w:color="auto"/>
            <w:color w:val="0000EE"/>
          </w:rPr>
          <w:t>2020 Incentive Award Plan.</w:t>
        </w:r>
      </w:hyperlink>
    </w:p>
    <w:p>
      <w:pPr>
        <w:spacing w:after="0" w:line="63" w:lineRule="exact"/>
        <w:rPr>
          <w:rFonts w:ascii="Arial" w:cs="Arial" w:eastAsia="Arial" w:hAnsi="Arial"/>
          <w:sz w:val="18"/>
          <w:szCs w:val="18"/>
          <w:color w:val="auto"/>
        </w:rPr>
      </w:pPr>
    </w:p>
    <w:p>
      <w:pPr>
        <w:ind w:left="960" w:right="420" w:hanging="755"/>
        <w:spacing w:after="0" w:line="239" w:lineRule="auto"/>
        <w:rPr>
          <w:rFonts w:ascii="Arial" w:cs="Arial" w:eastAsia="Arial" w:hAnsi="Arial"/>
          <w:sz w:val="18"/>
          <w:szCs w:val="18"/>
          <w:u w:val="single" w:color="auto"/>
          <w:color w:val="0000EE"/>
        </w:rPr>
      </w:pPr>
      <w:r>
        <w:rPr>
          <w:rFonts w:ascii="Arial" w:cs="Arial" w:eastAsia="Arial" w:hAnsi="Arial"/>
          <w:sz w:val="18"/>
          <w:szCs w:val="18"/>
          <w:color w:val="auto"/>
        </w:rPr>
        <w:t xml:space="preserve">10.7(b)# </w:t>
      </w:r>
      <w:hyperlink w:anchor="page437">
        <w:r>
          <w:rPr>
            <w:rFonts w:ascii="Arial" w:cs="Arial" w:eastAsia="Arial" w:hAnsi="Arial"/>
            <w:sz w:val="18"/>
            <w:szCs w:val="18"/>
            <w:u w:val="single" w:color="auto"/>
            <w:color w:val="0000EE"/>
          </w:rPr>
          <w:t>Form of Stock Option Grant Notice and Stock Option Agreement under the 2020</w:t>
        </w:r>
      </w:hyperlink>
      <w:r>
        <w:rPr>
          <w:rFonts w:ascii="Arial" w:cs="Arial" w:eastAsia="Arial" w:hAnsi="Arial"/>
          <w:sz w:val="18"/>
          <w:szCs w:val="18"/>
          <w:color w:val="auto"/>
        </w:rPr>
        <w:t xml:space="preserve"> </w:t>
      </w:r>
      <w:hyperlink w:anchor="page437">
        <w:r>
          <w:rPr>
            <w:rFonts w:ascii="Arial" w:cs="Arial" w:eastAsia="Arial" w:hAnsi="Arial"/>
            <w:sz w:val="18"/>
            <w:szCs w:val="18"/>
            <w:u w:val="single" w:color="auto"/>
            <w:color w:val="0000EE"/>
          </w:rPr>
          <w:t>Incentive Award Plan.</w:t>
        </w:r>
      </w:hyperlink>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440" w:type="dxa"/>
            <w:vAlign w:val="bottom"/>
          </w:tcPr>
          <w:p>
            <w:pPr>
              <w:spacing w:after="0"/>
              <w:rPr>
                <w:sz w:val="20"/>
                <w:szCs w:val="20"/>
                <w:color w:val="auto"/>
              </w:rPr>
            </w:pPr>
            <w:r>
              <w:rPr>
                <w:rFonts w:ascii="Arial" w:cs="Arial" w:eastAsia="Arial" w:hAnsi="Arial"/>
                <w:sz w:val="18"/>
                <w:szCs w:val="18"/>
                <w:color w:val="auto"/>
              </w:rPr>
              <w:t>S-1</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1/17/2020</w:t>
            </w:r>
          </w:p>
        </w:tc>
        <w:tc>
          <w:tcPr>
            <w:tcW w:w="760" w:type="dxa"/>
            <w:vAlign w:val="bottom"/>
          </w:tcPr>
          <w:p>
            <w:pPr>
              <w:jc w:val="center"/>
              <w:ind w:left="92"/>
              <w:spacing w:after="0"/>
              <w:rPr>
                <w:sz w:val="20"/>
                <w:szCs w:val="20"/>
                <w:color w:val="auto"/>
              </w:rPr>
            </w:pPr>
            <w:r>
              <w:rPr>
                <w:rFonts w:ascii="Arial" w:cs="Arial" w:eastAsia="Arial" w:hAnsi="Arial"/>
                <w:sz w:val="18"/>
                <w:szCs w:val="18"/>
                <w:color w:val="auto"/>
                <w:w w:val="97"/>
              </w:rPr>
              <w:t>10.3B</w:t>
            </w:r>
          </w:p>
        </w:tc>
      </w:tr>
      <w:tr>
        <w:trPr>
          <w:trHeight w:val="473"/>
        </w:trPr>
        <w:tc>
          <w:tcPr>
            <w:tcW w:w="440" w:type="dxa"/>
            <w:vAlign w:val="bottom"/>
          </w:tcPr>
          <w:p>
            <w:pPr>
              <w:spacing w:after="0"/>
              <w:rPr>
                <w:sz w:val="20"/>
                <w:szCs w:val="20"/>
                <w:color w:val="auto"/>
              </w:rPr>
            </w:pPr>
            <w:r>
              <w:rPr>
                <w:rFonts w:ascii="Arial" w:cs="Arial" w:eastAsia="Arial" w:hAnsi="Arial"/>
                <w:sz w:val="18"/>
                <w:szCs w:val="18"/>
                <w:color w:val="auto"/>
              </w:rPr>
              <w:t>S-1</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1/17/2020</w:t>
            </w:r>
          </w:p>
        </w:tc>
        <w:tc>
          <w:tcPr>
            <w:tcW w:w="760" w:type="dxa"/>
            <w:vAlign w:val="bottom"/>
          </w:tcPr>
          <w:p>
            <w:pPr>
              <w:jc w:val="center"/>
              <w:ind w:left="92"/>
              <w:spacing w:after="0"/>
              <w:rPr>
                <w:sz w:val="20"/>
                <w:szCs w:val="20"/>
                <w:color w:val="auto"/>
              </w:rPr>
            </w:pPr>
            <w:r>
              <w:rPr>
                <w:rFonts w:ascii="Arial" w:cs="Arial" w:eastAsia="Arial" w:hAnsi="Arial"/>
                <w:sz w:val="18"/>
                <w:szCs w:val="18"/>
                <w:color w:val="auto"/>
                <w:w w:val="95"/>
              </w:rPr>
              <w:t>10.3C</w:t>
            </w:r>
          </w:p>
        </w:tc>
      </w:tr>
      <w:tr>
        <w:trPr>
          <w:trHeight w:val="473"/>
        </w:trPr>
        <w:tc>
          <w:tcPr>
            <w:tcW w:w="440" w:type="dxa"/>
            <w:vAlign w:val="bottom"/>
          </w:tcPr>
          <w:p>
            <w:pPr>
              <w:spacing w:after="0"/>
              <w:rPr>
                <w:sz w:val="20"/>
                <w:szCs w:val="20"/>
                <w:color w:val="auto"/>
              </w:rPr>
            </w:pPr>
            <w:r>
              <w:rPr>
                <w:rFonts w:ascii="Arial" w:cs="Arial" w:eastAsia="Arial" w:hAnsi="Arial"/>
                <w:sz w:val="18"/>
                <w:szCs w:val="18"/>
                <w:color w:val="auto"/>
              </w:rPr>
              <w:t>S-1</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1/17/2020</w:t>
            </w:r>
          </w:p>
        </w:tc>
        <w:tc>
          <w:tcPr>
            <w:tcW w:w="760" w:type="dxa"/>
            <w:vAlign w:val="bottom"/>
          </w:tcPr>
          <w:p>
            <w:pPr>
              <w:jc w:val="center"/>
              <w:ind w:left="92"/>
              <w:spacing w:after="0"/>
              <w:rPr>
                <w:sz w:val="20"/>
                <w:szCs w:val="20"/>
                <w:color w:val="auto"/>
              </w:rPr>
            </w:pPr>
            <w:r>
              <w:rPr>
                <w:rFonts w:ascii="Arial" w:cs="Arial" w:eastAsia="Arial" w:hAnsi="Arial"/>
                <w:sz w:val="18"/>
                <w:szCs w:val="18"/>
                <w:color w:val="auto"/>
                <w:w w:val="97"/>
              </w:rPr>
              <w:t>10.4A</w:t>
            </w:r>
          </w:p>
        </w:tc>
      </w:tr>
      <w:tr>
        <w:trPr>
          <w:trHeight w:val="473"/>
        </w:trPr>
        <w:tc>
          <w:tcPr>
            <w:tcW w:w="440" w:type="dxa"/>
            <w:vAlign w:val="bottom"/>
          </w:tcPr>
          <w:p>
            <w:pPr>
              <w:spacing w:after="0"/>
              <w:rPr>
                <w:sz w:val="20"/>
                <w:szCs w:val="20"/>
                <w:color w:val="auto"/>
              </w:rPr>
            </w:pPr>
            <w:r>
              <w:rPr>
                <w:rFonts w:ascii="Arial" w:cs="Arial" w:eastAsia="Arial" w:hAnsi="Arial"/>
                <w:sz w:val="18"/>
                <w:szCs w:val="18"/>
                <w:color w:val="auto"/>
              </w:rPr>
              <w:t>S-1</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1/17/2020</w:t>
            </w:r>
          </w:p>
        </w:tc>
        <w:tc>
          <w:tcPr>
            <w:tcW w:w="760" w:type="dxa"/>
            <w:vAlign w:val="bottom"/>
          </w:tcPr>
          <w:p>
            <w:pPr>
              <w:jc w:val="center"/>
              <w:ind w:left="92"/>
              <w:spacing w:after="0"/>
              <w:rPr>
                <w:sz w:val="20"/>
                <w:szCs w:val="20"/>
                <w:color w:val="auto"/>
              </w:rPr>
            </w:pPr>
            <w:r>
              <w:rPr>
                <w:rFonts w:ascii="Arial" w:cs="Arial" w:eastAsia="Arial" w:hAnsi="Arial"/>
                <w:sz w:val="18"/>
                <w:szCs w:val="18"/>
                <w:color w:val="auto"/>
                <w:w w:val="97"/>
              </w:rPr>
              <w:t>10.4B</w:t>
            </w:r>
          </w:p>
        </w:tc>
      </w:tr>
      <w:tr>
        <w:trPr>
          <w:trHeight w:val="473"/>
        </w:trPr>
        <w:tc>
          <w:tcPr>
            <w:tcW w:w="440" w:type="dxa"/>
            <w:vAlign w:val="bottom"/>
          </w:tcPr>
          <w:p>
            <w:pPr>
              <w:spacing w:after="0"/>
              <w:rPr>
                <w:sz w:val="20"/>
                <w:szCs w:val="20"/>
                <w:color w:val="auto"/>
              </w:rPr>
            </w:pPr>
            <w:r>
              <w:rPr>
                <w:rFonts w:ascii="Arial" w:cs="Arial" w:eastAsia="Arial" w:hAnsi="Arial"/>
                <w:sz w:val="18"/>
                <w:szCs w:val="18"/>
                <w:color w:val="auto"/>
              </w:rPr>
              <w:t>S-1</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1/17/2020</w:t>
            </w:r>
          </w:p>
        </w:tc>
        <w:tc>
          <w:tcPr>
            <w:tcW w:w="760" w:type="dxa"/>
            <w:vAlign w:val="bottom"/>
          </w:tcPr>
          <w:p>
            <w:pPr>
              <w:jc w:val="center"/>
              <w:ind w:left="92"/>
              <w:spacing w:after="0"/>
              <w:rPr>
                <w:sz w:val="20"/>
                <w:szCs w:val="20"/>
                <w:color w:val="auto"/>
              </w:rPr>
            </w:pPr>
            <w:r>
              <w:rPr>
                <w:rFonts w:ascii="Arial" w:cs="Arial" w:eastAsia="Arial" w:hAnsi="Arial"/>
                <w:sz w:val="18"/>
                <w:szCs w:val="18"/>
                <w:color w:val="auto"/>
                <w:w w:val="97"/>
              </w:rPr>
              <w:t>10.5A</w:t>
            </w:r>
          </w:p>
        </w:tc>
      </w:tr>
      <w:tr>
        <w:trPr>
          <w:trHeight w:val="473"/>
        </w:trPr>
        <w:tc>
          <w:tcPr>
            <w:tcW w:w="440" w:type="dxa"/>
            <w:vAlign w:val="bottom"/>
          </w:tcPr>
          <w:p>
            <w:pPr>
              <w:spacing w:after="0"/>
              <w:rPr>
                <w:sz w:val="20"/>
                <w:szCs w:val="20"/>
                <w:color w:val="auto"/>
              </w:rPr>
            </w:pPr>
            <w:r>
              <w:rPr>
                <w:rFonts w:ascii="Arial" w:cs="Arial" w:eastAsia="Arial" w:hAnsi="Arial"/>
                <w:sz w:val="18"/>
                <w:szCs w:val="18"/>
                <w:color w:val="auto"/>
              </w:rPr>
              <w:t>S-1</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1/17/2020</w:t>
            </w:r>
          </w:p>
        </w:tc>
        <w:tc>
          <w:tcPr>
            <w:tcW w:w="760" w:type="dxa"/>
            <w:vAlign w:val="bottom"/>
          </w:tcPr>
          <w:p>
            <w:pPr>
              <w:jc w:val="center"/>
              <w:ind w:left="92"/>
              <w:spacing w:after="0"/>
              <w:rPr>
                <w:sz w:val="20"/>
                <w:szCs w:val="20"/>
                <w:color w:val="auto"/>
              </w:rPr>
            </w:pPr>
            <w:r>
              <w:rPr>
                <w:rFonts w:ascii="Arial" w:cs="Arial" w:eastAsia="Arial" w:hAnsi="Arial"/>
                <w:sz w:val="18"/>
                <w:szCs w:val="18"/>
                <w:color w:val="auto"/>
                <w:w w:val="97"/>
              </w:rPr>
              <w:t>10.5B</w:t>
            </w:r>
          </w:p>
        </w:tc>
      </w:tr>
      <w:tr>
        <w:trPr>
          <w:trHeight w:val="270"/>
        </w:trPr>
        <w:tc>
          <w:tcPr>
            <w:tcW w:w="440" w:type="dxa"/>
            <w:vAlign w:val="bottom"/>
          </w:tcPr>
          <w:p>
            <w:pPr>
              <w:spacing w:after="0"/>
              <w:rPr>
                <w:sz w:val="20"/>
                <w:szCs w:val="20"/>
                <w:color w:val="auto"/>
              </w:rPr>
            </w:pPr>
            <w:r>
              <w:rPr>
                <w:rFonts w:ascii="Arial" w:cs="Arial" w:eastAsia="Arial" w:hAnsi="Arial"/>
                <w:sz w:val="18"/>
                <w:szCs w:val="18"/>
                <w:color w:val="auto"/>
              </w:rPr>
              <w:t>S-1</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1/17/2020</w:t>
            </w:r>
          </w:p>
        </w:tc>
        <w:tc>
          <w:tcPr>
            <w:tcW w:w="760" w:type="dxa"/>
            <w:vAlign w:val="bottom"/>
          </w:tcPr>
          <w:p>
            <w:pPr>
              <w:jc w:val="center"/>
              <w:ind w:left="112"/>
              <w:spacing w:after="0"/>
              <w:rPr>
                <w:sz w:val="20"/>
                <w:szCs w:val="20"/>
                <w:color w:val="auto"/>
              </w:rPr>
            </w:pPr>
            <w:r>
              <w:rPr>
                <w:rFonts w:ascii="Arial" w:cs="Arial" w:eastAsia="Arial" w:hAnsi="Arial"/>
                <w:sz w:val="18"/>
                <w:szCs w:val="18"/>
                <w:color w:val="auto"/>
                <w:w w:val="98"/>
              </w:rPr>
              <w:t>10.6(a)</w:t>
            </w:r>
          </w:p>
        </w:tc>
      </w:tr>
      <w:tr>
        <w:trPr>
          <w:trHeight w:val="675"/>
        </w:trPr>
        <w:tc>
          <w:tcPr>
            <w:tcW w:w="440" w:type="dxa"/>
            <w:vAlign w:val="bottom"/>
          </w:tcPr>
          <w:p>
            <w:pPr>
              <w:spacing w:after="0"/>
              <w:rPr>
                <w:sz w:val="20"/>
                <w:szCs w:val="20"/>
                <w:color w:val="auto"/>
              </w:rPr>
            </w:pPr>
            <w:r>
              <w:rPr>
                <w:rFonts w:ascii="Arial" w:cs="Arial" w:eastAsia="Arial" w:hAnsi="Arial"/>
                <w:sz w:val="18"/>
                <w:szCs w:val="18"/>
                <w:color w:val="auto"/>
              </w:rPr>
              <w:t>S-1</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1/17/2020</w:t>
            </w:r>
          </w:p>
        </w:tc>
        <w:tc>
          <w:tcPr>
            <w:tcW w:w="760" w:type="dxa"/>
            <w:vAlign w:val="bottom"/>
          </w:tcPr>
          <w:p>
            <w:pPr>
              <w:jc w:val="center"/>
              <w:ind w:left="112"/>
              <w:spacing w:after="0"/>
              <w:rPr>
                <w:sz w:val="20"/>
                <w:szCs w:val="20"/>
                <w:color w:val="auto"/>
              </w:rPr>
            </w:pPr>
            <w:r>
              <w:rPr>
                <w:rFonts w:ascii="Arial" w:cs="Arial" w:eastAsia="Arial" w:hAnsi="Arial"/>
                <w:sz w:val="18"/>
                <w:szCs w:val="18"/>
                <w:color w:val="auto"/>
                <w:w w:val="98"/>
              </w:rPr>
              <w:t>10.6(b)</w:t>
            </w:r>
          </w:p>
        </w:tc>
      </w:tr>
    </w:tbl>
    <w:p>
      <w:pPr>
        <w:spacing w:after="0" w:line="59"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X</w:t>
      </w:r>
    </w:p>
    <w:p>
      <w:pPr>
        <w:spacing w:after="0" w:line="63" w:lineRule="exact"/>
        <w:rPr>
          <w:sz w:val="20"/>
          <w:szCs w:val="20"/>
          <w:color w:val="auto"/>
        </w:rPr>
      </w:pPr>
    </w:p>
    <w:p>
      <w:pPr>
        <w:jc w:val="right"/>
        <w:ind w:right="400"/>
        <w:spacing w:after="0"/>
        <w:rPr>
          <w:sz w:val="20"/>
          <w:szCs w:val="20"/>
          <w:color w:val="auto"/>
        </w:rPr>
      </w:pPr>
      <w:r>
        <w:rPr>
          <w:rFonts w:ascii="Arial" w:cs="Arial" w:eastAsia="Arial" w:hAnsi="Arial"/>
          <w:sz w:val="18"/>
          <w:szCs w:val="18"/>
          <w:color w:val="auto"/>
        </w:rPr>
        <w:t>X</w:t>
      </w:r>
    </w:p>
    <w:p>
      <w:pPr>
        <w:spacing w:after="0" w:line="231" w:lineRule="exact"/>
        <w:rPr>
          <w:sz w:val="20"/>
          <w:szCs w:val="20"/>
          <w:color w:val="auto"/>
        </w:rPr>
      </w:pPr>
    </w:p>
    <w:p>
      <w:pPr>
        <w:sectPr>
          <w:pgSz w:w="11900" w:h="16838" w:orient="portrait"/>
          <w:cols w:equalWidth="0" w:num="2">
            <w:col w:w="7600" w:space="200"/>
            <w:col w:w="344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Arial" w:cs="Arial" w:eastAsia="Arial" w:hAnsi="Arial"/>
                <w:sz w:val="18"/>
                <w:szCs w:val="18"/>
                <w:color w:val="auto"/>
              </w:rPr>
              <w:t>10.7(c)#</w:t>
            </w:r>
          </w:p>
        </w:tc>
        <w:tc>
          <w:tcPr>
            <w:tcW w:w="636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446">
              <w:r>
                <w:rPr>
                  <w:rFonts w:ascii="Arial" w:cs="Arial" w:eastAsia="Arial" w:hAnsi="Arial"/>
                  <w:sz w:val="18"/>
                  <w:szCs w:val="18"/>
                  <w:color w:val="0000EE"/>
                  <w:w w:val="97"/>
                </w:rPr>
                <w:t>Form of Restricted Stock Award Agreement under the 2020 Incentive Award Plan.</w:t>
              </w:r>
            </w:hyperlink>
          </w:p>
        </w:tc>
        <w:tc>
          <w:tcPr>
            <w:tcW w:w="2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20" w:type="dxa"/>
            <w:vAlign w:val="bottom"/>
          </w:tcPr>
          <w:p>
            <w:pPr>
              <w:ind w:left="1300"/>
              <w:spacing w:after="0"/>
              <w:rPr>
                <w:sz w:val="20"/>
                <w:szCs w:val="20"/>
                <w:color w:val="auto"/>
              </w:rPr>
            </w:pPr>
            <w:r>
              <w:rPr>
                <w:rFonts w:ascii="Arial" w:cs="Arial" w:eastAsia="Arial" w:hAnsi="Arial"/>
                <w:sz w:val="18"/>
                <w:szCs w:val="18"/>
                <w:color w:val="auto"/>
              </w:rPr>
              <w:t>X</w:t>
            </w:r>
          </w:p>
        </w:tc>
      </w:tr>
      <w:tr>
        <w:trPr>
          <w:trHeight w:val="250"/>
        </w:trPr>
        <w:tc>
          <w:tcPr>
            <w:tcW w:w="760" w:type="dxa"/>
            <w:vAlign w:val="bottom"/>
          </w:tcPr>
          <w:p>
            <w:pPr>
              <w:spacing w:after="0"/>
              <w:rPr>
                <w:sz w:val="20"/>
                <w:szCs w:val="20"/>
                <w:color w:val="auto"/>
              </w:rPr>
            </w:pPr>
            <w:r>
              <w:rPr>
                <w:rFonts w:ascii="Arial" w:cs="Arial" w:eastAsia="Arial" w:hAnsi="Arial"/>
                <w:sz w:val="18"/>
                <w:szCs w:val="18"/>
                <w:color w:val="auto"/>
              </w:rPr>
              <w:t>10.7(d)#</w:t>
            </w:r>
          </w:p>
        </w:tc>
        <w:tc>
          <w:tcPr>
            <w:tcW w:w="6400" w:type="dxa"/>
            <w:vAlign w:val="bottom"/>
            <w:tcBorders>
              <w:bottom w:val="single" w:sz="8" w:color="0000EE"/>
            </w:tcBorders>
            <w:gridSpan w:val="13"/>
          </w:tcPr>
          <w:p>
            <w:pPr>
              <w:spacing w:after="0"/>
              <w:rPr>
                <w:rFonts w:ascii="Arial" w:cs="Arial" w:eastAsia="Arial" w:hAnsi="Arial"/>
                <w:sz w:val="18"/>
                <w:szCs w:val="18"/>
                <w:color w:val="0000EE"/>
                <w:w w:val="97"/>
              </w:rPr>
            </w:pPr>
            <w:hyperlink w:anchor="page451">
              <w:r>
                <w:rPr>
                  <w:rFonts w:ascii="Arial" w:cs="Arial" w:eastAsia="Arial" w:hAnsi="Arial"/>
                  <w:sz w:val="18"/>
                  <w:szCs w:val="18"/>
                  <w:color w:val="0000EE"/>
                  <w:w w:val="97"/>
                </w:rPr>
                <w:t>Form of Restricted Stock Unit Award Grant Notice under the 2020 Incentive Award</w:t>
              </w:r>
            </w:hyperlink>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20" w:type="dxa"/>
            <w:vAlign w:val="bottom"/>
          </w:tcPr>
          <w:p>
            <w:pPr>
              <w:ind w:left="1300"/>
              <w:spacing w:after="0"/>
              <w:rPr>
                <w:sz w:val="20"/>
                <w:szCs w:val="20"/>
                <w:color w:val="auto"/>
              </w:rPr>
            </w:pPr>
            <w:r>
              <w:rPr>
                <w:rFonts w:ascii="Arial" w:cs="Arial" w:eastAsia="Arial" w:hAnsi="Arial"/>
                <w:sz w:val="18"/>
                <w:szCs w:val="18"/>
                <w:color w:val="auto"/>
              </w:rPr>
              <w:t>X</w:t>
            </w:r>
          </w:p>
        </w:tc>
      </w:tr>
      <w:tr>
        <w:trPr>
          <w:trHeight w:val="183"/>
        </w:trPr>
        <w:tc>
          <w:tcPr>
            <w:tcW w:w="760" w:type="dxa"/>
            <w:vAlign w:val="bottom"/>
          </w:tcPr>
          <w:p>
            <w:pPr>
              <w:spacing w:after="0"/>
              <w:rPr>
                <w:sz w:val="15"/>
                <w:szCs w:val="15"/>
                <w:color w:val="auto"/>
              </w:rPr>
            </w:pPr>
          </w:p>
        </w:tc>
        <w:tc>
          <w:tcPr>
            <w:tcW w:w="6620" w:type="dxa"/>
            <w:vAlign w:val="bottom"/>
            <w:gridSpan w:val="14"/>
          </w:tcPr>
          <w:p>
            <w:pPr>
              <w:spacing w:after="0" w:line="182" w:lineRule="exact"/>
              <w:rPr>
                <w:rFonts w:ascii="Arial" w:cs="Arial" w:eastAsia="Arial" w:hAnsi="Arial"/>
                <w:sz w:val="18"/>
                <w:szCs w:val="18"/>
                <w:color w:val="0000EE"/>
              </w:rPr>
            </w:pPr>
            <w:hyperlink w:anchor="page451">
              <w:r>
                <w:rPr>
                  <w:rFonts w:ascii="Arial" w:cs="Arial" w:eastAsia="Arial" w:hAnsi="Arial"/>
                  <w:sz w:val="18"/>
                  <w:szCs w:val="18"/>
                  <w:color w:val="0000EE"/>
                </w:rPr>
                <w:t>Plan.</w:t>
              </w:r>
            </w:hyperlink>
          </w:p>
        </w:tc>
        <w:tc>
          <w:tcPr>
            <w:tcW w:w="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Arial" w:cs="Arial" w:eastAsia="Arial" w:hAnsi="Arial"/>
                <w:sz w:val="18"/>
                <w:szCs w:val="18"/>
                <w:color w:val="auto"/>
              </w:rPr>
              <w:t>10.8#</w:t>
            </w:r>
          </w:p>
        </w:tc>
        <w:tc>
          <w:tcPr>
            <w:tcW w:w="6620" w:type="dxa"/>
            <w:vAlign w:val="bottom"/>
            <w:gridSpan w:val="14"/>
          </w:tcPr>
          <w:p>
            <w:pPr>
              <w:spacing w:after="0"/>
              <w:rPr>
                <w:rFonts w:ascii="Arial" w:cs="Arial" w:eastAsia="Arial" w:hAnsi="Arial"/>
                <w:sz w:val="18"/>
                <w:szCs w:val="18"/>
                <w:color w:val="0000EE"/>
              </w:rPr>
            </w:pPr>
            <w:hyperlink w:anchor="page456">
              <w:r>
                <w:rPr>
                  <w:rFonts w:ascii="Arial" w:cs="Arial" w:eastAsia="Arial" w:hAnsi="Arial"/>
                  <w:sz w:val="18"/>
                  <w:szCs w:val="18"/>
                  <w:color w:val="0000EE"/>
                </w:rPr>
                <w:t>2020 Employee Stock Purchase Plan.</w:t>
              </w:r>
            </w:hyperlink>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20" w:type="dxa"/>
            <w:vAlign w:val="bottom"/>
          </w:tcPr>
          <w:p>
            <w:pPr>
              <w:ind w:left="1300"/>
              <w:spacing w:after="0"/>
              <w:rPr>
                <w:sz w:val="20"/>
                <w:szCs w:val="20"/>
                <w:color w:val="auto"/>
              </w:rPr>
            </w:pPr>
            <w:r>
              <w:rPr>
                <w:rFonts w:ascii="Arial" w:cs="Arial" w:eastAsia="Arial" w:hAnsi="Arial"/>
                <w:sz w:val="18"/>
                <w:szCs w:val="18"/>
                <w:color w:val="auto"/>
              </w:rPr>
              <w:t>X</w:t>
            </w:r>
          </w:p>
        </w:tc>
      </w:tr>
      <w:tr>
        <w:trPr>
          <w:trHeight w:val="20"/>
        </w:trPr>
        <w:tc>
          <w:tcPr>
            <w:tcW w:w="7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Arial" w:cs="Arial" w:eastAsia="Arial" w:hAnsi="Arial"/>
                <w:sz w:val="18"/>
                <w:szCs w:val="18"/>
                <w:color w:val="auto"/>
              </w:rPr>
              <w:t>10.9#</w:t>
            </w:r>
          </w:p>
        </w:tc>
        <w:tc>
          <w:tcPr>
            <w:tcW w:w="6620" w:type="dxa"/>
            <w:vAlign w:val="bottom"/>
            <w:gridSpan w:val="14"/>
          </w:tcPr>
          <w:p>
            <w:pPr>
              <w:spacing w:after="0"/>
              <w:rPr>
                <w:rFonts w:ascii="Arial" w:cs="Arial" w:eastAsia="Arial" w:hAnsi="Arial"/>
                <w:sz w:val="18"/>
                <w:szCs w:val="18"/>
                <w:color w:val="0000EE"/>
              </w:rPr>
            </w:pPr>
            <w:hyperlink r:id="rId611">
              <w:r>
                <w:rPr>
                  <w:rFonts w:ascii="Arial" w:cs="Arial" w:eastAsia="Arial" w:hAnsi="Arial"/>
                  <w:sz w:val="18"/>
                  <w:szCs w:val="18"/>
                  <w:color w:val="0000EE"/>
                </w:rPr>
                <w:t>Employment Agreement by and between Revolution Medicines, Inc. and Mark A.</w:t>
              </w:r>
            </w:hyperlink>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183"/>
        </w:trPr>
        <w:tc>
          <w:tcPr>
            <w:tcW w:w="760" w:type="dxa"/>
            <w:vAlign w:val="bottom"/>
          </w:tcPr>
          <w:p>
            <w:pPr>
              <w:spacing w:after="0"/>
              <w:rPr>
                <w:sz w:val="15"/>
                <w:szCs w:val="15"/>
                <w:color w:val="auto"/>
              </w:rPr>
            </w:pPr>
          </w:p>
        </w:tc>
        <w:tc>
          <w:tcPr>
            <w:tcW w:w="18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6"/>
              </w:rPr>
            </w:pPr>
            <w:hyperlink r:id="rId611">
              <w:r>
                <w:rPr>
                  <w:rFonts w:ascii="Arial" w:cs="Arial" w:eastAsia="Arial" w:hAnsi="Arial"/>
                  <w:sz w:val="18"/>
                  <w:szCs w:val="18"/>
                  <w:color w:val="0000EE"/>
                  <w:w w:val="96"/>
                </w:rPr>
                <w:t>Goldsmith, M.D., Ph.D.</w:t>
              </w:r>
            </w:hyperlink>
          </w:p>
        </w:tc>
        <w:tc>
          <w:tcPr>
            <w:tcW w:w="4460" w:type="dxa"/>
            <w:vAlign w:val="bottom"/>
            <w:tcBorders>
              <w:top w:val="single" w:sz="8" w:color="0000EE"/>
            </w:tcBorders>
            <w:gridSpan w:val="8"/>
          </w:tcPr>
          <w:p>
            <w:pPr>
              <w:spacing w:after="0"/>
              <w:rPr>
                <w:sz w:val="15"/>
                <w:szCs w:val="15"/>
                <w:color w:val="auto"/>
              </w:rPr>
            </w:pPr>
          </w:p>
        </w:tc>
        <w:tc>
          <w:tcPr>
            <w:tcW w:w="360" w:type="dxa"/>
            <w:vAlign w:val="bottom"/>
            <w:gridSpan w:val="3"/>
          </w:tcPr>
          <w:p>
            <w:pPr>
              <w:spacing w:after="0"/>
              <w:rPr>
                <w:sz w:val="15"/>
                <w:szCs w:val="15"/>
                <w:color w:val="auto"/>
              </w:rPr>
            </w:pPr>
          </w:p>
        </w:tc>
        <w:tc>
          <w:tcPr>
            <w:tcW w:w="660" w:type="dxa"/>
            <w:vAlign w:val="bottom"/>
          </w:tcPr>
          <w:p>
            <w:pPr>
              <w:ind w:left="220"/>
              <w:spacing w:after="0" w:line="182" w:lineRule="exact"/>
              <w:rPr>
                <w:sz w:val="20"/>
                <w:szCs w:val="20"/>
                <w:color w:val="auto"/>
              </w:rPr>
            </w:pPr>
            <w:r>
              <w:rPr>
                <w:rFonts w:ascii="Arial" w:cs="Arial" w:eastAsia="Arial" w:hAnsi="Arial"/>
                <w:sz w:val="18"/>
                <w:szCs w:val="18"/>
                <w:color w:val="auto"/>
              </w:rPr>
              <w:t>S-1</w:t>
            </w:r>
          </w:p>
        </w:tc>
        <w:tc>
          <w:tcPr>
            <w:tcW w:w="1180" w:type="dxa"/>
            <w:vAlign w:val="bottom"/>
          </w:tcPr>
          <w:p>
            <w:pPr>
              <w:jc w:val="right"/>
              <w:ind w:right="132"/>
              <w:spacing w:after="0" w:line="182" w:lineRule="exact"/>
              <w:rPr>
                <w:sz w:val="20"/>
                <w:szCs w:val="20"/>
                <w:color w:val="auto"/>
              </w:rPr>
            </w:pPr>
            <w:r>
              <w:rPr>
                <w:rFonts w:ascii="Arial" w:cs="Arial" w:eastAsia="Arial" w:hAnsi="Arial"/>
                <w:sz w:val="18"/>
                <w:szCs w:val="18"/>
                <w:color w:val="auto"/>
              </w:rPr>
              <w:t>1/17/2020</w:t>
            </w:r>
          </w:p>
        </w:tc>
        <w:tc>
          <w:tcPr>
            <w:tcW w:w="1820" w:type="dxa"/>
            <w:vAlign w:val="bottom"/>
          </w:tcPr>
          <w:p>
            <w:pPr>
              <w:jc w:val="center"/>
              <w:ind w:right="872"/>
              <w:spacing w:after="0" w:line="182" w:lineRule="exact"/>
              <w:rPr>
                <w:sz w:val="20"/>
                <w:szCs w:val="20"/>
                <w:color w:val="auto"/>
              </w:rPr>
            </w:pPr>
            <w:r>
              <w:rPr>
                <w:rFonts w:ascii="Arial" w:cs="Arial" w:eastAsia="Arial" w:hAnsi="Arial"/>
                <w:sz w:val="18"/>
                <w:szCs w:val="18"/>
                <w:color w:val="auto"/>
                <w:w w:val="96"/>
              </w:rPr>
              <w:t>10.9</w:t>
            </w:r>
          </w:p>
        </w:tc>
      </w:tr>
      <w:tr>
        <w:trPr>
          <w:trHeight w:val="250"/>
        </w:trPr>
        <w:tc>
          <w:tcPr>
            <w:tcW w:w="760" w:type="dxa"/>
            <w:vAlign w:val="bottom"/>
          </w:tcPr>
          <w:p>
            <w:pPr>
              <w:spacing w:after="0"/>
              <w:rPr>
                <w:sz w:val="20"/>
                <w:szCs w:val="20"/>
                <w:color w:val="auto"/>
              </w:rPr>
            </w:pPr>
            <w:r>
              <w:rPr>
                <w:rFonts w:ascii="Arial" w:cs="Arial" w:eastAsia="Arial" w:hAnsi="Arial"/>
                <w:sz w:val="18"/>
                <w:szCs w:val="18"/>
                <w:color w:val="auto"/>
              </w:rPr>
              <w:t>10.10#</w:t>
            </w:r>
          </w:p>
        </w:tc>
        <w:tc>
          <w:tcPr>
            <w:tcW w:w="6620" w:type="dxa"/>
            <w:vAlign w:val="bottom"/>
            <w:gridSpan w:val="14"/>
          </w:tcPr>
          <w:p>
            <w:pPr>
              <w:spacing w:after="0"/>
              <w:rPr>
                <w:rFonts w:ascii="Arial" w:cs="Arial" w:eastAsia="Arial" w:hAnsi="Arial"/>
                <w:sz w:val="18"/>
                <w:szCs w:val="18"/>
                <w:color w:val="0000EE"/>
              </w:rPr>
            </w:pPr>
            <w:hyperlink r:id="rId612">
              <w:r>
                <w:rPr>
                  <w:rFonts w:ascii="Arial" w:cs="Arial" w:eastAsia="Arial" w:hAnsi="Arial"/>
                  <w:sz w:val="18"/>
                  <w:szCs w:val="18"/>
                  <w:color w:val="0000EE"/>
                </w:rPr>
                <w:t>Employment Agreement by and between Revolution Medicines, Inc. and Steve</w:t>
              </w:r>
            </w:hyperlink>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183"/>
        </w:trPr>
        <w:tc>
          <w:tcPr>
            <w:tcW w:w="760" w:type="dxa"/>
            <w:vAlign w:val="bottom"/>
          </w:tcPr>
          <w:p>
            <w:pPr>
              <w:spacing w:after="0"/>
              <w:rPr>
                <w:sz w:val="15"/>
                <w:szCs w:val="15"/>
                <w:color w:val="auto"/>
              </w:rPr>
            </w:pPr>
          </w:p>
        </w:tc>
        <w:tc>
          <w:tcPr>
            <w:tcW w:w="610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612">
              <w:r>
                <w:rPr>
                  <w:rFonts w:ascii="Arial" w:cs="Arial" w:eastAsia="Arial" w:hAnsi="Arial"/>
                  <w:sz w:val="18"/>
                  <w:szCs w:val="18"/>
                  <w:color w:val="0000EE"/>
                </w:rPr>
                <w:t>Kelsey, M.D., FRCP, FRCPath.</w:t>
              </w:r>
            </w:hyperlink>
          </w:p>
        </w:tc>
        <w:tc>
          <w:tcPr>
            <w:tcW w:w="520" w:type="dxa"/>
            <w:vAlign w:val="bottom"/>
            <w:gridSpan w:val="4"/>
          </w:tcPr>
          <w:p>
            <w:pPr>
              <w:spacing w:after="0"/>
              <w:rPr>
                <w:sz w:val="15"/>
                <w:szCs w:val="15"/>
                <w:color w:val="auto"/>
              </w:rPr>
            </w:pPr>
          </w:p>
        </w:tc>
        <w:tc>
          <w:tcPr>
            <w:tcW w:w="660" w:type="dxa"/>
            <w:vAlign w:val="bottom"/>
          </w:tcPr>
          <w:p>
            <w:pPr>
              <w:ind w:left="220"/>
              <w:spacing w:after="0" w:line="182" w:lineRule="exact"/>
              <w:rPr>
                <w:sz w:val="20"/>
                <w:szCs w:val="20"/>
                <w:color w:val="auto"/>
              </w:rPr>
            </w:pPr>
            <w:r>
              <w:rPr>
                <w:rFonts w:ascii="Arial" w:cs="Arial" w:eastAsia="Arial" w:hAnsi="Arial"/>
                <w:sz w:val="18"/>
                <w:szCs w:val="18"/>
                <w:color w:val="auto"/>
              </w:rPr>
              <w:t>S-1</w:t>
            </w:r>
          </w:p>
        </w:tc>
        <w:tc>
          <w:tcPr>
            <w:tcW w:w="1180" w:type="dxa"/>
            <w:vAlign w:val="bottom"/>
          </w:tcPr>
          <w:p>
            <w:pPr>
              <w:jc w:val="right"/>
              <w:ind w:right="132"/>
              <w:spacing w:after="0" w:line="182" w:lineRule="exact"/>
              <w:rPr>
                <w:sz w:val="20"/>
                <w:szCs w:val="20"/>
                <w:color w:val="auto"/>
              </w:rPr>
            </w:pPr>
            <w:r>
              <w:rPr>
                <w:rFonts w:ascii="Arial" w:cs="Arial" w:eastAsia="Arial" w:hAnsi="Arial"/>
                <w:sz w:val="18"/>
                <w:szCs w:val="18"/>
                <w:color w:val="auto"/>
              </w:rPr>
              <w:t>1/17/2020</w:t>
            </w:r>
          </w:p>
        </w:tc>
        <w:tc>
          <w:tcPr>
            <w:tcW w:w="1820" w:type="dxa"/>
            <w:vAlign w:val="bottom"/>
          </w:tcPr>
          <w:p>
            <w:pPr>
              <w:jc w:val="center"/>
              <w:ind w:right="852"/>
              <w:spacing w:after="0" w:line="182" w:lineRule="exact"/>
              <w:rPr>
                <w:sz w:val="20"/>
                <w:szCs w:val="20"/>
                <w:color w:val="auto"/>
              </w:rPr>
            </w:pPr>
            <w:r>
              <w:rPr>
                <w:rFonts w:ascii="Arial" w:cs="Arial" w:eastAsia="Arial" w:hAnsi="Arial"/>
                <w:sz w:val="18"/>
                <w:szCs w:val="18"/>
                <w:color w:val="auto"/>
                <w:w w:val="97"/>
              </w:rPr>
              <w:t>10.10</w:t>
            </w:r>
          </w:p>
        </w:tc>
      </w:tr>
      <w:tr>
        <w:trPr>
          <w:trHeight w:val="20"/>
        </w:trPr>
        <w:tc>
          <w:tcPr>
            <w:tcW w:w="76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Arial" w:cs="Arial" w:eastAsia="Arial" w:hAnsi="Arial"/>
                <w:sz w:val="18"/>
                <w:szCs w:val="18"/>
                <w:color w:val="auto"/>
              </w:rPr>
              <w:t>10.11#</w:t>
            </w:r>
          </w:p>
        </w:tc>
        <w:tc>
          <w:tcPr>
            <w:tcW w:w="6620" w:type="dxa"/>
            <w:vAlign w:val="bottom"/>
            <w:gridSpan w:val="14"/>
          </w:tcPr>
          <w:p>
            <w:pPr>
              <w:spacing w:after="0"/>
              <w:rPr>
                <w:rFonts w:ascii="Arial" w:cs="Arial" w:eastAsia="Arial" w:hAnsi="Arial"/>
                <w:sz w:val="18"/>
                <w:szCs w:val="18"/>
                <w:color w:val="0000EE"/>
              </w:rPr>
            </w:pPr>
            <w:hyperlink r:id="rId613">
              <w:r>
                <w:rPr>
                  <w:rFonts w:ascii="Arial" w:cs="Arial" w:eastAsia="Arial" w:hAnsi="Arial"/>
                  <w:sz w:val="18"/>
                  <w:szCs w:val="18"/>
                  <w:color w:val="0000EE"/>
                </w:rPr>
                <w:t>Employment Agreement by and between Revolution Medicines, Inc. and Margaret</w:t>
              </w:r>
            </w:hyperlink>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183"/>
        </w:trPr>
        <w:tc>
          <w:tcPr>
            <w:tcW w:w="760" w:type="dxa"/>
            <w:vAlign w:val="bottom"/>
          </w:tcPr>
          <w:p>
            <w:pPr>
              <w:spacing w:after="0"/>
              <w:rPr>
                <w:sz w:val="15"/>
                <w:szCs w:val="15"/>
                <w:color w:val="auto"/>
              </w:rPr>
            </w:pPr>
          </w:p>
        </w:tc>
        <w:tc>
          <w:tcPr>
            <w:tcW w:w="8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6"/>
              </w:rPr>
            </w:pPr>
            <w:hyperlink r:id="rId613">
              <w:r>
                <w:rPr>
                  <w:rFonts w:ascii="Arial" w:cs="Arial" w:eastAsia="Arial" w:hAnsi="Arial"/>
                  <w:sz w:val="18"/>
                  <w:szCs w:val="18"/>
                  <w:color w:val="0000EE"/>
                  <w:w w:val="96"/>
                </w:rPr>
                <w:t>Horn, J.D.</w:t>
              </w:r>
            </w:hyperlink>
          </w:p>
        </w:tc>
        <w:tc>
          <w:tcPr>
            <w:tcW w:w="5560" w:type="dxa"/>
            <w:vAlign w:val="bottom"/>
            <w:tcBorders>
              <w:top w:val="single" w:sz="8" w:color="0000EE"/>
            </w:tcBorders>
            <w:gridSpan w:val="10"/>
          </w:tcPr>
          <w:p>
            <w:pPr>
              <w:spacing w:after="0"/>
              <w:rPr>
                <w:sz w:val="15"/>
                <w:szCs w:val="15"/>
                <w:color w:val="auto"/>
              </w:rPr>
            </w:pPr>
          </w:p>
        </w:tc>
        <w:tc>
          <w:tcPr>
            <w:tcW w:w="260" w:type="dxa"/>
            <w:vAlign w:val="bottom"/>
            <w:gridSpan w:val="2"/>
          </w:tcPr>
          <w:p>
            <w:pPr>
              <w:spacing w:after="0"/>
              <w:rPr>
                <w:sz w:val="15"/>
                <w:szCs w:val="15"/>
                <w:color w:val="auto"/>
              </w:rPr>
            </w:pPr>
          </w:p>
        </w:tc>
        <w:tc>
          <w:tcPr>
            <w:tcW w:w="660" w:type="dxa"/>
            <w:vAlign w:val="bottom"/>
          </w:tcPr>
          <w:p>
            <w:pPr>
              <w:ind w:left="220"/>
              <w:spacing w:after="0" w:line="182" w:lineRule="exact"/>
              <w:rPr>
                <w:sz w:val="20"/>
                <w:szCs w:val="20"/>
                <w:color w:val="auto"/>
              </w:rPr>
            </w:pPr>
            <w:r>
              <w:rPr>
                <w:rFonts w:ascii="Arial" w:cs="Arial" w:eastAsia="Arial" w:hAnsi="Arial"/>
                <w:sz w:val="18"/>
                <w:szCs w:val="18"/>
                <w:color w:val="auto"/>
              </w:rPr>
              <w:t>S-1</w:t>
            </w:r>
          </w:p>
        </w:tc>
        <w:tc>
          <w:tcPr>
            <w:tcW w:w="1180" w:type="dxa"/>
            <w:vAlign w:val="bottom"/>
          </w:tcPr>
          <w:p>
            <w:pPr>
              <w:jc w:val="right"/>
              <w:ind w:right="132"/>
              <w:spacing w:after="0" w:line="182" w:lineRule="exact"/>
              <w:rPr>
                <w:sz w:val="20"/>
                <w:szCs w:val="20"/>
                <w:color w:val="auto"/>
              </w:rPr>
            </w:pPr>
            <w:r>
              <w:rPr>
                <w:rFonts w:ascii="Arial" w:cs="Arial" w:eastAsia="Arial" w:hAnsi="Arial"/>
                <w:sz w:val="18"/>
                <w:szCs w:val="18"/>
                <w:color w:val="auto"/>
              </w:rPr>
              <w:t>1/17/2020</w:t>
            </w:r>
          </w:p>
        </w:tc>
        <w:tc>
          <w:tcPr>
            <w:tcW w:w="1820" w:type="dxa"/>
            <w:vAlign w:val="bottom"/>
          </w:tcPr>
          <w:p>
            <w:pPr>
              <w:jc w:val="center"/>
              <w:ind w:right="852"/>
              <w:spacing w:after="0" w:line="182" w:lineRule="exact"/>
              <w:rPr>
                <w:sz w:val="20"/>
                <w:szCs w:val="20"/>
                <w:color w:val="auto"/>
              </w:rPr>
            </w:pPr>
            <w:r>
              <w:rPr>
                <w:rFonts w:ascii="Arial" w:cs="Arial" w:eastAsia="Arial" w:hAnsi="Arial"/>
                <w:sz w:val="18"/>
                <w:szCs w:val="18"/>
                <w:color w:val="auto"/>
                <w:w w:val="97"/>
              </w:rPr>
              <w:t>10.11</w:t>
            </w:r>
          </w:p>
        </w:tc>
      </w:tr>
      <w:tr>
        <w:trPr>
          <w:trHeight w:val="250"/>
        </w:trPr>
        <w:tc>
          <w:tcPr>
            <w:tcW w:w="760" w:type="dxa"/>
            <w:vAlign w:val="bottom"/>
          </w:tcPr>
          <w:p>
            <w:pPr>
              <w:spacing w:after="0"/>
              <w:rPr>
                <w:sz w:val="20"/>
                <w:szCs w:val="20"/>
                <w:color w:val="auto"/>
              </w:rPr>
            </w:pPr>
            <w:r>
              <w:rPr>
                <w:rFonts w:ascii="Arial" w:cs="Arial" w:eastAsia="Arial" w:hAnsi="Arial"/>
                <w:sz w:val="18"/>
                <w:szCs w:val="18"/>
                <w:color w:val="auto"/>
              </w:rPr>
              <w:t>10.12#</w:t>
            </w:r>
          </w:p>
        </w:tc>
        <w:tc>
          <w:tcPr>
            <w:tcW w:w="3780" w:type="dxa"/>
            <w:vAlign w:val="bottom"/>
            <w:tcBorders>
              <w:bottom w:val="single" w:sz="8" w:color="0000EE"/>
            </w:tcBorders>
            <w:gridSpan w:val="7"/>
          </w:tcPr>
          <w:p>
            <w:pPr>
              <w:spacing w:after="0"/>
              <w:rPr>
                <w:rFonts w:ascii="Arial" w:cs="Arial" w:eastAsia="Arial" w:hAnsi="Arial"/>
                <w:sz w:val="18"/>
                <w:szCs w:val="18"/>
                <w:color w:val="0000EE"/>
                <w:w w:val="97"/>
              </w:rPr>
            </w:pPr>
            <w:hyperlink w:anchor="page470">
              <w:r>
                <w:rPr>
                  <w:rFonts w:ascii="Arial" w:cs="Arial" w:eastAsia="Arial" w:hAnsi="Arial"/>
                  <w:sz w:val="18"/>
                  <w:szCs w:val="18"/>
                  <w:color w:val="0000EE"/>
                  <w:w w:val="97"/>
                </w:rPr>
                <w:t>Non-Employee Director Compensation Program.</w:t>
              </w:r>
            </w:hyperlink>
          </w:p>
        </w:tc>
        <w:tc>
          <w:tcPr>
            <w:tcW w:w="2840" w:type="dxa"/>
            <w:vAlign w:val="bottom"/>
            <w:gridSpan w:val="7"/>
          </w:tcPr>
          <w:p>
            <w:pPr>
              <w:spacing w:after="0"/>
              <w:rPr>
                <w:sz w:val="21"/>
                <w:szCs w:val="21"/>
                <w:color w:val="auto"/>
              </w:rPr>
            </w:pPr>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20" w:type="dxa"/>
            <w:vAlign w:val="bottom"/>
          </w:tcPr>
          <w:p>
            <w:pPr>
              <w:ind w:left="1300"/>
              <w:spacing w:after="0"/>
              <w:rPr>
                <w:sz w:val="20"/>
                <w:szCs w:val="20"/>
                <w:color w:val="auto"/>
              </w:rPr>
            </w:pPr>
            <w:r>
              <w:rPr>
                <w:rFonts w:ascii="Arial" w:cs="Arial" w:eastAsia="Arial" w:hAnsi="Arial"/>
                <w:sz w:val="18"/>
                <w:szCs w:val="18"/>
                <w:color w:val="auto"/>
              </w:rPr>
              <w:t>X</w:t>
            </w:r>
          </w:p>
        </w:tc>
      </w:tr>
      <w:tr>
        <w:trPr>
          <w:trHeight w:val="250"/>
        </w:trPr>
        <w:tc>
          <w:tcPr>
            <w:tcW w:w="760" w:type="dxa"/>
            <w:vAlign w:val="bottom"/>
          </w:tcPr>
          <w:p>
            <w:pPr>
              <w:spacing w:after="0"/>
              <w:rPr>
                <w:sz w:val="20"/>
                <w:szCs w:val="20"/>
                <w:color w:val="auto"/>
              </w:rPr>
            </w:pPr>
            <w:r>
              <w:rPr>
                <w:rFonts w:ascii="Arial" w:cs="Arial" w:eastAsia="Arial" w:hAnsi="Arial"/>
                <w:sz w:val="18"/>
                <w:szCs w:val="18"/>
                <w:color w:val="auto"/>
              </w:rPr>
              <w:t>10.13</w:t>
            </w:r>
          </w:p>
        </w:tc>
        <w:tc>
          <w:tcPr>
            <w:tcW w:w="4720" w:type="dxa"/>
            <w:vAlign w:val="bottom"/>
            <w:tcBorders>
              <w:bottom w:val="single" w:sz="8" w:color="0000EE"/>
            </w:tcBorders>
            <w:gridSpan w:val="9"/>
          </w:tcPr>
          <w:p>
            <w:pPr>
              <w:spacing w:after="0"/>
              <w:rPr>
                <w:rFonts w:ascii="Arial" w:cs="Arial" w:eastAsia="Arial" w:hAnsi="Arial"/>
                <w:sz w:val="18"/>
                <w:szCs w:val="18"/>
                <w:color w:val="0000EE"/>
                <w:w w:val="97"/>
              </w:rPr>
            </w:pPr>
            <w:hyperlink w:anchor="page473">
              <w:r>
                <w:rPr>
                  <w:rFonts w:ascii="Arial" w:cs="Arial" w:eastAsia="Arial" w:hAnsi="Arial"/>
                  <w:sz w:val="18"/>
                  <w:szCs w:val="18"/>
                  <w:color w:val="0000EE"/>
                  <w:w w:val="97"/>
                </w:rPr>
                <w:t>Form of Indemnification Agreement for directors and officers.</w:t>
              </w:r>
            </w:hyperlink>
          </w:p>
        </w:tc>
        <w:tc>
          <w:tcPr>
            <w:tcW w:w="1900" w:type="dxa"/>
            <w:vAlign w:val="bottom"/>
            <w:gridSpan w:val="5"/>
          </w:tcPr>
          <w:p>
            <w:pPr>
              <w:spacing w:after="0"/>
              <w:rPr>
                <w:sz w:val="21"/>
                <w:szCs w:val="21"/>
                <w:color w:val="auto"/>
              </w:rPr>
            </w:pPr>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20" w:type="dxa"/>
            <w:vAlign w:val="bottom"/>
          </w:tcPr>
          <w:p>
            <w:pPr>
              <w:ind w:left="1300"/>
              <w:spacing w:after="0"/>
              <w:rPr>
                <w:sz w:val="20"/>
                <w:szCs w:val="20"/>
                <w:color w:val="auto"/>
              </w:rPr>
            </w:pPr>
            <w:r>
              <w:rPr>
                <w:rFonts w:ascii="Arial" w:cs="Arial" w:eastAsia="Arial" w:hAnsi="Arial"/>
                <w:sz w:val="18"/>
                <w:szCs w:val="18"/>
                <w:color w:val="auto"/>
              </w:rPr>
              <w:t>X</w:t>
            </w:r>
          </w:p>
        </w:tc>
      </w:tr>
      <w:tr>
        <w:trPr>
          <w:trHeight w:val="250"/>
        </w:trPr>
        <w:tc>
          <w:tcPr>
            <w:tcW w:w="760" w:type="dxa"/>
            <w:vAlign w:val="bottom"/>
          </w:tcPr>
          <w:p>
            <w:pPr>
              <w:spacing w:after="0"/>
              <w:rPr>
                <w:sz w:val="20"/>
                <w:szCs w:val="20"/>
                <w:color w:val="auto"/>
              </w:rPr>
            </w:pPr>
            <w:r>
              <w:rPr>
                <w:rFonts w:ascii="Arial" w:cs="Arial" w:eastAsia="Arial" w:hAnsi="Arial"/>
                <w:sz w:val="18"/>
                <w:szCs w:val="18"/>
                <w:color w:val="auto"/>
              </w:rPr>
              <w:t>21.1</w:t>
            </w:r>
          </w:p>
        </w:tc>
        <w:tc>
          <w:tcPr>
            <w:tcW w:w="6620" w:type="dxa"/>
            <w:vAlign w:val="bottom"/>
            <w:gridSpan w:val="14"/>
          </w:tcPr>
          <w:p>
            <w:pPr>
              <w:spacing w:after="0"/>
              <w:rPr>
                <w:rFonts w:ascii="Arial" w:cs="Arial" w:eastAsia="Arial" w:hAnsi="Arial"/>
                <w:sz w:val="18"/>
                <w:szCs w:val="18"/>
                <w:color w:val="0000EE"/>
              </w:rPr>
            </w:pPr>
            <w:hyperlink r:id="rId614">
              <w:r>
                <w:rPr>
                  <w:rFonts w:ascii="Arial" w:cs="Arial" w:eastAsia="Arial" w:hAnsi="Arial"/>
                  <w:sz w:val="18"/>
                  <w:szCs w:val="18"/>
                  <w:color w:val="0000EE"/>
                </w:rPr>
                <w:t>Subsidiaries of Registrant.</w:t>
              </w:r>
            </w:hyperlink>
          </w:p>
        </w:tc>
        <w:tc>
          <w:tcPr>
            <w:tcW w:w="660" w:type="dxa"/>
            <w:vAlign w:val="bottom"/>
          </w:tcPr>
          <w:p>
            <w:pPr>
              <w:ind w:left="220"/>
              <w:spacing w:after="0"/>
              <w:rPr>
                <w:sz w:val="20"/>
                <w:szCs w:val="20"/>
                <w:color w:val="auto"/>
              </w:rPr>
            </w:pPr>
            <w:r>
              <w:rPr>
                <w:rFonts w:ascii="Arial" w:cs="Arial" w:eastAsia="Arial" w:hAnsi="Arial"/>
                <w:sz w:val="18"/>
                <w:szCs w:val="18"/>
                <w:color w:val="auto"/>
              </w:rPr>
              <w:t>S-1</w:t>
            </w: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1/17/2020</w:t>
            </w:r>
          </w:p>
        </w:tc>
        <w:tc>
          <w:tcPr>
            <w:tcW w:w="1820" w:type="dxa"/>
            <w:vAlign w:val="bottom"/>
          </w:tcPr>
          <w:p>
            <w:pPr>
              <w:jc w:val="center"/>
              <w:ind w:right="872"/>
              <w:spacing w:after="0"/>
              <w:rPr>
                <w:sz w:val="20"/>
                <w:szCs w:val="20"/>
                <w:color w:val="auto"/>
              </w:rPr>
            </w:pPr>
            <w:r>
              <w:rPr>
                <w:rFonts w:ascii="Arial" w:cs="Arial" w:eastAsia="Arial" w:hAnsi="Arial"/>
                <w:sz w:val="18"/>
                <w:szCs w:val="18"/>
                <w:color w:val="auto"/>
                <w:w w:val="96"/>
              </w:rPr>
              <w:t>21.1</w:t>
            </w:r>
          </w:p>
        </w:tc>
      </w:tr>
      <w:tr>
        <w:trPr>
          <w:trHeight w:val="20"/>
        </w:trPr>
        <w:tc>
          <w:tcPr>
            <w:tcW w:w="76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50"/>
        </w:trPr>
        <w:tc>
          <w:tcPr>
            <w:tcW w:w="760" w:type="dxa"/>
            <w:vAlign w:val="bottom"/>
          </w:tcPr>
          <w:p>
            <w:pPr>
              <w:spacing w:after="0"/>
              <w:rPr>
                <w:sz w:val="20"/>
                <w:szCs w:val="20"/>
                <w:color w:val="auto"/>
              </w:rPr>
            </w:pPr>
            <w:r>
              <w:rPr>
                <w:rFonts w:ascii="Arial" w:cs="Arial" w:eastAsia="Arial" w:hAnsi="Arial"/>
                <w:sz w:val="18"/>
                <w:szCs w:val="18"/>
                <w:color w:val="auto"/>
              </w:rPr>
              <w:t>23.1</w:t>
            </w:r>
          </w:p>
        </w:tc>
        <w:tc>
          <w:tcPr>
            <w:tcW w:w="6620" w:type="dxa"/>
            <w:vAlign w:val="bottom"/>
            <w:gridSpan w:val="14"/>
          </w:tcPr>
          <w:p>
            <w:pPr>
              <w:spacing w:after="0"/>
              <w:rPr>
                <w:rFonts w:ascii="Arial" w:cs="Arial" w:eastAsia="Arial" w:hAnsi="Arial"/>
                <w:sz w:val="18"/>
                <w:szCs w:val="18"/>
                <w:color w:val="0000EE"/>
              </w:rPr>
            </w:pPr>
            <w:hyperlink w:anchor="page489">
              <w:r>
                <w:rPr>
                  <w:rFonts w:ascii="Arial" w:cs="Arial" w:eastAsia="Arial" w:hAnsi="Arial"/>
                  <w:sz w:val="18"/>
                  <w:szCs w:val="18"/>
                  <w:color w:val="0000EE"/>
                </w:rPr>
                <w:t>Consent of Independent Registered Public Accounting Firm.</w:t>
              </w:r>
            </w:hyperlink>
          </w:p>
        </w:tc>
        <w:tc>
          <w:tcPr>
            <w:tcW w:w="6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20" w:type="dxa"/>
            <w:vAlign w:val="bottom"/>
          </w:tcPr>
          <w:p>
            <w:pPr>
              <w:ind w:left="1300"/>
              <w:spacing w:after="0"/>
              <w:rPr>
                <w:sz w:val="20"/>
                <w:szCs w:val="20"/>
                <w:color w:val="auto"/>
              </w:rPr>
            </w:pPr>
            <w:r>
              <w:rPr>
                <w:rFonts w:ascii="Arial" w:cs="Arial" w:eastAsia="Arial" w:hAnsi="Arial"/>
                <w:sz w:val="18"/>
                <w:szCs w:val="18"/>
                <w:color w:val="auto"/>
              </w:rPr>
              <w:t>X</w:t>
            </w:r>
          </w:p>
        </w:tc>
      </w:tr>
      <w:tr>
        <w:trPr>
          <w:trHeight w:val="21"/>
        </w:trPr>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400" w:type="dxa"/>
            <w:vAlign w:val="bottom"/>
            <w:tcBorders>
              <w:top w:val="single" w:sz="8" w:color="0000EE"/>
              <w:bottom w:val="single" w:sz="8" w:color="auto"/>
            </w:tcBorders>
          </w:tcPr>
          <w:p>
            <w:pPr>
              <w:spacing w:after="0" w:line="20" w:lineRule="exact"/>
              <w:rPr>
                <w:sz w:val="1"/>
                <w:szCs w:val="1"/>
                <w:color w:val="auto"/>
              </w:rPr>
            </w:pPr>
          </w:p>
        </w:tc>
        <w:tc>
          <w:tcPr>
            <w:tcW w:w="1000" w:type="dxa"/>
            <w:vAlign w:val="bottom"/>
            <w:tcBorders>
              <w:top w:val="single" w:sz="8" w:color="0000EE"/>
              <w:bottom w:val="single" w:sz="8" w:color="auto"/>
            </w:tcBorders>
          </w:tcPr>
          <w:p>
            <w:pPr>
              <w:spacing w:after="0" w:line="20" w:lineRule="exact"/>
              <w:rPr>
                <w:sz w:val="1"/>
                <w:szCs w:val="1"/>
                <w:color w:val="auto"/>
              </w:rPr>
            </w:pPr>
          </w:p>
        </w:tc>
        <w:tc>
          <w:tcPr>
            <w:tcW w:w="240" w:type="dxa"/>
            <w:vAlign w:val="bottom"/>
            <w:tcBorders>
              <w:top w:val="single" w:sz="8" w:color="0000EE"/>
              <w:bottom w:val="single" w:sz="8" w:color="auto"/>
            </w:tcBorders>
          </w:tcPr>
          <w:p>
            <w:pPr>
              <w:spacing w:after="0" w:line="20" w:lineRule="exact"/>
              <w:rPr>
                <w:sz w:val="1"/>
                <w:szCs w:val="1"/>
                <w:color w:val="auto"/>
              </w:rPr>
            </w:pPr>
          </w:p>
        </w:tc>
        <w:tc>
          <w:tcPr>
            <w:tcW w:w="3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840" w:type="dxa"/>
            <w:vAlign w:val="bottom"/>
            <w:tcBorders>
              <w:top w:val="single" w:sz="8" w:color="0000EE"/>
              <w:bottom w:val="single" w:sz="8" w:color="auto"/>
            </w:tcBorders>
          </w:tcPr>
          <w:p>
            <w:pPr>
              <w:spacing w:after="0" w:line="20" w:lineRule="exact"/>
              <w:rPr>
                <w:sz w:val="1"/>
                <w:szCs w:val="1"/>
                <w:color w:val="auto"/>
              </w:rPr>
            </w:pPr>
          </w:p>
        </w:tc>
        <w:tc>
          <w:tcPr>
            <w:tcW w:w="8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240" w:top="459" w:right="419" w:bottom="1440" w:gutter="0" w:footer="0" w:header="0"/>
          <w:type w:val="continuous"/>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6">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4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520" w:type="dxa"/>
            <w:vAlign w:val="bottom"/>
            <w:gridSpan w:val="4"/>
          </w:tcPr>
          <w:p>
            <w:pPr>
              <w:jc w:val="center"/>
              <w:ind w:right="552"/>
              <w:spacing w:after="0"/>
              <w:rPr>
                <w:sz w:val="20"/>
                <w:szCs w:val="20"/>
                <w:color w:val="auto"/>
              </w:rPr>
            </w:pPr>
            <w:r>
              <w:rPr>
                <w:rFonts w:ascii="Arial" w:cs="Arial" w:eastAsia="Arial" w:hAnsi="Arial"/>
                <w:sz w:val="18"/>
                <w:szCs w:val="18"/>
                <w:b w:val="1"/>
                <w:bCs w:val="1"/>
                <w:color w:val="auto"/>
                <w:w w:val="97"/>
              </w:rPr>
              <w:t>Incorporated by reference</w:t>
            </w:r>
          </w:p>
        </w:tc>
        <w:tc>
          <w:tcPr>
            <w:tcW w:w="0" w:type="dxa"/>
            <w:vAlign w:val="bottom"/>
          </w:tcPr>
          <w:p>
            <w:pPr>
              <w:spacing w:after="0"/>
              <w:rPr>
                <w:sz w:val="1"/>
                <w:szCs w:val="1"/>
                <w:color w:val="auto"/>
              </w:rPr>
            </w:pPr>
          </w:p>
        </w:tc>
      </w:tr>
      <w:tr>
        <w:trPr>
          <w:trHeight w:val="32"/>
        </w:trPr>
        <w:tc>
          <w:tcPr>
            <w:tcW w:w="960" w:type="dxa"/>
            <w:vAlign w:val="bottom"/>
            <w:gridSpan w:val="2"/>
            <w:vMerge w:val="restart"/>
          </w:tcPr>
          <w:p>
            <w:pPr>
              <w:spacing w:after="0" w:line="202" w:lineRule="exact"/>
              <w:rPr>
                <w:sz w:val="20"/>
                <w:szCs w:val="20"/>
                <w:color w:val="auto"/>
              </w:rPr>
            </w:pPr>
            <w:r>
              <w:rPr>
                <w:rFonts w:ascii="Arial" w:cs="Arial" w:eastAsia="Arial" w:hAnsi="Arial"/>
                <w:sz w:val="18"/>
                <w:szCs w:val="18"/>
                <w:b w:val="1"/>
                <w:bCs w:val="1"/>
                <w:color w:val="auto"/>
              </w:rPr>
              <w:t>Exhibit</w:t>
            </w:r>
          </w:p>
        </w:tc>
        <w:tc>
          <w:tcPr>
            <w:tcW w:w="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150"/>
        </w:trPr>
        <w:tc>
          <w:tcPr>
            <w:tcW w:w="96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5"/>
        </w:trPr>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6560" w:type="dxa"/>
            <w:vAlign w:val="bottom"/>
            <w:tcBorders>
              <w:bottom w:val="single" w:sz="8" w:color="auto"/>
            </w:tcBorders>
            <w:gridSpan w:val="6"/>
          </w:tcPr>
          <w:p>
            <w:pPr>
              <w:spacing w:after="0"/>
              <w:rPr>
                <w:sz w:val="20"/>
                <w:szCs w:val="20"/>
                <w:color w:val="auto"/>
              </w:rPr>
            </w:pPr>
            <w:r>
              <w:rPr>
                <w:rFonts w:ascii="Arial" w:cs="Arial" w:eastAsia="Arial" w:hAnsi="Arial"/>
                <w:sz w:val="18"/>
                <w:szCs w:val="18"/>
                <w:b w:val="1"/>
                <w:bCs w:val="1"/>
                <w:color w:val="auto"/>
              </w:rPr>
              <w:t>Exhibit description</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240" w:type="dxa"/>
            <w:vAlign w:val="bottom"/>
            <w:tcBorders>
              <w:bottom w:val="single" w:sz="8" w:color="auto"/>
            </w:tcBorders>
          </w:tcPr>
          <w:p>
            <w:pPr>
              <w:jc w:val="center"/>
              <w:ind w:left="572"/>
              <w:spacing w:after="0"/>
              <w:rPr>
                <w:sz w:val="20"/>
                <w:szCs w:val="20"/>
                <w:color w:val="auto"/>
              </w:rPr>
            </w:pPr>
            <w:r>
              <w:rPr>
                <w:rFonts w:ascii="Arial" w:cs="Arial" w:eastAsia="Arial" w:hAnsi="Arial"/>
                <w:sz w:val="18"/>
                <w:szCs w:val="18"/>
                <w:b w:val="1"/>
                <w:bCs w:val="1"/>
                <w:color w:val="auto"/>
                <w:w w:val="97"/>
              </w:rPr>
              <w:t>Date</w:t>
            </w: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Number   herewith</w:t>
            </w:r>
          </w:p>
        </w:tc>
        <w:tc>
          <w:tcPr>
            <w:tcW w:w="0" w:type="dxa"/>
            <w:vAlign w:val="bottom"/>
          </w:tcPr>
          <w:p>
            <w:pPr>
              <w:spacing w:after="0"/>
              <w:rPr>
                <w:sz w:val="1"/>
                <w:szCs w:val="1"/>
                <w:color w:val="auto"/>
              </w:rPr>
            </w:pP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rPr>
              <w:t>23.2</w:t>
            </w:r>
          </w:p>
        </w:tc>
        <w:tc>
          <w:tcPr>
            <w:tcW w:w="6560" w:type="dxa"/>
            <w:vAlign w:val="bottom"/>
            <w:gridSpan w:val="6"/>
          </w:tcPr>
          <w:p>
            <w:pPr>
              <w:spacing w:after="0"/>
              <w:rPr>
                <w:rFonts w:ascii="Arial" w:cs="Arial" w:eastAsia="Arial" w:hAnsi="Arial"/>
                <w:sz w:val="18"/>
                <w:szCs w:val="18"/>
                <w:color w:val="0000EE"/>
              </w:rPr>
            </w:pPr>
            <w:hyperlink w:anchor="page490">
              <w:r>
                <w:rPr>
                  <w:rFonts w:ascii="Arial" w:cs="Arial" w:eastAsia="Arial" w:hAnsi="Arial"/>
                  <w:sz w:val="18"/>
                  <w:szCs w:val="18"/>
                  <w:color w:val="0000EE"/>
                </w:rPr>
                <w:t>Consent of Independent Accountants.</w:t>
              </w:r>
            </w:hyperlink>
          </w:p>
        </w:tc>
        <w:tc>
          <w:tcPr>
            <w:tcW w:w="5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960" w:type="dxa"/>
            <w:vAlign w:val="bottom"/>
            <w:gridSpan w:val="2"/>
          </w:tcPr>
          <w:p>
            <w:pPr>
              <w:spacing w:after="0"/>
              <w:rPr>
                <w:sz w:val="20"/>
                <w:szCs w:val="20"/>
                <w:color w:val="auto"/>
              </w:rPr>
            </w:pPr>
            <w:r>
              <w:rPr>
                <w:rFonts w:ascii="Arial" w:cs="Arial" w:eastAsia="Arial" w:hAnsi="Arial"/>
                <w:sz w:val="18"/>
                <w:szCs w:val="18"/>
                <w:color w:val="auto"/>
              </w:rPr>
              <w:t>23.3</w:t>
            </w:r>
          </w:p>
        </w:tc>
        <w:tc>
          <w:tcPr>
            <w:tcW w:w="26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491">
              <w:r>
                <w:rPr>
                  <w:rFonts w:ascii="Arial" w:cs="Arial" w:eastAsia="Arial" w:hAnsi="Arial"/>
                  <w:sz w:val="18"/>
                  <w:szCs w:val="18"/>
                  <w:color w:val="0000EE"/>
                  <w:w w:val="96"/>
                </w:rPr>
                <w:t>Consent of Independent Auditors.</w:t>
              </w:r>
            </w:hyperlink>
          </w:p>
        </w:tc>
        <w:tc>
          <w:tcPr>
            <w:tcW w:w="320" w:type="dxa"/>
            <w:vAlign w:val="bottom"/>
            <w:tcBorders>
              <w:top w:val="single" w:sz="8" w:color="0000EE"/>
            </w:tcBorders>
          </w:tcPr>
          <w:p>
            <w:pPr>
              <w:spacing w:after="0"/>
              <w:rPr>
                <w:sz w:val="21"/>
                <w:szCs w:val="21"/>
                <w:color w:val="auto"/>
              </w:rPr>
            </w:pPr>
          </w:p>
        </w:tc>
        <w:tc>
          <w:tcPr>
            <w:tcW w:w="3620" w:type="dxa"/>
            <w:vAlign w:val="bottom"/>
            <w:gridSpan w:val="3"/>
          </w:tcPr>
          <w:p>
            <w:pPr>
              <w:spacing w:after="0"/>
              <w:rPr>
                <w:sz w:val="21"/>
                <w:szCs w:val="21"/>
                <w:color w:val="auto"/>
              </w:rPr>
            </w:pPr>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0"/>
        </w:trPr>
        <w:tc>
          <w:tcPr>
            <w:tcW w:w="960" w:type="dxa"/>
            <w:vAlign w:val="bottom"/>
            <w:gridSpan w:val="2"/>
          </w:tcPr>
          <w:p>
            <w:pPr>
              <w:spacing w:after="0"/>
              <w:rPr>
                <w:sz w:val="20"/>
                <w:szCs w:val="20"/>
                <w:color w:val="auto"/>
              </w:rPr>
            </w:pPr>
            <w:r>
              <w:rPr>
                <w:rFonts w:ascii="Arial" w:cs="Arial" w:eastAsia="Arial" w:hAnsi="Arial"/>
                <w:sz w:val="18"/>
                <w:szCs w:val="18"/>
                <w:color w:val="auto"/>
              </w:rPr>
              <w:t>23.4</w:t>
            </w:r>
          </w:p>
        </w:tc>
        <w:tc>
          <w:tcPr>
            <w:tcW w:w="6560" w:type="dxa"/>
            <w:vAlign w:val="bottom"/>
            <w:gridSpan w:val="6"/>
          </w:tcPr>
          <w:p>
            <w:pPr>
              <w:spacing w:after="0"/>
              <w:rPr>
                <w:rFonts w:ascii="Arial" w:cs="Arial" w:eastAsia="Arial" w:hAnsi="Arial"/>
                <w:sz w:val="18"/>
                <w:szCs w:val="18"/>
                <w:color w:val="0000EE"/>
              </w:rPr>
            </w:pPr>
            <w:hyperlink w:anchor="page414">
              <w:r>
                <w:rPr>
                  <w:rFonts w:ascii="Arial" w:cs="Arial" w:eastAsia="Arial" w:hAnsi="Arial"/>
                  <w:sz w:val="18"/>
                  <w:szCs w:val="18"/>
                  <w:color w:val="0000EE"/>
                </w:rPr>
                <w:t>Consent of Latham &amp; Watkins LLP (included in Exhibit 5.1).</w:t>
              </w:r>
            </w:hyperlink>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ind w:left="4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60" w:type="dxa"/>
            <w:vAlign w:val="bottom"/>
            <w:gridSpan w:val="2"/>
          </w:tcPr>
          <w:p>
            <w:pPr>
              <w:spacing w:after="0"/>
              <w:rPr>
                <w:sz w:val="20"/>
                <w:szCs w:val="20"/>
                <w:color w:val="auto"/>
              </w:rPr>
            </w:pPr>
            <w:r>
              <w:rPr>
                <w:rFonts w:ascii="Arial" w:cs="Arial" w:eastAsia="Arial" w:hAnsi="Arial"/>
                <w:sz w:val="18"/>
                <w:szCs w:val="18"/>
                <w:color w:val="auto"/>
              </w:rPr>
              <w:t>24.1</w:t>
            </w:r>
          </w:p>
        </w:tc>
        <w:tc>
          <w:tcPr>
            <w:tcW w:w="6560" w:type="dxa"/>
            <w:vAlign w:val="bottom"/>
            <w:gridSpan w:val="6"/>
          </w:tcPr>
          <w:p>
            <w:pPr>
              <w:spacing w:after="0"/>
              <w:rPr>
                <w:rFonts w:ascii="Arial" w:cs="Arial" w:eastAsia="Arial" w:hAnsi="Arial"/>
                <w:sz w:val="18"/>
                <w:szCs w:val="18"/>
                <w:color w:val="0000EE"/>
              </w:rPr>
            </w:pPr>
            <w:hyperlink r:id="rId617">
              <w:r>
                <w:rPr>
                  <w:rFonts w:ascii="Arial" w:cs="Arial" w:eastAsia="Arial" w:hAnsi="Arial"/>
                  <w:sz w:val="18"/>
                  <w:szCs w:val="18"/>
                  <w:color w:val="0000EE"/>
                </w:rPr>
                <w:t>Power of Attorney. Reference is made to the signature page to the Registration</w:t>
              </w:r>
            </w:hyperlink>
          </w:p>
        </w:tc>
        <w:tc>
          <w:tcPr>
            <w:tcW w:w="5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1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617">
              <w:r>
                <w:rPr>
                  <w:rFonts w:ascii="Arial" w:cs="Arial" w:eastAsia="Arial" w:hAnsi="Arial"/>
                  <w:sz w:val="18"/>
                  <w:szCs w:val="18"/>
                  <w:color w:val="0000EE"/>
                </w:rPr>
                <w:t>Statement.</w:t>
              </w:r>
            </w:hyperlink>
          </w:p>
        </w:tc>
        <w:tc>
          <w:tcPr>
            <w:tcW w:w="440" w:type="dxa"/>
            <w:vAlign w:val="bottom"/>
          </w:tcPr>
          <w:p>
            <w:pPr>
              <w:spacing w:after="0"/>
              <w:rPr>
                <w:sz w:val="15"/>
                <w:szCs w:val="15"/>
                <w:color w:val="auto"/>
              </w:rPr>
            </w:pPr>
          </w:p>
        </w:tc>
        <w:tc>
          <w:tcPr>
            <w:tcW w:w="500" w:type="dxa"/>
            <w:vAlign w:val="bottom"/>
          </w:tcPr>
          <w:p>
            <w:pPr>
              <w:jc w:val="center"/>
              <w:spacing w:after="0" w:line="182" w:lineRule="exact"/>
              <w:rPr>
                <w:sz w:val="20"/>
                <w:szCs w:val="20"/>
                <w:color w:val="auto"/>
              </w:rPr>
            </w:pPr>
            <w:r>
              <w:rPr>
                <w:rFonts w:ascii="Arial" w:cs="Arial" w:eastAsia="Arial" w:hAnsi="Arial"/>
                <w:sz w:val="18"/>
                <w:szCs w:val="18"/>
                <w:color w:val="auto"/>
                <w:w w:val="99"/>
              </w:rPr>
              <w:t>S-1</w:t>
            </w:r>
          </w:p>
        </w:tc>
        <w:tc>
          <w:tcPr>
            <w:tcW w:w="1240" w:type="dxa"/>
            <w:vAlign w:val="bottom"/>
          </w:tcPr>
          <w:p>
            <w:pPr>
              <w:jc w:val="right"/>
              <w:ind w:right="332"/>
              <w:spacing w:after="0" w:line="182" w:lineRule="exact"/>
              <w:rPr>
                <w:sz w:val="20"/>
                <w:szCs w:val="20"/>
                <w:color w:val="auto"/>
              </w:rPr>
            </w:pPr>
            <w:r>
              <w:rPr>
                <w:rFonts w:ascii="Arial" w:cs="Arial" w:eastAsia="Arial" w:hAnsi="Arial"/>
                <w:sz w:val="18"/>
                <w:szCs w:val="18"/>
                <w:color w:val="auto"/>
                <w:w w:val="99"/>
              </w:rPr>
              <w:t>1/17/2020</w:t>
            </w:r>
          </w:p>
        </w:tc>
        <w:tc>
          <w:tcPr>
            <w:tcW w:w="780" w:type="dxa"/>
            <w:vAlign w:val="bottom"/>
          </w:tcPr>
          <w:p>
            <w:pPr>
              <w:jc w:val="right"/>
              <w:ind w:right="132"/>
              <w:spacing w:after="0" w:line="182" w:lineRule="exact"/>
              <w:rPr>
                <w:sz w:val="20"/>
                <w:szCs w:val="20"/>
                <w:color w:val="auto"/>
              </w:rPr>
            </w:pPr>
            <w:r>
              <w:rPr>
                <w:rFonts w:ascii="Arial" w:cs="Arial" w:eastAsia="Arial" w:hAnsi="Arial"/>
                <w:sz w:val="18"/>
                <w:szCs w:val="18"/>
                <w:color w:val="auto"/>
              </w:rPr>
              <w:t>24.1</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top w:val="single" w:sz="8" w:color="0000EE"/>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520" w:hanging="316"/>
        <w:spacing w:after="0"/>
        <w:tabs>
          <w:tab w:leader="none" w:pos="520" w:val="left"/>
        </w:tabs>
        <w:numPr>
          <w:ilvl w:val="0"/>
          <w:numId w:val="158"/>
        </w:numPr>
        <w:rPr>
          <w:rFonts w:ascii="Arial" w:cs="Arial" w:eastAsia="Arial" w:hAnsi="Arial"/>
          <w:sz w:val="12"/>
          <w:szCs w:val="12"/>
          <w:color w:val="auto"/>
        </w:rPr>
      </w:pPr>
      <w:r>
        <w:rPr>
          <w:rFonts w:ascii="Arial" w:cs="Arial" w:eastAsia="Arial" w:hAnsi="Arial"/>
          <w:sz w:val="12"/>
          <w:szCs w:val="12"/>
          <w:color w:val="auto"/>
        </w:rPr>
        <w:t>Portions of the exhibit, marked by brackets, have been omitted because the omitted information (i) is not material and (ii) would likely cause competitive harm if publicly disclosed.</w:t>
      </w:r>
    </w:p>
    <w:p>
      <w:pPr>
        <w:spacing w:after="0" w:line="78" w:lineRule="exact"/>
        <w:rPr>
          <w:rFonts w:ascii="Arial" w:cs="Arial" w:eastAsia="Arial" w:hAnsi="Arial"/>
          <w:sz w:val="12"/>
          <w:szCs w:val="12"/>
          <w:color w:val="auto"/>
        </w:rPr>
      </w:pPr>
    </w:p>
    <w:p>
      <w:pPr>
        <w:ind w:left="200"/>
        <w:spacing w:after="0"/>
        <w:rPr>
          <w:rFonts w:ascii="Arial" w:cs="Arial" w:eastAsia="Arial" w:hAnsi="Arial"/>
          <w:sz w:val="12"/>
          <w:szCs w:val="12"/>
          <w:color w:val="auto"/>
        </w:rPr>
      </w:pPr>
      <w:r>
        <w:rPr>
          <w:rFonts w:ascii="Arial" w:cs="Arial" w:eastAsia="Arial" w:hAnsi="Arial"/>
          <w:sz w:val="14"/>
          <w:szCs w:val="14"/>
          <w:color w:val="auto"/>
        </w:rPr>
        <w:t>#    Indicates management contract or compensatory plan.</w:t>
      </w:r>
    </w:p>
    <w:p>
      <w:pPr>
        <w:spacing w:after="0" w:line="77" w:lineRule="exact"/>
        <w:rPr>
          <w:sz w:val="20"/>
          <w:szCs w:val="20"/>
          <w:color w:val="auto"/>
        </w:rPr>
      </w:pPr>
    </w:p>
    <w:p>
      <w:pPr>
        <w:ind w:left="200" w:right="160" w:firstLine="4"/>
        <w:spacing w:after="0" w:line="264" w:lineRule="auto"/>
        <w:tabs>
          <w:tab w:leader="none" w:pos="473"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Schedules not listed above have been omitted because the information required to be set forth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is not applicable or is shown in the financial statements or notes thereto.</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2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jc w:val="both"/>
        <w:ind w:left="640" w:right="40" w:hanging="436"/>
        <w:spacing w:after="0" w:line="264" w:lineRule="auto"/>
        <w:tabs>
          <w:tab w:leader="none" w:pos="64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w:t>
      </w:r>
    </w:p>
    <w:p>
      <w:pPr>
        <w:ind w:left="640" w:right="440"/>
        <w:spacing w:after="0" w:line="239" w:lineRule="auto"/>
        <w:rPr>
          <w:rFonts w:ascii="Arial" w:cs="Arial" w:eastAsia="Arial" w:hAnsi="Arial"/>
          <w:sz w:val="16"/>
          <w:szCs w:val="16"/>
          <w:color w:val="auto"/>
        </w:rPr>
      </w:pPr>
      <w:r>
        <w:rPr>
          <w:rFonts w:ascii="Arial" w:cs="Arial" w:eastAsia="Arial" w:hAnsi="Arial"/>
          <w:sz w:val="18"/>
          <w:szCs w:val="18"/>
          <w:color w:val="auto"/>
        </w:rPr>
        <w:t>(1) or (4) or 497(h) under the Securities Act shall be deemed to be part of this Registration Statement as of the time it was declared effective.</w:t>
      </w:r>
    </w:p>
    <w:p>
      <w:pPr>
        <w:spacing w:after="0" w:line="114" w:lineRule="exact"/>
        <w:rPr>
          <w:rFonts w:ascii="Arial" w:cs="Arial" w:eastAsia="Arial" w:hAnsi="Arial"/>
          <w:sz w:val="16"/>
          <w:szCs w:val="16"/>
          <w:color w:val="auto"/>
        </w:rPr>
      </w:pPr>
    </w:p>
    <w:p>
      <w:pPr>
        <w:ind w:left="640" w:right="140" w:hanging="436"/>
        <w:spacing w:after="0" w:line="238" w:lineRule="auto"/>
        <w:tabs>
          <w:tab w:leader="none" w:pos="6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0" w:lineRule="exact"/>
        <w:rPr>
          <w:sz w:val="20"/>
          <w:szCs w:val="20"/>
          <w:color w:val="auto"/>
        </w:rPr>
      </w:pPr>
    </w:p>
    <w:p>
      <w:pPr>
        <w:ind w:left="200" w:right="100"/>
        <w:spacing w:after="0" w:line="299"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240" w:top="459" w:right="419"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Signatures</w:t>
      </w:r>
    </w:p>
    <w:p>
      <w:pPr>
        <w:spacing w:after="0" w:line="158" w:lineRule="exact"/>
        <w:rPr>
          <w:sz w:val="20"/>
          <w:szCs w:val="20"/>
          <w:color w:val="auto"/>
        </w:rPr>
      </w:pPr>
    </w:p>
    <w:p>
      <w:pPr>
        <w:ind w:left="200" w:right="560"/>
        <w:spacing w:after="0" w:line="299"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on Form S-1 to be signed on its behalf by the undersigned, thereunto duly authorized, in Redwood City, California on February 3, 2020.</w:t>
      </w:r>
    </w:p>
    <w:p>
      <w:pPr>
        <w:spacing w:after="0" w:line="46"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Revolution Medicines, Inc.</w:t>
      </w:r>
    </w:p>
    <w:p>
      <w:pPr>
        <w:spacing w:after="0" w:line="2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-4445</wp:posOffset>
            </wp:positionV>
            <wp:extent cx="256413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ind w:left="7180"/>
        <w:spacing w:after="0"/>
        <w:rPr>
          <w:sz w:val="20"/>
          <w:szCs w:val="20"/>
          <w:color w:val="auto"/>
        </w:rPr>
      </w:pPr>
      <w:r>
        <w:rPr>
          <w:rFonts w:ascii="Arial" w:cs="Arial" w:eastAsia="Arial" w:hAnsi="Arial"/>
          <w:sz w:val="18"/>
          <w:szCs w:val="18"/>
          <w:color w:val="auto"/>
        </w:rPr>
        <w:t>Mark A. Goldsmith, M.D., Ph.D.</w:t>
      </w:r>
    </w:p>
    <w:p>
      <w:pPr>
        <w:ind w:left="71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Power of attorney</w:t>
      </w:r>
    </w:p>
    <w:p>
      <w:pPr>
        <w:spacing w:after="0" w:line="158" w:lineRule="exact"/>
        <w:rPr>
          <w:sz w:val="20"/>
          <w:szCs w:val="20"/>
          <w:color w:val="auto"/>
        </w:rPr>
      </w:pPr>
    </w:p>
    <w:p>
      <w:pPr>
        <w:ind w:left="200" w:right="40"/>
        <w:spacing w:after="0" w:line="239"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6997700"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140"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Signature</w:t>
            </w:r>
          </w:p>
        </w:tc>
        <w:tc>
          <w:tcPr>
            <w:tcW w:w="490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Title</w:t>
            </w:r>
          </w:p>
        </w:tc>
        <w:tc>
          <w:tcPr>
            <w:tcW w:w="260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99"/>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Mark A. Goldsmith</w:t>
            </w:r>
          </w:p>
        </w:tc>
        <w:tc>
          <w:tcPr>
            <w:tcW w:w="4900" w:type="dxa"/>
            <w:vAlign w:val="bottom"/>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2600" w:type="dxa"/>
            <w:vAlign w:val="bottom"/>
          </w:tcPr>
          <w:p>
            <w:pPr>
              <w:ind w:left="380"/>
              <w:spacing w:after="0"/>
              <w:rPr>
                <w:sz w:val="20"/>
                <w:szCs w:val="20"/>
                <w:color w:val="auto"/>
              </w:rPr>
            </w:pPr>
            <w:r>
              <w:rPr>
                <w:rFonts w:ascii="Arial" w:cs="Arial" w:eastAsia="Arial" w:hAnsi="Arial"/>
                <w:sz w:val="18"/>
                <w:szCs w:val="18"/>
                <w:color w:val="auto"/>
              </w:rPr>
              <w:t>February 3, 2020</w:t>
            </w:r>
          </w:p>
        </w:tc>
        <w:tc>
          <w:tcPr>
            <w:tcW w:w="0" w:type="dxa"/>
            <w:vAlign w:val="bottom"/>
          </w:tcPr>
          <w:p>
            <w:pPr>
              <w:spacing w:after="0"/>
              <w:rPr>
                <w:sz w:val="1"/>
                <w:szCs w:val="1"/>
                <w:color w:val="auto"/>
              </w:rPr>
            </w:pPr>
          </w:p>
        </w:tc>
      </w:tr>
      <w:tr>
        <w:trPr>
          <w:trHeight w:val="209"/>
        </w:trPr>
        <w:tc>
          <w:tcPr>
            <w:tcW w:w="3520" w:type="dxa"/>
            <w:vAlign w:val="bottom"/>
          </w:tcPr>
          <w:p>
            <w:pPr>
              <w:jc w:val="center"/>
              <w:spacing w:after="0"/>
              <w:rPr>
                <w:sz w:val="20"/>
                <w:szCs w:val="20"/>
                <w:color w:val="auto"/>
              </w:rPr>
            </w:pPr>
            <w:r>
              <w:rPr>
                <w:rFonts w:ascii="Arial" w:cs="Arial" w:eastAsia="Arial" w:hAnsi="Arial"/>
                <w:sz w:val="18"/>
                <w:szCs w:val="18"/>
                <w:color w:val="auto"/>
                <w:w w:val="97"/>
              </w:rPr>
              <w:t>Mark A. Goldsmith, M.D., Ph.D.</w:t>
            </w:r>
          </w:p>
        </w:tc>
        <w:tc>
          <w:tcPr>
            <w:tcW w:w="4900" w:type="dxa"/>
            <w:vAlign w:val="bottom"/>
          </w:tcPr>
          <w:p>
            <w:pPr>
              <w:ind w:left="120"/>
              <w:spacing w:after="0"/>
              <w:rPr>
                <w:sz w:val="20"/>
                <w:szCs w:val="20"/>
                <w:color w:val="auto"/>
              </w:rPr>
            </w:pPr>
            <w:r>
              <w:rPr>
                <w:rFonts w:ascii="Arial" w:cs="Arial" w:eastAsia="Arial" w:hAnsi="Arial"/>
                <w:sz w:val="18"/>
                <w:szCs w:val="18"/>
                <w:i w:val="1"/>
                <w:iCs w:val="1"/>
                <w:color w:val="auto"/>
              </w:rPr>
              <w:t>(Principal Executive Officer)</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Jack Anders</w:t>
            </w:r>
          </w:p>
        </w:tc>
        <w:tc>
          <w:tcPr>
            <w:tcW w:w="4900" w:type="dxa"/>
            <w:vAlign w:val="bottom"/>
          </w:tcPr>
          <w:p>
            <w:pPr>
              <w:ind w:left="120"/>
              <w:spacing w:after="0"/>
              <w:rPr>
                <w:sz w:val="20"/>
                <w:szCs w:val="20"/>
                <w:color w:val="auto"/>
              </w:rPr>
            </w:pPr>
            <w:r>
              <w:rPr>
                <w:rFonts w:ascii="Arial" w:cs="Arial" w:eastAsia="Arial" w:hAnsi="Arial"/>
                <w:sz w:val="18"/>
                <w:szCs w:val="18"/>
                <w:color w:val="auto"/>
              </w:rPr>
              <w:t>Vice President, Finance and Principal Accounting Officer</w:t>
            </w:r>
          </w:p>
        </w:tc>
        <w:tc>
          <w:tcPr>
            <w:tcW w:w="2600" w:type="dxa"/>
            <w:vAlign w:val="bottom"/>
          </w:tcPr>
          <w:p>
            <w:pPr>
              <w:ind w:left="380"/>
              <w:spacing w:after="0"/>
              <w:rPr>
                <w:sz w:val="20"/>
                <w:szCs w:val="20"/>
                <w:color w:val="auto"/>
              </w:rPr>
            </w:pPr>
            <w:r>
              <w:rPr>
                <w:rFonts w:ascii="Arial" w:cs="Arial" w:eastAsia="Arial" w:hAnsi="Arial"/>
                <w:sz w:val="18"/>
                <w:szCs w:val="18"/>
                <w:color w:val="auto"/>
              </w:rPr>
              <w:t>February 3, 2020</w:t>
            </w:r>
          </w:p>
        </w:tc>
        <w:tc>
          <w:tcPr>
            <w:tcW w:w="0" w:type="dxa"/>
            <w:vAlign w:val="bottom"/>
          </w:tcPr>
          <w:p>
            <w:pPr>
              <w:spacing w:after="0"/>
              <w:rPr>
                <w:sz w:val="1"/>
                <w:szCs w:val="1"/>
                <w:color w:val="auto"/>
              </w:rPr>
            </w:pPr>
          </w:p>
        </w:tc>
      </w:tr>
      <w:tr>
        <w:trPr>
          <w:trHeight w:val="209"/>
        </w:trPr>
        <w:tc>
          <w:tcPr>
            <w:tcW w:w="3520" w:type="dxa"/>
            <w:vAlign w:val="bottom"/>
          </w:tcPr>
          <w:p>
            <w:pPr>
              <w:jc w:val="center"/>
              <w:spacing w:after="0"/>
              <w:rPr>
                <w:sz w:val="20"/>
                <w:szCs w:val="20"/>
                <w:color w:val="auto"/>
              </w:rPr>
            </w:pPr>
            <w:r>
              <w:rPr>
                <w:rFonts w:ascii="Arial" w:cs="Arial" w:eastAsia="Arial" w:hAnsi="Arial"/>
                <w:sz w:val="18"/>
                <w:szCs w:val="18"/>
                <w:color w:val="auto"/>
                <w:w w:val="96"/>
              </w:rPr>
              <w:t>Jack Anders</w:t>
            </w:r>
          </w:p>
        </w:tc>
        <w:tc>
          <w:tcPr>
            <w:tcW w:w="4900" w:type="dxa"/>
            <w:vAlign w:val="bottom"/>
          </w:tcPr>
          <w:p>
            <w:pPr>
              <w:ind w:left="120"/>
              <w:spacing w:after="0"/>
              <w:rPr>
                <w:sz w:val="20"/>
                <w:szCs w:val="20"/>
                <w:color w:val="auto"/>
              </w:rPr>
            </w:pPr>
            <w:r>
              <w:rPr>
                <w:rFonts w:ascii="Arial" w:cs="Arial" w:eastAsia="Arial" w:hAnsi="Arial"/>
                <w:sz w:val="18"/>
                <w:szCs w:val="18"/>
                <w:i w:val="1"/>
                <w:iCs w:val="1"/>
                <w:color w:val="auto"/>
              </w:rPr>
              <w:t>(Principal Financial and Accounting Officer)</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4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ind w:left="380"/>
              <w:spacing w:after="0"/>
              <w:rPr>
                <w:sz w:val="20"/>
                <w:szCs w:val="20"/>
                <w:color w:val="auto"/>
              </w:rPr>
            </w:pPr>
            <w:r>
              <w:rPr>
                <w:rFonts w:ascii="Arial" w:cs="Arial" w:eastAsia="Arial" w:hAnsi="Arial"/>
                <w:sz w:val="18"/>
                <w:szCs w:val="18"/>
                <w:color w:val="auto"/>
              </w:rPr>
              <w:t>February 3, 2020</w:t>
            </w:r>
          </w:p>
        </w:tc>
        <w:tc>
          <w:tcPr>
            <w:tcW w:w="0" w:type="dxa"/>
            <w:vAlign w:val="bottom"/>
          </w:tcPr>
          <w:p>
            <w:pPr>
              <w:spacing w:after="0"/>
              <w:rPr>
                <w:sz w:val="1"/>
                <w:szCs w:val="1"/>
                <w:color w:val="auto"/>
              </w:rPr>
            </w:pPr>
          </w:p>
        </w:tc>
      </w:tr>
      <w:tr>
        <w:trPr>
          <w:trHeight w:val="208"/>
        </w:trPr>
        <w:tc>
          <w:tcPr>
            <w:tcW w:w="3520" w:type="dxa"/>
            <w:vAlign w:val="bottom"/>
          </w:tcPr>
          <w:p>
            <w:pPr>
              <w:jc w:val="center"/>
              <w:spacing w:after="0"/>
              <w:rPr>
                <w:sz w:val="20"/>
                <w:szCs w:val="20"/>
                <w:color w:val="auto"/>
              </w:rPr>
            </w:pPr>
            <w:r>
              <w:rPr>
                <w:rFonts w:ascii="Arial" w:cs="Arial" w:eastAsia="Arial" w:hAnsi="Arial"/>
                <w:sz w:val="18"/>
                <w:szCs w:val="18"/>
                <w:color w:val="auto"/>
                <w:w w:val="97"/>
              </w:rPr>
              <w:t>Elizabeth McKee Anderson</w:t>
            </w:r>
          </w:p>
        </w:tc>
        <w:tc>
          <w:tcPr>
            <w:tcW w:w="4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4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ind w:left="380"/>
              <w:spacing w:after="0"/>
              <w:rPr>
                <w:sz w:val="20"/>
                <w:szCs w:val="20"/>
                <w:color w:val="auto"/>
              </w:rPr>
            </w:pPr>
            <w:r>
              <w:rPr>
                <w:rFonts w:ascii="Arial" w:cs="Arial" w:eastAsia="Arial" w:hAnsi="Arial"/>
                <w:sz w:val="18"/>
                <w:szCs w:val="18"/>
                <w:color w:val="auto"/>
              </w:rPr>
              <w:t>February 3, 2020</w:t>
            </w:r>
          </w:p>
        </w:tc>
        <w:tc>
          <w:tcPr>
            <w:tcW w:w="0" w:type="dxa"/>
            <w:vAlign w:val="bottom"/>
          </w:tcPr>
          <w:p>
            <w:pPr>
              <w:spacing w:after="0"/>
              <w:rPr>
                <w:sz w:val="1"/>
                <w:szCs w:val="1"/>
                <w:color w:val="auto"/>
              </w:rPr>
            </w:pPr>
          </w:p>
        </w:tc>
      </w:tr>
      <w:tr>
        <w:trPr>
          <w:trHeight w:val="208"/>
        </w:trPr>
        <w:tc>
          <w:tcPr>
            <w:tcW w:w="3520" w:type="dxa"/>
            <w:vAlign w:val="bottom"/>
          </w:tcPr>
          <w:p>
            <w:pPr>
              <w:jc w:val="center"/>
              <w:spacing w:after="0"/>
              <w:rPr>
                <w:sz w:val="20"/>
                <w:szCs w:val="20"/>
                <w:color w:val="auto"/>
              </w:rPr>
            </w:pPr>
            <w:r>
              <w:rPr>
                <w:rFonts w:ascii="Arial" w:cs="Arial" w:eastAsia="Arial" w:hAnsi="Arial"/>
                <w:sz w:val="18"/>
                <w:szCs w:val="18"/>
                <w:color w:val="auto"/>
                <w:w w:val="97"/>
              </w:rPr>
              <w:t>Alexis Borisy</w:t>
            </w:r>
          </w:p>
        </w:tc>
        <w:tc>
          <w:tcPr>
            <w:tcW w:w="4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4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tcPr>
          <w:p>
            <w:pPr>
              <w:ind w:left="380"/>
              <w:spacing w:after="0"/>
              <w:rPr>
                <w:sz w:val="20"/>
                <w:szCs w:val="20"/>
                <w:color w:val="auto"/>
              </w:rPr>
            </w:pPr>
            <w:r>
              <w:rPr>
                <w:rFonts w:ascii="Arial" w:cs="Arial" w:eastAsia="Arial" w:hAnsi="Arial"/>
                <w:sz w:val="18"/>
                <w:szCs w:val="18"/>
                <w:color w:val="auto"/>
              </w:rPr>
              <w:t>February 3, 2020</w:t>
            </w:r>
          </w:p>
        </w:tc>
        <w:tc>
          <w:tcPr>
            <w:tcW w:w="0" w:type="dxa"/>
            <w:vAlign w:val="bottom"/>
          </w:tcPr>
          <w:p>
            <w:pPr>
              <w:spacing w:after="0"/>
              <w:rPr>
                <w:sz w:val="1"/>
                <w:szCs w:val="1"/>
                <w:color w:val="auto"/>
              </w:rPr>
            </w:pPr>
          </w:p>
        </w:tc>
      </w:tr>
      <w:tr>
        <w:trPr>
          <w:trHeight w:val="208"/>
        </w:trPr>
        <w:tc>
          <w:tcPr>
            <w:tcW w:w="3520" w:type="dxa"/>
            <w:vAlign w:val="bottom"/>
          </w:tcPr>
          <w:p>
            <w:pPr>
              <w:jc w:val="center"/>
              <w:spacing w:after="0"/>
              <w:rPr>
                <w:sz w:val="20"/>
                <w:szCs w:val="20"/>
                <w:color w:val="auto"/>
              </w:rPr>
            </w:pPr>
            <w:r>
              <w:rPr>
                <w:rFonts w:ascii="Arial" w:cs="Arial" w:eastAsia="Arial" w:hAnsi="Arial"/>
                <w:sz w:val="18"/>
                <w:szCs w:val="18"/>
                <w:color w:val="auto"/>
                <w:w w:val="97"/>
              </w:rPr>
              <w:t>Neil Exter</w:t>
            </w:r>
          </w:p>
        </w:tc>
        <w:tc>
          <w:tcPr>
            <w:tcW w:w="49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1"/>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4900" w:type="dxa"/>
            <w:vAlign w:val="bottom"/>
            <w:vMerge w:val="restart"/>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vMerge w:val="restart"/>
          </w:tcPr>
          <w:p>
            <w:pPr>
              <w:ind w:left="380"/>
              <w:spacing w:after="0"/>
              <w:rPr>
                <w:sz w:val="20"/>
                <w:szCs w:val="20"/>
                <w:color w:val="auto"/>
              </w:rPr>
            </w:pPr>
            <w:r>
              <w:rPr>
                <w:rFonts w:ascii="Arial" w:cs="Arial" w:eastAsia="Arial" w:hAnsi="Arial"/>
                <w:sz w:val="18"/>
                <w:szCs w:val="18"/>
                <w:color w:val="auto"/>
              </w:rPr>
              <w:t>February 3, 2020</w:t>
            </w:r>
          </w:p>
        </w:tc>
        <w:tc>
          <w:tcPr>
            <w:tcW w:w="0" w:type="dxa"/>
            <w:vAlign w:val="bottom"/>
          </w:tcPr>
          <w:p>
            <w:pPr>
              <w:spacing w:after="0"/>
              <w:rPr>
                <w:sz w:val="1"/>
                <w:szCs w:val="1"/>
                <w:color w:val="auto"/>
              </w:rPr>
            </w:pPr>
          </w:p>
        </w:tc>
      </w:tr>
      <w:tr>
        <w:trPr>
          <w:trHeight w:val="100"/>
        </w:trPr>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5"/>
              </w:rPr>
              <w:t>Larry Lasky, Ph.D.</w:t>
            </w:r>
          </w:p>
        </w:tc>
        <w:tc>
          <w:tcPr>
            <w:tcW w:w="4900" w:type="dxa"/>
            <w:vAlign w:val="bottom"/>
            <w:vMerge w:val="continue"/>
          </w:tcPr>
          <w:p>
            <w:pPr>
              <w:spacing w:after="0"/>
              <w:rPr>
                <w:sz w:val="8"/>
                <w:szCs w:val="8"/>
                <w:color w:val="auto"/>
              </w:rPr>
            </w:pP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20" w:type="dxa"/>
            <w:vAlign w:val="bottom"/>
            <w:vMerge w:val="continue"/>
          </w:tcPr>
          <w:p>
            <w:pPr>
              <w:spacing w:after="0"/>
              <w:rPr>
                <w:sz w:val="9"/>
                <w:szCs w:val="9"/>
                <w:color w:val="auto"/>
              </w:rPr>
            </w:pPr>
          </w:p>
        </w:tc>
        <w:tc>
          <w:tcPr>
            <w:tcW w:w="49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1"/>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4900" w:type="dxa"/>
            <w:vAlign w:val="bottom"/>
            <w:vMerge w:val="restart"/>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vMerge w:val="restart"/>
          </w:tcPr>
          <w:p>
            <w:pPr>
              <w:ind w:left="380"/>
              <w:spacing w:after="0"/>
              <w:rPr>
                <w:sz w:val="20"/>
                <w:szCs w:val="20"/>
                <w:color w:val="auto"/>
              </w:rPr>
            </w:pPr>
            <w:r>
              <w:rPr>
                <w:rFonts w:ascii="Arial" w:cs="Arial" w:eastAsia="Arial" w:hAnsi="Arial"/>
                <w:sz w:val="18"/>
                <w:szCs w:val="18"/>
                <w:color w:val="auto"/>
              </w:rPr>
              <w:t>February 3, 2020</w:t>
            </w:r>
          </w:p>
        </w:tc>
        <w:tc>
          <w:tcPr>
            <w:tcW w:w="0" w:type="dxa"/>
            <w:vAlign w:val="bottom"/>
          </w:tcPr>
          <w:p>
            <w:pPr>
              <w:spacing w:after="0"/>
              <w:rPr>
                <w:sz w:val="1"/>
                <w:szCs w:val="1"/>
                <w:color w:val="auto"/>
              </w:rPr>
            </w:pPr>
          </w:p>
        </w:tc>
      </w:tr>
      <w:tr>
        <w:trPr>
          <w:trHeight w:val="100"/>
        </w:trPr>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6"/>
              </w:rPr>
              <w:t>Vincent A. Miller, M.D.</w:t>
            </w:r>
          </w:p>
        </w:tc>
        <w:tc>
          <w:tcPr>
            <w:tcW w:w="4900" w:type="dxa"/>
            <w:vAlign w:val="bottom"/>
            <w:vMerge w:val="continue"/>
          </w:tcPr>
          <w:p>
            <w:pPr>
              <w:spacing w:after="0"/>
              <w:rPr>
                <w:sz w:val="8"/>
                <w:szCs w:val="8"/>
                <w:color w:val="auto"/>
              </w:rPr>
            </w:pP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3520" w:type="dxa"/>
            <w:vAlign w:val="bottom"/>
            <w:vMerge w:val="continue"/>
          </w:tcPr>
          <w:p>
            <w:pPr>
              <w:spacing w:after="0"/>
              <w:rPr>
                <w:sz w:val="9"/>
                <w:szCs w:val="9"/>
                <w:color w:val="auto"/>
              </w:rPr>
            </w:pPr>
          </w:p>
        </w:tc>
        <w:tc>
          <w:tcPr>
            <w:tcW w:w="490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1"/>
        </w:trPr>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w:t>
            </w:r>
          </w:p>
        </w:tc>
        <w:tc>
          <w:tcPr>
            <w:tcW w:w="4900" w:type="dxa"/>
            <w:vAlign w:val="bottom"/>
            <w:vMerge w:val="restart"/>
          </w:tcPr>
          <w:p>
            <w:pPr>
              <w:ind w:left="120"/>
              <w:spacing w:after="0"/>
              <w:rPr>
                <w:sz w:val="20"/>
                <w:szCs w:val="20"/>
                <w:color w:val="auto"/>
              </w:rPr>
            </w:pPr>
            <w:r>
              <w:rPr>
                <w:rFonts w:ascii="Arial" w:cs="Arial" w:eastAsia="Arial" w:hAnsi="Arial"/>
                <w:sz w:val="18"/>
                <w:szCs w:val="18"/>
                <w:color w:val="auto"/>
              </w:rPr>
              <w:t>Director</w:t>
            </w:r>
          </w:p>
        </w:tc>
        <w:tc>
          <w:tcPr>
            <w:tcW w:w="2600" w:type="dxa"/>
            <w:vAlign w:val="bottom"/>
            <w:vMerge w:val="restart"/>
          </w:tcPr>
          <w:p>
            <w:pPr>
              <w:ind w:left="380"/>
              <w:spacing w:after="0"/>
              <w:rPr>
                <w:sz w:val="20"/>
                <w:szCs w:val="20"/>
                <w:color w:val="auto"/>
              </w:rPr>
            </w:pPr>
            <w:r>
              <w:rPr>
                <w:rFonts w:ascii="Arial" w:cs="Arial" w:eastAsia="Arial" w:hAnsi="Arial"/>
                <w:sz w:val="18"/>
                <w:szCs w:val="18"/>
                <w:color w:val="auto"/>
              </w:rPr>
              <w:t>February 3, 2020</w:t>
            </w:r>
          </w:p>
        </w:tc>
        <w:tc>
          <w:tcPr>
            <w:tcW w:w="0" w:type="dxa"/>
            <w:vAlign w:val="bottom"/>
          </w:tcPr>
          <w:p>
            <w:pPr>
              <w:spacing w:after="0"/>
              <w:rPr>
                <w:sz w:val="1"/>
                <w:szCs w:val="1"/>
                <w:color w:val="auto"/>
              </w:rPr>
            </w:pPr>
          </w:p>
        </w:tc>
      </w:tr>
      <w:tr>
        <w:trPr>
          <w:trHeight w:val="100"/>
        </w:trPr>
        <w:tc>
          <w:tcPr>
            <w:tcW w:w="3520" w:type="dxa"/>
            <w:vAlign w:val="bottom"/>
            <w:vMerge w:val="restart"/>
          </w:tcPr>
          <w:p>
            <w:pPr>
              <w:jc w:val="center"/>
              <w:spacing w:after="0"/>
              <w:rPr>
                <w:sz w:val="20"/>
                <w:szCs w:val="20"/>
                <w:color w:val="auto"/>
              </w:rPr>
            </w:pPr>
            <w:r>
              <w:rPr>
                <w:rFonts w:ascii="Arial" w:cs="Arial" w:eastAsia="Arial" w:hAnsi="Arial"/>
                <w:sz w:val="18"/>
                <w:szCs w:val="18"/>
                <w:color w:val="auto"/>
                <w:w w:val="96"/>
              </w:rPr>
              <w:t>Thilo Schroeder, Ph.D.</w:t>
            </w:r>
          </w:p>
        </w:tc>
        <w:tc>
          <w:tcPr>
            <w:tcW w:w="4900" w:type="dxa"/>
            <w:vAlign w:val="bottom"/>
            <w:vMerge w:val="continue"/>
          </w:tcPr>
          <w:p>
            <w:pPr>
              <w:spacing w:after="0"/>
              <w:rPr>
                <w:sz w:val="8"/>
                <w:szCs w:val="8"/>
                <w:color w:val="auto"/>
              </w:rPr>
            </w:pPr>
          </w:p>
        </w:tc>
        <w:tc>
          <w:tcPr>
            <w:tcW w:w="2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3520" w:type="dxa"/>
            <w:vAlign w:val="bottom"/>
            <w:tcBorders>
              <w:bottom w:val="single" w:sz="8" w:color="auto"/>
            </w:tcBorders>
            <w:vMerge w:val="continue"/>
          </w:tcPr>
          <w:p>
            <w:pPr>
              <w:spacing w:after="0"/>
              <w:rPr>
                <w:sz w:val="10"/>
                <w:szCs w:val="10"/>
                <w:color w:val="auto"/>
              </w:rPr>
            </w:pPr>
          </w:p>
        </w:tc>
        <w:tc>
          <w:tcPr>
            <w:tcW w:w="490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363"/>
        </w:trPr>
        <w:tc>
          <w:tcPr>
            <w:tcW w:w="3520" w:type="dxa"/>
            <w:vAlign w:val="bottom"/>
          </w:tcPr>
          <w:p>
            <w:pPr>
              <w:spacing w:after="0"/>
              <w:rPr>
                <w:sz w:val="24"/>
                <w:szCs w:val="24"/>
                <w:color w:val="auto"/>
              </w:rPr>
            </w:pPr>
          </w:p>
        </w:tc>
        <w:tc>
          <w:tcPr>
            <w:tcW w:w="4900" w:type="dxa"/>
            <w:vAlign w:val="bottom"/>
          </w:tcPr>
          <w:p>
            <w:pPr>
              <w:ind w:left="1840"/>
              <w:spacing w:after="0"/>
              <w:rPr>
                <w:sz w:val="20"/>
                <w:szCs w:val="20"/>
                <w:color w:val="auto"/>
              </w:rPr>
            </w:pPr>
            <w:r>
              <w:rPr>
                <w:rFonts w:ascii="Arial" w:cs="Arial" w:eastAsia="Arial" w:hAnsi="Arial"/>
                <w:sz w:val="18"/>
                <w:szCs w:val="18"/>
                <w:color w:val="auto"/>
              </w:rPr>
              <w:t>II-6</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2">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353"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8"/>
                <w:szCs w:val="18"/>
                <w:b w:val="1"/>
                <w:bCs w:val="1"/>
                <w:color w:val="auto"/>
                <w:w w:val="98"/>
              </w:rPr>
              <w:t>Signature</w:t>
            </w:r>
          </w:p>
        </w:tc>
        <w:tc>
          <w:tcPr>
            <w:tcW w:w="4020" w:type="dxa"/>
            <w:vAlign w:val="bottom"/>
            <w:tcBorders>
              <w:bottom w:val="single" w:sz="8" w:color="auto"/>
            </w:tcBorders>
          </w:tcPr>
          <w:p>
            <w:pPr>
              <w:ind w:left="2400"/>
              <w:spacing w:after="0"/>
              <w:rPr>
                <w:sz w:val="20"/>
                <w:szCs w:val="20"/>
                <w:color w:val="auto"/>
              </w:rPr>
            </w:pPr>
            <w:r>
              <w:rPr>
                <w:rFonts w:ascii="Arial" w:cs="Arial" w:eastAsia="Arial" w:hAnsi="Arial"/>
                <w:sz w:val="18"/>
                <w:szCs w:val="18"/>
                <w:b w:val="1"/>
                <w:bCs w:val="1"/>
                <w:color w:val="auto"/>
              </w:rPr>
              <w:t>Title</w:t>
            </w:r>
          </w:p>
        </w:tc>
        <w:tc>
          <w:tcPr>
            <w:tcW w:w="3480" w:type="dxa"/>
            <w:vAlign w:val="bottom"/>
            <w:tcBorders>
              <w:bottom w:val="single" w:sz="8" w:color="auto"/>
            </w:tcBorders>
          </w:tcPr>
          <w:p>
            <w:pPr>
              <w:ind w:left="218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99"/>
        </w:trPr>
        <w:tc>
          <w:tcPr>
            <w:tcW w:w="3320" w:type="dxa"/>
            <w:vAlign w:val="bottom"/>
            <w:gridSpan w:val="3"/>
          </w:tcPr>
          <w:p>
            <w:pPr>
              <w:jc w:val="center"/>
              <w:ind w:left="132"/>
              <w:spacing w:after="0"/>
              <w:rPr>
                <w:sz w:val="20"/>
                <w:szCs w:val="20"/>
                <w:color w:val="auto"/>
              </w:rPr>
            </w:pPr>
            <w:r>
              <w:rPr>
                <w:rFonts w:ascii="Arial" w:cs="Arial" w:eastAsia="Arial" w:hAnsi="Arial"/>
                <w:sz w:val="18"/>
                <w:szCs w:val="18"/>
                <w:color w:val="auto"/>
                <w:w w:val="84"/>
              </w:rPr>
              <w:t>*</w:t>
            </w:r>
          </w:p>
        </w:tc>
        <w:tc>
          <w:tcPr>
            <w:tcW w:w="220" w:type="dxa"/>
            <w:vAlign w:val="bottom"/>
          </w:tcPr>
          <w:p>
            <w:pPr>
              <w:spacing w:after="0"/>
              <w:rPr>
                <w:sz w:val="24"/>
                <w:szCs w:val="24"/>
                <w:color w:val="auto"/>
              </w:rPr>
            </w:pPr>
          </w:p>
        </w:tc>
        <w:tc>
          <w:tcPr>
            <w:tcW w:w="4020" w:type="dxa"/>
            <w:vAlign w:val="bottom"/>
            <w:vMerge w:val="restart"/>
          </w:tcPr>
          <w:p>
            <w:pPr>
              <w:ind w:left="120"/>
              <w:spacing w:after="0"/>
              <w:rPr>
                <w:sz w:val="20"/>
                <w:szCs w:val="20"/>
                <w:color w:val="auto"/>
              </w:rPr>
            </w:pPr>
            <w:r>
              <w:rPr>
                <w:rFonts w:ascii="Arial" w:cs="Arial" w:eastAsia="Arial" w:hAnsi="Arial"/>
                <w:sz w:val="18"/>
                <w:szCs w:val="18"/>
                <w:color w:val="auto"/>
              </w:rPr>
              <w:t>Director</w:t>
            </w:r>
          </w:p>
        </w:tc>
        <w:tc>
          <w:tcPr>
            <w:tcW w:w="3480" w:type="dxa"/>
            <w:vAlign w:val="bottom"/>
            <w:vMerge w:val="restart"/>
          </w:tcPr>
          <w:p>
            <w:pPr>
              <w:ind w:left="1260"/>
              <w:spacing w:after="0"/>
              <w:rPr>
                <w:sz w:val="20"/>
                <w:szCs w:val="20"/>
                <w:color w:val="auto"/>
              </w:rPr>
            </w:pPr>
            <w:r>
              <w:rPr>
                <w:rFonts w:ascii="Arial" w:cs="Arial" w:eastAsia="Arial" w:hAnsi="Arial"/>
                <w:sz w:val="18"/>
                <w:szCs w:val="18"/>
                <w:color w:val="auto"/>
              </w:rPr>
              <w:t>February 3, 2020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2960" w:type="dxa"/>
            <w:vAlign w:val="bottom"/>
            <w:tcBorders>
              <w:top w:val="single" w:sz="8" w:color="auto"/>
            </w:tcBorders>
            <w:gridSpan w:val="2"/>
            <w:vMerge w:val="restart"/>
          </w:tcPr>
          <w:p>
            <w:pPr>
              <w:jc w:val="center"/>
              <w:ind w:right="560"/>
              <w:spacing w:after="0"/>
              <w:rPr>
                <w:sz w:val="20"/>
                <w:szCs w:val="20"/>
                <w:color w:val="auto"/>
              </w:rPr>
            </w:pPr>
            <w:r>
              <w:rPr>
                <w:rFonts w:ascii="Arial" w:cs="Arial" w:eastAsia="Arial" w:hAnsi="Arial"/>
                <w:sz w:val="18"/>
                <w:szCs w:val="18"/>
                <w:color w:val="auto"/>
                <w:w w:val="96"/>
              </w:rPr>
              <w:t>Barbara Weber, M.D.</w:t>
            </w:r>
          </w:p>
        </w:tc>
        <w:tc>
          <w:tcPr>
            <w:tcW w:w="4020" w:type="dxa"/>
            <w:vAlign w:val="bottom"/>
            <w:vMerge w:val="continue"/>
          </w:tcPr>
          <w:p>
            <w:pPr>
              <w:spacing w:after="0"/>
              <w:rPr>
                <w:sz w:val="8"/>
                <w:szCs w:val="8"/>
                <w:color w:val="auto"/>
              </w:rPr>
            </w:pPr>
          </w:p>
        </w:tc>
        <w:tc>
          <w:tcPr>
            <w:tcW w:w="3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960" w:type="dxa"/>
            <w:vAlign w:val="bottom"/>
            <w:gridSpan w:val="2"/>
            <w:vMerge w:val="continue"/>
          </w:tcPr>
          <w:p>
            <w:pPr>
              <w:spacing w:after="0"/>
              <w:rPr>
                <w:sz w:val="9"/>
                <w:szCs w:val="9"/>
                <w:color w:val="auto"/>
              </w:rPr>
            </w:pPr>
          </w:p>
        </w:tc>
        <w:tc>
          <w:tcPr>
            <w:tcW w:w="40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9"/>
        </w:trPr>
        <w:tc>
          <w:tcPr>
            <w:tcW w:w="3540" w:type="dxa"/>
            <w:vAlign w:val="bottom"/>
            <w:gridSpan w:val="4"/>
          </w:tcPr>
          <w:p>
            <w:pPr>
              <w:spacing w:after="0"/>
              <w:rPr>
                <w:sz w:val="20"/>
                <w:szCs w:val="20"/>
                <w:color w:val="auto"/>
              </w:rPr>
            </w:pPr>
            <w:r>
              <w:rPr>
                <w:rFonts w:ascii="Arial" w:cs="Arial" w:eastAsia="Arial" w:hAnsi="Arial"/>
                <w:sz w:val="18"/>
                <w:szCs w:val="18"/>
                <w:color w:val="auto"/>
              </w:rPr>
              <w:t>*By:   /s/ Mark A. Goldsmith</w:t>
            </w:r>
          </w:p>
        </w:tc>
        <w:tc>
          <w:tcPr>
            <w:tcW w:w="4020" w:type="dxa"/>
            <w:vAlign w:val="bottom"/>
          </w:tcPr>
          <w:p>
            <w:pPr>
              <w:spacing w:after="0"/>
              <w:rPr>
                <w:sz w:val="24"/>
                <w:szCs w:val="24"/>
                <w:color w:val="auto"/>
              </w:rPr>
            </w:pPr>
          </w:p>
        </w:tc>
        <w:tc>
          <w:tcPr>
            <w:tcW w:w="3480" w:type="dxa"/>
            <w:vAlign w:val="bottom"/>
          </w:tcPr>
          <w:p>
            <w:pPr>
              <w:ind w:left="1360"/>
              <w:spacing w:after="0"/>
              <w:rPr>
                <w:sz w:val="20"/>
                <w:szCs w:val="20"/>
                <w:color w:val="auto"/>
              </w:rPr>
            </w:pPr>
            <w:r>
              <w:rPr>
                <w:rFonts w:ascii="Arial" w:cs="Arial" w:eastAsia="Arial" w:hAnsi="Arial"/>
                <w:sz w:val="18"/>
                <w:szCs w:val="18"/>
                <w:color w:val="auto"/>
              </w:rPr>
              <w:t>February 3, 2020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4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97"/>
              </w:rPr>
              <w:t>Mark A. Goldsmith, M.D., Ph.D.</w:t>
            </w:r>
          </w:p>
        </w:tc>
        <w:tc>
          <w:tcPr>
            <w:tcW w:w="2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2"/>
          </w:tcPr>
          <w:p>
            <w:pPr>
              <w:jc w:val="center"/>
              <w:ind w:right="580"/>
              <w:spacing w:after="0"/>
              <w:rPr>
                <w:sz w:val="20"/>
                <w:szCs w:val="20"/>
                <w:color w:val="auto"/>
              </w:rPr>
            </w:pPr>
            <w:r>
              <w:rPr>
                <w:rFonts w:ascii="Arial" w:cs="Arial" w:eastAsia="Arial" w:hAnsi="Arial"/>
                <w:sz w:val="18"/>
                <w:szCs w:val="18"/>
                <w:color w:val="auto"/>
                <w:w w:val="98"/>
              </w:rPr>
              <w:t>Attorney-in-Fact</w:t>
            </w:r>
          </w:p>
        </w:tc>
        <w:tc>
          <w:tcPr>
            <w:tcW w:w="402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20" w:type="dxa"/>
            <w:vAlign w:val="bottom"/>
          </w:tcPr>
          <w:p>
            <w:pPr>
              <w:ind w:left="1840"/>
              <w:spacing w:after="0"/>
              <w:rPr>
                <w:sz w:val="20"/>
                <w:szCs w:val="20"/>
                <w:color w:val="auto"/>
              </w:rPr>
            </w:pPr>
            <w:r>
              <w:rPr>
                <w:rFonts w:ascii="Arial" w:cs="Arial" w:eastAsia="Arial" w:hAnsi="Arial"/>
                <w:sz w:val="18"/>
                <w:szCs w:val="18"/>
                <w:color w:val="auto"/>
              </w:rPr>
              <w:t>II-7</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Sections 242 and 245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General Corporation Law of the State of Delaware)</w:t>
      </w:r>
    </w:p>
    <w:p>
      <w:pPr>
        <w:spacing w:after="0" w:line="207"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EVOLUTION</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EDICINES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and existing under and by virtue of the provisions of the General Corporation Law of</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 of Delaware (the “</w:t>
      </w:r>
      <w:r>
        <w:rPr>
          <w:rFonts w:ascii="Arial" w:cs="Arial" w:eastAsia="Arial" w:hAnsi="Arial"/>
          <w:sz w:val="18"/>
          <w:szCs w:val="18"/>
          <w:b w:val="1"/>
          <w:bCs w:val="1"/>
          <w:i w:val="1"/>
          <w:iCs w:val="1"/>
          <w:color w:val="auto"/>
        </w:rPr>
        <w:t>General Corporation Law</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DOES HEREBY CERTIFY:</w:t>
      </w:r>
    </w:p>
    <w:p>
      <w:pPr>
        <w:spacing w:after="0" w:line="121" w:lineRule="exact"/>
        <w:rPr>
          <w:sz w:val="20"/>
          <w:szCs w:val="20"/>
          <w:color w:val="auto"/>
        </w:rPr>
      </w:pPr>
    </w:p>
    <w:p>
      <w:pPr>
        <w:ind w:right="260" w:firstLine="444"/>
        <w:spacing w:after="0" w:line="277" w:lineRule="auto"/>
        <w:tabs>
          <w:tab w:leader="none" w:pos="62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That the name of this corporation is Revolution Medicines, Inc. and that this corporation was originally incorporated pursuant to the General Corporation Law on October 7, 2014.</w:t>
      </w:r>
    </w:p>
    <w:p>
      <w:pPr>
        <w:spacing w:after="0" w:line="170" w:lineRule="exact"/>
        <w:rPr>
          <w:rFonts w:ascii="Arial" w:cs="Arial" w:eastAsia="Arial" w:hAnsi="Arial"/>
          <w:sz w:val="18"/>
          <w:szCs w:val="18"/>
          <w:color w:val="auto"/>
        </w:rPr>
      </w:pPr>
    </w:p>
    <w:p>
      <w:pPr>
        <w:ind w:right="40" w:firstLine="444"/>
        <w:spacing w:after="0" w:line="259" w:lineRule="auto"/>
        <w:tabs>
          <w:tab w:leader="none" w:pos="62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That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7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Certificate of Incorporation of this corporation be amended and restated in its entirety to read as follows: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FIRST: </w:t>
      </w:r>
      <w:r>
        <w:rPr>
          <w:rFonts w:ascii="Arial" w:cs="Arial" w:eastAsia="Arial" w:hAnsi="Arial"/>
          <w:sz w:val="18"/>
          <w:szCs w:val="18"/>
          <w:color w:val="auto"/>
        </w:rPr>
        <w:t>The name of this corporation is Revolution Medicines,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25"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b w:val="1"/>
          <w:bCs w:val="1"/>
          <w:color w:val="auto"/>
        </w:rPr>
        <w:t xml:space="preserve">SECOND: </w:t>
      </w:r>
      <w:r>
        <w:rPr>
          <w:rFonts w:ascii="Arial" w:cs="Arial" w:eastAsia="Arial" w:hAnsi="Arial"/>
          <w:sz w:val="18"/>
          <w:szCs w:val="18"/>
          <w:color w:val="auto"/>
        </w:rPr>
        <w:t>The address of the registered office of the Corporation in the State of Delaware is 251 Little Falls Drive, in the City of Wilmington,</w:t>
      </w:r>
      <w:r>
        <w:rPr>
          <w:rFonts w:ascii="Arial" w:cs="Arial" w:eastAsia="Arial" w:hAnsi="Arial"/>
          <w:sz w:val="18"/>
          <w:szCs w:val="18"/>
          <w:b w:val="1"/>
          <w:bCs w:val="1"/>
          <w:color w:val="auto"/>
        </w:rPr>
        <w:t xml:space="preserve"> </w:t>
      </w:r>
      <w:r>
        <w:rPr>
          <w:rFonts w:ascii="Arial" w:cs="Arial" w:eastAsia="Arial" w:hAnsi="Arial"/>
          <w:sz w:val="18"/>
          <w:szCs w:val="18"/>
          <w:color w:val="auto"/>
        </w:rPr>
        <w:t>County of New Castle, 19808. The name of its registered agent at such address is Corporation Service Company.</w:t>
      </w:r>
    </w:p>
    <w:p>
      <w:pPr>
        <w:spacing w:after="0" w:line="162"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b w:val="1"/>
          <w:bCs w:val="1"/>
          <w:color w:val="auto"/>
        </w:rPr>
        <w:t xml:space="preserve">THIRD: </w:t>
      </w:r>
      <w:r>
        <w:rPr>
          <w:rFonts w:ascii="Arial" w:cs="Arial" w:eastAsia="Arial" w:hAnsi="Arial"/>
          <w:sz w:val="18"/>
          <w:szCs w:val="18"/>
          <w:color w:val="auto"/>
        </w:rPr>
        <w:t>The nature of the business or purposes to be conducted or promoted is to engage in any lawful act or activity for which corporations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organized under the General Corporation Law.</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FOURTH:</w:t>
      </w:r>
    </w:p>
    <w:p>
      <w:pPr>
        <w:spacing w:after="0" w:line="256" w:lineRule="exact"/>
        <w:rPr>
          <w:sz w:val="20"/>
          <w:szCs w:val="20"/>
          <w:color w:val="auto"/>
        </w:rPr>
      </w:pPr>
    </w:p>
    <w:p>
      <w:pPr>
        <w:ind w:left="980" w:hanging="544"/>
        <w:spacing w:after="0"/>
        <w:tabs>
          <w:tab w:leader="none" w:pos="9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REVERSE STOCK SPLIT</w:t>
      </w:r>
    </w:p>
    <w:p>
      <w:pPr>
        <w:spacing w:after="0" w:line="225" w:lineRule="exact"/>
        <w:rPr>
          <w:rFonts w:ascii="Arial" w:cs="Arial" w:eastAsia="Arial" w:hAnsi="Arial"/>
          <w:sz w:val="18"/>
          <w:szCs w:val="18"/>
          <w:color w:val="auto"/>
        </w:rPr>
      </w:pPr>
    </w:p>
    <w:p>
      <w:pPr>
        <w:jc w:val="both"/>
        <w:ind w:right="80" w:firstLine="996"/>
        <w:spacing w:after="0" w:line="259" w:lineRule="auto"/>
        <w:tabs>
          <w:tab w:leader="none" w:pos="1172"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Effective upon the filing of this Amended and Restated Certificate of Incorporation with the Secretary of State of the State of Delaware (the “</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each 4.8661 shares of Common Stock (as defined below) issued and outstanding immediately prior to the Effective Time, shall, automatically and without any further action on the part of any stockholders of the Corporation, be reclassified as one share of Common Stock and each 4.8661</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51" w:name="page352"/>
    <w:bookmarkEnd w:id="351"/>
    <w:p>
      <w:pPr>
        <w:ind w:right="3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shares of Series A Preferred, Series B Preferred and Series C Preferred (each, as defined below) issued and outstanding immediately prior to the Effective Time shall, automatically and without any further action on the part of any stockholders of the Corporation, be reclassified as one share of Series A Preferred, Series B Preferred and Series C Preferred, respectively (the “</w:t>
      </w:r>
      <w:r>
        <w:rPr>
          <w:rFonts w:ascii="Arial" w:cs="Arial" w:eastAsia="Arial" w:hAnsi="Arial"/>
          <w:sz w:val="17"/>
          <w:szCs w:val="17"/>
          <w:b w:val="1"/>
          <w:bCs w:val="1"/>
          <w:i w:val="1"/>
          <w:iCs w:val="1"/>
          <w:color w:val="auto"/>
        </w:rPr>
        <w:t>Reverse Stock Split</w:t>
      </w:r>
      <w:r>
        <w:rPr>
          <w:rFonts w:ascii="Arial" w:cs="Arial" w:eastAsia="Arial" w:hAnsi="Arial"/>
          <w:sz w:val="17"/>
          <w:szCs w:val="17"/>
          <w:color w:val="auto"/>
        </w:rPr>
        <w:t>”).</w:t>
      </w:r>
    </w:p>
    <w:p>
      <w:pPr>
        <w:spacing w:after="0" w:line="166" w:lineRule="exact"/>
        <w:rPr>
          <w:sz w:val="20"/>
          <w:szCs w:val="20"/>
          <w:color w:val="auto"/>
        </w:rPr>
      </w:pPr>
    </w:p>
    <w:p>
      <w:pPr>
        <w:ind w:firstLine="996"/>
        <w:spacing w:after="0" w:line="293" w:lineRule="auto"/>
        <w:tabs>
          <w:tab w:leader="none" w:pos="1172" w:val="left"/>
        </w:tabs>
        <w:numPr>
          <w:ilvl w:val="0"/>
          <w:numId w:val="163"/>
        </w:numPr>
        <w:rPr>
          <w:rFonts w:ascii="Arial" w:cs="Arial" w:eastAsia="Arial" w:hAnsi="Arial"/>
          <w:sz w:val="16"/>
          <w:szCs w:val="16"/>
          <w:color w:val="auto"/>
        </w:rPr>
      </w:pPr>
      <w:r>
        <w:rPr>
          <w:rFonts w:ascii="Arial" w:cs="Arial" w:eastAsia="Arial" w:hAnsi="Arial"/>
          <w:sz w:val="16"/>
          <w:szCs w:val="16"/>
          <w:color w:val="auto"/>
        </w:rPr>
        <w:t xml:space="preserve">Each stock certificate representing shares of any class or series of Common Stock or Preferred Stock (as defined below) immediately prior to the Effective Time shall, from and after the Effective Time, represent that number of shares of the class or series of Common Stock or Preferred Stock into which such shares shall have been reclassified pursuant to the Reverse Stock Split;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holder of any stock certificate(s) that represented shares of Common Stock or Preferred Stock immediately prior to the Effective Time shall be entitled to receive, upon surrender of such certificate(s), one or more certificates (or book entry shares) evidencing and representing the number of shares of Common Stock or Preferred Stock into which the shares represented by such certificate(s) shall have been reclassified pursuant to the Reverse Stock Split.</w:t>
      </w:r>
    </w:p>
    <w:p>
      <w:pPr>
        <w:spacing w:after="0" w:line="164" w:lineRule="exact"/>
        <w:rPr>
          <w:rFonts w:ascii="Arial" w:cs="Arial" w:eastAsia="Arial" w:hAnsi="Arial"/>
          <w:sz w:val="16"/>
          <w:szCs w:val="16"/>
          <w:color w:val="auto"/>
        </w:rPr>
      </w:pPr>
    </w:p>
    <w:p>
      <w:pPr>
        <w:ind w:firstLine="996"/>
        <w:spacing w:after="0" w:line="255" w:lineRule="auto"/>
        <w:tabs>
          <w:tab w:leader="none" w:pos="1172"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 fractional shares shall be issued for shares of Preferred Stock or Common Stock pursuant to the Reverse Stock Split. If the Reverse Stock Split would result in the issuance of any fractional share of any class or series of Common Stock or Preferred Stock, the Corporation shall, in lieu of issuing any such fractional share, pay cash in an amount equal to the fair value of such fractional share (as determined in good faith by the Corporation’s Board). For such purpose, all shares of Preferred Stock or Common Stock held by each holder shall be aggregated, and any resulting fractional share of Preferred Stock or Common Stock, as the case may be, shall be paid in cash pursuant to the immediately preceding sentence. All share, per share and dollar references in this Amended and Restated Certificate of Incorporation shall be adjusted for the Reverse Stock Split only as explicitly provided herein.</w:t>
      </w:r>
    </w:p>
    <w:p>
      <w:pPr>
        <w:spacing w:after="0" w:line="185" w:lineRule="exact"/>
        <w:rPr>
          <w:sz w:val="20"/>
          <w:szCs w:val="20"/>
          <w:color w:val="auto"/>
        </w:rPr>
      </w:pPr>
    </w:p>
    <w:p>
      <w:pPr>
        <w:ind w:right="40" w:firstLine="992"/>
        <w:spacing w:after="0" w:line="266" w:lineRule="auto"/>
        <w:rPr>
          <w:sz w:val="20"/>
          <w:szCs w:val="20"/>
          <w:color w:val="auto"/>
        </w:rPr>
      </w:pPr>
      <w:r>
        <w:rPr>
          <w:rFonts w:ascii="Arial" w:cs="Arial" w:eastAsia="Arial" w:hAnsi="Arial"/>
          <w:sz w:val="18"/>
          <w:szCs w:val="18"/>
          <w:b w:val="1"/>
          <w:bCs w:val="1"/>
          <w:color w:val="auto"/>
        </w:rPr>
        <w:t xml:space="preserve">FIFTH: </w:t>
      </w:r>
      <w:r>
        <w:rPr>
          <w:rFonts w:ascii="Arial" w:cs="Arial" w:eastAsia="Arial" w:hAnsi="Arial"/>
          <w:sz w:val="18"/>
          <w:szCs w:val="18"/>
          <w:color w:val="auto"/>
        </w:rPr>
        <w:t>The total number of shares of all classes of stock which the Corporation shall have authority to issue is (i) 249,000,000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$0.0001 par value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and (ii) 192,904,770 shares of Preferred Stock, $0.0001 par value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w:t>
      </w:r>
    </w:p>
    <w:p>
      <w:pPr>
        <w:spacing w:after="0" w:line="180" w:lineRule="exact"/>
        <w:rPr>
          <w:sz w:val="20"/>
          <w:szCs w:val="20"/>
          <w:color w:val="auto"/>
        </w:rPr>
      </w:pPr>
    </w:p>
    <w:p>
      <w:pPr>
        <w:ind w:right="260" w:firstLine="992"/>
        <w:spacing w:after="0" w:line="277" w:lineRule="auto"/>
        <w:rPr>
          <w:sz w:val="20"/>
          <w:szCs w:val="20"/>
          <w:color w:val="auto"/>
        </w:rPr>
      </w:pPr>
      <w:r>
        <w:rPr>
          <w:rFonts w:ascii="Arial" w:cs="Arial" w:eastAsia="Arial" w:hAnsi="Arial"/>
          <w:sz w:val="18"/>
          <w:szCs w:val="18"/>
          <w:color w:val="auto"/>
        </w:rPr>
        <w:t>The following is a statement of the designations and the powers, privileges and rights, and the qualifications, limitations or restrictions thereof in respect of each class of capital stock of the Corporation.</w:t>
      </w:r>
    </w:p>
    <w:p>
      <w:pPr>
        <w:spacing w:after="0" w:line="197" w:lineRule="exact"/>
        <w:rPr>
          <w:sz w:val="20"/>
          <w:szCs w:val="20"/>
          <w:color w:val="auto"/>
        </w:rPr>
      </w:pPr>
    </w:p>
    <w:p>
      <w:pPr>
        <w:ind w:left="980" w:hanging="544"/>
        <w:spacing w:after="0"/>
        <w:tabs>
          <w:tab w:leader="none" w:pos="9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25" w:lineRule="exact"/>
        <w:rPr>
          <w:rFonts w:ascii="Arial" w:cs="Arial" w:eastAsia="Arial" w:hAnsi="Arial"/>
          <w:sz w:val="18"/>
          <w:szCs w:val="18"/>
          <w:color w:val="auto"/>
        </w:rPr>
      </w:pPr>
    </w:p>
    <w:p>
      <w:pPr>
        <w:ind w:right="360" w:firstLine="996"/>
        <w:spacing w:after="0" w:line="277" w:lineRule="auto"/>
        <w:tabs>
          <w:tab w:leader="none" w:pos="1172"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voting, dividend and liquidation rights of the holders of the Common Stock are subject to and qualified by the rights, powers and preferences of the holders of the Preferred Stock set forth herein.</w:t>
      </w:r>
    </w:p>
    <w:p>
      <w:pPr>
        <w:spacing w:after="0" w:line="170" w:lineRule="exact"/>
        <w:rPr>
          <w:rFonts w:ascii="Arial" w:cs="Arial" w:eastAsia="Arial" w:hAnsi="Arial"/>
          <w:sz w:val="18"/>
          <w:szCs w:val="18"/>
          <w:color w:val="auto"/>
        </w:rPr>
      </w:pPr>
    </w:p>
    <w:p>
      <w:pPr>
        <w:ind w:firstLine="996"/>
        <w:spacing w:after="0" w:line="264" w:lineRule="auto"/>
        <w:tabs>
          <w:tab w:leader="none" w:pos="1172" w:val="left"/>
        </w:tabs>
        <w:numPr>
          <w:ilvl w:val="1"/>
          <w:numId w:val="164"/>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 The holders of the Common Stock are entitled to one vote for each share of Common Stock held at all meetings of stockholders (and written actions in lieu of meetings). No person entitled to vote at an election for directors may cumulate votes to which such person is entitled unless required by applicable law at the time of such election. During</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40" w:top="274" w:right="519" w:bottom="1440" w:gutter="0" w:footer="0" w:header="0"/>
        </w:sectPr>
      </w:pPr>
    </w:p>
    <w:bookmarkStart w:id="352" w:name="page353"/>
    <w:bookmarkEnd w:id="352"/>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time or times that the Corporation is subject to Section 2115(b) of the California Corporations Code, every stockholder entitled to vote at an election for directors may cumulate such stockholder’s votes and give one candidate a number of votes equal to the number of directors to be elected multiplied by the number of votes to which such stockholder’s shares are otherwise entitled, or distribute the stockholder’s votes on the same principle among as many candidates as such stockholder desires. No stockholder, however, shall be entitled to so cumulate such stockholder’s votes unless (i) the names of such candidate or candidates have been placed in nomination prior to the voting, and (ii) the stockholder has given notice at the meeting, prior to the voting, of such stockholder’s intention to cumulate such stockholder’s votes. If any stockholder has given proper notice to cumulate votes, all stockholders may cumulate their votes for any candidates who have been properly placed in nomination. Under cumulative voting, the candidates receiving the highest number of votes, up to the number of directors to be elected, are elected. The number of authorized shares of Common Stock may be increased or decreased (but not below the number of shares thereof then outstanding) by (in addition to any vote of the holders of one or more series of Preferred Stock that may be required by the terms of this Amended and Restated Certificate of Incorporation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96" w:lineRule="exact"/>
        <w:rPr>
          <w:sz w:val="20"/>
          <w:szCs w:val="20"/>
          <w:color w:val="auto"/>
        </w:rPr>
      </w:pPr>
    </w:p>
    <w:p>
      <w:pPr>
        <w:ind w:left="980" w:hanging="544"/>
        <w:spacing w:after="0"/>
        <w:tabs>
          <w:tab w:leader="none" w:pos="9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25" w:lineRule="exact"/>
        <w:rPr>
          <w:sz w:val="20"/>
          <w:szCs w:val="20"/>
          <w:color w:val="auto"/>
        </w:rPr>
      </w:pPr>
    </w:p>
    <w:p>
      <w:pPr>
        <w:ind w:right="180" w:firstLine="441"/>
        <w:spacing w:after="0" w:line="255" w:lineRule="auto"/>
        <w:rPr>
          <w:sz w:val="20"/>
          <w:szCs w:val="20"/>
          <w:color w:val="auto"/>
        </w:rPr>
      </w:pPr>
      <w:r>
        <w:rPr>
          <w:rFonts w:ascii="Arial" w:cs="Arial" w:eastAsia="Arial" w:hAnsi="Arial"/>
          <w:sz w:val="18"/>
          <w:szCs w:val="18"/>
          <w:color w:val="auto"/>
        </w:rPr>
        <w:t>A total of 70,221,732 shares of the authorized Preferred Stock of the Corporation shall be designated as a series known as Series A Preferred Stock, $0.0001 par value per share (the “</w:t>
      </w:r>
      <w:r>
        <w:rPr>
          <w:rFonts w:ascii="Arial" w:cs="Arial" w:eastAsia="Arial" w:hAnsi="Arial"/>
          <w:sz w:val="18"/>
          <w:szCs w:val="18"/>
          <w:b w:val="1"/>
          <w:bCs w:val="1"/>
          <w:i w:val="1"/>
          <w:iCs w:val="1"/>
          <w:color w:val="auto"/>
        </w:rPr>
        <w:t>Series A Preferred Stock</w:t>
      </w:r>
      <w:r>
        <w:rPr>
          <w:rFonts w:ascii="Arial" w:cs="Arial" w:eastAsia="Arial" w:hAnsi="Arial"/>
          <w:sz w:val="18"/>
          <w:szCs w:val="18"/>
          <w:color w:val="auto"/>
        </w:rPr>
        <w:t>”), a total of 74,000,000 shares of the authorized Preferred Stock of the Corporation shall be designated as a series known as Series B Preferred Stock, $0.0001 par value per share (the “</w:t>
      </w:r>
      <w:r>
        <w:rPr>
          <w:rFonts w:ascii="Arial" w:cs="Arial" w:eastAsia="Arial" w:hAnsi="Arial"/>
          <w:sz w:val="18"/>
          <w:szCs w:val="18"/>
          <w:b w:val="1"/>
          <w:bCs w:val="1"/>
          <w:i w:val="1"/>
          <w:iCs w:val="1"/>
          <w:color w:val="auto"/>
        </w:rPr>
        <w:t>Series B Preferred Stock</w:t>
      </w:r>
      <w:r>
        <w:rPr>
          <w:rFonts w:ascii="Arial" w:cs="Arial" w:eastAsia="Arial" w:hAnsi="Arial"/>
          <w:sz w:val="18"/>
          <w:szCs w:val="18"/>
          <w:color w:val="auto"/>
        </w:rPr>
        <w:t>”) and a total of 48,683,038 shares of the authorized Preferred Stock of the Corporation shall be designated as a series known as Series C Preferred Stock, $0.0001 par value per share (the “</w:t>
      </w:r>
      <w:r>
        <w:rPr>
          <w:rFonts w:ascii="Arial" w:cs="Arial" w:eastAsia="Arial" w:hAnsi="Arial"/>
          <w:sz w:val="18"/>
          <w:szCs w:val="18"/>
          <w:b w:val="1"/>
          <w:bCs w:val="1"/>
          <w:i w:val="1"/>
          <w:iCs w:val="1"/>
          <w:color w:val="auto"/>
        </w:rPr>
        <w:t>Series C Preferred Stock</w:t>
      </w:r>
      <w:r>
        <w:rPr>
          <w:rFonts w:ascii="Arial" w:cs="Arial" w:eastAsia="Arial" w:hAnsi="Arial"/>
          <w:sz w:val="18"/>
          <w:szCs w:val="18"/>
          <w:color w:val="auto"/>
        </w:rPr>
        <w:t>”), with the following rights, preferences, powers, privileges and restrictions, qualifications and limitations. Unless otherwise indicated, references to “sections” or “subsections” in this Part B of this Article Fifth refer to sections and subsections of Part B of this Article Fifth.</w:t>
      </w:r>
    </w:p>
    <w:p>
      <w:pPr>
        <w:spacing w:after="0" w:line="189" w:lineRule="exact"/>
        <w:rPr>
          <w:sz w:val="20"/>
          <w:szCs w:val="20"/>
          <w:color w:val="auto"/>
        </w:rPr>
      </w:pPr>
    </w:p>
    <w:p>
      <w:pPr>
        <w:ind w:left="1180" w:hanging="184"/>
        <w:spacing w:after="0"/>
        <w:tabs>
          <w:tab w:leader="none" w:pos="118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From and after the date of the issuance of any shares of Preferred Stock, dividends at the rate of 6% per annum of the applicable Original Issue Price (as defined below) shall accrue on such shares of Preferred Stock (subject to appropriate adjustment in the event of any stock dividend, stock split, combination or other similar recapitalization with respect to the Preferred Stock) (the “</w:t>
      </w:r>
      <w:r>
        <w:rPr>
          <w:rFonts w:ascii="Arial" w:cs="Arial" w:eastAsia="Arial" w:hAnsi="Arial"/>
          <w:sz w:val="16"/>
          <w:szCs w:val="16"/>
          <w:b w:val="1"/>
          <w:bCs w:val="1"/>
          <w:i w:val="1"/>
          <w:iCs w:val="1"/>
          <w:color w:val="auto"/>
        </w:rPr>
        <w:t>Accruing Dividends</w:t>
      </w:r>
      <w:r>
        <w:rPr>
          <w:rFonts w:ascii="Arial" w:cs="Arial" w:eastAsia="Arial" w:hAnsi="Arial"/>
          <w:sz w:val="16"/>
          <w:szCs w:val="16"/>
          <w:color w:val="auto"/>
        </w:rPr>
        <w:t xml:space="preserve">”). Accruing Dividends shall accrue from day to day, whether or not declared, and shall be cumulative;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except as set forth in the following sentence of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in </w:t>
      </w:r>
      <w:r>
        <w:rPr>
          <w:rFonts w:ascii="Arial" w:cs="Arial" w:eastAsia="Arial" w:hAnsi="Arial"/>
          <w:sz w:val="16"/>
          <w:szCs w:val="16"/>
          <w:u w:val="single" w:color="auto"/>
          <w:color w:val="auto"/>
        </w:rPr>
        <w:t>Subsection 2.1</w:t>
      </w:r>
      <w:r>
        <w:rPr>
          <w:rFonts w:ascii="Arial" w:cs="Arial" w:eastAsia="Arial" w:hAnsi="Arial"/>
          <w:sz w:val="16"/>
          <w:szCs w:val="16"/>
          <w:color w:val="auto"/>
        </w:rPr>
        <w:t>, such Accruing Dividends shall be payable only when, as, and if declared by the Board and the Corporation shall be under no obligation to pay such Accruing Dividends. The Corporation shall not declare, pay or set aside any dividends on shares of any other class or series of capital stock of the Corporation (other than dividends on shares of Common Stock payable in shares of Common Stock) unless (in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3" w:right="439" w:bottom="1440" w:gutter="0" w:footer="0" w:header="0"/>
        </w:sectPr>
      </w:pPr>
    </w:p>
    <w:bookmarkStart w:id="353" w:name="page354"/>
    <w:bookmarkEnd w:id="353"/>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 to the obtaining of any consents required elsewhere in the Certificate of Incorporation) the holders of the Preferred Stock then outstanding shall first receive, or simultaneously receive, a dividend on each outstanding share of Preferred Stock in an amount at least equal to the greater of (i) the amount of the aggregate Accruing Dividends then accrued on such share of Preferred Stock and not previously paid and (ii) (A) in the case of a dividend on Common Stock or any class or series that is convertible into Common Stock, that dividend per share of Preferred Stock as would equal the product of</w:t>
      </w:r>
    </w:p>
    <w:p>
      <w:pPr>
        <w:spacing w:after="0" w:line="2" w:lineRule="exact"/>
        <w:rPr>
          <w:sz w:val="20"/>
          <w:szCs w:val="20"/>
          <w:color w:val="auto"/>
        </w:rPr>
      </w:pPr>
    </w:p>
    <w:p>
      <w:pPr>
        <w:ind w:right="80" w:firstLine="4"/>
        <w:spacing w:after="0" w:line="285" w:lineRule="auto"/>
        <w:tabs>
          <w:tab w:leader="none" w:pos="255" w:val="left"/>
        </w:tabs>
        <w:numPr>
          <w:ilvl w:val="0"/>
          <w:numId w:val="167"/>
        </w:numPr>
        <w:rPr>
          <w:rFonts w:ascii="Arial" w:cs="Arial" w:eastAsia="Arial" w:hAnsi="Arial"/>
          <w:sz w:val="16"/>
          <w:szCs w:val="16"/>
          <w:color w:val="auto"/>
        </w:rPr>
      </w:pPr>
      <w:r>
        <w:rPr>
          <w:rFonts w:ascii="Arial" w:cs="Arial" w:eastAsia="Arial" w:hAnsi="Arial"/>
          <w:sz w:val="16"/>
          <w:szCs w:val="16"/>
          <w:color w:val="auto"/>
        </w:rPr>
        <w:t xml:space="preserve">the dividend payable on each share of such class or series determined, if applicable, as if all shares of such class or series had been converted into Common Stock and (2) the number of shares of Common Stock issuable upon conversion of a share of Preferred Stock, in each case calculated on the record date for determination of holders entitled to receive such dividend or (B) in the case of a dividend on any class or series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applicable Original Issue Price;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Corporation declares, pays or sets aside, on the same date, a dividend on shares of more than one class or series of capital stock of the Corporation, the dividend payable to the holders of Preferred Stock pursuant to this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be calculated based upon the dividend on the class or series of capital stock that would result in the highest Preferred Stock dividend. The “</w:t>
      </w:r>
      <w:r>
        <w:rPr>
          <w:rFonts w:ascii="Arial" w:cs="Arial" w:eastAsia="Arial" w:hAnsi="Arial"/>
          <w:sz w:val="16"/>
          <w:szCs w:val="16"/>
          <w:b w:val="1"/>
          <w:bCs w:val="1"/>
          <w:i w:val="1"/>
          <w:iCs w:val="1"/>
          <w:color w:val="auto"/>
        </w:rPr>
        <w:t>Series A</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 shall mean $ $4.87 per share, the “</w:t>
      </w:r>
      <w:r>
        <w:rPr>
          <w:rFonts w:ascii="Arial" w:cs="Arial" w:eastAsia="Arial" w:hAnsi="Arial"/>
          <w:sz w:val="16"/>
          <w:szCs w:val="16"/>
          <w:b w:val="1"/>
          <w:bCs w:val="1"/>
          <w:i w:val="1"/>
          <w:iCs w:val="1"/>
          <w:color w:val="auto"/>
        </w:rPr>
        <w:t>Series B Original Issue Price</w:t>
      </w:r>
      <w:r>
        <w:rPr>
          <w:rFonts w:ascii="Arial" w:cs="Arial" w:eastAsia="Arial" w:hAnsi="Arial"/>
          <w:sz w:val="16"/>
          <w:szCs w:val="16"/>
          <w:color w:val="auto"/>
        </w:rPr>
        <w:t>” shall mean $7.30 per share and the “</w:t>
      </w:r>
      <w:r>
        <w:rPr>
          <w:rFonts w:ascii="Arial" w:cs="Arial" w:eastAsia="Arial" w:hAnsi="Arial"/>
          <w:sz w:val="16"/>
          <w:szCs w:val="16"/>
          <w:b w:val="1"/>
          <w:bCs w:val="1"/>
          <w:i w:val="1"/>
          <w:iCs w:val="1"/>
          <w:color w:val="auto"/>
        </w:rPr>
        <w:t>Series C Original Issue Price</w:t>
      </w:r>
      <w:r>
        <w:rPr>
          <w:rFonts w:ascii="Arial" w:cs="Arial" w:eastAsia="Arial" w:hAnsi="Arial"/>
          <w:sz w:val="16"/>
          <w:szCs w:val="16"/>
          <w:color w:val="auto"/>
        </w:rPr>
        <w:t>” shall mean $10.03 per share, in each case, subject to appropriate adjustment in the event of any stock dividend, stock split, combination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similar recapitalization with respect to the applicable series of Preferred Stock. The Series A Original Issue Price, Series B Original Issue Price and Series C Original Issue Price shall be known individually or collectively, as applicable, as the “</w:t>
      </w:r>
      <w:r>
        <w:rPr>
          <w:rFonts w:ascii="Arial" w:cs="Arial" w:eastAsia="Arial" w:hAnsi="Arial"/>
          <w:sz w:val="16"/>
          <w:szCs w:val="16"/>
          <w:b w:val="1"/>
          <w:bCs w:val="1"/>
          <w:i w:val="1"/>
          <w:iCs w:val="1"/>
          <w:color w:val="auto"/>
        </w:rPr>
        <w:t>Original Issue Price</w:t>
      </w:r>
      <w:r>
        <w:rPr>
          <w:rFonts w:ascii="Arial" w:cs="Arial" w:eastAsia="Arial" w:hAnsi="Arial"/>
          <w:sz w:val="16"/>
          <w:szCs w:val="16"/>
          <w:color w:val="auto"/>
        </w:rPr>
        <w:t>.”</w:t>
      </w:r>
    </w:p>
    <w:p>
      <w:pPr>
        <w:spacing w:after="0" w:line="170" w:lineRule="exact"/>
        <w:rPr>
          <w:rFonts w:ascii="Arial" w:cs="Arial" w:eastAsia="Arial" w:hAnsi="Arial"/>
          <w:sz w:val="16"/>
          <w:szCs w:val="16"/>
          <w:color w:val="auto"/>
        </w:rPr>
      </w:pPr>
    </w:p>
    <w:p>
      <w:pPr>
        <w:ind w:left="1180" w:hanging="184"/>
        <w:spacing w:after="0"/>
        <w:tabs>
          <w:tab w:leader="none" w:pos="1180"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 Certain Mergers, Consolidations and Asset Sales</w:t>
      </w:r>
      <w:r>
        <w:rPr>
          <w:rFonts w:ascii="Arial" w:cs="Arial" w:eastAsia="Arial" w:hAnsi="Arial"/>
          <w:sz w:val="18"/>
          <w:szCs w:val="18"/>
          <w:color w:val="auto"/>
        </w:rPr>
        <w:t>.</w:t>
      </w:r>
    </w:p>
    <w:p>
      <w:pPr>
        <w:spacing w:after="0" w:line="225" w:lineRule="exact"/>
        <w:rPr>
          <w:sz w:val="20"/>
          <w:szCs w:val="20"/>
          <w:color w:val="auto"/>
        </w:rPr>
      </w:pPr>
    </w:p>
    <w:p>
      <w:pPr>
        <w:ind w:right="40" w:firstLine="1433"/>
        <w:spacing w:after="0" w:line="285"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Preferential Payments to Holders of Preferred Stock</w:t>
      </w:r>
      <w:r>
        <w:rPr>
          <w:rFonts w:ascii="Arial" w:cs="Arial" w:eastAsia="Arial" w:hAnsi="Arial"/>
          <w:sz w:val="16"/>
          <w:szCs w:val="16"/>
          <w:color w:val="auto"/>
        </w:rPr>
        <w:t>. In the event of any voluntary or involuntary liquidation, dissolution or winding up of the Corporation or Deemed Liquidation Event (as defined below), the holders of shares of Preferred Stock then outstanding shall be entitled to be paid out of the assets of the Corporation available for distribution to its stockholders before any payment shall be made to the holders of Common Stock by reason of their ownership thereof, on a pari passu basis, an amount per share equal to (i) the Series A Original Issue Price, in the case of holders of shares of Series A Preferred Stock, (ii) the Series B Original Issue Price, in the case of holders of shares of Series B Preferred Stock, and</w:t>
      </w:r>
    </w:p>
    <w:p>
      <w:pPr>
        <w:spacing w:after="0" w:line="2" w:lineRule="exact"/>
        <w:rPr>
          <w:sz w:val="20"/>
          <w:szCs w:val="20"/>
          <w:color w:val="auto"/>
        </w:rPr>
      </w:pPr>
    </w:p>
    <w:p>
      <w:pPr>
        <w:ind w:firstLine="4"/>
        <w:spacing w:after="0" w:line="290" w:lineRule="auto"/>
        <w:tabs>
          <w:tab w:leader="none" w:pos="315" w:val="left"/>
        </w:tabs>
        <w:numPr>
          <w:ilvl w:val="0"/>
          <w:numId w:val="168"/>
        </w:numPr>
        <w:rPr>
          <w:rFonts w:ascii="Arial" w:cs="Arial" w:eastAsia="Arial" w:hAnsi="Arial"/>
          <w:sz w:val="16"/>
          <w:szCs w:val="16"/>
          <w:color w:val="auto"/>
        </w:rPr>
      </w:pPr>
      <w:r>
        <w:rPr>
          <w:rFonts w:ascii="Arial" w:cs="Arial" w:eastAsia="Arial" w:hAnsi="Arial"/>
          <w:sz w:val="16"/>
          <w:szCs w:val="16"/>
          <w:color w:val="auto"/>
        </w:rPr>
        <w:t xml:space="preserve">the Series C Original Issue Price, in the case of holders of shares of Series C Preferred Stock, plus any Accruing Dividends accrued but unpaid thereon, whether or not declared, together with any other dividends declared but unpaid thereon. If upon any such liquidation, dissolution or winding up of the Corporation or Deemed Liquidation Event, the assets of the Corporation available for distribution to its stockholders shall be insufficient to pay the holders of shares of Preferred Stock the full amount to which they shall be entitled under this </w:t>
      </w:r>
      <w:r>
        <w:rPr>
          <w:rFonts w:ascii="Arial" w:cs="Arial" w:eastAsia="Arial" w:hAnsi="Arial"/>
          <w:sz w:val="16"/>
          <w:szCs w:val="16"/>
          <w:u w:val="single" w:color="auto"/>
          <w:color w:val="auto"/>
        </w:rPr>
        <w:t>Subsection 2.1</w:t>
      </w:r>
      <w:r>
        <w:rPr>
          <w:rFonts w:ascii="Arial" w:cs="Arial" w:eastAsia="Arial" w:hAnsi="Arial"/>
          <w:sz w:val="16"/>
          <w:szCs w:val="16"/>
          <w:color w:val="auto"/>
        </w:rPr>
        <w:t>, the holders of shares of Preferred Stock shall share ratably in any distribution of the assets available for distribution in proportion to the respective amounts which would otherwise be payable in respect of the shares held by them upon such distribution if all amounts payable on or with respect to such shares were paid in full.</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54" w:name="page355"/>
    <w:bookmarkEnd w:id="354"/>
    <w:p>
      <w:pPr>
        <w:ind w:right="20" w:firstLine="1433"/>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6"/>
          <w:szCs w:val="16"/>
          <w:u w:val="single" w:color="auto"/>
          <w:color w:val="auto"/>
        </w:rPr>
        <w:t>Distribution of Remaining Assets</w:t>
      </w:r>
      <w:r>
        <w:rPr>
          <w:rFonts w:ascii="Arial" w:cs="Arial" w:eastAsia="Arial" w:hAnsi="Arial"/>
          <w:sz w:val="16"/>
          <w:szCs w:val="16"/>
          <w:color w:val="auto"/>
        </w:rPr>
        <w:t xml:space="preserve">. In the event of any voluntary or involuntary liquidation, dissolution or winding up of the Corporation or Deemed Liquidation Event, after the payment of all preferential amounts required to be paid to the holders of shares of Preferred Stock pursuant to </w:t>
      </w:r>
      <w:r>
        <w:rPr>
          <w:rFonts w:ascii="Arial" w:cs="Arial" w:eastAsia="Arial" w:hAnsi="Arial"/>
          <w:sz w:val="16"/>
          <w:szCs w:val="16"/>
          <w:u w:val="single" w:color="auto"/>
          <w:color w:val="auto"/>
        </w:rPr>
        <w:t>Subsection 2.1</w:t>
      </w:r>
      <w:r>
        <w:rPr>
          <w:rFonts w:ascii="Arial" w:cs="Arial" w:eastAsia="Arial" w:hAnsi="Arial"/>
          <w:sz w:val="16"/>
          <w:szCs w:val="16"/>
          <w:color w:val="auto"/>
        </w:rPr>
        <w:t xml:space="preserve">, the remaining assets of the Corporation available for distribution to its stockholders shall be distributed among the holders of the shares of Preferred Stock and Common Stock, pro rata based on the number of shares held by each such holder, treating for this purpose all such securities as if they had been converted to Common Stock pursuant to the terms of the Certificate of Incorporation immediately prior to such liquidation, dissolution or winding up of the Corporation; </w:t>
      </w:r>
      <w:r>
        <w:rPr>
          <w:rFonts w:ascii="Arial" w:cs="Arial" w:eastAsia="Arial" w:hAnsi="Arial"/>
          <w:sz w:val="16"/>
          <w:szCs w:val="16"/>
          <w:u w:val="single" w:color="auto"/>
          <w:color w:val="auto"/>
        </w:rPr>
        <w:t>provided however</w:t>
      </w:r>
      <w:r>
        <w:rPr>
          <w:rFonts w:ascii="Arial" w:cs="Arial" w:eastAsia="Arial" w:hAnsi="Arial"/>
          <w:sz w:val="16"/>
          <w:szCs w:val="16"/>
          <w:color w:val="auto"/>
        </w:rPr>
        <w:t xml:space="preserve">, if the aggregate amount which the holders of Preferred Stock are entitled to receive under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shall exceed two times the (i) Series A Original Issue Price per share, in the case of Series A Preferred Stock, (ii) Series B Original Issue Price per share, in the case of Series B Preferred Stock, and (iii) Series C Original Issue Price per share, in the case of Series C Preferred Stock (in each case subject to appropriate adjustments in the event of a stock split, dividend, combination, reclassification or similar event affecting the Preferred Stock) (the “</w:t>
      </w:r>
      <w:r>
        <w:rPr>
          <w:rFonts w:ascii="Arial" w:cs="Arial" w:eastAsia="Arial" w:hAnsi="Arial"/>
          <w:sz w:val="16"/>
          <w:szCs w:val="16"/>
          <w:b w:val="1"/>
          <w:bCs w:val="1"/>
          <w:i w:val="1"/>
          <w:iCs w:val="1"/>
          <w:color w:val="auto"/>
        </w:rPr>
        <w:t>Maximum Participation Amount</w:t>
      </w:r>
      <w:r>
        <w:rPr>
          <w:rFonts w:ascii="Arial" w:cs="Arial" w:eastAsia="Arial" w:hAnsi="Arial"/>
          <w:sz w:val="16"/>
          <w:szCs w:val="16"/>
          <w:color w:val="auto"/>
        </w:rPr>
        <w:t xml:space="preserve">”), each holder of Preferred Stock shall be entitled to receive upon such liquidation, dissolution or winding up of the Corporation or Deemed Liquidation Event the greater of (i) the applicable Maximum Participation Amount and (ii) the amount such holder would have received if all shares of such series of Preferred Stock had been converted into Common Stock immediately prior to such liquidation, dissolution or winding up of the Corporation or Deemed Liquidation Event. The aggregate amount which a holder of a share of Preferred Stock is entitled to receive under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is hereinafter referred to as the “</w:t>
      </w:r>
      <w:r>
        <w:rPr>
          <w:rFonts w:ascii="Arial" w:cs="Arial" w:eastAsia="Arial" w:hAnsi="Arial"/>
          <w:sz w:val="16"/>
          <w:szCs w:val="16"/>
          <w:b w:val="1"/>
          <w:bCs w:val="1"/>
          <w:i w:val="1"/>
          <w:iCs w:val="1"/>
          <w:color w:val="auto"/>
        </w:rPr>
        <w:t>Liquidation Amount</w:t>
      </w:r>
      <w:r>
        <w:rPr>
          <w:rFonts w:ascii="Arial" w:cs="Arial" w:eastAsia="Arial" w:hAnsi="Arial"/>
          <w:sz w:val="16"/>
          <w:szCs w:val="16"/>
          <w:color w:val="auto"/>
        </w:rPr>
        <w:t>.”</w:t>
      </w:r>
    </w:p>
    <w:p>
      <w:pPr>
        <w:spacing w:after="0" w:line="172"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Deemed Liquidation Events</w:t>
      </w:r>
      <w:r>
        <w:rPr>
          <w:rFonts w:ascii="Arial" w:cs="Arial" w:eastAsia="Arial" w:hAnsi="Arial"/>
          <w:sz w:val="18"/>
          <w:szCs w:val="18"/>
          <w:color w:val="auto"/>
        </w:rPr>
        <w:t>.</w:t>
      </w:r>
    </w:p>
    <w:p>
      <w:pPr>
        <w:spacing w:after="0" w:line="225" w:lineRule="exact"/>
        <w:rPr>
          <w:sz w:val="20"/>
          <w:szCs w:val="20"/>
          <w:color w:val="auto"/>
        </w:rPr>
      </w:pPr>
    </w:p>
    <w:p>
      <w:pPr>
        <w:jc w:val="both"/>
        <w:ind w:firstLine="1433"/>
        <w:spacing w:after="0" w:line="286" w:lineRule="auto"/>
        <w:rPr>
          <w:sz w:val="20"/>
          <w:szCs w:val="20"/>
          <w:color w:val="auto"/>
        </w:rPr>
      </w:pPr>
      <w:r>
        <w:rPr>
          <w:rFonts w:ascii="Arial" w:cs="Arial" w:eastAsia="Arial" w:hAnsi="Arial"/>
          <w:sz w:val="17"/>
          <w:szCs w:val="17"/>
          <w:color w:val="auto"/>
        </w:rPr>
        <w:t xml:space="preserve">2.3.1 </w:t>
      </w:r>
      <w:r>
        <w:rPr>
          <w:rFonts w:ascii="Arial" w:cs="Arial" w:eastAsia="Arial" w:hAnsi="Arial"/>
          <w:sz w:val="17"/>
          <w:szCs w:val="17"/>
          <w:u w:val="single" w:color="auto"/>
          <w:color w:val="auto"/>
        </w:rPr>
        <w:t>Definition</w:t>
      </w:r>
      <w:r>
        <w:rPr>
          <w:rFonts w:ascii="Arial" w:cs="Arial" w:eastAsia="Arial" w:hAnsi="Arial"/>
          <w:sz w:val="17"/>
          <w:szCs w:val="17"/>
          <w:color w:val="auto"/>
        </w:rPr>
        <w:t>. Each of the following events shall be considered a “</w:t>
      </w:r>
      <w:r>
        <w:rPr>
          <w:rFonts w:ascii="Arial" w:cs="Arial" w:eastAsia="Arial" w:hAnsi="Arial"/>
          <w:sz w:val="17"/>
          <w:szCs w:val="17"/>
          <w:b w:val="1"/>
          <w:bCs w:val="1"/>
          <w:i w:val="1"/>
          <w:iCs w:val="1"/>
          <w:color w:val="auto"/>
        </w:rPr>
        <w:t>Deemed Liquidation Event</w:t>
      </w:r>
      <w:r>
        <w:rPr>
          <w:rFonts w:ascii="Arial" w:cs="Arial" w:eastAsia="Arial" w:hAnsi="Arial"/>
          <w:sz w:val="17"/>
          <w:szCs w:val="17"/>
          <w:color w:val="auto"/>
        </w:rPr>
        <w:t>” unless the holders in the aggregate of a majority of the then-outstanding shares of Preferred Stock voting together as a single class on an as-converted basis (the “</w:t>
      </w:r>
      <w:r>
        <w:rPr>
          <w:rFonts w:ascii="Arial" w:cs="Arial" w:eastAsia="Arial" w:hAnsi="Arial"/>
          <w:sz w:val="17"/>
          <w:szCs w:val="17"/>
          <w:b w:val="1"/>
          <w:bCs w:val="1"/>
          <w:i w:val="1"/>
          <w:iCs w:val="1"/>
          <w:color w:val="auto"/>
        </w:rPr>
        <w:t>Preferred Majority</w:t>
      </w:r>
      <w:r>
        <w:rPr>
          <w:rFonts w:ascii="Arial" w:cs="Arial" w:eastAsia="Arial" w:hAnsi="Arial"/>
          <w:sz w:val="17"/>
          <w:szCs w:val="17"/>
          <w:color w:val="auto"/>
        </w:rPr>
        <w:t>”) elect otherwise by written notice sent to the Corporation at least five (5) days prior to the effective date of any such event:</w:t>
      </w:r>
    </w:p>
    <w:p>
      <w:pPr>
        <w:spacing w:after="0" w:line="57" w:lineRule="exact"/>
        <w:rPr>
          <w:sz w:val="20"/>
          <w:szCs w:val="20"/>
          <w:color w:val="auto"/>
        </w:rPr>
      </w:pPr>
    </w:p>
    <w:p>
      <w:pPr>
        <w:ind w:left="2240" w:hanging="253"/>
        <w:spacing w:after="0"/>
        <w:tabs>
          <w:tab w:leader="none" w:pos="22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 merger or consolidation in which</w:t>
      </w:r>
    </w:p>
    <w:p>
      <w:pPr>
        <w:spacing w:after="0" w:line="225" w:lineRule="exact"/>
        <w:rPr>
          <w:rFonts w:ascii="Arial" w:cs="Arial" w:eastAsia="Arial" w:hAnsi="Arial"/>
          <w:sz w:val="18"/>
          <w:szCs w:val="18"/>
          <w:color w:val="auto"/>
        </w:rPr>
      </w:pPr>
    </w:p>
    <w:p>
      <w:pPr>
        <w:ind w:left="2640" w:hanging="212"/>
        <w:spacing w:after="0"/>
        <w:tabs>
          <w:tab w:leader="none" w:pos="26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the Corporation is a constituent party or</w:t>
      </w:r>
    </w:p>
    <w:p>
      <w:pPr>
        <w:spacing w:after="0" w:line="225" w:lineRule="exact"/>
        <w:rPr>
          <w:rFonts w:ascii="Arial" w:cs="Arial" w:eastAsia="Arial" w:hAnsi="Arial"/>
          <w:sz w:val="18"/>
          <w:szCs w:val="18"/>
          <w:color w:val="auto"/>
        </w:rPr>
      </w:pPr>
    </w:p>
    <w:p>
      <w:pPr>
        <w:ind w:right="40" w:firstLine="2428"/>
        <w:spacing w:after="0" w:line="273" w:lineRule="auto"/>
        <w:tabs>
          <w:tab w:leader="none" w:pos="2689" w:val="left"/>
        </w:tabs>
        <w:numPr>
          <w:ilvl w:val="1"/>
          <w:numId w:val="169"/>
        </w:numPr>
        <w:rPr>
          <w:rFonts w:ascii="Arial" w:cs="Arial" w:eastAsia="Arial" w:hAnsi="Arial"/>
          <w:sz w:val="17"/>
          <w:szCs w:val="17"/>
          <w:color w:val="auto"/>
        </w:rPr>
      </w:pPr>
      <w:r>
        <w:rPr>
          <w:rFonts w:ascii="Arial" w:cs="Arial" w:eastAsia="Arial" w:hAnsi="Arial"/>
          <w:sz w:val="17"/>
          <w:szCs w:val="17"/>
          <w:color w:val="auto"/>
        </w:rPr>
        <w:t>a subsidiary of the Corporation is a constituent party and the Corporation issues shares of its capital stock pursuant to such merger or consolidation, except any such merger or consolidation involving the Corporation or a subsidiary in which the shares of capital stock of the Corporation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55" w:name="page356"/>
    <w:bookmarkEnd w:id="355"/>
    <w:p>
      <w:pPr>
        <w:jc w:val="both"/>
        <w:ind w:left="-20" w:right="40" w:firstLine="1987"/>
        <w:spacing w:after="0" w:line="276" w:lineRule="auto"/>
        <w:tabs>
          <w:tab w:leader="none" w:pos="2219" w:val="left"/>
        </w:tabs>
        <w:numPr>
          <w:ilvl w:val="0"/>
          <w:numId w:val="17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or disposition (whether by merger, consolidation or otherwise)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7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Effecting a Deemed Liquidation Event</w:t>
      </w:r>
      <w:r>
        <w:rPr>
          <w:rFonts w:ascii="Arial" w:cs="Arial" w:eastAsia="Arial" w:hAnsi="Arial"/>
          <w:sz w:val="18"/>
          <w:szCs w:val="18"/>
          <w:color w:val="auto"/>
        </w:rPr>
        <w:t>.</w:t>
      </w:r>
    </w:p>
    <w:p>
      <w:pPr>
        <w:spacing w:after="0" w:line="225" w:lineRule="exact"/>
        <w:rPr>
          <w:sz w:val="20"/>
          <w:szCs w:val="20"/>
          <w:color w:val="auto"/>
        </w:rPr>
      </w:pPr>
    </w:p>
    <w:p>
      <w:pPr>
        <w:ind w:left="-20" w:right="200" w:firstLine="1987"/>
        <w:spacing w:after="0" w:line="312" w:lineRule="auto"/>
        <w:tabs>
          <w:tab w:leader="none" w:pos="2208"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The Corporation shall not have the power to effect a Deemed Liquidation Event referred to in </w:t>
      </w:r>
      <w:r>
        <w:rPr>
          <w:rFonts w:ascii="Arial" w:cs="Arial" w:eastAsia="Arial" w:hAnsi="Arial"/>
          <w:sz w:val="16"/>
          <w:szCs w:val="16"/>
          <w:u w:val="single" w:color="auto"/>
          <w:color w:val="auto"/>
        </w:rPr>
        <w:t>Subsection 2.3.1(a)(i)</w:t>
      </w:r>
      <w:r>
        <w:rPr>
          <w:rFonts w:ascii="Arial" w:cs="Arial" w:eastAsia="Arial" w:hAnsi="Arial"/>
          <w:sz w:val="16"/>
          <w:szCs w:val="16"/>
          <w:color w:val="auto"/>
        </w:rPr>
        <w:t xml:space="preserve"> unless the agreement or plan of merger or consolidation for such transaction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xml:space="preserve">”) provides that the consideration payable to the stockholders of the Corporation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w:t>
      </w:r>
    </w:p>
    <w:p>
      <w:pPr>
        <w:spacing w:after="0" w:line="146" w:lineRule="exact"/>
        <w:rPr>
          <w:rFonts w:ascii="Arial" w:cs="Arial" w:eastAsia="Arial" w:hAnsi="Arial"/>
          <w:sz w:val="16"/>
          <w:szCs w:val="16"/>
          <w:color w:val="auto"/>
        </w:rPr>
      </w:pPr>
    </w:p>
    <w:p>
      <w:pPr>
        <w:ind w:left="-20" w:firstLine="1987"/>
        <w:spacing w:after="0" w:line="285" w:lineRule="auto"/>
        <w:tabs>
          <w:tab w:leader="none" w:pos="2219"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In the event of a Deemed Liquidation Event referred to in </w:t>
      </w:r>
      <w:r>
        <w:rPr>
          <w:rFonts w:ascii="Arial" w:cs="Arial" w:eastAsia="Arial" w:hAnsi="Arial"/>
          <w:sz w:val="16"/>
          <w:szCs w:val="16"/>
          <w:u w:val="single" w:color="auto"/>
          <w:color w:val="auto"/>
        </w:rPr>
        <w:t>Subsection 2.3.1(a)(ii)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2.3.1(b)</w:t>
      </w:r>
      <w:r>
        <w:rPr>
          <w:rFonts w:ascii="Arial" w:cs="Arial" w:eastAsia="Arial" w:hAnsi="Arial"/>
          <w:sz w:val="16"/>
          <w:szCs w:val="16"/>
          <w:color w:val="auto"/>
        </w:rPr>
        <w:t xml:space="preserve"> if the Corporation does not effect a dissolution of the Corporation under the General Corporation Law within ninety (90) days after such Deemed Liquidation Event, then (i) the Corporation shall send a written notice to each holder of Preferred Stock no later than the ninetieth (90th) day after the Deemed Liquidation Event advising such holders of their right (and the requirements to be met to secure such right) pursuant to the terms of the following clause (ii) to require the redemption of such shares of Preferred Stock, and (ii) if the Preferred Majority so requests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as determined in good faith by the Board), together with any other assets of the Corporation available for distribution to its stockholders, all to the extent permitted by Delaware law governing distributions to stockholders (the “</w:t>
      </w:r>
      <w:r>
        <w:rPr>
          <w:rFonts w:ascii="Arial" w:cs="Arial" w:eastAsia="Arial" w:hAnsi="Arial"/>
          <w:sz w:val="16"/>
          <w:szCs w:val="16"/>
          <w:b w:val="1"/>
          <w:bCs w:val="1"/>
          <w:i w:val="1"/>
          <w:iCs w:val="1"/>
          <w:color w:val="auto"/>
        </w:rPr>
        <w:t>Available Proceeds</w:t>
      </w:r>
      <w:r>
        <w:rPr>
          <w:rFonts w:ascii="Arial" w:cs="Arial" w:eastAsia="Arial" w:hAnsi="Arial"/>
          <w:sz w:val="16"/>
          <w:szCs w:val="16"/>
          <w:color w:val="auto"/>
        </w:rPr>
        <w:t xml:space="preserve">”), on the one hundred fiftieth (150th) day after such Deemed Liquidation Event, to redeem all outstanding shares of Preferred Stock at a price per share equal to the applicable Liquidation Amount for each series of Preferred Stock.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such Available Proceeds in proportion to the respective amounts which would otherwise be payable in respect of the shares held by them upon such redemption if all amounts payable on or with respect to such shares were paid in full, and shall redeem the remaining shares as soon as it may lawfully do so under Delaware law governing distributions to stockholders. Prior to the distribution or redemption provided for in this </w:t>
      </w:r>
      <w:r>
        <w:rPr>
          <w:rFonts w:ascii="Arial" w:cs="Arial" w:eastAsia="Arial" w:hAnsi="Arial"/>
          <w:sz w:val="16"/>
          <w:szCs w:val="16"/>
          <w:u w:val="single" w:color="auto"/>
          <w:color w:val="auto"/>
        </w:rPr>
        <w:t>Subsection 2.3.2(b)</w:t>
      </w:r>
      <w:r>
        <w:rPr>
          <w:rFonts w:ascii="Arial" w:cs="Arial" w:eastAsia="Arial" w:hAnsi="Arial"/>
          <w:sz w:val="16"/>
          <w:szCs w:val="16"/>
          <w:color w:val="auto"/>
        </w:rPr>
        <w:t>, the Corporation shall not expend or dissipate the consideration received for such Deemed Liquidation Event, except to discharge expenses incurred in connection with such Deemed Liquidation Event or in the ordinary course of business.</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3" w:right="459" w:bottom="1440" w:gutter="0" w:footer="0" w:header="0"/>
        </w:sectPr>
      </w:pPr>
    </w:p>
    <w:bookmarkStart w:id="356" w:name="page357"/>
    <w:bookmarkEnd w:id="356"/>
    <w:p>
      <w:pPr>
        <w:ind w:right="60" w:firstLine="143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2.3.3 </w:t>
      </w:r>
      <w:r>
        <w:rPr>
          <w:rFonts w:ascii="Arial" w:cs="Arial" w:eastAsia="Arial" w:hAnsi="Arial"/>
          <w:sz w:val="18"/>
          <w:szCs w:val="18"/>
          <w:u w:val="single" w:color="auto"/>
          <w:color w:val="auto"/>
        </w:rPr>
        <w:t>Amount Deemed Paid or Distributed</w:t>
      </w:r>
      <w:r>
        <w:rPr>
          <w:rFonts w:ascii="Arial" w:cs="Arial" w:eastAsia="Arial" w:hAnsi="Arial"/>
          <w:sz w:val="18"/>
          <w:szCs w:val="18"/>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w:t>
      </w:r>
    </w:p>
    <w:p>
      <w:pPr>
        <w:spacing w:after="0" w:line="187" w:lineRule="exact"/>
        <w:rPr>
          <w:sz w:val="20"/>
          <w:szCs w:val="20"/>
          <w:color w:val="auto"/>
        </w:rPr>
      </w:pPr>
    </w:p>
    <w:p>
      <w:pPr>
        <w:ind w:firstLine="1433"/>
        <w:spacing w:after="0" w:line="287" w:lineRule="auto"/>
        <w:rPr>
          <w:sz w:val="20"/>
          <w:szCs w:val="20"/>
          <w:color w:val="auto"/>
        </w:rPr>
      </w:pPr>
      <w:r>
        <w:rPr>
          <w:rFonts w:ascii="Arial" w:cs="Arial" w:eastAsia="Arial" w:hAnsi="Arial"/>
          <w:sz w:val="16"/>
          <w:szCs w:val="16"/>
          <w:color w:val="auto"/>
        </w:rPr>
        <w:t xml:space="preserve">2.3.4 </w:t>
      </w:r>
      <w:r>
        <w:rPr>
          <w:rFonts w:ascii="Arial" w:cs="Arial" w:eastAsia="Arial" w:hAnsi="Arial"/>
          <w:sz w:val="16"/>
          <w:szCs w:val="16"/>
          <w:u w:val="single" w:color="auto"/>
          <w:color w:val="auto"/>
        </w:rPr>
        <w:t>Allocation of Escrow and Contingent Consideration</w:t>
      </w:r>
      <w:r>
        <w:rPr>
          <w:rFonts w:ascii="Arial" w:cs="Arial" w:eastAsia="Arial" w:hAnsi="Arial"/>
          <w:sz w:val="16"/>
          <w:szCs w:val="16"/>
          <w:color w:val="auto"/>
        </w:rPr>
        <w:t xml:space="preserve">. In the event of any voluntary or involuntary liquidation, dissolution or winding up of the Corporation, or any Deemed Liquidation Event pursuant to </w:t>
      </w:r>
      <w:r>
        <w:rPr>
          <w:rFonts w:ascii="Arial" w:cs="Arial" w:eastAsia="Arial" w:hAnsi="Arial"/>
          <w:sz w:val="16"/>
          <w:szCs w:val="16"/>
          <w:u w:val="single" w:color="auto"/>
          <w:color w:val="auto"/>
        </w:rPr>
        <w:t>Subsection 2.3.1(a)(i)</w:t>
      </w:r>
      <w:r>
        <w:rPr>
          <w:rFonts w:ascii="Arial" w:cs="Arial" w:eastAsia="Arial" w:hAnsi="Arial"/>
          <w:sz w:val="16"/>
          <w:szCs w:val="16"/>
          <w:color w:val="auto"/>
        </w:rPr>
        <w:t xml:space="preserve"> if any portion of the consideration payable to the stockholders of the Corporation is payable only upon satisfaction of contingencies (the “</w:t>
      </w:r>
      <w:r>
        <w:rPr>
          <w:rFonts w:ascii="Arial" w:cs="Arial" w:eastAsia="Arial" w:hAnsi="Arial"/>
          <w:sz w:val="16"/>
          <w:szCs w:val="16"/>
          <w:b w:val="1"/>
          <w:bCs w:val="1"/>
          <w:i w:val="1"/>
          <w:iCs w:val="1"/>
          <w:color w:val="auto"/>
        </w:rPr>
        <w:t>Additional Consideration</w:t>
      </w:r>
      <w:r>
        <w:rPr>
          <w:rFonts w:ascii="Arial" w:cs="Arial" w:eastAsia="Arial" w:hAnsi="Arial"/>
          <w:sz w:val="16"/>
          <w:szCs w:val="16"/>
          <w:color w:val="auto"/>
        </w:rPr>
        <w:t>”): (a) the portion of such consideration that is not Additional Consideration (such portion, the “</w:t>
      </w:r>
      <w:r>
        <w:rPr>
          <w:rFonts w:ascii="Arial" w:cs="Arial" w:eastAsia="Arial" w:hAnsi="Arial"/>
          <w:sz w:val="16"/>
          <w:szCs w:val="16"/>
          <w:b w:val="1"/>
          <w:bCs w:val="1"/>
          <w:i w:val="1"/>
          <w:iCs w:val="1"/>
          <w:color w:val="auto"/>
        </w:rPr>
        <w:t>Initial Consideration</w:t>
      </w:r>
      <w:r>
        <w:rPr>
          <w:rFonts w:ascii="Arial" w:cs="Arial" w:eastAsia="Arial" w:hAnsi="Arial"/>
          <w:sz w:val="16"/>
          <w:szCs w:val="16"/>
          <w:color w:val="auto"/>
        </w:rPr>
        <w:t xml:space="preserve">”)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as if the Initial Consideration were the only consideration payable in connection with such liquidation, dissolution, or winding up or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Arial" w:cs="Arial" w:eastAsia="Arial" w:hAnsi="Arial"/>
          <w:sz w:val="16"/>
          <w:szCs w:val="16"/>
          <w:u w:val="single" w:color="auto"/>
          <w:color w:val="auto"/>
        </w:rPr>
        <w:t>Subsections 2.1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after taking into account the previous payment of the Initial Consideration as part of the same transaction, and any Merger Agreement therefore shall provide for the foregoing payments and allocations. For the purposes of this </w:t>
      </w:r>
      <w:r>
        <w:rPr>
          <w:rFonts w:ascii="Arial" w:cs="Arial" w:eastAsia="Arial" w:hAnsi="Arial"/>
          <w:sz w:val="16"/>
          <w:szCs w:val="16"/>
          <w:u w:val="single" w:color="auto"/>
          <w:color w:val="auto"/>
        </w:rPr>
        <w:t>Subsection 2.3.4</w:t>
      </w:r>
      <w:r>
        <w:rPr>
          <w:rFonts w:ascii="Arial" w:cs="Arial" w:eastAsia="Arial" w:hAnsi="Arial"/>
          <w:sz w:val="16"/>
          <w:szCs w:val="16"/>
          <w:color w:val="auto"/>
        </w:rPr>
        <w:t>, consideration placed into escrow or retained as holdback to be available for satisfaction of indemnification or similar obligations, or as contingent payments upon the achievement of milestones, in connection with such Deemed Liquidation Event shall be deemed to be Additional Consideration.</w:t>
      </w:r>
    </w:p>
    <w:p>
      <w:pPr>
        <w:spacing w:after="0" w:line="173" w:lineRule="exact"/>
        <w:rPr>
          <w:sz w:val="20"/>
          <w:szCs w:val="20"/>
          <w:color w:val="auto"/>
        </w:rPr>
      </w:pPr>
    </w:p>
    <w:p>
      <w:pPr>
        <w:ind w:left="1180" w:hanging="184"/>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sz w:val="20"/>
          <w:szCs w:val="20"/>
          <w:color w:val="auto"/>
        </w:rPr>
      </w:pPr>
    </w:p>
    <w:p>
      <w:pPr>
        <w:ind w:firstLine="1433"/>
        <w:spacing w:after="0" w:line="297"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General</w:t>
      </w:r>
      <w:r>
        <w:rPr>
          <w:rFonts w:ascii="Arial" w:cs="Arial" w:eastAsia="Arial" w:hAnsi="Arial"/>
          <w:sz w:val="16"/>
          <w:szCs w:val="16"/>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Certificate of Incorporation, holders of Preferred Stock shall vote together with the holders of Common Stock as a single class.</w:t>
      </w:r>
    </w:p>
    <w:p>
      <w:pPr>
        <w:spacing w:after="0" w:line="50" w:lineRule="exact"/>
        <w:rPr>
          <w:sz w:val="20"/>
          <w:szCs w:val="20"/>
          <w:color w:val="auto"/>
        </w:rPr>
      </w:pPr>
    </w:p>
    <w:p>
      <w:pPr>
        <w:ind w:right="200" w:firstLine="1433"/>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Election of Directors</w:t>
      </w:r>
      <w:r>
        <w:rPr>
          <w:rFonts w:ascii="Arial" w:cs="Arial" w:eastAsia="Arial" w:hAnsi="Arial"/>
          <w:sz w:val="17"/>
          <w:szCs w:val="17"/>
          <w:color w:val="auto"/>
        </w:rPr>
        <w:t>. The holders of record of the shares of Series B Preferred Stock, exclusively and as a separate class, shall be entitled to elect one (1) director of the Corporation (the “</w:t>
      </w:r>
      <w:r>
        <w:rPr>
          <w:rFonts w:ascii="Arial" w:cs="Arial" w:eastAsia="Arial" w:hAnsi="Arial"/>
          <w:sz w:val="17"/>
          <w:szCs w:val="17"/>
          <w:b w:val="1"/>
          <w:bCs w:val="1"/>
          <w:i w:val="1"/>
          <w:iCs w:val="1"/>
          <w:color w:val="auto"/>
        </w:rPr>
        <w:t>Series B Director</w:t>
      </w:r>
      <w:r>
        <w:rPr>
          <w:rFonts w:ascii="Arial" w:cs="Arial" w:eastAsia="Arial" w:hAnsi="Arial"/>
          <w:sz w:val="17"/>
          <w:szCs w:val="17"/>
          <w:color w:val="auto"/>
        </w:rPr>
        <w:t>”), the holders of record of the shares of Series A Preferred Stock, exclusively and as a separate class, shall be entitled to elect two (2) directors of the Corporation (the “</w:t>
      </w:r>
      <w:r>
        <w:rPr>
          <w:rFonts w:ascii="Arial" w:cs="Arial" w:eastAsia="Arial" w:hAnsi="Arial"/>
          <w:sz w:val="17"/>
          <w:szCs w:val="17"/>
          <w:b w:val="1"/>
          <w:bCs w:val="1"/>
          <w:i w:val="1"/>
          <w:iCs w:val="1"/>
          <w:color w:val="auto"/>
        </w:rPr>
        <w:t>Series A Directors</w:t>
      </w:r>
      <w:r>
        <w:rPr>
          <w:rFonts w:ascii="Arial" w:cs="Arial" w:eastAsia="Arial" w:hAnsi="Arial"/>
          <w:sz w:val="17"/>
          <w:szCs w:val="17"/>
          <w:color w:val="auto"/>
        </w:rPr>
        <w:t>,” together with the Series B Director, the “</w:t>
      </w:r>
      <w:r>
        <w:rPr>
          <w:rFonts w:ascii="Arial" w:cs="Arial" w:eastAsia="Arial" w:hAnsi="Arial"/>
          <w:sz w:val="17"/>
          <w:szCs w:val="17"/>
          <w:b w:val="1"/>
          <w:bCs w:val="1"/>
          <w:i w:val="1"/>
          <w:iCs w:val="1"/>
          <w:color w:val="auto"/>
        </w:rPr>
        <w:t>Preferred Directors</w:t>
      </w:r>
      <w:r>
        <w:rPr>
          <w:rFonts w:ascii="Arial" w:cs="Arial" w:eastAsia="Arial" w:hAnsi="Arial"/>
          <w:sz w:val="17"/>
          <w:szCs w:val="17"/>
          <w:color w:val="auto"/>
        </w:rPr>
        <w:t>”), the holders of record of the shares of Common Stock, exclusively and as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57" w:name="page358"/>
    <w:bookmarkEnd w:id="35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 separate class, shall be entitled to elect one (1) director of the Corporation, and the holders of record of the shares of Preferred Stock and Common Stock, voting together as a single class, shall be entitled to elect all remaining directors of the Corporation. Any director elected as provided in the preceding sentence may be removed without cause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 If the holders of shares of Series B Preferred Stock, Series A Preferred Stock or Common Stock, as the case may be, fail to elect a sufficient number of directors to fill all directorships for which they are entitled to elect directors, voting exclusively and as a separate class, pursuant to the first sentence of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then any directorship not so filled shall remain vacant until such time as the holders of the Series B Preferred Stock, Series A Preferred Stock or Common Stock, as the case may be, elect a person to fill such directorship by vote or written consent in lieu of a meeting; and no such directorship may be filled by stockholders of the Corporation other than by the stockholders of the Corporation that are entitled to elect a person to fill such directorship, voting exclusively and as a separate class. The holders of record of the shares of Common Stock and of any other class or series of voting stock (including the Series A Preferred Stock, Series B Preferred Stock and Series C Preferred Stock), exclusively and voting together as a single class, shall be entitled to elect the balance of the total number of directors of the Corporation.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Arial" w:cs="Arial" w:eastAsia="Arial" w:hAnsi="Arial"/>
          <w:sz w:val="16"/>
          <w:szCs w:val="16"/>
          <w:u w:val="single" w:color="auto"/>
          <w:color w:val="auto"/>
        </w:rPr>
        <w:t>Subsection 3.2</w:t>
      </w:r>
      <w:r>
        <w:rPr>
          <w:rFonts w:ascii="Arial" w:cs="Arial" w:eastAsia="Arial" w:hAnsi="Arial"/>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Arial" w:cs="Arial" w:eastAsia="Arial" w:hAnsi="Arial"/>
          <w:sz w:val="16"/>
          <w:szCs w:val="16"/>
          <w:u w:val="single" w:color="auto"/>
          <w:color w:val="auto"/>
        </w:rPr>
        <w:t>Subsection 3.2</w:t>
      </w:r>
      <w:r>
        <w:rPr>
          <w:rFonts w:ascii="Arial" w:cs="Arial" w:eastAsia="Arial" w:hAnsi="Arial"/>
          <w:sz w:val="16"/>
          <w:szCs w:val="16"/>
          <w:color w:val="auto"/>
        </w:rPr>
        <w:t>.</w:t>
      </w:r>
    </w:p>
    <w:p>
      <w:pPr>
        <w:spacing w:after="0" w:line="178" w:lineRule="exact"/>
        <w:rPr>
          <w:sz w:val="20"/>
          <w:szCs w:val="20"/>
          <w:color w:val="auto"/>
        </w:rPr>
      </w:pPr>
    </w:p>
    <w:p>
      <w:pPr>
        <w:ind w:firstLine="1433"/>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Preferred Stock Protective Provisions</w:t>
      </w:r>
      <w:r>
        <w:rPr>
          <w:rFonts w:ascii="Arial" w:cs="Arial" w:eastAsia="Arial" w:hAnsi="Arial"/>
          <w:sz w:val="17"/>
          <w:szCs w:val="17"/>
          <w:color w:val="auto"/>
        </w:rPr>
        <w:t>. At any time when at least 1,027,516 shares of Preferred Stock (subject to appropriate adjustment in the event of any stock dividend, stock split, combination or other similar recapitalization with respect to the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the Preferred Majority, given in writing or by vote at a meeting, consenting or voting (as the case may be) separately as a class, and any such act or transaction entered into without such consent or vote shall be null and void ab initio, and of no force or effect.</w:t>
      </w:r>
    </w:p>
    <w:p>
      <w:pPr>
        <w:spacing w:after="0" w:line="178" w:lineRule="exact"/>
        <w:rPr>
          <w:sz w:val="20"/>
          <w:szCs w:val="20"/>
          <w:color w:val="auto"/>
        </w:rPr>
      </w:pPr>
    </w:p>
    <w:p>
      <w:pPr>
        <w:ind w:right="460" w:firstLine="1433"/>
        <w:spacing w:after="0" w:line="277" w:lineRule="auto"/>
        <w:rPr>
          <w:sz w:val="20"/>
          <w:szCs w:val="20"/>
          <w:color w:val="auto"/>
        </w:rPr>
      </w:pPr>
      <w:r>
        <w:rPr>
          <w:rFonts w:ascii="Arial" w:cs="Arial" w:eastAsia="Arial" w:hAnsi="Arial"/>
          <w:sz w:val="18"/>
          <w:szCs w:val="18"/>
          <w:color w:val="auto"/>
        </w:rPr>
        <w:t>3.3.1 liquidate, dissolve or wind-up the business and affairs of the Corporation, effect any merger or consolidation or any other Deemed Liquidation Event, or consent to any of the foregoing;</w:t>
      </w:r>
    </w:p>
    <w:p>
      <w:pPr>
        <w:spacing w:after="0" w:line="170" w:lineRule="exact"/>
        <w:rPr>
          <w:sz w:val="20"/>
          <w:szCs w:val="20"/>
          <w:color w:val="auto"/>
        </w:rPr>
      </w:pPr>
    </w:p>
    <w:p>
      <w:pPr>
        <w:ind w:firstLine="1433"/>
        <w:spacing w:after="0" w:line="277" w:lineRule="auto"/>
        <w:rPr>
          <w:sz w:val="20"/>
          <w:szCs w:val="20"/>
          <w:color w:val="auto"/>
        </w:rPr>
      </w:pPr>
      <w:r>
        <w:rPr>
          <w:rFonts w:ascii="Arial" w:cs="Arial" w:eastAsia="Arial" w:hAnsi="Arial"/>
          <w:sz w:val="18"/>
          <w:szCs w:val="18"/>
          <w:color w:val="auto"/>
        </w:rPr>
        <w:t>3.3.2 amend, alter or repeal any provision of the Certificate of Incorporation or Bylaws of the Corporation in a manner that adversely affects the powers, preferences or rights of the Preferred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58" w:name="page359"/>
    <w:bookmarkEnd w:id="358"/>
    <w:p>
      <w:pPr>
        <w:ind w:firstLine="143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3.3.3 create, or authorize the creation of, or issue or obligate itself to issue shares of, any additional class or series of capital stock, or increase the authorized number of shares of Preferred Stock or increase the authorized number of shares of any additional class or series of capital stock unless the same ranks junior to the Preferred Stock with respect to the distribution of assets on the liquidation, dissolution or winding up of the Corporation, the payment of dividends and rights of redemption;</w:t>
      </w:r>
    </w:p>
    <w:p>
      <w:pPr>
        <w:spacing w:after="0" w:line="187" w:lineRule="exact"/>
        <w:rPr>
          <w:sz w:val="20"/>
          <w:szCs w:val="20"/>
          <w:color w:val="auto"/>
        </w:rPr>
      </w:pPr>
    </w:p>
    <w:p>
      <w:pPr>
        <w:ind w:right="40" w:firstLine="1433"/>
        <w:spacing w:after="0" w:line="255" w:lineRule="auto"/>
        <w:rPr>
          <w:sz w:val="20"/>
          <w:szCs w:val="20"/>
          <w:color w:val="auto"/>
        </w:rPr>
      </w:pPr>
      <w:r>
        <w:rPr>
          <w:rFonts w:ascii="Arial" w:cs="Arial" w:eastAsia="Arial" w:hAnsi="Arial"/>
          <w:sz w:val="18"/>
          <w:szCs w:val="18"/>
          <w:color w:val="auto"/>
        </w:rPr>
        <w:t>3.3.4 (i) reclassify, alter or amend any existing security of the Corporation that is pari passu with any series of Preferred Stock in respect of the distribution of assets on the liquidation, dissolution or winding up of the Corporation, the payment of dividends or rights of redemption, if such reclassification, alteration or amendment would render such other security senior to such series of Preferred Stock in respect of any such right, preference, or privilege or (ii) reclassify, alter or amend any existing security of the Corporation that is junior to any series of Preferred Stock in respect of the distribution of assets on the liquidation, dissolution or winding up of the Corporation, the payment of dividends or rights of redemption, if such reclassification, alteration or amendment would render such other security senior to or pari passu with such series of Preferred Stock in respect of any such right, preference or privilege;</w:t>
      </w:r>
    </w:p>
    <w:p>
      <w:pPr>
        <w:spacing w:after="0" w:line="189" w:lineRule="exact"/>
        <w:rPr>
          <w:sz w:val="20"/>
          <w:szCs w:val="20"/>
          <w:color w:val="auto"/>
        </w:rPr>
      </w:pPr>
    </w:p>
    <w:p>
      <w:pPr>
        <w:ind w:firstLine="1433"/>
        <w:spacing w:after="0" w:line="255" w:lineRule="auto"/>
        <w:rPr>
          <w:sz w:val="20"/>
          <w:szCs w:val="20"/>
          <w:color w:val="auto"/>
        </w:rPr>
      </w:pPr>
      <w:r>
        <w:rPr>
          <w:rFonts w:ascii="Arial" w:cs="Arial" w:eastAsia="Arial" w:hAnsi="Arial"/>
          <w:sz w:val="18"/>
          <w:szCs w:val="18"/>
          <w:color w:val="auto"/>
        </w:rPr>
        <w:t>3.3.5 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if any, (ii) dividends or other distributions payable on the Common Stock solely in the form of additional shares of Common Stock and (iii) repurchases of stock from former employees, officers, directors, consultants or other persons who performed services for the Corporation or any subsidiary in connection with the cessation of such employment or service at the lower of the original purchase price or the then-current fair market value thereof;</w:t>
      </w:r>
    </w:p>
    <w:p>
      <w:pPr>
        <w:spacing w:after="0" w:line="193" w:lineRule="exact"/>
        <w:rPr>
          <w:sz w:val="20"/>
          <w:szCs w:val="20"/>
          <w:color w:val="auto"/>
        </w:rPr>
      </w:pPr>
    </w:p>
    <w:p>
      <w:pPr>
        <w:ind w:right="40" w:firstLine="1433"/>
        <w:spacing w:after="0" w:line="279" w:lineRule="auto"/>
        <w:rPr>
          <w:sz w:val="20"/>
          <w:szCs w:val="20"/>
          <w:color w:val="auto"/>
        </w:rPr>
      </w:pPr>
      <w:r>
        <w:rPr>
          <w:rFonts w:ascii="Arial" w:cs="Arial" w:eastAsia="Arial" w:hAnsi="Arial"/>
          <w:sz w:val="17"/>
          <w:szCs w:val="17"/>
          <w:color w:val="auto"/>
        </w:rPr>
        <w:t>3.3.6 create, or authorize the creation of, or issue, or authorize the issuance of any debt security, or permit any subsidiary to take any such action with respect to any debt security, if the aggregate indebtedness of the Corporation and its subsidiaries for borrowed money following such action would exceed $1,000,000 other than equipment leases or bank lines of credit, unless such debt security has received the prior approval of the Board including the approval of at least a majority of the then-serving Preferred Directors; or</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3.3.7 increase or decrease the authorized number of directors constituting the Board.</w:t>
      </w:r>
    </w:p>
    <w:p>
      <w:pPr>
        <w:spacing w:after="0" w:line="225" w:lineRule="exact"/>
        <w:rPr>
          <w:sz w:val="20"/>
          <w:szCs w:val="20"/>
          <w:color w:val="auto"/>
        </w:rPr>
      </w:pPr>
    </w:p>
    <w:p>
      <w:pPr>
        <w:ind w:firstLine="1433"/>
        <w:spacing w:after="0" w:line="293"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Series C Preferred Stock Protective Provisions</w:t>
      </w:r>
      <w:r>
        <w:rPr>
          <w:rFonts w:ascii="Arial" w:cs="Arial" w:eastAsia="Arial" w:hAnsi="Arial"/>
          <w:sz w:val="16"/>
          <w:szCs w:val="16"/>
          <w:color w:val="auto"/>
        </w:rPr>
        <w:t>. At any time when at least 1,799,392 shares of Series C Preferred Stock (subject to appropriate adjustment in the event of any stock dividend, stock split, combination or other similar recapitalization with respect to the Series C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the holders of a majority of the Series C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59" w:name="page360"/>
    <w:bookmarkEnd w:id="359"/>
    <w:p>
      <w:pPr>
        <w:ind w:firstLine="1433"/>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3.4.1 amend or waive the rights, preferences or privileges of the Series C Preferred Stock in a manner that adversely affects the Series C Preferred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creation or issuance of a new series of senior Preferred Stock shall not in and of itself trigger such provision);</w:t>
      </w:r>
    </w:p>
    <w:p>
      <w:pPr>
        <w:spacing w:after="0" w:line="12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3.4.2 increase or decrease the number of authorized shares of Series C Preferred Stock; or</w:t>
      </w:r>
    </w:p>
    <w:p>
      <w:pPr>
        <w:spacing w:after="0" w:line="225" w:lineRule="exact"/>
        <w:rPr>
          <w:sz w:val="20"/>
          <w:szCs w:val="20"/>
          <w:color w:val="auto"/>
        </w:rPr>
      </w:pPr>
    </w:p>
    <w:p>
      <w:pPr>
        <w:ind w:right="80" w:firstLine="1433"/>
        <w:spacing w:after="0" w:line="302" w:lineRule="auto"/>
        <w:rPr>
          <w:sz w:val="20"/>
          <w:szCs w:val="20"/>
          <w:color w:val="auto"/>
        </w:rPr>
      </w:pPr>
      <w:r>
        <w:rPr>
          <w:rFonts w:ascii="Arial" w:cs="Arial" w:eastAsia="Arial" w:hAnsi="Arial"/>
          <w:sz w:val="16"/>
          <w:szCs w:val="16"/>
          <w:color w:val="auto"/>
        </w:rPr>
        <w:t>3.4.3 liquidate, dissolve or wind-up the business and affairs of the Corporation, effect any merger or consolidation or any other Deemed Liquidation Event, or consent to any of the foregoing if the amount distributable in connection with such transaction to the holders of shares of Series C Preferred Stock in respect of each such share would be less than the Series C Original Issue Price (subject to appropriate adjustment in the event of any stock dividend, stock split, combination or other similar recapitalization with respect to the Series C Preferred Stock).</w:t>
      </w:r>
    </w:p>
    <w:p>
      <w:pPr>
        <w:spacing w:after="0" w:line="154" w:lineRule="exact"/>
        <w:rPr>
          <w:sz w:val="20"/>
          <w:szCs w:val="20"/>
          <w:color w:val="auto"/>
        </w:rPr>
      </w:pPr>
    </w:p>
    <w:p>
      <w:pPr>
        <w:ind w:right="40" w:firstLine="1433"/>
        <w:spacing w:after="0" w:line="255"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Series B Preferred Stock Protective Provisions</w:t>
      </w:r>
      <w:r>
        <w:rPr>
          <w:rFonts w:ascii="Arial" w:cs="Arial" w:eastAsia="Arial" w:hAnsi="Arial"/>
          <w:sz w:val="18"/>
          <w:szCs w:val="18"/>
          <w:color w:val="auto"/>
        </w:rPr>
        <w:t>. At any time when at least 1,233,020 shares of Series B Preferred Stock (subject to appropriate adjustment in the event of any stock dividend, stock split, combination or other similar recapitalization with respect to the Series B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at least sixty-two and one-half percent (62.5%) of the holders of the Series B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189" w:lineRule="exact"/>
        <w:rPr>
          <w:sz w:val="20"/>
          <w:szCs w:val="20"/>
          <w:color w:val="auto"/>
        </w:rPr>
      </w:pPr>
    </w:p>
    <w:p>
      <w:pPr>
        <w:ind w:firstLine="1433"/>
        <w:spacing w:after="0" w:line="264" w:lineRule="auto"/>
        <w:rPr>
          <w:sz w:val="20"/>
          <w:szCs w:val="20"/>
          <w:color w:val="auto"/>
        </w:rPr>
      </w:pPr>
      <w:r>
        <w:rPr>
          <w:rFonts w:ascii="Arial" w:cs="Arial" w:eastAsia="Arial" w:hAnsi="Arial"/>
          <w:sz w:val="18"/>
          <w:szCs w:val="18"/>
          <w:color w:val="auto"/>
        </w:rPr>
        <w:t>3.5.1 amend or waive the rights, preferences or privileges of the Series B Preferred Stock in a manner that adversely affects the Series B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creation or issuance of a new series of senior Preferred Stock shall not in and of itself trigger such provision); or</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3.5.2 increase or decrease the number of authorized shares of Series B Preferred Stock.</w:t>
      </w:r>
    </w:p>
    <w:p>
      <w:pPr>
        <w:spacing w:after="0" w:line="225" w:lineRule="exact"/>
        <w:rPr>
          <w:sz w:val="20"/>
          <w:szCs w:val="20"/>
          <w:color w:val="auto"/>
        </w:rPr>
      </w:pPr>
    </w:p>
    <w:p>
      <w:pPr>
        <w:ind w:right="40" w:firstLine="1433"/>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Series A Preferred Stock Protective Provisions</w:t>
      </w:r>
      <w:r>
        <w:rPr>
          <w:rFonts w:ascii="Arial" w:cs="Arial" w:eastAsia="Arial" w:hAnsi="Arial"/>
          <w:sz w:val="18"/>
          <w:szCs w:val="18"/>
          <w:color w:val="auto"/>
        </w:rPr>
        <w:t>. At any time when at least 2,055,033 shares of Series A Preferred Stock (subject to appropriate adjustment in the event of any stock dividend, stock split, combination or other similar recapitalization with respect to the Series A Preferred Stock) are outstanding, the Corporation shall not, either directly or indirectly by amendment, merger, consolidation or otherwise, do any of the following without (in addition to any other vote required by law or the Certificate of Incorporation) the written consent or affirmative vote of at least sixty-five percent (65%) of the holders of the Series A Preferred Stock, given in writing or by vote at a meeting, consenting or voting (as the case may be) separately as a class, and any such act or transaction entered into without such consent or vote shall be null and void ab initio, and of no force or effect.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360" w:name="page361"/>
    <w:bookmarkEnd w:id="360"/>
    <w:p>
      <w:pPr>
        <w:ind w:right="400" w:firstLine="1433"/>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3.6.1 amend or waive the rights, preferences or privileges of the Series A Preferred Stock in a manner that adversely affects the Series A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creation or issuance of a new series of senior Preferred Stock shall not in and of itself trigger such provision); or</w:t>
      </w:r>
    </w:p>
    <w:p>
      <w:pPr>
        <w:spacing w:after="0" w:line="18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3.6.2 increase or decrease the number of authorized shares of Series A Preferred Stock.</w:t>
      </w:r>
    </w:p>
    <w:p>
      <w:pPr>
        <w:spacing w:after="0" w:line="225" w:lineRule="exact"/>
        <w:rPr>
          <w:sz w:val="20"/>
          <w:szCs w:val="20"/>
          <w:color w:val="auto"/>
        </w:rPr>
      </w:pPr>
    </w:p>
    <w:p>
      <w:pPr>
        <w:ind w:left="1180" w:hanging="184"/>
        <w:spacing w:after="0"/>
        <w:tabs>
          <w:tab w:leader="none" w:pos="1180" w:val="left"/>
        </w:tabs>
        <w:numPr>
          <w:ilvl w:val="0"/>
          <w:numId w:val="173"/>
        </w:numPr>
        <w:rPr>
          <w:rFonts w:ascii="Arial" w:cs="Arial" w:eastAsia="Arial" w:hAnsi="Arial"/>
          <w:sz w:val="18"/>
          <w:szCs w:val="18"/>
          <w:color w:val="auto"/>
        </w:rPr>
      </w:pPr>
      <w:r>
        <w:rPr>
          <w:rFonts w:ascii="Arial" w:cs="Arial" w:eastAsia="Arial" w:hAnsi="Arial"/>
          <w:sz w:val="18"/>
          <w:szCs w:val="18"/>
          <w:u w:val="single" w:color="auto"/>
          <w:color w:val="auto"/>
        </w:rPr>
        <w:t>Optional Conversion</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holders of the Preferred Stock shall have conversion rights as follows (the “</w:t>
      </w:r>
      <w:r>
        <w:rPr>
          <w:rFonts w:ascii="Arial" w:cs="Arial" w:eastAsia="Arial" w:hAnsi="Arial"/>
          <w:sz w:val="18"/>
          <w:szCs w:val="18"/>
          <w:b w:val="1"/>
          <w:bCs w:val="1"/>
          <w:i w:val="1"/>
          <w:iCs w:val="1"/>
          <w:color w:val="auto"/>
        </w:rPr>
        <w:t>Conversion Rights</w:t>
      </w:r>
      <w:r>
        <w:rPr>
          <w:rFonts w:ascii="Arial" w:cs="Arial" w:eastAsia="Arial" w:hAnsi="Arial"/>
          <w:sz w:val="18"/>
          <w:szCs w:val="18"/>
          <w:color w:val="auto"/>
        </w:rPr>
        <w:t>”):</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Right to Convert</w:t>
      </w:r>
      <w:r>
        <w:rPr>
          <w:rFonts w:ascii="Arial" w:cs="Arial" w:eastAsia="Arial" w:hAnsi="Arial"/>
          <w:sz w:val="18"/>
          <w:szCs w:val="18"/>
          <w:color w:val="auto"/>
        </w:rPr>
        <w:t>.</w:t>
      </w:r>
    </w:p>
    <w:p>
      <w:pPr>
        <w:spacing w:after="0" w:line="225" w:lineRule="exact"/>
        <w:rPr>
          <w:sz w:val="20"/>
          <w:szCs w:val="20"/>
          <w:color w:val="auto"/>
        </w:rPr>
      </w:pPr>
    </w:p>
    <w:p>
      <w:pPr>
        <w:ind w:firstLine="1433"/>
        <w:spacing w:after="0" w:line="270"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Conversion Ratio</w:t>
      </w:r>
      <w:r>
        <w:rPr>
          <w:rFonts w:ascii="Arial" w:cs="Arial" w:eastAsia="Arial" w:hAnsi="Arial"/>
          <w:sz w:val="17"/>
          <w:szCs w:val="17"/>
          <w:color w:val="auto"/>
        </w:rPr>
        <w:t>. Each share of Preferred Stock shall be convertible, at the option of the holder thereof, at any time and from time to time, and without the payment of additional consideration by the holder thereof, into such number of fully paid and non-assessable shares of Common Stock as is determined (i) by dividing the Series A Original Issue Price by the Series A Conversion Price (as defined below) in effect at the time of conversion, in the case of the Series A Preferred Stock, (ii) by dividing the Series B Original Issue Price by the Series B Conversion Price (as defined below) in effect at the time of conversion, in the case of the Series B Preferred Stock, or (iii) by dividing the Series C Original Issue Price by the Series C Conversion Price (as defined below) in effect at the time of conversion, in the case of Series C Preferred Stock. The “</w:t>
      </w:r>
      <w:r>
        <w:rPr>
          <w:rFonts w:ascii="Arial" w:cs="Arial" w:eastAsia="Arial" w:hAnsi="Arial"/>
          <w:sz w:val="17"/>
          <w:szCs w:val="17"/>
          <w:b w:val="1"/>
          <w:bCs w:val="1"/>
          <w:i w:val="1"/>
          <w:iCs w:val="1"/>
          <w:color w:val="auto"/>
        </w:rPr>
        <w:t>Series A Conversion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Price</w:t>
      </w:r>
      <w:r>
        <w:rPr>
          <w:rFonts w:ascii="Arial" w:cs="Arial" w:eastAsia="Arial" w:hAnsi="Arial"/>
          <w:sz w:val="17"/>
          <w:szCs w:val="17"/>
          <w:color w:val="auto"/>
        </w:rPr>
        <w:t>” shall initially be equal to $4.87, the “</w:t>
      </w:r>
      <w:r>
        <w:rPr>
          <w:rFonts w:ascii="Arial" w:cs="Arial" w:eastAsia="Arial" w:hAnsi="Arial"/>
          <w:sz w:val="17"/>
          <w:szCs w:val="17"/>
          <w:b w:val="1"/>
          <w:bCs w:val="1"/>
          <w:i w:val="1"/>
          <w:iCs w:val="1"/>
          <w:color w:val="auto"/>
        </w:rPr>
        <w:t>Series B Conversion Price</w:t>
      </w:r>
      <w:r>
        <w:rPr>
          <w:rFonts w:ascii="Arial" w:cs="Arial" w:eastAsia="Arial" w:hAnsi="Arial"/>
          <w:sz w:val="17"/>
          <w:szCs w:val="17"/>
          <w:color w:val="auto"/>
        </w:rPr>
        <w:t>” shall initially be equal to $7.30, and the “</w:t>
      </w:r>
      <w:r>
        <w:rPr>
          <w:rFonts w:ascii="Arial" w:cs="Arial" w:eastAsia="Arial" w:hAnsi="Arial"/>
          <w:sz w:val="17"/>
          <w:szCs w:val="17"/>
          <w:b w:val="1"/>
          <w:bCs w:val="1"/>
          <w:i w:val="1"/>
          <w:iCs w:val="1"/>
          <w:color w:val="auto"/>
        </w:rPr>
        <w:t>Series C Conversion Price</w:t>
      </w:r>
      <w:r>
        <w:rPr>
          <w:rFonts w:ascii="Arial" w:cs="Arial" w:eastAsia="Arial" w:hAnsi="Arial"/>
          <w:sz w:val="17"/>
          <w:szCs w:val="17"/>
          <w:color w:val="auto"/>
        </w:rPr>
        <w:t>”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initially be equal to $10.03. The Series A Conversion Price, the Series B Conversion Price and the Series C Conversion Price shall be known individually or collectively, as applicable, as the “</w:t>
      </w:r>
      <w:r>
        <w:rPr>
          <w:rFonts w:ascii="Arial" w:cs="Arial" w:eastAsia="Arial" w:hAnsi="Arial"/>
          <w:sz w:val="17"/>
          <w:szCs w:val="17"/>
          <w:b w:val="1"/>
          <w:bCs w:val="1"/>
          <w:i w:val="1"/>
          <w:iCs w:val="1"/>
          <w:color w:val="auto"/>
        </w:rPr>
        <w:t>Conversion Price</w:t>
      </w:r>
      <w:r>
        <w:rPr>
          <w:rFonts w:ascii="Arial" w:cs="Arial" w:eastAsia="Arial" w:hAnsi="Arial"/>
          <w:sz w:val="17"/>
          <w:szCs w:val="17"/>
          <w:color w:val="auto"/>
        </w:rPr>
        <w:t>.” Such initial Conversion Price, and the rate at which shares of Preferred Stock may be converted into shares of Common Stock, shall be subject to adjustment as provided below.</w:t>
      </w:r>
    </w:p>
    <w:p>
      <w:pPr>
        <w:spacing w:after="0" w:line="178" w:lineRule="exact"/>
        <w:rPr>
          <w:sz w:val="20"/>
          <w:szCs w:val="20"/>
          <w:color w:val="auto"/>
        </w:rPr>
      </w:pPr>
    </w:p>
    <w:p>
      <w:pPr>
        <w:jc w:val="both"/>
        <w:ind w:right="320" w:firstLine="1433"/>
        <w:spacing w:after="0" w:line="264"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Termination of Conversion Rights</w:t>
      </w:r>
      <w:r>
        <w:rPr>
          <w:rFonts w:ascii="Arial" w:cs="Arial" w:eastAsia="Arial" w:hAnsi="Arial"/>
          <w:sz w:val="18"/>
          <w:szCs w:val="18"/>
          <w:color w:val="auto"/>
        </w:rPr>
        <w:t>.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81" w:lineRule="exact"/>
        <w:rPr>
          <w:sz w:val="20"/>
          <w:szCs w:val="20"/>
          <w:color w:val="auto"/>
        </w:rPr>
      </w:pPr>
    </w:p>
    <w:p>
      <w:pPr>
        <w:ind w:right="120" w:firstLine="1433"/>
        <w:spacing w:after="0" w:line="27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3" w:right="459" w:bottom="1440" w:gutter="0" w:footer="0" w:header="0"/>
        </w:sectPr>
      </w:pPr>
    </w:p>
    <w:bookmarkStart w:id="361" w:name="page362"/>
    <w:bookmarkEnd w:id="361"/>
    <w:p>
      <w:pPr>
        <w:ind w:left="1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4.3 </w:t>
      </w:r>
      <w:r>
        <w:rPr>
          <w:rFonts w:ascii="Arial" w:cs="Arial" w:eastAsia="Arial" w:hAnsi="Arial"/>
          <w:sz w:val="18"/>
          <w:szCs w:val="18"/>
          <w:u w:val="single" w:color="auto"/>
          <w:color w:val="auto"/>
        </w:rPr>
        <w:t>Mechanics of Conversion</w:t>
      </w:r>
      <w:r>
        <w:rPr>
          <w:rFonts w:ascii="Arial" w:cs="Arial" w:eastAsia="Arial" w:hAnsi="Arial"/>
          <w:sz w:val="18"/>
          <w:szCs w:val="18"/>
          <w:color w:val="auto"/>
        </w:rPr>
        <w:t>.</w:t>
      </w:r>
    </w:p>
    <w:p>
      <w:pPr>
        <w:spacing w:after="0" w:line="225" w:lineRule="exact"/>
        <w:rPr>
          <w:sz w:val="20"/>
          <w:szCs w:val="20"/>
          <w:color w:val="auto"/>
        </w:rPr>
      </w:pPr>
    </w:p>
    <w:p>
      <w:pPr>
        <w:ind w:right="20" w:firstLine="1433"/>
        <w:spacing w:after="0" w:line="285" w:lineRule="auto"/>
        <w:rPr>
          <w:sz w:val="20"/>
          <w:szCs w:val="20"/>
          <w:color w:val="auto"/>
        </w:rPr>
      </w:pPr>
      <w:r>
        <w:rPr>
          <w:rFonts w:ascii="Arial" w:cs="Arial" w:eastAsia="Arial" w:hAnsi="Arial"/>
          <w:sz w:val="16"/>
          <w:szCs w:val="16"/>
          <w:color w:val="auto"/>
        </w:rPr>
        <w:t xml:space="preserve">4.3.1 </w:t>
      </w:r>
      <w:r>
        <w:rPr>
          <w:rFonts w:ascii="Arial" w:cs="Arial" w:eastAsia="Arial" w:hAnsi="Arial"/>
          <w:sz w:val="16"/>
          <w:szCs w:val="16"/>
          <w:u w:val="single" w:color="auto"/>
          <w:color w:val="auto"/>
        </w:rPr>
        <w:t>Notice of Conversion</w:t>
      </w:r>
      <w:r>
        <w:rPr>
          <w:rFonts w:ascii="Arial" w:cs="Arial" w:eastAsia="Arial" w:hAnsi="Arial"/>
          <w:sz w:val="16"/>
          <w:szCs w:val="16"/>
          <w:color w:val="auto"/>
        </w:rPr>
        <w:t>.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 (or lost certificate affidavit and agreement) shall be the time of conversion (the “</w:t>
      </w:r>
      <w:r>
        <w:rPr>
          <w:rFonts w:ascii="Arial" w:cs="Arial" w:eastAsia="Arial" w:hAnsi="Arial"/>
          <w:sz w:val="16"/>
          <w:szCs w:val="16"/>
          <w:b w:val="1"/>
          <w:bCs w:val="1"/>
          <w:i w:val="1"/>
          <w:iCs w:val="1"/>
          <w:color w:val="auto"/>
        </w:rPr>
        <w:t>Conversion Time</w:t>
      </w:r>
      <w:r>
        <w:rPr>
          <w:rFonts w:ascii="Arial" w:cs="Arial" w:eastAsia="Arial" w:hAnsi="Arial"/>
          <w:sz w:val="16"/>
          <w:szCs w:val="16"/>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Arial" w:cs="Arial" w:eastAsia="Arial" w:hAnsi="Arial"/>
          <w:sz w:val="16"/>
          <w:szCs w:val="16"/>
          <w:u w:val="single" w:color="auto"/>
          <w:color w:val="auto"/>
        </w:rPr>
        <w:t>Subsection 4.2</w:t>
      </w:r>
      <w:r>
        <w:rPr>
          <w:rFonts w:ascii="Arial" w:cs="Arial" w:eastAsia="Arial" w:hAnsi="Arial"/>
          <w:sz w:val="16"/>
          <w:szCs w:val="16"/>
          <w:color w:val="auto"/>
        </w:rPr>
        <w:t xml:space="preserve"> in lieu of any fraction of a share of Common Stock otherwise issuable upon such conversion and (iii) pay all declared but unpaid dividends on the shares of Preferred Stock converted.</w:t>
      </w:r>
    </w:p>
    <w:p>
      <w:pPr>
        <w:spacing w:after="0" w:line="171" w:lineRule="exact"/>
        <w:rPr>
          <w:sz w:val="20"/>
          <w:szCs w:val="20"/>
          <w:color w:val="auto"/>
        </w:rPr>
      </w:pPr>
    </w:p>
    <w:p>
      <w:pPr>
        <w:ind w:firstLine="1433"/>
        <w:spacing w:after="0" w:line="291" w:lineRule="auto"/>
        <w:rPr>
          <w:sz w:val="20"/>
          <w:szCs w:val="20"/>
          <w:color w:val="auto"/>
        </w:rPr>
      </w:pPr>
      <w:r>
        <w:rPr>
          <w:rFonts w:ascii="Arial" w:cs="Arial" w:eastAsia="Arial" w:hAnsi="Arial"/>
          <w:sz w:val="16"/>
          <w:szCs w:val="16"/>
          <w:color w:val="auto"/>
        </w:rPr>
        <w:t xml:space="preserve">4.3.2 </w:t>
      </w: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Certificate of Incorporation. Before taking any action which would cause an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362" w:name="page363"/>
    <w:bookmarkEnd w:id="362"/>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166" w:lineRule="exact"/>
        <w:rPr>
          <w:sz w:val="20"/>
          <w:szCs w:val="20"/>
          <w:color w:val="auto"/>
        </w:rPr>
      </w:pPr>
    </w:p>
    <w:p>
      <w:pPr>
        <w:ind w:firstLine="1433"/>
        <w:spacing w:after="0" w:line="255" w:lineRule="auto"/>
        <w:rPr>
          <w:sz w:val="20"/>
          <w:szCs w:val="20"/>
          <w:color w:val="auto"/>
        </w:rPr>
      </w:pPr>
      <w:r>
        <w:rPr>
          <w:rFonts w:ascii="Arial" w:cs="Arial" w:eastAsia="Arial" w:hAnsi="Arial"/>
          <w:sz w:val="18"/>
          <w:szCs w:val="18"/>
          <w:color w:val="auto"/>
        </w:rPr>
        <w:t xml:space="preserve">4.3.3 </w:t>
      </w:r>
      <w:r>
        <w:rPr>
          <w:rFonts w:ascii="Arial" w:cs="Arial" w:eastAsia="Arial" w:hAnsi="Arial"/>
          <w:sz w:val="18"/>
          <w:szCs w:val="18"/>
          <w:u w:val="single" w:color="auto"/>
          <w:color w:val="auto"/>
        </w:rPr>
        <w:t>Effect of Conversion</w:t>
      </w:r>
      <w:r>
        <w:rPr>
          <w:rFonts w:ascii="Arial" w:cs="Arial" w:eastAsia="Arial" w:hAnsi="Arial"/>
          <w:sz w:val="18"/>
          <w:szCs w:val="18"/>
          <w:color w:val="auto"/>
        </w:rPr>
        <w:t xml:space="preserve">.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Arial" w:cs="Arial" w:eastAsia="Arial" w:hAnsi="Arial"/>
          <w:sz w:val="18"/>
          <w:szCs w:val="18"/>
          <w:u w:val="single" w:color="auto"/>
          <w:color w:val="auto"/>
        </w:rPr>
        <w:t>Subsection 4.2</w:t>
      </w:r>
      <w:r>
        <w:rPr>
          <w:rFonts w:ascii="Arial" w:cs="Arial" w:eastAsia="Arial" w:hAnsi="Arial"/>
          <w:sz w:val="18"/>
          <w:szCs w:val="18"/>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89" w:lineRule="exact"/>
        <w:rPr>
          <w:sz w:val="20"/>
          <w:szCs w:val="20"/>
          <w:color w:val="auto"/>
        </w:rPr>
      </w:pPr>
    </w:p>
    <w:p>
      <w:pPr>
        <w:ind w:right="280" w:firstLine="1433"/>
        <w:spacing w:after="0" w:line="308" w:lineRule="auto"/>
        <w:rPr>
          <w:sz w:val="20"/>
          <w:szCs w:val="20"/>
          <w:color w:val="auto"/>
        </w:rPr>
      </w:pPr>
      <w:r>
        <w:rPr>
          <w:rFonts w:ascii="Arial" w:cs="Arial" w:eastAsia="Arial" w:hAnsi="Arial"/>
          <w:sz w:val="17"/>
          <w:szCs w:val="17"/>
          <w:color w:val="auto"/>
        </w:rPr>
        <w:t xml:space="preserve">4.3.4 </w:t>
      </w:r>
      <w:r>
        <w:rPr>
          <w:rFonts w:ascii="Arial" w:cs="Arial" w:eastAsia="Arial" w:hAnsi="Arial"/>
          <w:sz w:val="17"/>
          <w:szCs w:val="17"/>
          <w:u w:val="single" w:color="auto"/>
          <w:color w:val="auto"/>
        </w:rPr>
        <w:t>No Further Adjustment</w:t>
      </w:r>
      <w:r>
        <w:rPr>
          <w:rFonts w:ascii="Arial" w:cs="Arial" w:eastAsia="Arial" w:hAnsi="Arial"/>
          <w:sz w:val="17"/>
          <w:szCs w:val="17"/>
          <w:color w:val="auto"/>
        </w:rPr>
        <w:t>. Upon any such conversion, no adjustment to the applicable Conversion Price shall be made for any declared but unpaid dividends on the Preferred Stock surrendered for conversion or on the Common Stock delivered upon conversion.</w:t>
      </w:r>
    </w:p>
    <w:p>
      <w:pPr>
        <w:spacing w:after="0" w:line="147" w:lineRule="exact"/>
        <w:rPr>
          <w:sz w:val="20"/>
          <w:szCs w:val="20"/>
          <w:color w:val="auto"/>
        </w:rPr>
      </w:pPr>
    </w:p>
    <w:p>
      <w:pPr>
        <w:ind w:right="160" w:firstLine="1433"/>
        <w:spacing w:after="0" w:line="255" w:lineRule="auto"/>
        <w:rPr>
          <w:sz w:val="20"/>
          <w:szCs w:val="20"/>
          <w:color w:val="auto"/>
        </w:rPr>
      </w:pPr>
      <w:r>
        <w:rPr>
          <w:rFonts w:ascii="Arial" w:cs="Arial" w:eastAsia="Arial" w:hAnsi="Arial"/>
          <w:sz w:val="18"/>
          <w:szCs w:val="18"/>
          <w:color w:val="auto"/>
        </w:rPr>
        <w:t xml:space="preserve">4.3.5 </w:t>
      </w:r>
      <w:r>
        <w:rPr>
          <w:rFonts w:ascii="Arial" w:cs="Arial" w:eastAsia="Arial" w:hAnsi="Arial"/>
          <w:sz w:val="18"/>
          <w:szCs w:val="18"/>
          <w:u w:val="single" w:color="auto"/>
          <w:color w:val="auto"/>
        </w:rPr>
        <w:t>Taxes</w:t>
      </w:r>
      <w:r>
        <w:rPr>
          <w:rFonts w:ascii="Arial" w:cs="Arial" w:eastAsia="Arial" w:hAnsi="Arial"/>
          <w:sz w:val="18"/>
          <w:szCs w:val="18"/>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9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Adjustments to Applicable Conversion Price for Diluting Issues</w:t>
      </w:r>
      <w:r>
        <w:rPr>
          <w:rFonts w:ascii="Arial" w:cs="Arial" w:eastAsia="Arial" w:hAnsi="Arial"/>
          <w:sz w:val="18"/>
          <w:szCs w:val="18"/>
          <w:color w:val="auto"/>
        </w:rPr>
        <w:t>.</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4.4.1 </w:t>
      </w:r>
      <w:r>
        <w:rPr>
          <w:rFonts w:ascii="Arial" w:cs="Arial" w:eastAsia="Arial" w:hAnsi="Arial"/>
          <w:sz w:val="18"/>
          <w:szCs w:val="18"/>
          <w:u w:val="single" w:color="auto"/>
          <w:color w:val="auto"/>
        </w:rPr>
        <w:t>Special Definitions</w:t>
      </w:r>
      <w:r>
        <w:rPr>
          <w:rFonts w:ascii="Arial" w:cs="Arial" w:eastAsia="Arial" w:hAnsi="Arial"/>
          <w:sz w:val="18"/>
          <w:szCs w:val="18"/>
          <w:color w:val="auto"/>
        </w:rPr>
        <w:t>. For purposes of this Article Fifth, the following definitions shall apply:</w:t>
      </w:r>
    </w:p>
    <w:p>
      <w:pPr>
        <w:spacing w:after="0" w:line="117"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shall mean rights, options or warrants to subscribe for, purchase or otherwise acquire Common Stock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Convertible Securities.</w:t>
      </w:r>
    </w:p>
    <w:p>
      <w:pPr>
        <w:spacing w:after="0" w:line="211" w:lineRule="exact"/>
        <w:rPr>
          <w:sz w:val="20"/>
          <w:szCs w:val="20"/>
          <w:color w:val="auto"/>
        </w:rPr>
      </w:pPr>
    </w:p>
    <w:p>
      <w:pPr>
        <w:ind w:left="2240" w:hanging="253"/>
        <w:spacing w:after="0"/>
        <w:tabs>
          <w:tab w:leader="none" w:pos="22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Series C Original Issue Date</w:t>
      </w:r>
      <w:r>
        <w:rPr>
          <w:rFonts w:ascii="Arial" w:cs="Arial" w:eastAsia="Arial" w:hAnsi="Arial"/>
          <w:sz w:val="17"/>
          <w:szCs w:val="17"/>
          <w:color w:val="auto"/>
        </w:rPr>
        <w:t>” shall mean the date on which the first share of Series C Preferred Stock was issued.</w:t>
      </w:r>
    </w:p>
    <w:p>
      <w:pPr>
        <w:spacing w:after="0" w:line="236" w:lineRule="exact"/>
        <w:rPr>
          <w:rFonts w:ascii="Arial" w:cs="Arial" w:eastAsia="Arial" w:hAnsi="Arial"/>
          <w:sz w:val="17"/>
          <w:szCs w:val="17"/>
          <w:color w:val="auto"/>
        </w:rPr>
      </w:pPr>
    </w:p>
    <w:p>
      <w:pPr>
        <w:ind w:right="540" w:firstLine="1987"/>
        <w:spacing w:after="0" w:line="277" w:lineRule="auto"/>
        <w:tabs>
          <w:tab w:leader="none" w:pos="2228"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Convertible Securities</w:t>
      </w:r>
      <w:r>
        <w:rPr>
          <w:rFonts w:ascii="Arial" w:cs="Arial" w:eastAsia="Arial" w:hAnsi="Arial"/>
          <w:sz w:val="18"/>
          <w:szCs w:val="18"/>
          <w:color w:val="auto"/>
        </w:rPr>
        <w:t>” shall mean any evidences of indebtedness, shares or other securities directly or indirectly convertible into or exchangeable for Common Stock, but excluding Options.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363" w:name="page364"/>
    <w:bookmarkEnd w:id="363"/>
    <w:p>
      <w:pPr>
        <w:ind w:right="80" w:firstLine="1987"/>
        <w:spacing w:after="0" w:line="291" w:lineRule="auto"/>
        <w:tabs>
          <w:tab w:leader="none" w:pos="2239" w:val="left"/>
        </w:tabs>
        <w:numPr>
          <w:ilvl w:val="1"/>
          <w:numId w:val="1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Additional Shares of Common Stock</w:t>
      </w:r>
      <w:r>
        <w:rPr>
          <w:rFonts w:ascii="Arial" w:cs="Arial" w:eastAsia="Arial" w:hAnsi="Arial"/>
          <w:sz w:val="16"/>
          <w:szCs w:val="16"/>
          <w:color w:val="auto"/>
        </w:rPr>
        <w:t xml:space="preserve">” shall mean all shares of Common Stock issued (or, pursuant to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below, deemed to be issued) by the Corporation after the Series C Original Issue Date, other than (1) the following shares of Common Stock and</w:t>
      </w:r>
    </w:p>
    <w:p>
      <w:pPr>
        <w:ind w:right="120" w:firstLine="4"/>
        <w:spacing w:after="0" w:line="261" w:lineRule="auto"/>
        <w:tabs>
          <w:tab w:leader="none" w:pos="25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shares of Common Stock deemed issued pursuant to the following Options and Convertible Securities (clauses (1) and (2), collectively, “</w:t>
      </w:r>
      <w:r>
        <w:rPr>
          <w:rFonts w:ascii="Arial" w:cs="Arial" w:eastAsia="Arial" w:hAnsi="Arial"/>
          <w:sz w:val="18"/>
          <w:szCs w:val="18"/>
          <w:b w:val="1"/>
          <w:bCs w:val="1"/>
          <w:i w:val="1"/>
          <w:iCs w:val="1"/>
          <w:color w:val="auto"/>
        </w:rPr>
        <w:t>Exempted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Securities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640" w:hanging="212"/>
        <w:spacing w:after="0"/>
        <w:tabs>
          <w:tab w:leader="none" w:pos="2640" w:val="left"/>
        </w:tabs>
        <w:numPr>
          <w:ilvl w:val="2"/>
          <w:numId w:val="176"/>
        </w:numPr>
        <w:rPr>
          <w:rFonts w:ascii="Arial" w:cs="Arial" w:eastAsia="Arial" w:hAnsi="Arial"/>
          <w:sz w:val="16"/>
          <w:szCs w:val="16"/>
          <w:color w:val="auto"/>
        </w:rPr>
      </w:pPr>
      <w:r>
        <w:rPr>
          <w:rFonts w:ascii="Arial" w:cs="Arial" w:eastAsia="Arial" w:hAnsi="Arial"/>
          <w:sz w:val="16"/>
          <w:szCs w:val="16"/>
          <w:color w:val="auto"/>
        </w:rPr>
        <w:t>shares of Common Stock, Options or Convertible Securities issued as a dividend or distribution on Preferred Stock;</w:t>
      </w:r>
    </w:p>
    <w:p>
      <w:pPr>
        <w:spacing w:after="0" w:line="248" w:lineRule="exact"/>
        <w:rPr>
          <w:rFonts w:ascii="Arial" w:cs="Arial" w:eastAsia="Arial" w:hAnsi="Arial"/>
          <w:sz w:val="16"/>
          <w:szCs w:val="16"/>
          <w:color w:val="auto"/>
        </w:rPr>
      </w:pPr>
    </w:p>
    <w:p>
      <w:pPr>
        <w:ind w:right="80" w:firstLine="2428"/>
        <w:spacing w:after="0" w:line="277" w:lineRule="auto"/>
        <w:tabs>
          <w:tab w:leader="none" w:pos="2689" w:val="left"/>
        </w:tabs>
        <w:numPr>
          <w:ilvl w:val="2"/>
          <w:numId w:val="176"/>
        </w:numPr>
        <w:rPr>
          <w:rFonts w:ascii="Arial" w:cs="Arial" w:eastAsia="Arial" w:hAnsi="Arial"/>
          <w:sz w:val="18"/>
          <w:szCs w:val="18"/>
          <w:color w:val="auto"/>
        </w:rPr>
      </w:pPr>
      <w:r>
        <w:rPr>
          <w:rFonts w:ascii="Arial" w:cs="Arial" w:eastAsia="Arial" w:hAnsi="Arial"/>
          <w:sz w:val="18"/>
          <w:szCs w:val="18"/>
          <w:color w:val="auto"/>
        </w:rPr>
        <w:t xml:space="preserve">shares of Common Stock, Options or Convertible Securities issued by reason of a dividend, stock split, split-up or other distribution on shares of Common Stock that is covered by </w:t>
      </w:r>
      <w:r>
        <w:rPr>
          <w:rFonts w:ascii="Arial" w:cs="Arial" w:eastAsia="Arial" w:hAnsi="Arial"/>
          <w:sz w:val="18"/>
          <w:szCs w:val="18"/>
          <w:u w:val="single" w:color="auto"/>
          <w:color w:val="auto"/>
        </w:rPr>
        <w:t>Subsection 4.5</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4.7</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4.8</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60" w:firstLine="2428"/>
        <w:spacing w:after="0" w:line="264" w:lineRule="auto"/>
        <w:tabs>
          <w:tab w:leader="none" w:pos="2739" w:val="left"/>
        </w:tabs>
        <w:numPr>
          <w:ilvl w:val="2"/>
          <w:numId w:val="176"/>
        </w:numPr>
        <w:rPr>
          <w:rFonts w:ascii="Arial" w:cs="Arial" w:eastAsia="Arial" w:hAnsi="Arial"/>
          <w:sz w:val="18"/>
          <w:szCs w:val="18"/>
          <w:color w:val="auto"/>
        </w:rPr>
      </w:pPr>
      <w:r>
        <w:rPr>
          <w:rFonts w:ascii="Arial" w:cs="Arial" w:eastAsia="Arial" w:hAnsi="Arial"/>
          <w:sz w:val="18"/>
          <w:szCs w:val="18"/>
          <w:color w:val="auto"/>
        </w:rPr>
        <w:t>shares of Common Stock or Options issued to employees or directors of, or consultants or advisors to, the Corporation or any of its subsidiaries pursuant to a plan, agreement or arrangement approved by the Board, including the approval of a majority of the then-serving Preferred Directors;</w:t>
      </w:r>
    </w:p>
    <w:p>
      <w:pPr>
        <w:spacing w:after="0" w:line="181" w:lineRule="exact"/>
        <w:rPr>
          <w:rFonts w:ascii="Arial" w:cs="Arial" w:eastAsia="Arial" w:hAnsi="Arial"/>
          <w:sz w:val="18"/>
          <w:szCs w:val="18"/>
          <w:color w:val="auto"/>
        </w:rPr>
      </w:pPr>
    </w:p>
    <w:p>
      <w:pPr>
        <w:ind w:right="80" w:firstLine="2428"/>
        <w:spacing w:after="0" w:line="264" w:lineRule="auto"/>
        <w:tabs>
          <w:tab w:leader="none" w:pos="2729" w:val="left"/>
        </w:tabs>
        <w:numPr>
          <w:ilvl w:val="2"/>
          <w:numId w:val="176"/>
        </w:numPr>
        <w:rPr>
          <w:rFonts w:ascii="Arial" w:cs="Arial" w:eastAsia="Arial" w:hAnsi="Arial"/>
          <w:sz w:val="18"/>
          <w:szCs w:val="18"/>
          <w:color w:val="auto"/>
        </w:rPr>
      </w:pPr>
      <w:r>
        <w:rPr>
          <w:rFonts w:ascii="Arial" w:cs="Arial" w:eastAsia="Arial" w:hAnsi="Arial"/>
          <w:sz w:val="18"/>
          <w:szCs w:val="18"/>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 that is an Exempted Security;</w:t>
      </w:r>
    </w:p>
    <w:p>
      <w:pPr>
        <w:spacing w:after="0" w:line="181" w:lineRule="exact"/>
        <w:rPr>
          <w:rFonts w:ascii="Arial" w:cs="Arial" w:eastAsia="Arial" w:hAnsi="Arial"/>
          <w:sz w:val="18"/>
          <w:szCs w:val="18"/>
          <w:color w:val="auto"/>
        </w:rPr>
      </w:pPr>
    </w:p>
    <w:p>
      <w:pPr>
        <w:ind w:right="160" w:firstLine="2428"/>
        <w:spacing w:after="0" w:line="264" w:lineRule="auto"/>
        <w:tabs>
          <w:tab w:leader="none" w:pos="2679" w:val="left"/>
        </w:tabs>
        <w:numPr>
          <w:ilvl w:val="2"/>
          <w:numId w:val="176"/>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to banks, equipment lessors or other financial institutions, or to real property lessors, pursuant to a debt financing, equipment leasing or real property leasing transaction approved by the Board, including the approval of a majority of the then-serving Preferred Directors;</w:t>
      </w:r>
    </w:p>
    <w:p>
      <w:pPr>
        <w:spacing w:after="0" w:line="181" w:lineRule="exact"/>
        <w:rPr>
          <w:rFonts w:ascii="Arial" w:cs="Arial" w:eastAsia="Arial" w:hAnsi="Arial"/>
          <w:sz w:val="18"/>
          <w:szCs w:val="18"/>
          <w:color w:val="auto"/>
        </w:rPr>
      </w:pPr>
    </w:p>
    <w:p>
      <w:pPr>
        <w:ind w:firstLine="2428"/>
        <w:spacing w:after="0" w:line="264" w:lineRule="auto"/>
        <w:tabs>
          <w:tab w:leader="none" w:pos="2729" w:val="left"/>
        </w:tabs>
        <w:numPr>
          <w:ilvl w:val="2"/>
          <w:numId w:val="176"/>
        </w:numPr>
        <w:rPr>
          <w:rFonts w:ascii="Arial" w:cs="Arial" w:eastAsia="Arial" w:hAnsi="Arial"/>
          <w:sz w:val="18"/>
          <w:szCs w:val="18"/>
          <w:color w:val="auto"/>
        </w:rPr>
      </w:pPr>
      <w:r>
        <w:rPr>
          <w:rFonts w:ascii="Arial" w:cs="Arial" w:eastAsia="Arial" w:hAnsi="Arial"/>
          <w:sz w:val="18"/>
          <w:szCs w:val="18"/>
          <w:color w:val="auto"/>
        </w:rPr>
        <w:t>shares of Common Stock, Options or Convertible Securities issued in connection with sponsored research, collaboration, technology license, development, OEM, marketing or other similar agreements or strategic partnerships approved by the Board, including the approval of a majority of the then-serving Preferred Directors; or</w:t>
      </w:r>
    </w:p>
    <w:p>
      <w:pPr>
        <w:spacing w:after="0" w:line="181" w:lineRule="exact"/>
        <w:rPr>
          <w:rFonts w:ascii="Arial" w:cs="Arial" w:eastAsia="Arial" w:hAnsi="Arial"/>
          <w:sz w:val="18"/>
          <w:szCs w:val="18"/>
          <w:color w:val="auto"/>
        </w:rPr>
      </w:pPr>
    </w:p>
    <w:p>
      <w:pPr>
        <w:ind w:right="20" w:firstLine="2428"/>
        <w:spacing w:after="0" w:line="277" w:lineRule="auto"/>
        <w:tabs>
          <w:tab w:leader="none" w:pos="2779" w:val="left"/>
        </w:tabs>
        <w:numPr>
          <w:ilvl w:val="2"/>
          <w:numId w:val="176"/>
        </w:numPr>
        <w:rPr>
          <w:rFonts w:ascii="Arial" w:cs="Arial" w:eastAsia="Arial" w:hAnsi="Arial"/>
          <w:sz w:val="18"/>
          <w:szCs w:val="18"/>
          <w:color w:val="auto"/>
        </w:rPr>
      </w:pPr>
      <w:r>
        <w:rPr>
          <w:rFonts w:ascii="Arial" w:cs="Arial" w:eastAsia="Arial" w:hAnsi="Arial"/>
          <w:sz w:val="18"/>
          <w:szCs w:val="18"/>
          <w:color w:val="auto"/>
        </w:rPr>
        <w:t>shares of Common Stock or Convertible Securities issued by the Company to the public pursuant to a registration statement filed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w:t>
      </w:r>
    </w:p>
    <w:p>
      <w:pPr>
        <w:spacing w:after="0" w:line="170" w:lineRule="exact"/>
        <w:rPr>
          <w:sz w:val="20"/>
          <w:szCs w:val="20"/>
          <w:color w:val="auto"/>
        </w:rPr>
      </w:pPr>
    </w:p>
    <w:p>
      <w:pPr>
        <w:ind w:firstLine="1433"/>
        <w:spacing w:after="0" w:line="255" w:lineRule="auto"/>
        <w:rPr>
          <w:sz w:val="20"/>
          <w:szCs w:val="20"/>
          <w:color w:val="auto"/>
        </w:rPr>
      </w:pPr>
      <w:r>
        <w:rPr>
          <w:rFonts w:ascii="Arial" w:cs="Arial" w:eastAsia="Arial" w:hAnsi="Arial"/>
          <w:sz w:val="18"/>
          <w:szCs w:val="18"/>
          <w:color w:val="auto"/>
        </w:rPr>
        <w:t xml:space="preserve">4.4.2 </w:t>
      </w:r>
      <w:r>
        <w:rPr>
          <w:rFonts w:ascii="Arial" w:cs="Arial" w:eastAsia="Arial" w:hAnsi="Arial"/>
          <w:sz w:val="18"/>
          <w:szCs w:val="18"/>
          <w:u w:val="single" w:color="auto"/>
          <w:color w:val="auto"/>
        </w:rPr>
        <w:t>No Adjustment of Conversion Price</w:t>
      </w:r>
      <w:r>
        <w:rPr>
          <w:rFonts w:ascii="Arial" w:cs="Arial" w:eastAsia="Arial" w:hAnsi="Arial"/>
          <w:sz w:val="18"/>
          <w:szCs w:val="18"/>
          <w:color w:val="auto"/>
        </w:rPr>
        <w:t>. No adjustment in the Series A Conversion Price shall be made as the result of the issuance or deemed issuance of Additional Shares of Common Stock if the Corporation receives written notice from the holders of at least sixty-five percent (65%) of the then outstanding shares of Series A Preferred Stock agreeing that no such adjustment shall be made as the result of the issuance or deemed issuance of such Additional Shares of Common Stock. No adjustment in the Series B Conversion Price shall be made as the result of the issuance or deemed issuance of Additional Shares of Common Stock if the Corporation receives written notice from the holders of at least sixty-two and one-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64" w:name="page365"/>
    <w:bookmarkEnd w:id="36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half percent (62.5%) of the then outstanding shares of Series B Preferred Stock agreeing that no such adjustment shall be made as the result of the issuance or deemed issuance of such Additional Shares of Common Stock. No adjustment in the Series C Conversion Price shall be made as the result of the issuance or deemed issuance of Additional Shares of Common Stock if the Corporation receives written notice from the holders of a majority of the then outstanding shares of Series C Preferred Stock agreeing that no such adjustment shall be made as the result of the issuance or deemed issuance of such Additional Shares of Common Stock.</w:t>
      </w:r>
    </w:p>
    <w:p>
      <w:pPr>
        <w:spacing w:after="0" w:line="18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4.4.3 </w:t>
      </w:r>
      <w:r>
        <w:rPr>
          <w:rFonts w:ascii="Arial" w:cs="Arial" w:eastAsia="Arial" w:hAnsi="Arial"/>
          <w:sz w:val="18"/>
          <w:szCs w:val="18"/>
          <w:u w:val="single" w:color="auto"/>
          <w:color w:val="auto"/>
        </w:rPr>
        <w:t>Deemed Issue of Additional Shares of Common Stock</w:t>
      </w:r>
      <w:r>
        <w:rPr>
          <w:rFonts w:ascii="Arial" w:cs="Arial" w:eastAsia="Arial" w:hAnsi="Arial"/>
          <w:sz w:val="18"/>
          <w:szCs w:val="18"/>
          <w:color w:val="auto"/>
        </w:rPr>
        <w:t>.</w:t>
      </w:r>
    </w:p>
    <w:p>
      <w:pPr>
        <w:spacing w:after="0" w:line="225" w:lineRule="exact"/>
        <w:rPr>
          <w:sz w:val="20"/>
          <w:szCs w:val="20"/>
          <w:color w:val="auto"/>
        </w:rPr>
      </w:pPr>
    </w:p>
    <w:p>
      <w:pPr>
        <w:ind w:right="40" w:firstLine="1987"/>
        <w:spacing w:after="0" w:line="254" w:lineRule="auto"/>
        <w:tabs>
          <w:tab w:leader="none" w:pos="2228"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If the Corporation at any time or from time to time after the Series C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92" w:lineRule="exact"/>
        <w:rPr>
          <w:rFonts w:ascii="Arial" w:cs="Arial" w:eastAsia="Arial" w:hAnsi="Arial"/>
          <w:sz w:val="18"/>
          <w:szCs w:val="18"/>
          <w:color w:val="auto"/>
        </w:rPr>
      </w:pPr>
    </w:p>
    <w:p>
      <w:pPr>
        <w:ind w:right="80" w:firstLine="1987"/>
        <w:spacing w:after="0" w:line="286" w:lineRule="auto"/>
        <w:tabs>
          <w:tab w:leader="none" w:pos="2239" w:val="left"/>
        </w:tabs>
        <w:numPr>
          <w:ilvl w:val="0"/>
          <w:numId w:val="177"/>
        </w:numPr>
        <w:rPr>
          <w:rFonts w:ascii="Arial" w:cs="Arial" w:eastAsia="Arial" w:hAnsi="Arial"/>
          <w:sz w:val="16"/>
          <w:szCs w:val="16"/>
          <w:color w:val="auto"/>
        </w:rPr>
      </w:pPr>
      <w:r>
        <w:rPr>
          <w:rFonts w:ascii="Arial" w:cs="Arial" w:eastAsia="Arial" w:hAnsi="Arial"/>
          <w:sz w:val="16"/>
          <w:szCs w:val="16"/>
          <w:color w:val="auto"/>
        </w:rPr>
        <w:t xml:space="preserve">If the terms of any Option or Convertible Security, the issuance of which resulted in an adjustment to the applicable Conversion Price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such Conversion Price computed upon the original issue of such Option or Convertible Security (or upon the occurrence of a record date with respect thereto) shall be readjusted to such Conversion Price as would have obtained had such revised terms been in effect upon the original date of issuance of such Option or Convertible Security. Notwithstanding the foregoing, no readjustment pursuant to this clause (b)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65" w:name="page366"/>
    <w:bookmarkEnd w:id="365"/>
    <w:p>
      <w:pPr>
        <w:ind w:right="20" w:firstLine="1987"/>
        <w:spacing w:after="0" w:line="269" w:lineRule="auto"/>
        <w:tabs>
          <w:tab w:leader="none" w:pos="2228" w:val="left"/>
        </w:tabs>
        <w:numPr>
          <w:ilvl w:val="0"/>
          <w:numId w:val="17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Arial" w:cs="Arial" w:eastAsia="Arial" w:hAnsi="Arial"/>
          <w:sz w:val="17"/>
          <w:szCs w:val="17"/>
          <w:u w:val="single" w:color="auto"/>
          <w:color w:val="auto"/>
        </w:rPr>
        <w:t>Subsection 4.4.4</w:t>
      </w:r>
      <w:r>
        <w:rPr>
          <w:rFonts w:ascii="Arial" w:cs="Arial" w:eastAsia="Arial" w:hAnsi="Arial"/>
          <w:sz w:val="17"/>
          <w:szCs w:val="17"/>
          <w:color w:val="auto"/>
        </w:rPr>
        <w:t xml:space="preserve"> (either because the consideration per share (determined pursuant to </w:t>
      </w:r>
      <w:r>
        <w:rPr>
          <w:rFonts w:ascii="Arial" w:cs="Arial" w:eastAsia="Arial" w:hAnsi="Arial"/>
          <w:sz w:val="17"/>
          <w:szCs w:val="17"/>
          <w:u w:val="single" w:color="auto"/>
          <w:color w:val="auto"/>
        </w:rPr>
        <w:t>Subsection 4.4.5</w:t>
      </w:r>
      <w:r>
        <w:rPr>
          <w:rFonts w:ascii="Arial" w:cs="Arial" w:eastAsia="Arial" w:hAnsi="Arial"/>
          <w:sz w:val="17"/>
          <w:szCs w:val="17"/>
          <w:color w:val="auto"/>
        </w:rPr>
        <w:t xml:space="preserve">) of the Additional Shares of Common Stock subject thereto was equal to or greater than the applicable Conversion Price then in effect, or because such Option or Convertible Security was issued before the Series C Original Issue Date), are revised after the Series C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Arial" w:cs="Arial" w:eastAsia="Arial" w:hAnsi="Arial"/>
          <w:sz w:val="17"/>
          <w:szCs w:val="17"/>
          <w:u w:val="single" w:color="auto"/>
          <w:color w:val="auto"/>
        </w:rPr>
        <w:t>Subsection 4.4.3(a)</w:t>
      </w:r>
      <w:r>
        <w:rPr>
          <w:rFonts w:ascii="Arial" w:cs="Arial" w:eastAsia="Arial" w:hAnsi="Arial"/>
          <w:sz w:val="17"/>
          <w:szCs w:val="17"/>
          <w:color w:val="auto"/>
        </w:rPr>
        <w:t xml:space="preserve"> shall be deemed to have been issued effective upon such increase or decrease becoming effective.</w:t>
      </w:r>
    </w:p>
    <w:p>
      <w:pPr>
        <w:spacing w:after="0" w:line="182" w:lineRule="exact"/>
        <w:rPr>
          <w:rFonts w:ascii="Arial" w:cs="Arial" w:eastAsia="Arial" w:hAnsi="Arial"/>
          <w:sz w:val="17"/>
          <w:szCs w:val="17"/>
          <w:color w:val="auto"/>
        </w:rPr>
      </w:pPr>
    </w:p>
    <w:p>
      <w:pPr>
        <w:ind w:right="200" w:firstLine="1987"/>
        <w:spacing w:after="0" w:line="259" w:lineRule="auto"/>
        <w:tabs>
          <w:tab w:leader="none" w:pos="2239"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Arial" w:cs="Arial" w:eastAsia="Arial" w:hAnsi="Arial"/>
          <w:sz w:val="18"/>
          <w:szCs w:val="18"/>
          <w:u w:val="single" w:color="auto"/>
          <w:color w:val="auto"/>
        </w:rPr>
        <w:t>Subsection 4.4.4</w:t>
      </w:r>
      <w:r>
        <w:rPr>
          <w:rFonts w:ascii="Arial" w:cs="Arial" w:eastAsia="Arial" w:hAnsi="Arial"/>
          <w:sz w:val="18"/>
          <w:szCs w:val="18"/>
          <w:color w:val="auto"/>
        </w:rPr>
        <w:t>, the applicable Conversion Price shall be readjusted to such applicable Conversion Price as would have obtained had such Option or Convertible Security (or portion thereof) never been issued.</w:t>
      </w:r>
    </w:p>
    <w:p>
      <w:pPr>
        <w:spacing w:after="0" w:line="186" w:lineRule="exact"/>
        <w:rPr>
          <w:rFonts w:ascii="Arial" w:cs="Arial" w:eastAsia="Arial" w:hAnsi="Arial"/>
          <w:sz w:val="18"/>
          <w:szCs w:val="18"/>
          <w:color w:val="auto"/>
        </w:rPr>
      </w:pPr>
    </w:p>
    <w:p>
      <w:pPr>
        <w:ind w:right="40" w:firstLine="1987"/>
        <w:spacing w:after="0" w:line="287" w:lineRule="auto"/>
        <w:tabs>
          <w:tab w:leader="none" w:pos="2228"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 (b) and (c)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Arial" w:cs="Arial" w:eastAsia="Arial" w:hAnsi="Arial"/>
          <w:sz w:val="16"/>
          <w:szCs w:val="16"/>
          <w:u w:val="single" w:color="auto"/>
          <w:color w:val="auto"/>
        </w:rPr>
        <w:t>Subsection 4.4.3</w:t>
      </w:r>
      <w:r>
        <w:rPr>
          <w:rFonts w:ascii="Arial" w:cs="Arial" w:eastAsia="Arial" w:hAnsi="Arial"/>
          <w:sz w:val="16"/>
          <w:szCs w:val="16"/>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73" w:lineRule="exact"/>
        <w:rPr>
          <w:sz w:val="20"/>
          <w:szCs w:val="20"/>
          <w:color w:val="auto"/>
        </w:rPr>
      </w:pPr>
    </w:p>
    <w:p>
      <w:pPr>
        <w:ind w:firstLine="1433"/>
        <w:spacing w:after="0" w:line="276" w:lineRule="auto"/>
        <w:rPr>
          <w:sz w:val="20"/>
          <w:szCs w:val="20"/>
          <w:color w:val="auto"/>
        </w:rPr>
      </w:pPr>
      <w:r>
        <w:rPr>
          <w:rFonts w:ascii="Arial" w:cs="Arial" w:eastAsia="Arial" w:hAnsi="Arial"/>
          <w:sz w:val="17"/>
          <w:szCs w:val="17"/>
          <w:color w:val="auto"/>
        </w:rPr>
        <w:t xml:space="preserve">4.4.4 </w:t>
      </w:r>
      <w:r>
        <w:rPr>
          <w:rFonts w:ascii="Arial" w:cs="Arial" w:eastAsia="Arial" w:hAnsi="Arial"/>
          <w:sz w:val="17"/>
          <w:szCs w:val="17"/>
          <w:u w:val="single" w:color="auto"/>
          <w:color w:val="auto"/>
        </w:rPr>
        <w:t>Adjustment of Conversion Price Upon Issuance of Additional Shares of Common Stock</w:t>
      </w:r>
      <w:r>
        <w:rPr>
          <w:rFonts w:ascii="Arial" w:cs="Arial" w:eastAsia="Arial" w:hAnsi="Arial"/>
          <w:sz w:val="17"/>
          <w:szCs w:val="17"/>
          <w:color w:val="auto"/>
        </w:rPr>
        <w:t xml:space="preserve">. In the event the Corporation shall at any time or from time to time after the Series C Original Issue Date issue Additional Shares of Common Stock (including Additional Shares of Common Stock deemed to be issued pursuant to </w:t>
      </w:r>
      <w:r>
        <w:rPr>
          <w:rFonts w:ascii="Arial" w:cs="Arial" w:eastAsia="Arial" w:hAnsi="Arial"/>
          <w:sz w:val="17"/>
          <w:szCs w:val="17"/>
          <w:u w:val="single" w:color="auto"/>
          <w:color w:val="auto"/>
        </w:rPr>
        <w:t>Subsection 4.4.3</w:t>
      </w:r>
      <w:r>
        <w:rPr>
          <w:rFonts w:ascii="Arial" w:cs="Arial" w:eastAsia="Arial" w:hAnsi="Arial"/>
          <w:sz w:val="17"/>
          <w:szCs w:val="17"/>
          <w:color w:val="auto"/>
        </w:rPr>
        <w:t>), without consideration or for a consideration per share less than the applicable Conversion Price for any series of Preferred Stock in effect immediately prior to such issue, then such Conversion Price shall be reduced, concurrently with such issue, to a price (calculated to the nearest one-hundredth of a cent) determined in accordance with the following formula:</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xml:space="preserve"> = CP</w:t>
      </w:r>
      <w:r>
        <w:rPr>
          <w:rFonts w:ascii="Arial" w:cs="Arial" w:eastAsia="Arial" w:hAnsi="Arial"/>
          <w:sz w:val="15"/>
          <w:szCs w:val="15"/>
          <w:color w:val="auto"/>
        </w:rPr>
        <w:t>1</w:t>
      </w:r>
      <w:r>
        <w:rPr>
          <w:rFonts w:ascii="Arial" w:cs="Arial" w:eastAsia="Arial" w:hAnsi="Arial"/>
          <w:sz w:val="18"/>
          <w:szCs w:val="18"/>
          <w:color w:val="auto"/>
        </w:rPr>
        <w:t>* (A + B) ÷ (A + C).</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3" w:right="439" w:bottom="1440" w:gutter="0" w:footer="0" w:header="0"/>
        </w:sectPr>
      </w:pPr>
    </w:p>
    <w:bookmarkStart w:id="366" w:name="page367"/>
    <w:bookmarkEnd w:id="36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the foregoing formula, the following definitions shall apply:</w:t>
      </w:r>
    </w:p>
    <w:p>
      <w:pPr>
        <w:spacing w:after="0" w:line="117" w:lineRule="exact"/>
        <w:rPr>
          <w:sz w:val="20"/>
          <w:szCs w:val="20"/>
          <w:color w:val="auto"/>
        </w:rPr>
      </w:pPr>
    </w:p>
    <w:p>
      <w:pPr>
        <w:ind w:right="400" w:firstLine="1987"/>
        <w:spacing w:after="0" w:line="277" w:lineRule="auto"/>
        <w:tabs>
          <w:tab w:leader="none" w:pos="222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2</w:t>
      </w:r>
      <w:r>
        <w:rPr>
          <w:rFonts w:ascii="Arial" w:cs="Arial" w:eastAsia="Arial" w:hAnsi="Arial"/>
          <w:sz w:val="18"/>
          <w:szCs w:val="18"/>
          <w:color w:val="auto"/>
        </w:rPr>
        <w:t>” shall mean the applicable Conversion Price for such series of Preferred Stock in effect immediately after such issue of Additional Shares of Common Stock</w:t>
      </w:r>
    </w:p>
    <w:p>
      <w:pPr>
        <w:spacing w:after="0" w:line="170" w:lineRule="exact"/>
        <w:rPr>
          <w:rFonts w:ascii="Arial" w:cs="Arial" w:eastAsia="Arial" w:hAnsi="Arial"/>
          <w:sz w:val="18"/>
          <w:szCs w:val="18"/>
          <w:color w:val="auto"/>
        </w:rPr>
      </w:pPr>
    </w:p>
    <w:p>
      <w:pPr>
        <w:ind w:right="180" w:firstLine="1987"/>
        <w:spacing w:after="0" w:line="277" w:lineRule="auto"/>
        <w:tabs>
          <w:tab w:leader="none" w:pos="223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“CP</w:t>
      </w:r>
      <w:r>
        <w:rPr>
          <w:rFonts w:ascii="Arial" w:cs="Arial" w:eastAsia="Arial" w:hAnsi="Arial"/>
          <w:sz w:val="15"/>
          <w:szCs w:val="15"/>
          <w:color w:val="auto"/>
        </w:rPr>
        <w:t>1</w:t>
      </w:r>
      <w:r>
        <w:rPr>
          <w:rFonts w:ascii="Arial" w:cs="Arial" w:eastAsia="Arial" w:hAnsi="Arial"/>
          <w:sz w:val="18"/>
          <w:szCs w:val="18"/>
          <w:color w:val="auto"/>
        </w:rPr>
        <w:t>” shall mean the applicable Conversion Price for such series of Preferred Stock in effect immediately prior to such issue of Additional Shares of Common Stock;</w:t>
      </w:r>
    </w:p>
    <w:p>
      <w:pPr>
        <w:spacing w:after="0" w:line="170" w:lineRule="exact"/>
        <w:rPr>
          <w:rFonts w:ascii="Arial" w:cs="Arial" w:eastAsia="Arial" w:hAnsi="Arial"/>
          <w:sz w:val="18"/>
          <w:szCs w:val="18"/>
          <w:color w:val="auto"/>
        </w:rPr>
      </w:pPr>
    </w:p>
    <w:p>
      <w:pPr>
        <w:jc w:val="both"/>
        <w:ind w:firstLine="1987"/>
        <w:spacing w:after="0" w:line="259" w:lineRule="auto"/>
        <w:tabs>
          <w:tab w:leader="none" w:pos="2228"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shall mean the number of shares of Common Stock outstanding immediately prior to such issue of Additional Shares of Common Stock (treating for this purpose as outstanding all shares of Common Stock issuable upon exercise of Options outstanding immediately prior to such issue or upon conversion or exchange of Convertible Securities (including the Preferred Stock) outstanding (assuming exercise of any outstanding Options therefor) immediately prior to such issue);</w:t>
      </w:r>
    </w:p>
    <w:p>
      <w:pPr>
        <w:spacing w:after="0" w:line="186" w:lineRule="exact"/>
        <w:rPr>
          <w:rFonts w:ascii="Arial" w:cs="Arial" w:eastAsia="Arial" w:hAnsi="Arial"/>
          <w:sz w:val="18"/>
          <w:szCs w:val="18"/>
          <w:color w:val="auto"/>
        </w:rPr>
      </w:pPr>
    </w:p>
    <w:p>
      <w:pPr>
        <w:ind w:right="280" w:firstLine="1987"/>
        <w:spacing w:after="0" w:line="275" w:lineRule="auto"/>
        <w:tabs>
          <w:tab w:leader="none" w:pos="2239" w:val="left"/>
        </w:tabs>
        <w:numPr>
          <w:ilvl w:val="0"/>
          <w:numId w:val="179"/>
        </w:numPr>
        <w:rPr>
          <w:rFonts w:ascii="Arial" w:cs="Arial" w:eastAsia="Arial" w:hAnsi="Arial"/>
          <w:sz w:val="18"/>
          <w:szCs w:val="18"/>
          <w:color w:val="auto"/>
        </w:rPr>
      </w:pPr>
      <w:r>
        <w:rPr>
          <w:rFonts w:ascii="Arial" w:cs="Arial" w:eastAsia="Arial" w:hAnsi="Arial"/>
          <w:sz w:val="18"/>
          <w:szCs w:val="18"/>
          <w:color w:val="auto"/>
        </w:rPr>
        <w:t>“B” shall mean the number of shares of Common Stock that would have been issued if such Additional Shares of Common Stock had been issued at a price per share equal to CP</w:t>
      </w:r>
      <w:r>
        <w:rPr>
          <w:rFonts w:ascii="Arial" w:cs="Arial" w:eastAsia="Arial" w:hAnsi="Arial"/>
          <w:sz w:val="15"/>
          <w:szCs w:val="15"/>
          <w:color w:val="auto"/>
        </w:rPr>
        <w:t>1</w:t>
      </w:r>
      <w:r>
        <w:rPr>
          <w:rFonts w:ascii="Arial" w:cs="Arial" w:eastAsia="Arial" w:hAnsi="Arial"/>
          <w:sz w:val="18"/>
          <w:szCs w:val="18"/>
          <w:color w:val="auto"/>
        </w:rPr>
        <w:t xml:space="preserve"> (determined by dividing the aggregate consideration received by the Corporation in respect of such issue by CP</w:t>
      </w:r>
      <w:r>
        <w:rPr>
          <w:rFonts w:ascii="Arial" w:cs="Arial" w:eastAsia="Arial" w:hAnsi="Arial"/>
          <w:sz w:val="15"/>
          <w:szCs w:val="15"/>
          <w:color w:val="auto"/>
        </w:rPr>
        <w:t>1</w:t>
      </w:r>
      <w:r>
        <w:rPr>
          <w:rFonts w:ascii="Arial" w:cs="Arial" w:eastAsia="Arial" w:hAnsi="Arial"/>
          <w:sz w:val="18"/>
          <w:szCs w:val="18"/>
          <w:color w:val="auto"/>
        </w:rPr>
        <w:t>); and</w:t>
      </w:r>
    </w:p>
    <w:p>
      <w:pPr>
        <w:spacing w:after="0" w:line="152" w:lineRule="exact"/>
        <w:rPr>
          <w:rFonts w:ascii="Arial" w:cs="Arial" w:eastAsia="Arial" w:hAnsi="Arial"/>
          <w:sz w:val="18"/>
          <w:szCs w:val="18"/>
          <w:color w:val="auto"/>
        </w:rPr>
      </w:pPr>
    </w:p>
    <w:p>
      <w:pPr>
        <w:ind w:left="2240" w:hanging="253"/>
        <w:spacing w:after="0"/>
        <w:tabs>
          <w:tab w:leader="none" w:pos="22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 shall mean the number of such Additional Shares of Common Stock issued in such transaction.</w:t>
      </w:r>
    </w:p>
    <w:p>
      <w:pPr>
        <w:spacing w:after="0" w:line="225" w:lineRule="exact"/>
        <w:rPr>
          <w:sz w:val="20"/>
          <w:szCs w:val="20"/>
          <w:color w:val="auto"/>
        </w:rPr>
      </w:pPr>
    </w:p>
    <w:p>
      <w:pPr>
        <w:ind w:right="360" w:firstLine="1433"/>
        <w:spacing w:after="0" w:line="277" w:lineRule="auto"/>
        <w:rPr>
          <w:sz w:val="20"/>
          <w:szCs w:val="20"/>
          <w:color w:val="auto"/>
        </w:rPr>
      </w:pPr>
      <w:r>
        <w:rPr>
          <w:rFonts w:ascii="Arial" w:cs="Arial" w:eastAsia="Arial" w:hAnsi="Arial"/>
          <w:sz w:val="18"/>
          <w:szCs w:val="18"/>
          <w:color w:val="auto"/>
        </w:rPr>
        <w:t xml:space="preserve">4.4.5 </w:t>
      </w:r>
      <w:r>
        <w:rPr>
          <w:rFonts w:ascii="Arial" w:cs="Arial" w:eastAsia="Arial" w:hAnsi="Arial"/>
          <w:sz w:val="18"/>
          <w:szCs w:val="18"/>
          <w:u w:val="single" w:color="auto"/>
          <w:color w:val="auto"/>
        </w:rPr>
        <w:t>Determination of Consideration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Subsection 4.4</w:t>
      </w:r>
      <w:r>
        <w:rPr>
          <w:rFonts w:ascii="Arial" w:cs="Arial" w:eastAsia="Arial" w:hAnsi="Arial"/>
          <w:sz w:val="18"/>
          <w:szCs w:val="18"/>
          <w:color w:val="auto"/>
        </w:rPr>
        <w:t>, the consideration received by the Corporation for the issue of any Additional Shares of Common Stock shall be computed as follows:</w:t>
      </w:r>
    </w:p>
    <w:p>
      <w:pPr>
        <w:spacing w:after="0" w:line="62" w:lineRule="exact"/>
        <w:rPr>
          <w:sz w:val="20"/>
          <w:szCs w:val="20"/>
          <w:color w:val="auto"/>
        </w:rPr>
      </w:pPr>
    </w:p>
    <w:p>
      <w:pPr>
        <w:ind w:left="2240" w:hanging="253"/>
        <w:spacing w:after="0"/>
        <w:tabs>
          <w:tab w:leader="none" w:pos="2240" w:val="left"/>
        </w:tabs>
        <w:numPr>
          <w:ilvl w:val="0"/>
          <w:numId w:val="180"/>
        </w:numPr>
        <w:rPr>
          <w:rFonts w:ascii="Arial" w:cs="Arial" w:eastAsia="Arial" w:hAnsi="Arial"/>
          <w:sz w:val="18"/>
          <w:szCs w:val="18"/>
          <w:color w:val="auto"/>
        </w:rPr>
      </w:pPr>
      <w:r>
        <w:rPr>
          <w:rFonts w:ascii="Arial" w:cs="Arial" w:eastAsia="Arial" w:hAnsi="Arial"/>
          <w:sz w:val="18"/>
          <w:szCs w:val="18"/>
          <w:u w:val="single" w:color="auto"/>
          <w:color w:val="auto"/>
        </w:rPr>
        <w:t>Cash and Property</w:t>
      </w:r>
      <w:r>
        <w:rPr>
          <w:rFonts w:ascii="Arial" w:cs="Arial" w:eastAsia="Arial" w:hAnsi="Arial"/>
          <w:sz w:val="18"/>
          <w:szCs w:val="18"/>
          <w:color w:val="auto"/>
        </w:rPr>
        <w:t>: Such consideration shall:</w:t>
      </w:r>
    </w:p>
    <w:p>
      <w:pPr>
        <w:spacing w:after="0" w:line="117" w:lineRule="exact"/>
        <w:rPr>
          <w:rFonts w:ascii="Arial" w:cs="Arial" w:eastAsia="Arial" w:hAnsi="Arial"/>
          <w:sz w:val="18"/>
          <w:szCs w:val="18"/>
          <w:color w:val="auto"/>
        </w:rPr>
      </w:pPr>
    </w:p>
    <w:p>
      <w:pPr>
        <w:ind w:right="160" w:firstLine="2428"/>
        <w:spacing w:after="0" w:line="277" w:lineRule="auto"/>
        <w:tabs>
          <w:tab w:leader="none" w:pos="263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excluding amounts paid or payable for accrued interest;</w:t>
      </w:r>
    </w:p>
    <w:p>
      <w:pPr>
        <w:spacing w:after="0" w:line="170" w:lineRule="exact"/>
        <w:rPr>
          <w:rFonts w:ascii="Arial" w:cs="Arial" w:eastAsia="Arial" w:hAnsi="Arial"/>
          <w:sz w:val="18"/>
          <w:szCs w:val="18"/>
          <w:color w:val="auto"/>
        </w:rPr>
      </w:pPr>
    </w:p>
    <w:p>
      <w:pPr>
        <w:ind w:right="220" w:firstLine="2428"/>
        <w:spacing w:after="0" w:line="277" w:lineRule="auto"/>
        <w:tabs>
          <w:tab w:leader="none" w:pos="2689" w:val="left"/>
        </w:tabs>
        <w:numPr>
          <w:ilvl w:val="1"/>
          <w:numId w:val="180"/>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3" w:right="439" w:bottom="1440" w:gutter="0" w:footer="0" w:header="0"/>
        </w:sectPr>
      </w:pPr>
    </w:p>
    <w:bookmarkStart w:id="367" w:name="page368"/>
    <w:bookmarkEnd w:id="367"/>
    <w:p>
      <w:pPr>
        <w:jc w:val="both"/>
        <w:ind w:right="60" w:firstLine="2428"/>
        <w:spacing w:after="0" w:line="264" w:lineRule="auto"/>
        <w:tabs>
          <w:tab w:leader="none" w:pos="2739" w:val="left"/>
        </w:tabs>
        <w:numPr>
          <w:ilvl w:val="1"/>
          <w:numId w:val="1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w:t>
      </w:r>
    </w:p>
    <w:p>
      <w:pPr>
        <w:spacing w:after="0" w:line="181" w:lineRule="exact"/>
        <w:rPr>
          <w:rFonts w:ascii="Arial" w:cs="Arial" w:eastAsia="Arial" w:hAnsi="Arial"/>
          <w:sz w:val="18"/>
          <w:szCs w:val="18"/>
          <w:color w:val="auto"/>
        </w:rPr>
      </w:pPr>
    </w:p>
    <w:p>
      <w:pPr>
        <w:ind w:right="320" w:firstLine="1987"/>
        <w:spacing w:after="0" w:line="264" w:lineRule="auto"/>
        <w:tabs>
          <w:tab w:leader="none" w:pos="2238"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Options and Convertible Securities</w:t>
      </w:r>
      <w:r>
        <w:rPr>
          <w:rFonts w:ascii="Arial" w:cs="Arial" w:eastAsia="Arial" w:hAnsi="Arial"/>
          <w:sz w:val="18"/>
          <w:szCs w:val="18"/>
          <w:color w:val="auto"/>
        </w:rPr>
        <w:t xml:space="preserve">. The consideration per share received by the Corporation for Additional Shares of Common Stock deemed to have been issued pursuant to </w:t>
      </w:r>
      <w:r>
        <w:rPr>
          <w:rFonts w:ascii="Arial" w:cs="Arial" w:eastAsia="Arial" w:hAnsi="Arial"/>
          <w:sz w:val="18"/>
          <w:szCs w:val="18"/>
          <w:u w:val="single" w:color="auto"/>
          <w:color w:val="auto"/>
        </w:rPr>
        <w:t>Subsection 4.4.3</w:t>
      </w:r>
      <w:r>
        <w:rPr>
          <w:rFonts w:ascii="Arial" w:cs="Arial" w:eastAsia="Arial" w:hAnsi="Arial"/>
          <w:sz w:val="18"/>
          <w:szCs w:val="18"/>
          <w:color w:val="auto"/>
        </w:rPr>
        <w:t>, relating to Options and Convertible Securities, shall be determined by dividing:</w:t>
      </w:r>
    </w:p>
    <w:p>
      <w:pPr>
        <w:spacing w:after="0" w:line="73" w:lineRule="exact"/>
        <w:rPr>
          <w:rFonts w:ascii="Arial" w:cs="Arial" w:eastAsia="Arial" w:hAnsi="Arial"/>
          <w:sz w:val="18"/>
          <w:szCs w:val="18"/>
          <w:color w:val="auto"/>
        </w:rPr>
      </w:pPr>
    </w:p>
    <w:p>
      <w:pPr>
        <w:ind w:firstLine="2428"/>
        <w:spacing w:after="0" w:line="257" w:lineRule="auto"/>
        <w:tabs>
          <w:tab w:leader="none" w:pos="2639"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88" w:lineRule="exact"/>
        <w:rPr>
          <w:sz w:val="20"/>
          <w:szCs w:val="20"/>
          <w:color w:val="auto"/>
        </w:rPr>
      </w:pPr>
    </w:p>
    <w:p>
      <w:pPr>
        <w:ind w:right="20" w:firstLine="2428"/>
        <w:spacing w:after="0" w:line="259" w:lineRule="auto"/>
        <w:tabs>
          <w:tab w:leader="none" w:pos="2689"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87" w:lineRule="exact"/>
        <w:rPr>
          <w:sz w:val="20"/>
          <w:szCs w:val="20"/>
          <w:color w:val="auto"/>
        </w:rPr>
      </w:pPr>
    </w:p>
    <w:p>
      <w:pPr>
        <w:ind w:right="20" w:firstLine="1433"/>
        <w:spacing w:after="0" w:line="297" w:lineRule="auto"/>
        <w:rPr>
          <w:sz w:val="20"/>
          <w:szCs w:val="20"/>
          <w:color w:val="auto"/>
        </w:rPr>
      </w:pPr>
      <w:r>
        <w:rPr>
          <w:rFonts w:ascii="Arial" w:cs="Arial" w:eastAsia="Arial" w:hAnsi="Arial"/>
          <w:sz w:val="16"/>
          <w:szCs w:val="16"/>
          <w:color w:val="auto"/>
        </w:rPr>
        <w:t xml:space="preserve">4.4.6 </w:t>
      </w:r>
      <w:r>
        <w:rPr>
          <w:rFonts w:ascii="Arial" w:cs="Arial" w:eastAsia="Arial" w:hAnsi="Arial"/>
          <w:sz w:val="16"/>
          <w:szCs w:val="16"/>
          <w:u w:val="single" w:color="auto"/>
          <w:color w:val="auto"/>
        </w:rPr>
        <w:t>Multiple Closing Dates</w:t>
      </w:r>
      <w:r>
        <w:rPr>
          <w:rFonts w:ascii="Arial" w:cs="Arial" w:eastAsia="Arial" w:hAnsi="Arial"/>
          <w:sz w:val="16"/>
          <w:szCs w:val="16"/>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for shares of any series of Preferred Stock pursuant to the terms of </w:t>
      </w:r>
      <w:r>
        <w:rPr>
          <w:rFonts w:ascii="Arial" w:cs="Arial" w:eastAsia="Arial" w:hAnsi="Arial"/>
          <w:sz w:val="16"/>
          <w:szCs w:val="16"/>
          <w:u w:val="single" w:color="auto"/>
          <w:color w:val="auto"/>
        </w:rPr>
        <w:t>Subsection 4.4.4</w:t>
      </w:r>
      <w:r>
        <w:rPr>
          <w:rFonts w:ascii="Arial" w:cs="Arial" w:eastAsia="Arial" w:hAnsi="Arial"/>
          <w:sz w:val="16"/>
          <w:szCs w:val="16"/>
          <w:color w:val="auto"/>
        </w:rPr>
        <w:t>, and such issuance dates occur within a period of no more than ninety (90) days from the first such issuance to the final such issuance, then, upon the final such issuance, such Conversion Price shall be readjusted to give effect to all such issuances as if they all occurred on the date of the additional adjustments as a result of any such subsequent issuances within such period).</w:t>
      </w:r>
    </w:p>
    <w:p>
      <w:pPr>
        <w:spacing w:after="0" w:line="158" w:lineRule="exact"/>
        <w:rPr>
          <w:sz w:val="20"/>
          <w:szCs w:val="20"/>
          <w:color w:val="auto"/>
        </w:rPr>
      </w:pPr>
    </w:p>
    <w:p>
      <w:pPr>
        <w:ind w:firstLine="1433"/>
        <w:spacing w:after="0" w:line="253"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Adjustment for Stock Splits and Combinations</w:t>
      </w:r>
      <w:r>
        <w:rPr>
          <w:rFonts w:ascii="Arial" w:cs="Arial" w:eastAsia="Arial" w:hAnsi="Arial"/>
          <w:sz w:val="18"/>
          <w:szCs w:val="18"/>
          <w:color w:val="auto"/>
        </w:rPr>
        <w:t>. If the Corporation shall at any time or from time to time after the Series C Original Issue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C Original Issue Date combine the outstanding shares of Common Stock, the applicable Conversion Price for shares of each series of Preferred Stock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subsection shall become effective at the close of business on the date the subdivision or combination becomes effective.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368" w:name="page369"/>
    <w:bookmarkEnd w:id="368"/>
    <w:p>
      <w:pPr>
        <w:ind w:firstLine="143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4.6 </w:t>
      </w:r>
      <w:r>
        <w:rPr>
          <w:rFonts w:ascii="Arial" w:cs="Arial" w:eastAsia="Arial" w:hAnsi="Arial"/>
          <w:sz w:val="18"/>
          <w:szCs w:val="18"/>
          <w:u w:val="single" w:color="auto"/>
          <w:color w:val="auto"/>
        </w:rPr>
        <w:t>Adjustment for Certain Dividends and Distributions</w:t>
      </w:r>
      <w:r>
        <w:rPr>
          <w:rFonts w:ascii="Arial" w:cs="Arial" w:eastAsia="Arial" w:hAnsi="Arial"/>
          <w:sz w:val="18"/>
          <w:szCs w:val="18"/>
          <w:color w:val="auto"/>
        </w:rPr>
        <w:t>. In the event the Corporation at any time or from time to time after the Series C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for shares of each series of Preferred Stock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93" w:lineRule="exact"/>
        <w:rPr>
          <w:sz w:val="20"/>
          <w:szCs w:val="20"/>
          <w:color w:val="auto"/>
        </w:rPr>
      </w:pPr>
    </w:p>
    <w:p>
      <w:pPr>
        <w:ind w:right="280" w:firstLine="1436"/>
        <w:spacing w:after="0" w:line="277" w:lineRule="auto"/>
        <w:tabs>
          <w:tab w:leader="none" w:pos="168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numerator of which shall be the total number of shares of Common Stock issued and outstanding immediately prior to the time of such issuance or the close of business on such record date, and</w:t>
      </w:r>
    </w:p>
    <w:p>
      <w:pPr>
        <w:spacing w:after="0" w:line="170" w:lineRule="exact"/>
        <w:rPr>
          <w:rFonts w:ascii="Arial" w:cs="Arial" w:eastAsia="Arial" w:hAnsi="Arial"/>
          <w:sz w:val="18"/>
          <w:szCs w:val="18"/>
          <w:color w:val="auto"/>
        </w:rPr>
      </w:pPr>
    </w:p>
    <w:p>
      <w:pPr>
        <w:jc w:val="both"/>
        <w:ind w:right="100" w:firstLine="1436"/>
        <w:spacing w:after="0" w:line="264" w:lineRule="auto"/>
        <w:tabs>
          <w:tab w:leader="none" w:pos="168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subsection as of the time of actual payment of such dividends or distributions; and</w:t>
      </w:r>
    </w:p>
    <w:p>
      <w:pPr>
        <w:ind w:right="320" w:firstLine="4"/>
        <w:spacing w:after="0" w:line="255" w:lineRule="auto"/>
        <w:tabs>
          <w:tab w:leader="none" w:pos="25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that no such adjustment shall be made if the holders of such series of Preferred Stock simultaneously receive a dividend or other distribution of shares of Common Stock in a number equal to the number of shares of Common Stock as they would have received if all outstanding shares of such series of Preferred Stock had been converted into Common Stock on the date of such event.</w:t>
      </w:r>
    </w:p>
    <w:p>
      <w:pPr>
        <w:spacing w:after="0" w:line="190" w:lineRule="exact"/>
        <w:rPr>
          <w:sz w:val="20"/>
          <w:szCs w:val="20"/>
          <w:color w:val="auto"/>
        </w:rPr>
      </w:pPr>
    </w:p>
    <w:p>
      <w:pPr>
        <w:ind w:firstLine="1433"/>
        <w:spacing w:after="0" w:line="272"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Adjustments for Other Dividends and Distributions</w:t>
      </w:r>
      <w:r>
        <w:rPr>
          <w:rFonts w:ascii="Arial" w:cs="Arial" w:eastAsia="Arial" w:hAnsi="Arial"/>
          <w:sz w:val="17"/>
          <w:szCs w:val="17"/>
          <w:color w:val="auto"/>
        </w:rPr>
        <w:t xml:space="preserve">. In the event the Corporation at any time or from time to time after the Series C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69" w:name="page370"/>
    <w:bookmarkEnd w:id="369"/>
    <w:p>
      <w:pPr>
        <w:ind w:firstLine="143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4.8 </w:t>
      </w:r>
      <w:r>
        <w:rPr>
          <w:rFonts w:ascii="Arial" w:cs="Arial" w:eastAsia="Arial" w:hAnsi="Arial"/>
          <w:sz w:val="17"/>
          <w:szCs w:val="17"/>
          <w:u w:val="single" w:color="auto"/>
          <w:color w:val="auto"/>
        </w:rPr>
        <w:t>Adjustment for Merger or Reorganization, etc.</w:t>
      </w:r>
      <w:r>
        <w:rPr>
          <w:rFonts w:ascii="Arial" w:cs="Arial" w:eastAsia="Arial" w:hAnsi="Arial"/>
          <w:sz w:val="17"/>
          <w:szCs w:val="17"/>
          <w:color w:val="auto"/>
        </w:rPr>
        <w:t xml:space="preserve"> Subject to the provisions of </w:t>
      </w:r>
      <w:r>
        <w:rPr>
          <w:rFonts w:ascii="Arial" w:cs="Arial" w:eastAsia="Arial" w:hAnsi="Arial"/>
          <w:sz w:val="17"/>
          <w:szCs w:val="17"/>
          <w:u w:val="single" w:color="auto"/>
          <w:color w:val="auto"/>
        </w:rPr>
        <w:t>Subsection 2.3</w:t>
      </w:r>
      <w:r>
        <w:rPr>
          <w:rFonts w:ascii="Arial" w:cs="Arial" w:eastAsia="Arial" w:hAnsi="Arial"/>
          <w:sz w:val="17"/>
          <w:szCs w:val="17"/>
          <w:color w:val="auto"/>
        </w:rPr>
        <w:t xml:space="preserve">, if there shall occur any reorganization, recapitalization, reclassification, consolidation or merger involving the Corporation in which the Common Stock (but not the Preferred Stock) is converted into or exchanged for securities, cash or other property (other than a transaction covered by </w:t>
      </w:r>
      <w:r>
        <w:rPr>
          <w:rFonts w:ascii="Arial" w:cs="Arial" w:eastAsia="Arial" w:hAnsi="Arial"/>
          <w:sz w:val="17"/>
          <w:szCs w:val="17"/>
          <w:u w:val="single" w:color="auto"/>
          <w:color w:val="auto"/>
        </w:rPr>
        <w:t>Subsections 4.4</w:t>
      </w:r>
      <w:r>
        <w:rPr>
          <w:rFonts w:ascii="Arial" w:cs="Arial" w:eastAsia="Arial" w:hAnsi="Arial"/>
          <w:sz w:val="17"/>
          <w:szCs w:val="17"/>
          <w:color w:val="auto"/>
        </w:rPr>
        <w:t xml:space="preserve">, </w:t>
      </w:r>
      <w:r>
        <w:rPr>
          <w:rFonts w:ascii="Arial" w:cs="Arial" w:eastAsia="Arial" w:hAnsi="Arial"/>
          <w:sz w:val="17"/>
          <w:szCs w:val="17"/>
          <w:u w:val="single" w:color="auto"/>
          <w:color w:val="auto"/>
        </w:rPr>
        <w:t>4.6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4.7</w:t>
      </w:r>
      <w:r>
        <w:rPr>
          <w:rFonts w:ascii="Arial" w:cs="Arial" w:eastAsia="Arial" w:hAnsi="Arial"/>
          <w:sz w:val="17"/>
          <w:szCs w:val="17"/>
          <w:color w:val="auto"/>
        </w:rPr>
        <w:t xml:space="preserve">), then, following any such reorganization, recapitalization, reclassification, consolidation or merger,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the applicable series of Preferred Stock immediately prior to such reorganization, recapitalization, reclassification, consolidation or merger would have been entitled to receive pursuant to such transaction; and, in such case, appropriate adjustment (as determined in good faith by the Board) shall be made in the application of the provisions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with respect to the rights and interests thereafter of the holders of such series of Preferred Stock, to the end that the provisions set forth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(including provisions with respect to changes in and other adjustments of the applicable Conversion Price for shares of such series of Preferred Stock) shall thereafter be applicable, as nearly as reasonably may be, in relation to any securities or other property thereafter deliverable upon the conversion of the shares of such series of Preferred Stock. For the avoidance of doubt, nothing in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shall be construed as preventing the holders of Preferred Stock from seeking any appraisal rights to which they are otherwise entitled under the DGCL in connection with a merger triggering an adjustment hereunder, nor shall this </w:t>
      </w:r>
      <w:r>
        <w:rPr>
          <w:rFonts w:ascii="Arial" w:cs="Arial" w:eastAsia="Arial" w:hAnsi="Arial"/>
          <w:sz w:val="17"/>
          <w:szCs w:val="17"/>
          <w:u w:val="single" w:color="auto"/>
          <w:color w:val="auto"/>
        </w:rPr>
        <w:t>Subsection 4.8</w:t>
      </w:r>
      <w:r>
        <w:rPr>
          <w:rFonts w:ascii="Arial" w:cs="Arial" w:eastAsia="Arial" w:hAnsi="Arial"/>
          <w:sz w:val="17"/>
          <w:szCs w:val="17"/>
          <w:color w:val="auto"/>
        </w:rPr>
        <w:t xml:space="preserve"> be deemed conclusive evidence of the fair value of the shares of Preferred Stock in any such appraisal proceeding.</w:t>
      </w:r>
    </w:p>
    <w:p>
      <w:pPr>
        <w:spacing w:after="0" w:line="75" w:lineRule="exact"/>
        <w:rPr>
          <w:sz w:val="20"/>
          <w:szCs w:val="20"/>
          <w:color w:val="auto"/>
        </w:rPr>
      </w:pPr>
    </w:p>
    <w:p>
      <w:pPr>
        <w:ind w:right="60" w:firstLine="1433"/>
        <w:spacing w:after="0" w:line="289"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Certificate as to Adjustments</w:t>
      </w:r>
      <w:r>
        <w:rPr>
          <w:rFonts w:ascii="Arial" w:cs="Arial" w:eastAsia="Arial" w:hAnsi="Arial"/>
          <w:sz w:val="16"/>
          <w:szCs w:val="16"/>
          <w:color w:val="auto"/>
        </w:rPr>
        <w:t xml:space="preserve">. Upon the occurrence of each adjustment or readjustment of the applicable Conversion Price pursuant to this </w:t>
      </w:r>
      <w:r>
        <w:rPr>
          <w:rFonts w:ascii="Arial" w:cs="Arial" w:eastAsia="Arial" w:hAnsi="Arial"/>
          <w:sz w:val="16"/>
          <w:szCs w:val="16"/>
          <w:u w:val="single" w:color="auto"/>
          <w:color w:val="auto"/>
        </w:rPr>
        <w:t>Section 4</w:t>
      </w:r>
      <w:r>
        <w:rPr>
          <w:rFonts w:ascii="Arial" w:cs="Arial" w:eastAsia="Arial" w:hAnsi="Arial"/>
          <w:sz w:val="16"/>
          <w:szCs w:val="16"/>
          <w:color w:val="auto"/>
        </w:rPr>
        <w:t>, the Corporation at its expense shall, as promptly as reasonably practicable but in any event not later than ten (10) days thereafter, compute such adjustment or readjustment in accordance with the terms hereof and furnish to each holder of shares of such affected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ten (10) days thereafter), furnish or cause to be furnished to such holder a certificate setting forth (i) the applicable Conversion Price then in effect for shares of such series of Preferred Stock, and (ii) the number of shares of Common Stock and the amount, if any, of other securities, cash or property which then would be received upon the conversion of shares of such series of Preferred Stock.</w:t>
      </w:r>
    </w:p>
    <w:p>
      <w:pPr>
        <w:spacing w:after="0" w:line="16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Notice of Record Date</w:t>
      </w:r>
      <w:r>
        <w:rPr>
          <w:rFonts w:ascii="Arial" w:cs="Arial" w:eastAsia="Arial" w:hAnsi="Arial"/>
          <w:sz w:val="18"/>
          <w:szCs w:val="18"/>
          <w:color w:val="auto"/>
        </w:rPr>
        <w:t>. In the event:</w:t>
      </w:r>
    </w:p>
    <w:p>
      <w:pPr>
        <w:spacing w:after="0" w:line="117" w:lineRule="exact"/>
        <w:rPr>
          <w:sz w:val="20"/>
          <w:szCs w:val="20"/>
          <w:color w:val="auto"/>
        </w:rPr>
      </w:pPr>
    </w:p>
    <w:p>
      <w:pPr>
        <w:ind w:right="40" w:firstLine="1987"/>
        <w:spacing w:after="0" w:line="312" w:lineRule="auto"/>
        <w:tabs>
          <w:tab w:leader="none" w:pos="2228" w:val="left"/>
        </w:tabs>
        <w:numPr>
          <w:ilvl w:val="0"/>
          <w:numId w:val="186"/>
        </w:numPr>
        <w:rPr>
          <w:rFonts w:ascii="Arial" w:cs="Arial" w:eastAsia="Arial" w:hAnsi="Arial"/>
          <w:sz w:val="16"/>
          <w:szCs w:val="16"/>
          <w:color w:val="auto"/>
        </w:rPr>
      </w:pPr>
      <w:r>
        <w:rPr>
          <w:rFonts w:ascii="Arial" w:cs="Arial" w:eastAsia="Arial" w:hAnsi="Arial"/>
          <w:sz w:val="16"/>
          <w:szCs w:val="16"/>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6" w:lineRule="exact"/>
        <w:rPr>
          <w:rFonts w:ascii="Arial" w:cs="Arial" w:eastAsia="Arial" w:hAnsi="Arial"/>
          <w:sz w:val="16"/>
          <w:szCs w:val="16"/>
          <w:color w:val="auto"/>
        </w:rPr>
      </w:pPr>
    </w:p>
    <w:p>
      <w:pPr>
        <w:ind w:left="2240" w:hanging="253"/>
        <w:spacing w:after="0"/>
        <w:tabs>
          <w:tab w:leader="none" w:pos="224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of any capital reorganization of the Corporation, any reclassification of the Common Stock of the Corporation, or any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Deemed Liquidation Event; 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70" w:name="page371"/>
    <w:bookmarkEnd w:id="370"/>
    <w:p>
      <w:pPr>
        <w:jc w:val="center"/>
        <w:ind w:right="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of the voluntary or involuntary dissolution, liquidation or winding-up of the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then, and in each such case, the Corporation will send or cause to be sent to the holders of the Preferred Stock a notice specifying, as the case may be,</w:t>
      </w:r>
    </w:p>
    <w:p>
      <w:pPr>
        <w:spacing w:after="0" w:line="46" w:lineRule="exact"/>
        <w:rPr>
          <w:sz w:val="20"/>
          <w:szCs w:val="20"/>
          <w:color w:val="auto"/>
        </w:rPr>
      </w:pPr>
    </w:p>
    <w:p>
      <w:pPr>
        <w:ind w:firstLine="4"/>
        <w:spacing w:after="0" w:line="281" w:lineRule="auto"/>
        <w:tabs>
          <w:tab w:leader="none" w:pos="215"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record date for such dividend, distribution or right, and the amount and character of such dividend, distribution or right, or (ii) the effective date on which such reorganization, reclassification, consolidation, merger, transfer, dissolution, liquidation or winding-up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winding-up, and the amount per share and character of such exchange applicable to the Preferred Stock and the Common Stock. Such notice shall be sent at least ten</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 days prior to the record date or effective date for the event specified in such notice.</w:t>
      </w:r>
    </w:p>
    <w:p>
      <w:pPr>
        <w:spacing w:after="0" w:line="210" w:lineRule="exact"/>
        <w:rPr>
          <w:rFonts w:ascii="Arial" w:cs="Arial" w:eastAsia="Arial" w:hAnsi="Arial"/>
          <w:sz w:val="16"/>
          <w:szCs w:val="16"/>
          <w:color w:val="auto"/>
        </w:rPr>
      </w:pPr>
    </w:p>
    <w:p>
      <w:pPr>
        <w:ind w:left="1180" w:hanging="184"/>
        <w:spacing w:after="0"/>
        <w:tabs>
          <w:tab w:leader="none" w:pos="1180" w:val="left"/>
        </w:tabs>
        <w:numPr>
          <w:ilvl w:val="1"/>
          <w:numId w:val="187"/>
        </w:numPr>
        <w:rPr>
          <w:rFonts w:ascii="Arial" w:cs="Arial" w:eastAsia="Arial" w:hAnsi="Arial"/>
          <w:sz w:val="18"/>
          <w:szCs w:val="18"/>
          <w:color w:val="auto"/>
        </w:rPr>
      </w:pPr>
      <w:r>
        <w:rPr>
          <w:rFonts w:ascii="Arial" w:cs="Arial" w:eastAsia="Arial" w:hAnsi="Arial"/>
          <w:sz w:val="18"/>
          <w:szCs w:val="18"/>
          <w:u w:val="single" w:color="auto"/>
          <w:color w:val="auto"/>
        </w:rPr>
        <w:t>Mandatory Conversion</w:t>
      </w:r>
      <w:r>
        <w:rPr>
          <w:rFonts w:ascii="Arial" w:cs="Arial" w:eastAsia="Arial" w:hAnsi="Arial"/>
          <w:sz w:val="18"/>
          <w:szCs w:val="18"/>
          <w:color w:val="auto"/>
        </w:rPr>
        <w:t>.</w:t>
      </w:r>
    </w:p>
    <w:p>
      <w:pPr>
        <w:spacing w:after="0" w:line="225" w:lineRule="exact"/>
        <w:rPr>
          <w:sz w:val="20"/>
          <w:szCs w:val="20"/>
          <w:color w:val="auto"/>
        </w:rPr>
      </w:pPr>
    </w:p>
    <w:p>
      <w:pPr>
        <w:ind w:firstLine="1433"/>
        <w:spacing w:after="0" w:line="286"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Trigger Events</w:t>
      </w:r>
      <w:r>
        <w:rPr>
          <w:rFonts w:ascii="Arial" w:cs="Arial" w:eastAsia="Arial" w:hAnsi="Arial"/>
          <w:sz w:val="16"/>
          <w:szCs w:val="16"/>
          <w:color w:val="auto"/>
        </w:rPr>
        <w:t>. Upon either (a) the closing of the sale of shares of Common Stock to the public at a price of at least $10.03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 resulting in at least $50,000,000 of gross proceeds, following which the Corporation’s Common Stock is listed on the New York Stock Exchange or Nasdaq, or</w:t>
      </w:r>
    </w:p>
    <w:p>
      <w:pPr>
        <w:spacing w:after="0" w:line="2" w:lineRule="exact"/>
        <w:rPr>
          <w:sz w:val="20"/>
          <w:szCs w:val="20"/>
          <w:color w:val="auto"/>
        </w:rPr>
      </w:pPr>
    </w:p>
    <w:p>
      <w:pPr>
        <w:ind w:firstLine="4"/>
        <w:spacing w:after="0" w:line="252" w:lineRule="auto"/>
        <w:tabs>
          <w:tab w:leader="none" w:pos="25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date and time, or the occurrence of an event, specified by vote or written consent of the Preferred Majority (which must include the consent or vote of the holders of at least forty-five percent (45%) of the then-outstanding shares of the Series C Preferred Stock) (immediately prior to the time of such closing or the date and time specified or the time of the event specified in such vote or written consent is referred to herein as the “</w:t>
      </w:r>
      <w:r>
        <w:rPr>
          <w:rFonts w:ascii="Arial" w:cs="Arial" w:eastAsia="Arial" w:hAnsi="Arial"/>
          <w:sz w:val="18"/>
          <w:szCs w:val="18"/>
          <w:b w:val="1"/>
          <w:bCs w:val="1"/>
          <w:i w:val="1"/>
          <w:iCs w:val="1"/>
          <w:color w:val="auto"/>
        </w:rPr>
        <w:t>Mandatory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Conversion Time</w:t>
      </w:r>
      <w:r>
        <w:rPr>
          <w:rFonts w:ascii="Arial" w:cs="Arial" w:eastAsia="Arial" w:hAnsi="Arial"/>
          <w:sz w:val="18"/>
          <w:szCs w:val="18"/>
          <w:color w:val="auto"/>
        </w:rPr>
        <w:t>”), then (i) at the Mandatory Conversion Time all outstanding shares of Preferred Stock shall automatically be converted into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Common Stock, at the then effective conversion rate as calculated pursuant to </w:t>
      </w:r>
      <w:r>
        <w:rPr>
          <w:rFonts w:ascii="Arial" w:cs="Arial" w:eastAsia="Arial" w:hAnsi="Arial"/>
          <w:sz w:val="18"/>
          <w:szCs w:val="18"/>
          <w:u w:val="single" w:color="auto"/>
          <w:color w:val="auto"/>
        </w:rPr>
        <w:t>Subsection 4.1.1</w:t>
      </w:r>
      <w:r>
        <w:rPr>
          <w:rFonts w:ascii="Arial" w:cs="Arial" w:eastAsia="Arial" w:hAnsi="Arial"/>
          <w:sz w:val="18"/>
          <w:szCs w:val="18"/>
          <w:color w:val="auto"/>
        </w:rPr>
        <w:t>, and (ii) such shares may not be reissued by the Corporation.</w:t>
      </w:r>
    </w:p>
    <w:p>
      <w:pPr>
        <w:spacing w:after="0" w:line="194" w:lineRule="exact"/>
        <w:rPr>
          <w:sz w:val="20"/>
          <w:szCs w:val="20"/>
          <w:color w:val="auto"/>
        </w:rPr>
      </w:pPr>
    </w:p>
    <w:p>
      <w:pPr>
        <w:ind w:right="140" w:firstLine="1433"/>
        <w:spacing w:after="0" w:line="25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Procedural Requirements</w:t>
      </w:r>
      <w:r>
        <w:rPr>
          <w:rFonts w:ascii="Arial" w:cs="Arial" w:eastAsia="Arial" w:hAnsi="Arial"/>
          <w:sz w:val="18"/>
          <w:szCs w:val="18"/>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Arial" w:cs="Arial" w:eastAsia="Arial" w:hAnsi="Arial"/>
          <w:sz w:val="18"/>
          <w:szCs w:val="18"/>
          <w:u w:val="single" w:color="auto"/>
          <w:color w:val="auto"/>
        </w:rPr>
        <w:t>Section 5</w:t>
      </w:r>
      <w:r>
        <w:rPr>
          <w:rFonts w:ascii="Arial" w:cs="Arial" w:eastAsia="Arial" w:hAnsi="Arial"/>
          <w:sz w:val="18"/>
          <w:szCs w:val="18"/>
          <w:color w:val="auto"/>
        </w:rPr>
        <w:t>.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3" w:right="499" w:bottom="1440" w:gutter="0" w:footer="0" w:header="0"/>
        </w:sectPr>
      </w:pPr>
    </w:p>
    <w:bookmarkStart w:id="371" w:name="page372"/>
    <w:bookmarkEnd w:id="37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writing. All rights with respect to the Preferred Stock converted pursuant to </w:t>
      </w:r>
      <w:r>
        <w:rPr>
          <w:rFonts w:ascii="Arial" w:cs="Arial" w:eastAsia="Arial" w:hAnsi="Arial"/>
          <w:sz w:val="17"/>
          <w:szCs w:val="17"/>
          <w:u w:val="single" w:color="auto"/>
          <w:color w:val="auto"/>
        </w:rPr>
        <w:t>Subsection 5.1</w:t>
      </w:r>
      <w:r>
        <w:rPr>
          <w:rFonts w:ascii="Arial" w:cs="Arial" w:eastAsia="Arial" w:hAnsi="Arial"/>
          <w:sz w:val="17"/>
          <w:szCs w:val="17"/>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Arial" w:cs="Arial" w:eastAsia="Arial" w:hAnsi="Arial"/>
          <w:sz w:val="17"/>
          <w:szCs w:val="17"/>
          <w:u w:val="single" w:color="auto"/>
          <w:color w:val="auto"/>
        </w:rPr>
        <w:t>Subsection 5.2</w:t>
      </w:r>
      <w:r>
        <w:rPr>
          <w:rFonts w:ascii="Arial" w:cs="Arial" w:eastAsia="Arial" w:hAnsi="Arial"/>
          <w:sz w:val="17"/>
          <w:szCs w:val="17"/>
          <w:color w:val="auto"/>
        </w:rPr>
        <w:t xml:space="preserve">. As soon as practicable after the Mandatory Conversion Time and, if applicable, the surrender of any certificate or certificates (or lost certificate affidavit and agreement) for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Arial" w:cs="Arial" w:eastAsia="Arial" w:hAnsi="Arial"/>
          <w:sz w:val="17"/>
          <w:szCs w:val="17"/>
          <w:u w:val="single" w:color="auto"/>
          <w:color w:val="auto"/>
        </w:rPr>
        <w:t>Subsection 4.2</w:t>
      </w:r>
      <w:r>
        <w:rPr>
          <w:rFonts w:ascii="Arial" w:cs="Arial" w:eastAsia="Arial" w:hAnsi="Arial"/>
          <w:sz w:val="17"/>
          <w:szCs w:val="17"/>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83" w:lineRule="exact"/>
        <w:rPr>
          <w:sz w:val="20"/>
          <w:szCs w:val="20"/>
          <w:color w:val="auto"/>
        </w:rPr>
      </w:pPr>
    </w:p>
    <w:p>
      <w:pPr>
        <w:ind w:left="1180" w:hanging="184"/>
        <w:spacing w:after="0"/>
        <w:tabs>
          <w:tab w:leader="none" w:pos="1180" w:val="left"/>
        </w:tabs>
        <w:numPr>
          <w:ilvl w:val="0"/>
          <w:numId w:val="189"/>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996"/>
        <w:spacing w:after="0" w:line="312" w:lineRule="auto"/>
        <w:tabs>
          <w:tab w:leader="none" w:pos="1172" w:val="left"/>
        </w:tabs>
        <w:numPr>
          <w:ilvl w:val="0"/>
          <w:numId w:val="189"/>
        </w:numPr>
        <w:rPr>
          <w:rFonts w:ascii="Arial" w:cs="Arial" w:eastAsia="Arial" w:hAnsi="Arial"/>
          <w:sz w:val="16"/>
          <w:szCs w:val="16"/>
          <w:color w:val="auto"/>
        </w:rPr>
      </w:pPr>
      <w:r>
        <w:rPr>
          <w:rFonts w:ascii="Arial" w:cs="Arial" w:eastAsia="Arial" w:hAnsi="Arial"/>
          <w:sz w:val="16"/>
          <w:szCs w:val="16"/>
          <w:u w:val="single" w:color="auto"/>
          <w:color w:val="auto"/>
        </w:rPr>
        <w:t>Redeemed or Otherwise Acquired Shares</w:t>
      </w:r>
      <w:r>
        <w:rPr>
          <w:rFonts w:ascii="Arial" w:cs="Arial" w:eastAsia="Arial" w:hAnsi="Arial"/>
          <w:sz w:val="16"/>
          <w:szCs w:val="16"/>
          <w:color w:val="auto"/>
        </w:rPr>
        <w:t>. Any shares of Preferred Stock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146" w:lineRule="exact"/>
        <w:rPr>
          <w:rFonts w:ascii="Arial" w:cs="Arial" w:eastAsia="Arial" w:hAnsi="Arial"/>
          <w:sz w:val="16"/>
          <w:szCs w:val="16"/>
          <w:color w:val="auto"/>
        </w:rPr>
      </w:pPr>
    </w:p>
    <w:p>
      <w:pPr>
        <w:ind w:right="20" w:firstLine="996"/>
        <w:spacing w:after="0" w:line="270" w:lineRule="auto"/>
        <w:tabs>
          <w:tab w:leader="none" w:pos="1172"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Waiver</w:t>
      </w:r>
      <w:r>
        <w:rPr>
          <w:rFonts w:ascii="Arial" w:cs="Arial" w:eastAsia="Arial" w:hAnsi="Arial"/>
          <w:sz w:val="17"/>
          <w:szCs w:val="17"/>
          <w:color w:val="auto"/>
        </w:rPr>
        <w:t>. Except as otherwise set forth in the Certificate of Incorporation, (i) any of the rights, powers, preferences and other terms of the Preferred Stock set forth herein may be waived on behalf of all holders of Preferred Stock by the affirmative written consent or vote of the Preferred Majority, (ii) any of the rights, powers, preferences and other terms of the Series A Preferred Stock set forth herein may be waived on behalf of all holders of Series A Preferred Stock by the affirmative written consent or vote of holders of at least sixty-five percent (65%) of the then outstanding shares of Series A Preferred Stock, (iii) any of the rights, powers, preferences and other terms of the Series B Preferred Stock set forth herein may be waived on behalf of all holders of Series B Preferred Stock by the affirmative written consent or vote of holders of at least sixty-two and one-half percent (62.5%) of the then outstanding shares of Series B Preferred Stock and (iv) any of the rights, powers, preferences and other terms of the Series C Preferred Stock set forth herein may be waived on behalf of all holders of Series C Preferred Stock by the affirmative written consent or vote of holders of a majority of the then outstanding shares of Series C Preferred Stock.</w:t>
      </w:r>
    </w:p>
    <w:p>
      <w:pPr>
        <w:spacing w:after="0" w:line="181" w:lineRule="exact"/>
        <w:rPr>
          <w:rFonts w:ascii="Arial" w:cs="Arial" w:eastAsia="Arial" w:hAnsi="Arial"/>
          <w:sz w:val="17"/>
          <w:szCs w:val="17"/>
          <w:color w:val="auto"/>
        </w:rPr>
      </w:pPr>
    </w:p>
    <w:p>
      <w:pPr>
        <w:jc w:val="both"/>
        <w:ind w:right="20" w:firstLine="996"/>
        <w:spacing w:after="0" w:line="286" w:lineRule="auto"/>
        <w:tabs>
          <w:tab w:leader="none" w:pos="1172"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required or permitted by the provisions of this Article Fifth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such mailing or electronic transmission.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3" w:right="439" w:bottom="1440" w:gutter="0" w:footer="0" w:header="0"/>
        </w:sectPr>
      </w:pPr>
    </w:p>
    <w:bookmarkStart w:id="372" w:name="page373"/>
    <w:bookmarkEnd w:id="372"/>
    <w:p>
      <w:pPr>
        <w:ind w:right="180" w:firstLine="441"/>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SIXTH: </w:t>
      </w:r>
      <w:r>
        <w:rPr>
          <w:rFonts w:ascii="Arial" w:cs="Arial" w:eastAsia="Arial" w:hAnsi="Arial"/>
          <w:sz w:val="16"/>
          <w:szCs w:val="16"/>
          <w:color w:val="auto"/>
        </w:rPr>
        <w:t>Subject to any additional vote required by the Certificate of Incorporation or Bylaws, in furtherance and not in limitation of the powers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by statute, the Board is expressly authorized to make, repeal, alter, amend and rescind any or all of the Bylaws of the Corporation.</w:t>
      </w:r>
    </w:p>
    <w:p>
      <w:pPr>
        <w:spacing w:after="0" w:line="116" w:lineRule="exact"/>
        <w:rPr>
          <w:sz w:val="20"/>
          <w:szCs w:val="20"/>
          <w:color w:val="auto"/>
        </w:rPr>
      </w:pPr>
    </w:p>
    <w:p>
      <w:pPr>
        <w:ind w:right="540" w:firstLine="441"/>
        <w:spacing w:after="0" w:line="282" w:lineRule="auto"/>
        <w:rPr>
          <w:sz w:val="20"/>
          <w:szCs w:val="20"/>
          <w:color w:val="auto"/>
        </w:rPr>
      </w:pPr>
      <w:r>
        <w:rPr>
          <w:rFonts w:ascii="Arial" w:cs="Arial" w:eastAsia="Arial" w:hAnsi="Arial"/>
          <w:sz w:val="18"/>
          <w:szCs w:val="18"/>
          <w:b w:val="1"/>
          <w:bCs w:val="1"/>
          <w:color w:val="auto"/>
        </w:rPr>
        <w:t xml:space="preserve">SEVENTH: </w:t>
      </w:r>
      <w:r>
        <w:rPr>
          <w:rFonts w:ascii="Arial" w:cs="Arial" w:eastAsia="Arial" w:hAnsi="Arial"/>
          <w:sz w:val="18"/>
          <w:szCs w:val="18"/>
          <w:color w:val="auto"/>
        </w:rPr>
        <w:t>Subject to any additional vote required by the Certificate of Incorporation, the number of directors of the Corporation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the manner set forth in the Bylaws of the Corporation.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EIGHTH: </w:t>
      </w:r>
      <w:r>
        <w:rPr>
          <w:rFonts w:ascii="Arial" w:cs="Arial" w:eastAsia="Arial" w:hAnsi="Arial"/>
          <w:sz w:val="18"/>
          <w:szCs w:val="18"/>
          <w:color w:val="auto"/>
        </w:rPr>
        <w:t>Elections of directors need not be by written ballot unless the Bylaws of the Corporation shall so provide.</w:t>
      </w:r>
    </w:p>
    <w:p>
      <w:pPr>
        <w:spacing w:after="0" w:line="225" w:lineRule="exact"/>
        <w:rPr>
          <w:sz w:val="20"/>
          <w:szCs w:val="20"/>
          <w:color w:val="auto"/>
        </w:rPr>
      </w:pPr>
    </w:p>
    <w:p>
      <w:pPr>
        <w:ind w:right="200" w:firstLine="441"/>
        <w:spacing w:after="0" w:line="266" w:lineRule="auto"/>
        <w:rPr>
          <w:sz w:val="20"/>
          <w:szCs w:val="20"/>
          <w:color w:val="auto"/>
        </w:rPr>
      </w:pPr>
      <w:r>
        <w:rPr>
          <w:rFonts w:ascii="Arial" w:cs="Arial" w:eastAsia="Arial" w:hAnsi="Arial"/>
          <w:sz w:val="18"/>
          <w:szCs w:val="18"/>
          <w:b w:val="1"/>
          <w:bCs w:val="1"/>
          <w:color w:val="auto"/>
        </w:rPr>
        <w:t xml:space="preserve">NINTH: </w:t>
      </w:r>
      <w:r>
        <w:rPr>
          <w:rFonts w:ascii="Arial" w:cs="Arial" w:eastAsia="Arial" w:hAnsi="Arial"/>
          <w:sz w:val="18"/>
          <w:szCs w:val="18"/>
          <w:color w:val="auto"/>
        </w:rPr>
        <w:t>Meetings of stockholders may be held within or without the State of Delaware, as the Bylaws of the Corporation may provide. The</w:t>
      </w:r>
      <w:r>
        <w:rPr>
          <w:rFonts w:ascii="Arial" w:cs="Arial" w:eastAsia="Arial" w:hAnsi="Arial"/>
          <w:sz w:val="18"/>
          <w:szCs w:val="18"/>
          <w:b w:val="1"/>
          <w:bCs w:val="1"/>
          <w:color w:val="auto"/>
        </w:rPr>
        <w:t xml:space="preserve"> </w:t>
      </w:r>
      <w:r>
        <w:rPr>
          <w:rFonts w:ascii="Arial" w:cs="Arial" w:eastAsia="Arial" w:hAnsi="Arial"/>
          <w:sz w:val="18"/>
          <w:szCs w:val="18"/>
          <w:color w:val="auto"/>
        </w:rPr>
        <w:t>books of the Corporation may be kept outside the State of Delaware at such place or places as may be designated from time to time by the Board or in the Bylaws of the Corporation.</w:t>
      </w:r>
    </w:p>
    <w:p>
      <w:pPr>
        <w:spacing w:after="0" w:line="176" w:lineRule="exact"/>
        <w:rPr>
          <w:sz w:val="20"/>
          <w:szCs w:val="20"/>
          <w:color w:val="auto"/>
        </w:rPr>
      </w:pPr>
    </w:p>
    <w:p>
      <w:pPr>
        <w:ind w:right="100" w:firstLine="441"/>
        <w:spacing w:after="0" w:line="258" w:lineRule="auto"/>
        <w:rPr>
          <w:sz w:val="20"/>
          <w:szCs w:val="20"/>
          <w:color w:val="auto"/>
        </w:rPr>
      </w:pPr>
      <w:r>
        <w:rPr>
          <w:rFonts w:ascii="Arial" w:cs="Arial" w:eastAsia="Arial" w:hAnsi="Arial"/>
          <w:sz w:val="18"/>
          <w:szCs w:val="18"/>
          <w:b w:val="1"/>
          <w:bCs w:val="1"/>
          <w:color w:val="auto"/>
        </w:rPr>
        <w:t xml:space="preserve">TENTH: </w:t>
      </w:r>
      <w:r>
        <w:rPr>
          <w:rFonts w:ascii="Arial" w:cs="Arial" w:eastAsia="Arial" w:hAnsi="Arial"/>
          <w:sz w:val="18"/>
          <w:szCs w:val="18"/>
          <w:color w:val="auto"/>
        </w:rPr>
        <w:t>Except to the extent that the General Corporation Law prohibits the elimination or limitation of liability of directors for breaches of</w:t>
      </w:r>
      <w:r>
        <w:rPr>
          <w:rFonts w:ascii="Arial" w:cs="Arial" w:eastAsia="Arial" w:hAnsi="Arial"/>
          <w:sz w:val="18"/>
          <w:szCs w:val="18"/>
          <w:b w:val="1"/>
          <w:bCs w:val="1"/>
          <w:color w:val="auto"/>
        </w:rPr>
        <w:t xml:space="preserve"> </w:t>
      </w:r>
      <w:r>
        <w:rPr>
          <w:rFonts w:ascii="Arial" w:cs="Arial" w:eastAsia="Arial" w:hAnsi="Arial"/>
          <w:sz w:val="18"/>
          <w:szCs w:val="18"/>
          <w:color w:val="auto"/>
        </w:rPr>
        <w:t>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w:t>
      </w:r>
    </w:p>
    <w:p>
      <w:pPr>
        <w:spacing w:after="0" w:line="188"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Any repeal or modification of the foregoing provisions of this Article Tenth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77" w:lineRule="exact"/>
        <w:rPr>
          <w:sz w:val="20"/>
          <w:szCs w:val="20"/>
          <w:color w:val="auto"/>
        </w:rPr>
      </w:pPr>
    </w:p>
    <w:p>
      <w:pPr>
        <w:ind w:right="80" w:firstLine="441"/>
        <w:spacing w:after="0" w:line="303" w:lineRule="auto"/>
        <w:rPr>
          <w:sz w:val="20"/>
          <w:szCs w:val="20"/>
          <w:color w:val="auto"/>
        </w:rPr>
      </w:pPr>
      <w:r>
        <w:rPr>
          <w:rFonts w:ascii="Arial" w:cs="Arial" w:eastAsia="Arial" w:hAnsi="Arial"/>
          <w:sz w:val="16"/>
          <w:szCs w:val="16"/>
          <w:b w:val="1"/>
          <w:bCs w:val="1"/>
          <w:color w:val="auto"/>
        </w:rPr>
        <w:t xml:space="preserve">ELEVENTH: </w:t>
      </w:r>
      <w:r>
        <w:rPr>
          <w:rFonts w:ascii="Arial" w:cs="Arial" w:eastAsia="Arial" w:hAnsi="Arial"/>
          <w:sz w:val="16"/>
          <w:szCs w:val="16"/>
          <w:color w:val="auto"/>
        </w:rPr>
        <w:t>To the fullest extent permitted by applicable law, the Corporation is authorized to provide indemnification of (and advancement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to) directors, officers and agents of the Corporation (and any other persons to which General Corporation Law permits the Corporation to provide indemnification) through Bylaw provisions, agreements with such agents or other persons, vote of stockholders or disinterested directors or otherwise, in excess of the indemnification and advancement otherwise permitted by Section 145 of the General Corporation Law.</w:t>
      </w:r>
    </w:p>
    <w:p>
      <w:pPr>
        <w:spacing w:after="0" w:line="155"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Any amendment, repeal or modification of the foregoing provisions of this Article Eleventh shall not adversely affect any right or protection of any director, officer or other agent of the Corporation existing at the time of such amendment, repeal or modification.</w:t>
      </w:r>
    </w:p>
    <w:p>
      <w:pPr>
        <w:spacing w:after="0" w:line="166"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b w:val="1"/>
          <w:bCs w:val="1"/>
          <w:color w:val="auto"/>
        </w:rPr>
        <w:t xml:space="preserve">TWELFTH: </w:t>
      </w:r>
      <w:r>
        <w:rPr>
          <w:rFonts w:ascii="Arial" w:cs="Arial" w:eastAsia="Arial" w:hAnsi="Arial"/>
          <w:sz w:val="18"/>
          <w:szCs w:val="18"/>
          <w:color w:val="auto"/>
        </w:rPr>
        <w:t>The Corporation renounces, to the fullest extent permitted by law, any interest or expectancy of the Corporation in, or in being</w:t>
      </w:r>
      <w:r>
        <w:rPr>
          <w:rFonts w:ascii="Arial" w:cs="Arial" w:eastAsia="Arial" w:hAnsi="Arial"/>
          <w:sz w:val="18"/>
          <w:szCs w:val="18"/>
          <w:b w:val="1"/>
          <w:bCs w:val="1"/>
          <w:color w:val="auto"/>
        </w:rPr>
        <w:t xml:space="preserve"> </w:t>
      </w:r>
      <w:r>
        <w:rPr>
          <w:rFonts w:ascii="Arial" w:cs="Arial" w:eastAsia="Arial" w:hAnsi="Arial"/>
          <w:sz w:val="18"/>
          <w:szCs w:val="18"/>
          <w:color w:val="auto"/>
        </w:rPr>
        <w:t>offered an opportunity to participate in, any Excluded Opportunity. An “</w:t>
      </w:r>
      <w:r>
        <w:rPr>
          <w:rFonts w:ascii="Arial" w:cs="Arial" w:eastAsia="Arial" w:hAnsi="Arial"/>
          <w:sz w:val="18"/>
          <w:szCs w:val="18"/>
          <w:b w:val="1"/>
          <w:bCs w:val="1"/>
          <w:i w:val="1"/>
          <w:iCs w:val="1"/>
          <w:color w:val="auto"/>
        </w:rPr>
        <w:t>Excluded Opportunity</w:t>
      </w:r>
      <w:r>
        <w:rPr>
          <w:rFonts w:ascii="Arial" w:cs="Arial" w:eastAsia="Arial" w:hAnsi="Arial"/>
          <w:sz w:val="18"/>
          <w:szCs w:val="18"/>
          <w:color w:val="auto"/>
        </w:rPr>
        <w:t>” is any matter, transaction or interest that is presented to, or acquired, created or developed by, or which otherwise comes into the possession of (i) any director of the Corporation who is not an employee of the Corporation or</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0" w:right="459" w:bottom="1440" w:gutter="0" w:footer="0" w:header="0"/>
        </w:sectPr>
      </w:pPr>
    </w:p>
    <w:bookmarkStart w:id="373" w:name="page374"/>
    <w:bookmarkEnd w:id="373"/>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8"/>
          <w:szCs w:val="18"/>
          <w:b w:val="1"/>
          <w:bCs w:val="1"/>
          <w:i w:val="1"/>
          <w:iCs w:val="1"/>
          <w:color w:val="auto"/>
        </w:rPr>
        <w:t>Covered Persons</w:t>
      </w:r>
      <w:r>
        <w:rPr>
          <w:rFonts w:ascii="Arial" w:cs="Arial" w:eastAsia="Arial" w:hAnsi="Arial"/>
          <w:sz w:val="18"/>
          <w:szCs w:val="18"/>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83" w:lineRule="exact"/>
        <w:rPr>
          <w:sz w:val="20"/>
          <w:szCs w:val="20"/>
          <w:color w:val="auto"/>
        </w:rPr>
      </w:pPr>
    </w:p>
    <w:p>
      <w:pPr>
        <w:ind w:right="60" w:firstLine="441"/>
        <w:spacing w:after="0" w:line="286" w:lineRule="auto"/>
        <w:rPr>
          <w:sz w:val="20"/>
          <w:szCs w:val="20"/>
          <w:color w:val="auto"/>
        </w:rPr>
      </w:pPr>
      <w:r>
        <w:rPr>
          <w:rFonts w:ascii="Arial" w:cs="Arial" w:eastAsia="Arial" w:hAnsi="Arial"/>
          <w:sz w:val="16"/>
          <w:szCs w:val="16"/>
          <w:b w:val="1"/>
          <w:bCs w:val="1"/>
          <w:color w:val="auto"/>
        </w:rPr>
        <w:t xml:space="preserve">THIRTEENTH: </w:t>
      </w:r>
      <w:r>
        <w:rPr>
          <w:rFonts w:ascii="Arial" w:cs="Arial" w:eastAsia="Arial" w:hAnsi="Arial"/>
          <w:sz w:val="16"/>
          <w:szCs w:val="16"/>
          <w:color w:val="auto"/>
        </w:rPr>
        <w:t>Unless the Corporation consents in writing to the selection of an alternative forum, the Court of Chancery in the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Corporation’s certificate of incorporation or bylaws or</w:t>
      </w:r>
    </w:p>
    <w:p>
      <w:pPr>
        <w:spacing w:after="0" w:line="2" w:lineRule="exact"/>
        <w:rPr>
          <w:sz w:val="20"/>
          <w:szCs w:val="20"/>
          <w:color w:val="auto"/>
        </w:rPr>
      </w:pPr>
    </w:p>
    <w:p>
      <w:pPr>
        <w:ind w:right="20" w:firstLine="4"/>
        <w:spacing w:after="0" w:line="268" w:lineRule="auto"/>
        <w:tabs>
          <w:tab w:leader="none" w:pos="305"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which is vested in the exclusive jurisdiction of a court or forum other than the Court of Chancery, or for which the Court of Chancery does not have subject matter jurisdiction. If any provision or provisions of this Article Thirteenth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Thirteenth (including, without limitation, each portion of any sentence of this Article Thirteenth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76"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b w:val="1"/>
          <w:bCs w:val="1"/>
          <w:color w:val="auto"/>
        </w:rPr>
        <w:t xml:space="preserve">FOURTEENTH: </w:t>
      </w:r>
      <w:r>
        <w:rPr>
          <w:rFonts w:ascii="Arial" w:cs="Arial" w:eastAsia="Arial" w:hAnsi="Arial"/>
          <w:sz w:val="17"/>
          <w:szCs w:val="17"/>
          <w:color w:val="auto"/>
        </w:rPr>
        <w:t>For purposes of Section 500 of the California Corporations Code (to the extent applicable), in connection with any repurchase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of shares of Common Stock permitted under this Certificate of Incorporation from employees, officers, directors or consultants of the Company in connection with a termination of employment or services pursuant to agreements or arrangements approved by the Board (in addition to any other consent required under this Certificate of Incorporation),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 (0).</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80"/>
          </w:cols>
          <w:pgMar w:left="440" w:top="274" w:right="479" w:bottom="1440" w:gutter="0" w:footer="0" w:header="0"/>
        </w:sectPr>
      </w:pPr>
    </w:p>
    <w:bookmarkStart w:id="374" w:name="page375"/>
    <w:bookmarkEnd w:id="374"/>
    <w:p>
      <w:pPr>
        <w:ind w:left="-80" w:firstLine="444"/>
        <w:spacing w:after="0" w:line="277" w:lineRule="auto"/>
        <w:tabs>
          <w:tab w:leader="none" w:pos="541"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That the foregoing amendment and restatement was approved by the holders of the requisite number of shares of this corporation in accordance with Section 228 of the General Corporation Law.</w:t>
      </w:r>
    </w:p>
    <w:p>
      <w:pPr>
        <w:spacing w:after="0" w:line="170" w:lineRule="exact"/>
        <w:rPr>
          <w:rFonts w:ascii="Arial" w:cs="Arial" w:eastAsia="Arial" w:hAnsi="Arial"/>
          <w:sz w:val="18"/>
          <w:szCs w:val="18"/>
          <w:color w:val="auto"/>
        </w:rPr>
      </w:pPr>
    </w:p>
    <w:p>
      <w:pPr>
        <w:ind w:left="-80" w:right="800" w:firstLine="444"/>
        <w:spacing w:after="0" w:line="342" w:lineRule="auto"/>
        <w:tabs>
          <w:tab w:leader="none" w:pos="541" w:val="left"/>
        </w:tabs>
        <w:numPr>
          <w:ilvl w:val="0"/>
          <w:numId w:val="191"/>
        </w:numPr>
        <w:rPr>
          <w:rFonts w:ascii="Arial" w:cs="Arial" w:eastAsia="Arial" w:hAnsi="Arial"/>
          <w:sz w:val="16"/>
          <w:szCs w:val="16"/>
          <w:color w:val="auto"/>
        </w:rPr>
      </w:pPr>
      <w:r>
        <w:rPr>
          <w:rFonts w:ascii="Arial" w:cs="Arial" w:eastAsia="Arial" w:hAnsi="Arial"/>
          <w:sz w:val="16"/>
          <w:szCs w:val="16"/>
          <w:color w:val="auto"/>
        </w:rPr>
        <w:t>That this Amended and Restated Certificate of Incorporation, which restates and integrates and further amends the provisions of this Corporation’s Certificate of Incorporation, has been duly adopted in accordance with Sections 242 and 245 of the General Corporation Law.</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0"/>
          </w:cols>
          <w:pgMar w:left="520" w:top="274" w:right="499" w:bottom="1440" w:gutter="0" w:footer="0" w:header="0"/>
        </w:sectPr>
      </w:pPr>
    </w:p>
    <w:bookmarkStart w:id="375" w:name="page376"/>
    <w:bookmarkEnd w:id="375"/>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Amended and Restated Certificate of Incorporation has been executed by a duly authorized officer of this corporation on this ___ day of ____, 2020.</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REVOLUTION MEDICINES,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Mark A. Goldsmith,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4543425</wp:posOffset>
            </wp:positionH>
            <wp:positionV relativeFrom="paragraph">
              <wp:posOffset>-130810</wp:posOffset>
            </wp:positionV>
            <wp:extent cx="246126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8">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President and Chief Executive Officer</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340"/>
          </w:cols>
          <w:pgMar w:left="440" w:top="273" w:right="1119"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Exhibit 3.3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Revolution Medicines, Inc., a corporation organized and existing under the laws of the State of Delaware (the “</w:t>
      </w:r>
      <w:r>
        <w:rPr>
          <w:rFonts w:ascii="Arial" w:cs="Arial" w:eastAsia="Arial" w:hAnsi="Arial"/>
          <w:sz w:val="16"/>
          <w:szCs w:val="16"/>
          <w:b w:val="1"/>
          <w:bCs w:val="1"/>
          <w:i w:val="1"/>
          <w:iCs w:val="1"/>
          <w:color w:val="auto"/>
        </w:rPr>
        <w:t>Corporation</w:t>
      </w:r>
      <w:r>
        <w:rPr>
          <w:rFonts w:ascii="Arial" w:cs="Arial" w:eastAsia="Arial" w:hAnsi="Arial"/>
          <w:sz w:val="16"/>
          <w:szCs w:val="16"/>
          <w:color w:val="auto"/>
        </w:rPr>
        <w:t>”), certifies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03" w:lineRule="exact"/>
        <w:rPr>
          <w:sz w:val="20"/>
          <w:szCs w:val="20"/>
          <w:color w:val="auto"/>
        </w:rPr>
      </w:pPr>
    </w:p>
    <w:p>
      <w:pPr>
        <w:ind w:right="100" w:firstLine="444"/>
        <w:spacing w:after="0" w:line="277" w:lineRule="auto"/>
        <w:tabs>
          <w:tab w:leader="none" w:pos="62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name of the Corporation is Revolution Medicines, Inc. The Corporation’s original Certificate of Incorporation was filed with the Secretary of State of the State of Delaware on October 7, 2014.</w:t>
      </w:r>
    </w:p>
    <w:p>
      <w:pPr>
        <w:spacing w:after="0" w:line="170" w:lineRule="exact"/>
        <w:rPr>
          <w:rFonts w:ascii="Arial" w:cs="Arial" w:eastAsia="Arial" w:hAnsi="Arial"/>
          <w:sz w:val="18"/>
          <w:szCs w:val="18"/>
          <w:color w:val="auto"/>
        </w:rPr>
      </w:pPr>
    </w:p>
    <w:p>
      <w:pPr>
        <w:ind w:right="140" w:firstLine="444"/>
        <w:spacing w:after="0" w:line="277" w:lineRule="auto"/>
        <w:tabs>
          <w:tab w:leader="none" w:pos="62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The Amended and Restated Certificate of Incorporation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has been duly adopted in accordance with the provisions of Sections 242, 245 and 228 of the Delaware General Corporation Law.</w:t>
      </w:r>
    </w:p>
    <w:p>
      <w:pPr>
        <w:spacing w:after="0" w:line="170" w:lineRule="exact"/>
        <w:rPr>
          <w:rFonts w:ascii="Arial" w:cs="Arial" w:eastAsia="Arial" w:hAnsi="Arial"/>
          <w:sz w:val="18"/>
          <w:szCs w:val="18"/>
          <w:color w:val="auto"/>
        </w:rPr>
      </w:pPr>
    </w:p>
    <w:p>
      <w:pPr>
        <w:ind w:right="160" w:firstLine="444"/>
        <w:spacing w:after="0" w:line="264" w:lineRule="auto"/>
        <w:tabs>
          <w:tab w:leader="none" w:pos="62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The text of the Amended and Restated Certificate of Incorporation as heretofore amended or supplemented is hereby restated and further amended to read in its entirety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The Amended and Restated Certificate of Incorporation shall be effective as of 9:00 a.m. Eastern Time on ________, 2020.</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this Amended and Restated Certificate of Incorporation has been signed this ___ day of __________, 2020.</w:t>
      </w:r>
    </w:p>
    <w:p>
      <w:pPr>
        <w:spacing w:after="0" w:line="38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REVOLUTION MEDICINES, INC.</w:t>
      </w:r>
    </w:p>
    <w:p>
      <w:pPr>
        <w:spacing w:after="0" w:line="200" w:lineRule="exact"/>
        <w:rPr>
          <w:sz w:val="20"/>
          <w:szCs w:val="20"/>
          <w:color w:val="auto"/>
        </w:rPr>
      </w:pPr>
    </w:p>
    <w:p>
      <w:pPr>
        <w:spacing w:after="0" w:line="32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Mark A. Goldsmith,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-130175</wp:posOffset>
            </wp:positionV>
            <wp:extent cx="279590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020"/>
          </w:cols>
          <w:pgMar w:left="440" w:top="121" w:right="439" w:bottom="1440" w:gutter="0" w:footer="0" w:header="0"/>
        </w:sectPr>
      </w:pPr>
    </w:p>
    <w:bookmarkStart w:id="377" w:name="page378"/>
    <w:bookmarkEnd w:id="37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INCORPORATION OF</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REVOLUTION MEDICINES, INC.</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Revolution Medicines, Inc.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REGISTERED OFFICE AND AGENT</w:t>
      </w:r>
    </w:p>
    <w:p>
      <w:pPr>
        <w:spacing w:after="0" w:line="211" w:lineRule="exact"/>
        <w:rPr>
          <w:sz w:val="20"/>
          <w:szCs w:val="20"/>
          <w:color w:val="auto"/>
        </w:rPr>
      </w:pPr>
    </w:p>
    <w:p>
      <w:pPr>
        <w:ind w:right="300" w:firstLine="441"/>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251 Little Falls Drive, in the City of Wilmington, County of New Castle, 19808. The name of its registered agent at such address is Corporation Service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AND DURATION</w:t>
      </w:r>
    </w:p>
    <w:p>
      <w:pPr>
        <w:spacing w:after="0" w:line="21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Delaware General Corporation Law. The Corporation is to have a perpetual existence.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 STOCK</w:t>
      </w:r>
    </w:p>
    <w:p>
      <w:pPr>
        <w:spacing w:after="0" w:line="207"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color w:val="auto"/>
        </w:rPr>
        <w:t>This Corporation is authorized to issue two classes of capital stock which shall be designated, respectively, “Common Stock” and</w:t>
      </w:r>
      <w:r>
        <w:rPr>
          <w:rFonts w:ascii="Arial" w:cs="Arial" w:eastAsia="Arial" w:hAnsi="Arial"/>
          <w:sz w:val="16"/>
          <w:szCs w:val="16"/>
          <w:b w:val="1"/>
          <w:bCs w:val="1"/>
          <w:color w:val="auto"/>
        </w:rPr>
        <w:t xml:space="preserve"> </w:t>
      </w:r>
      <w:r>
        <w:rPr>
          <w:rFonts w:ascii="Arial" w:cs="Arial" w:eastAsia="Arial" w:hAnsi="Arial"/>
          <w:sz w:val="16"/>
          <w:szCs w:val="16"/>
          <w:color w:val="auto"/>
        </w:rPr>
        <w:t>“Preferred Stock.” The total number of shares that the Corporation is authorized to issue is 310,000,000, of which 300,000,000 shares shall be Common Stock and 10,000,000 shares shall be Preferred Stock. The Common Stock shall have a par value of $0.0001 per share and the Preferred Stock shall have a par value of $0.0001 per share. Subject to the rights of the holders of any series of Preferred Stock, the number of authorized shares of any of the Common Stock or Preferred Stock may be increased or decreased (but not below the number of shares thereof then outstanding) by the affirmative vote of the holders of a majority in voting power of the stock of the Corporation with the power to vote thereon irrespective of the provisions of</w:t>
      </w:r>
    </w:p>
    <w:p>
      <w:pPr>
        <w:spacing w:after="0" w:line="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Section 242(b)(2) of the Delaware General Corporation Law or any successor provision thereof, and no vote of the holders of any of the Common Stock or Preferred Stock voting separately as a class shall be required therefor.</w:t>
      </w:r>
    </w:p>
    <w:p>
      <w:pPr>
        <w:spacing w:after="0" w:line="180" w:lineRule="exact"/>
        <w:rPr>
          <w:sz w:val="20"/>
          <w:szCs w:val="20"/>
          <w:color w:val="auto"/>
        </w:rPr>
      </w:pPr>
    </w:p>
    <w:p>
      <w:pPr>
        <w:jc w:val="center"/>
        <w:ind w:right="120"/>
        <w:spacing w:after="0"/>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Shares of Preferred Stock may be issued from time to time in one or more series. The Board of Directors of the Corporation (the</w:t>
      </w:r>
    </w:p>
    <w:p>
      <w:pPr>
        <w:spacing w:after="0" w:line="3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Board of Directors</w:t>
      </w:r>
      <w:r>
        <w:rPr>
          <w:rFonts w:ascii="Arial" w:cs="Arial" w:eastAsia="Arial" w:hAnsi="Arial"/>
          <w:sz w:val="16"/>
          <w:szCs w:val="16"/>
          <w:color w:val="auto"/>
        </w:rPr>
        <w:t>”) is hereby authorized to provide from time to time by resolution or resolutions for the creation and issuance, out of the authorized and unissued shares of Preferred Stock, of one or more series of Preferred Stock by filing a certificate (a “</w:t>
      </w:r>
      <w:r>
        <w:rPr>
          <w:rFonts w:ascii="Arial" w:cs="Arial" w:eastAsia="Arial" w:hAnsi="Arial"/>
          <w:sz w:val="16"/>
          <w:szCs w:val="16"/>
          <w:b w:val="1"/>
          <w:bCs w:val="1"/>
          <w:i w:val="1"/>
          <w:iCs w:val="1"/>
          <w:color w:val="auto"/>
        </w:rPr>
        <w:t>Certificate of Designation</w:t>
      </w:r>
      <w:r>
        <w:rPr>
          <w:rFonts w:ascii="Arial" w:cs="Arial" w:eastAsia="Arial" w:hAnsi="Arial"/>
          <w:sz w:val="16"/>
          <w:szCs w:val="16"/>
          <w:color w:val="auto"/>
        </w:rPr>
        <w:t>”) pursuant to the Delaware General Corporation Law, setting forth such resolution and, with respect to each such series, establishing</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69" w:right="439" w:bottom="1440" w:gutter="0" w:footer="0" w:header="0"/>
        </w:sectPr>
      </w:pPr>
    </w:p>
    <w:bookmarkStart w:id="378" w:name="page379"/>
    <w:bookmarkEnd w:id="378"/>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designation of such series and the number of shares to be included in such series and fixing the voting powers (full or limited, or no voting power), preferences and relative, participating, optional or other special rights, and the qualifications, limitations and restrictions thereof, of the shares of each such series. Without limiting the generality of the foregoing, the resolution or resolutions providing for the establishment of any series of Preferred Stock may, to the extent permitted by law, provide that such series shall be superior to, rank equally with or be junior to the Preferred Stock of any other series. The powers, preferences and relative, participating, optional and other special rights of each series of Preferred Stock, and the qualifications, limitations or restrictions thereof, if any, may be different from those of any and all other series at any time outstanding. Except as otherwise expressly provided in the resolution or resolutions providing for the establishment of any series of Preferred Stock, no vote of the holders of shares of Preferred Stock or Common Stock shall be a prerequisite to the issuance of any shares of any series of the Preferred Stock so authorized in accordance with this Amended and Restated Certificate of Incorporation. Unless otherwise provided in the Certificate of Designation establishing a series of Preferred Stock, the Board of Directors may, by resolution or resolutions, increase or decrease (but not below the number of shares of such series then outstanding) the number of shares of such series and, if the number of shares of such series shall be so decreased, the shares constituting such decrease shall resume the status that they had prior to the adoption of the resolution originally fixing the number of shares of such series.</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V</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BOARD OF DIRECTORS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management of the business and for the conduct of the affairs of the Corporation it is further provided that:</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w:t>
      </w:r>
    </w:p>
    <w:p>
      <w:pPr>
        <w:spacing w:after="0" w:line="229" w:lineRule="exact"/>
        <w:rPr>
          <w:sz w:val="20"/>
          <w:szCs w:val="20"/>
          <w:color w:val="auto"/>
        </w:rPr>
      </w:pPr>
    </w:p>
    <w:p>
      <w:pPr>
        <w:ind w:right="20" w:firstLine="996"/>
        <w:spacing w:after="0" w:line="259" w:lineRule="auto"/>
        <w:tabs>
          <w:tab w:leader="none" w:pos="1233"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management of the business and the conduct of the affairs of the Corporation shall be vested in the Board of Directors. The number of directors which shall constitute the whole Board of Directors shall be fixed exclusively by one or more resolutions adopted from time to time by the Board of Directors. Except as otherwise expressly delegated by resolution of the Board of Directors, the Board of Directors shall have the exclusive power and authority to appoint and remove officers of the Corporation.</w:t>
      </w:r>
    </w:p>
    <w:p>
      <w:pPr>
        <w:spacing w:after="0" w:line="186" w:lineRule="exact"/>
        <w:rPr>
          <w:rFonts w:ascii="Arial" w:cs="Arial" w:eastAsia="Arial" w:hAnsi="Arial"/>
          <w:sz w:val="18"/>
          <w:szCs w:val="18"/>
          <w:color w:val="auto"/>
        </w:rPr>
      </w:pPr>
    </w:p>
    <w:p>
      <w:pPr>
        <w:ind w:firstLine="996"/>
        <w:spacing w:after="0" w:line="291" w:lineRule="auto"/>
        <w:tabs>
          <w:tab w:leader="none" w:pos="1247" w:val="left"/>
        </w:tabs>
        <w:numPr>
          <w:ilvl w:val="0"/>
          <w:numId w:val="193"/>
        </w:numPr>
        <w:rPr>
          <w:rFonts w:ascii="Arial" w:cs="Arial" w:eastAsia="Arial" w:hAnsi="Arial"/>
          <w:sz w:val="16"/>
          <w:szCs w:val="16"/>
          <w:color w:val="auto"/>
        </w:rPr>
      </w:pPr>
      <w:r>
        <w:rPr>
          <w:rFonts w:ascii="Arial" w:cs="Arial" w:eastAsia="Arial" w:hAnsi="Arial"/>
          <w:sz w:val="16"/>
          <w:szCs w:val="16"/>
          <w:color w:val="auto"/>
        </w:rPr>
        <w:t>Other than any directors elected by the separate vote of the holders of one or more series of Preferred Stock, the Board of Directors shall be and is divided into three classes, designated as Class I, Class II and Class III, as nearly equal in number as possible. Directors shall be assigned to each class in accordance with a resolution or resolutions adopted by the Board of Directors. At the first annual meeting of stockholders following the effectiveness of this Amended and Restated Certificate of Incorporation (the “</w:t>
      </w:r>
      <w:r>
        <w:rPr>
          <w:rFonts w:ascii="Arial" w:cs="Arial" w:eastAsia="Arial" w:hAnsi="Arial"/>
          <w:sz w:val="16"/>
          <w:szCs w:val="16"/>
          <w:b w:val="1"/>
          <w:bCs w:val="1"/>
          <w:i w:val="1"/>
          <w:iCs w:val="1"/>
          <w:color w:val="auto"/>
        </w:rPr>
        <w:t>Qualifying Record Date</w:t>
      </w:r>
      <w:r>
        <w:rPr>
          <w:rFonts w:ascii="Arial" w:cs="Arial" w:eastAsia="Arial" w:hAnsi="Arial"/>
          <w:sz w:val="16"/>
          <w:szCs w:val="16"/>
          <w:color w:val="auto"/>
        </w:rPr>
        <w:t>”), the term of office of the Class I directors shall expire and Class I directors shall be elected for a full term of three years. At the second annual meeting of stockholders following the Qualifying Record Date, the term of office of the Class II directors shall expire and Class II directors shall be elected for a full term of three years. At the third annual meeting of stockholders following the Qualifying Record Date, the term of office of the Class III directors shall expire and Class III</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79" w:name="page380"/>
    <w:bookmarkEnd w:id="379"/>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directors shall be elected for a full term of three years. Subject to the special rights of the holders of one or more series of Preferred Stock to elect directors, at each succeeding annual meeting of stockholders, directors shall be elected for a full term of three years to succeed the directors of the class whose terms expire at such annual meeting.</w:t>
      </w:r>
    </w:p>
    <w:p>
      <w:pPr>
        <w:spacing w:after="0" w:line="181" w:lineRule="exact"/>
        <w:rPr>
          <w:sz w:val="20"/>
          <w:szCs w:val="20"/>
          <w:color w:val="auto"/>
        </w:rPr>
      </w:pPr>
    </w:p>
    <w:p>
      <w:pPr>
        <w:jc w:val="both"/>
        <w:ind w:firstLine="992"/>
        <w:spacing w:after="0" w:line="264" w:lineRule="auto"/>
        <w:rPr>
          <w:sz w:val="20"/>
          <w:szCs w:val="20"/>
          <w:color w:val="auto"/>
        </w:rPr>
      </w:pPr>
      <w:r>
        <w:rPr>
          <w:rFonts w:ascii="Arial" w:cs="Arial" w:eastAsia="Arial" w:hAnsi="Arial"/>
          <w:sz w:val="18"/>
          <w:szCs w:val="18"/>
          <w:color w:val="auto"/>
        </w:rPr>
        <w:t>Notwithstanding the foregoing provisions of this Article V, Section 1(b), each director shall serve until his or her successor is duly elected and qualified or until his or her earlier death, resignation, disqualification, retirement or removal. No decrease in the number of directors constituting the Board of Directors shall shorten the term of any incumbent director.</w:t>
      </w:r>
    </w:p>
    <w:p>
      <w:pPr>
        <w:spacing w:after="0" w:line="181" w:lineRule="exact"/>
        <w:rPr>
          <w:sz w:val="20"/>
          <w:szCs w:val="20"/>
          <w:color w:val="auto"/>
        </w:rPr>
      </w:pPr>
    </w:p>
    <w:p>
      <w:pPr>
        <w:ind w:firstLine="996"/>
        <w:spacing w:after="0" w:line="259" w:lineRule="auto"/>
        <w:tabs>
          <w:tab w:leader="none" w:pos="123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Subject to the special rights of the holders of one or more series of Preferred Stock to elect directors, the Board of Directors or any individual director may be removed from office at any time, but only for cause and only by the affirmative vote of the holders of sixty-six and two-thirds percent (66-2/3%) of the voting power of all the then outstanding shares of voting stock of the Corporation with the power to vote at an election of directors (the “</w:t>
      </w:r>
      <w:r>
        <w:rPr>
          <w:rFonts w:ascii="Arial" w:cs="Arial" w:eastAsia="Arial" w:hAnsi="Arial"/>
          <w:sz w:val="18"/>
          <w:szCs w:val="18"/>
          <w:b w:val="1"/>
          <w:bCs w:val="1"/>
          <w:i w:val="1"/>
          <w:iCs w:val="1"/>
          <w:color w:val="auto"/>
        </w:rPr>
        <w:t>Voting Stock</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20" w:firstLine="996"/>
        <w:spacing w:after="0" w:line="254" w:lineRule="auto"/>
        <w:tabs>
          <w:tab w:leader="none" w:pos="1247"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Subject to the special rights of the holders of one or more series of Preferred Stock to elect directors, any vacancies on the Board of Directors resulting from death, resignation, disqualification, retirement, removal or other causes and any newly created directorships resulting from any increase in the number of directors shall, unless the Board of Directors determines by resolution that any such vacancies or newly created directorships shall be filled by the stockholders, and except as otherwise provided by law, be filled only by the affirmative vote of a majority of the directors then in office, even though less than a quorum, or by a sole remaining director, and shall not be filled by the stockholders. Any director appointed in accordance with the preceding sentence shall hold office for a term that shall coincide with the remaining term of the class to which the director shall have been appointed and until such director’s successor shall have been elected and qualified or until his or her earlier death, resignation, disqualification, retirement or removal.</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w:t>
      </w:r>
    </w:p>
    <w:p>
      <w:pPr>
        <w:spacing w:after="0" w:line="229" w:lineRule="exact"/>
        <w:rPr>
          <w:sz w:val="20"/>
          <w:szCs w:val="20"/>
          <w:color w:val="auto"/>
        </w:rPr>
      </w:pPr>
    </w:p>
    <w:p>
      <w:pPr>
        <w:ind w:firstLine="996"/>
        <w:spacing w:after="0" w:line="255" w:lineRule="auto"/>
        <w:tabs>
          <w:tab w:leader="none" w:pos="123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furtherance and not in limitation of the powers conferred by statute, the Board of Directors is expressly authorized to make, alter or repeal Bylaws of the Corporation. In addition to any vote of the holders of any class or series of stock of the Corporation required by applicable law or by this Amended and Restated Certificate of Incorporation (including any Certificate of Designation in respect of one or more series of Preferred Stock), the adoption, amendment or repeal of the Bylaws of the Corporation by the stockholders of the Corporation shall require the affirmative vote of the holders of at least sixty-six and two-thirds percent (66-2/3%) of the voting power of all the then-outstanding shares of the Voting Stock, voting together as a single class.</w:t>
      </w:r>
    </w:p>
    <w:p>
      <w:pPr>
        <w:spacing w:after="0" w:line="193" w:lineRule="exact"/>
        <w:rPr>
          <w:rFonts w:ascii="Arial" w:cs="Arial" w:eastAsia="Arial" w:hAnsi="Arial"/>
          <w:sz w:val="18"/>
          <w:szCs w:val="18"/>
          <w:color w:val="auto"/>
        </w:rPr>
      </w:pPr>
    </w:p>
    <w:p>
      <w:pPr>
        <w:ind w:left="1260" w:hanging="264"/>
        <w:spacing w:after="0"/>
        <w:tabs>
          <w:tab w:leader="none" w:pos="12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directors of the Corporation need not be elected by written ballot unless the Bylaws so provide.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80" w:name="page381"/>
    <w:bookmarkEnd w:id="38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jc w:val="both"/>
        <w:ind w:right="60" w:firstLine="441"/>
        <w:spacing w:after="0" w:line="289" w:lineRule="auto"/>
        <w:rPr>
          <w:sz w:val="20"/>
          <w:szCs w:val="20"/>
          <w:color w:val="auto"/>
        </w:rPr>
      </w:pPr>
      <w:r>
        <w:rPr>
          <w:rFonts w:ascii="Arial" w:cs="Arial" w:eastAsia="Arial" w:hAnsi="Arial"/>
          <w:sz w:val="17"/>
          <w:szCs w:val="17"/>
          <w:b w:val="1"/>
          <w:bCs w:val="1"/>
          <w:color w:val="auto"/>
        </w:rPr>
        <w:t xml:space="preserve">Section 1. </w:t>
      </w:r>
      <w:r>
        <w:rPr>
          <w:rFonts w:ascii="Arial" w:cs="Arial" w:eastAsia="Arial" w:hAnsi="Arial"/>
          <w:sz w:val="17"/>
          <w:szCs w:val="17"/>
          <w:color w:val="auto"/>
        </w:rPr>
        <w:t>Subject to the special rights of the holders of one or more series of Preferred Stock, any action required or permitted to be taken by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of the Corporation must be effected at a duly called annual or special meeting of the stockholders of the Corporation, and the taking of any action by written consent of the stockholders in lieu of a meeting of the stockholders is specifically denied.</w:t>
      </w:r>
    </w:p>
    <w:p>
      <w:pPr>
        <w:spacing w:after="0" w:line="158" w:lineRule="exact"/>
        <w:rPr>
          <w:sz w:val="20"/>
          <w:szCs w:val="20"/>
          <w:color w:val="auto"/>
        </w:rPr>
      </w:pPr>
    </w:p>
    <w:p>
      <w:pPr>
        <w:ind w:right="160" w:firstLine="441"/>
        <w:spacing w:after="0" w:line="289" w:lineRule="auto"/>
        <w:rPr>
          <w:sz w:val="20"/>
          <w:szCs w:val="20"/>
          <w:color w:val="auto"/>
        </w:rPr>
      </w:pPr>
      <w:r>
        <w:rPr>
          <w:rFonts w:ascii="Arial" w:cs="Arial" w:eastAsia="Arial" w:hAnsi="Arial"/>
          <w:sz w:val="17"/>
          <w:szCs w:val="17"/>
          <w:b w:val="1"/>
          <w:bCs w:val="1"/>
          <w:color w:val="auto"/>
        </w:rPr>
        <w:t xml:space="preserve">Section 2. </w:t>
      </w:r>
      <w:r>
        <w:rPr>
          <w:rFonts w:ascii="Arial" w:cs="Arial" w:eastAsia="Arial" w:hAnsi="Arial"/>
          <w:sz w:val="17"/>
          <w:szCs w:val="17"/>
          <w:color w:val="auto"/>
        </w:rPr>
        <w:t>Subject to the special rights of the holders of one or more series of Preferred Stock, special meetings of the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may be called, for any purpose or purposes, at any time by the Board of Directors, chief executive officer or president (in the absence of a chief executive officer), but such special meetings may not be called by stockholders or any other person or persons.</w:t>
      </w:r>
    </w:p>
    <w:p>
      <w:pPr>
        <w:spacing w:after="0" w:line="158" w:lineRule="exact"/>
        <w:rPr>
          <w:sz w:val="20"/>
          <w:szCs w:val="20"/>
          <w:color w:val="auto"/>
        </w:rPr>
      </w:pPr>
    </w:p>
    <w:p>
      <w:pPr>
        <w:ind w:right="160" w:firstLine="441"/>
        <w:spacing w:after="0" w:line="313" w:lineRule="auto"/>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color w:val="auto"/>
        </w:rPr>
        <w:t>Advance notice of stockholder nominations for the election of directors and of other business proposed to be brought by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before any meeting of the stockholders of the Corporation shall be given in the manner provided in the Bylaws of the Corporation.</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ARTICLE VII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LIABILITY AND INDEMNIFICATION</w:t>
      </w:r>
    </w:p>
    <w:p>
      <w:pPr>
        <w:spacing w:after="0" w:line="207" w:lineRule="exact"/>
        <w:rPr>
          <w:sz w:val="20"/>
          <w:szCs w:val="20"/>
          <w:color w:val="auto"/>
        </w:rPr>
      </w:pPr>
    </w:p>
    <w:p>
      <w:pPr>
        <w:ind w:firstLine="441"/>
        <w:spacing w:after="0" w:line="298" w:lineRule="auto"/>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color w:val="auto"/>
        </w:rPr>
        <w:t>To the fullest extent permitted by the Delaware General Corporation Law, as the same exists or as may hereafter be amended, a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Corporation shall not be personally liable to the Corporation or its stockholders for monetary damages for breach of fiduciary duty as a director. If the Delaware General Corporation Law is amended after approval by the stockholders of this Article VII to authorize corporate action further eliminating or limiting the personal liability of directors, then the liability of a director of the Corporation shall be eliminated or limited to the fullest extent permitted by the Delaware General Corporation Law as so amended, automatically and without further action, upon the date of such amendment.</w:t>
      </w:r>
    </w:p>
    <w:p>
      <w:pPr>
        <w:spacing w:after="0" w:line="154"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color w:val="auto"/>
        </w:rPr>
        <w:t>The Corporation, to the fullest extent permitted by law, shall indemnify and advance expenses to any person made or threatened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a party to an action, suit or proceeding, whether criminal, civil, administrative or investigative, by reason of the fact that he or she, or his or her testator or intestate, is or was a director or officer of the Corporation or any predecessor of the Corporation, or serves or served at any other enterprise as a director or officer at the request of the Corporation or any predecessor to the Corporation.</w:t>
      </w:r>
    </w:p>
    <w:p>
      <w:pPr>
        <w:spacing w:after="0" w:line="180" w:lineRule="exact"/>
        <w:rPr>
          <w:sz w:val="20"/>
          <w:szCs w:val="20"/>
          <w:color w:val="auto"/>
        </w:rPr>
      </w:pPr>
    </w:p>
    <w:p>
      <w:pPr>
        <w:ind w:right="60" w:firstLine="441"/>
        <w:spacing w:after="0" w:line="281" w:lineRule="auto"/>
        <w:rPr>
          <w:sz w:val="20"/>
          <w:szCs w:val="20"/>
          <w:color w:val="auto"/>
        </w:rPr>
      </w:pPr>
      <w:r>
        <w:rPr>
          <w:rFonts w:ascii="Arial" w:cs="Arial" w:eastAsia="Arial" w:hAnsi="Arial"/>
          <w:sz w:val="17"/>
          <w:szCs w:val="17"/>
          <w:b w:val="1"/>
          <w:bCs w:val="1"/>
          <w:color w:val="auto"/>
        </w:rPr>
        <w:t xml:space="preserve">Section 3. </w:t>
      </w:r>
      <w:r>
        <w:rPr>
          <w:rFonts w:ascii="Arial" w:cs="Arial" w:eastAsia="Arial" w:hAnsi="Arial"/>
          <w:sz w:val="17"/>
          <w:szCs w:val="17"/>
          <w:color w:val="auto"/>
        </w:rPr>
        <w:t>The Corporation, to the fullest extent permitted by law, may indemnify and advance expenses to any person made or threatened to be</w:t>
      </w:r>
      <w:r>
        <w:rPr>
          <w:rFonts w:ascii="Arial" w:cs="Arial" w:eastAsia="Arial" w:hAnsi="Arial"/>
          <w:sz w:val="17"/>
          <w:szCs w:val="17"/>
          <w:b w:val="1"/>
          <w:bCs w:val="1"/>
          <w:color w:val="auto"/>
        </w:rPr>
        <w:t xml:space="preserve"> </w:t>
      </w:r>
      <w:r>
        <w:rPr>
          <w:rFonts w:ascii="Arial" w:cs="Arial" w:eastAsia="Arial" w:hAnsi="Arial"/>
          <w:sz w:val="17"/>
          <w:szCs w:val="17"/>
          <w:color w:val="auto"/>
        </w:rPr>
        <w:t>made a party to an action, suit or proceeding, whether criminal, civil, administrative or investigative, by reason of the fact that he or she, or his or her testator or intestate, is or was an employee or agent of the Corporation or any predecessor of the Corporation, or serves or served at any other enterprise as an employee or agent at the request of the Corporation or any predecessor to the Corporation.</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69" w:right="459" w:bottom="1440" w:gutter="0" w:footer="0" w:header="0"/>
        </w:sectPr>
      </w:pPr>
    </w:p>
    <w:bookmarkStart w:id="381" w:name="page382"/>
    <w:bookmarkEnd w:id="381"/>
    <w:p>
      <w:pPr>
        <w:ind w:right="100" w:firstLine="44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 </w:t>
      </w:r>
      <w:r>
        <w:rPr>
          <w:rFonts w:ascii="Arial" w:cs="Arial" w:eastAsia="Arial" w:hAnsi="Arial"/>
          <w:sz w:val="18"/>
          <w:szCs w:val="18"/>
          <w:color w:val="auto"/>
        </w:rPr>
        <w:t>Neither any amendment nor repeal of this Article VII, nor the adoption by amendment of this certificate of incorporation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 inconsistent with this Article VII, shall eliminate or reduce the effect of this Article VII in respect of any matter occurring, or any action or proceeding accruing or arising (or that, but for this Article VII, would accrue or arise) prior to such amendment or repeal or adoption of an inconsistent provision.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ARTICLE VIII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EXCLUSIVE FORUM</w:t>
      </w:r>
    </w:p>
    <w:p>
      <w:pPr>
        <w:spacing w:after="0" w:line="21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of the State of Delaware shall, to the fullest extent permitted by law, be the sole and exclusive forum for (1) any derivative action or proceeding brought on behalf of the Corporation, (2) any action asserting a claim of breach of a fiduciary duty owed by any director, officer, other employee or stockholder of the Corporation to the Corporation or the Corporation’s stockholders, (3) any action asserting a claim arising pursuant to any provision of the Delaware General Corporation Law, this Amended and Restated Certificate of Incorporation or the Bylaws (as either may be amended from time to time), or (4) any action asserting a claim against the Corporation governed by the internal affairs doctrine. Any person or entity purchasing or otherwise acquiring or holding any interest in shares of capital stock of the Corporation shall be deemed to have notice of and consented to the provisions of this Article VIII, in each case, subject to said Court of Chancery having personal jurisdiction over the indispensable parties named as defendants therein; provided that, the provisions of this Article VIII will not apply to suits brought to enforce any liability or duty created by the Securities Act of 1933, as amended, the Securities Exchange Act of 1934, as amended,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w:t>
      </w:r>
    </w:p>
    <w:p>
      <w:pPr>
        <w:spacing w:after="0" w:line="180"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Nothing herein contained shall be construed to preclude stockholders that assert claims under the Securities Act of 1933, as amended or the Securities Exchange Act of 1934, as amended, from bringing such claims in state or federal court, subject to applicable law.</w:t>
      </w:r>
    </w:p>
    <w:p>
      <w:pPr>
        <w:spacing w:after="0" w:line="124"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If any action the subject matter of which is within the scope of the preceding sentence is filed in a court other than a court located within the State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the preceding sentence and (ii) having service of process made upon such stockholder in any such action by service upon such stockholder’s counsel in the Foreign Action as agent for such stockholder. Any person or entity purchasing or otherwise acquiring or holding any interest in shares of capital stock of the Corporation shall be deemed to have notice of and consented to the provisions of this Article VIII.</w:t>
      </w:r>
    </w:p>
    <w:p>
      <w:pPr>
        <w:spacing w:after="0" w:line="1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0" w:right="479" w:bottom="1440" w:gutter="0" w:footer="0" w:header="0"/>
        </w:sectPr>
      </w:pPr>
    </w:p>
    <w:bookmarkStart w:id="382" w:name="page383"/>
    <w:bookmarkEnd w:id="382"/>
    <w:p>
      <w:pPr>
        <w:ind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provision or provisions of this Article VIII shall be held to be invalid, illegal or unenforceable as applied to any circumstance for any reason whatsoever, (a) the validity, legality and enforceability of such provisions in any other circumstance and of the remaining provisions of this Article VIII (including, without limitation, each portion of any paragraph of this Article VIII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AMENDMENTS</w:t>
      </w:r>
    </w:p>
    <w:p>
      <w:pPr>
        <w:spacing w:after="0" w:line="211"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Notwithstanding any other provisions of this Amended and Restated Certificate of Incorporation or any provision of law which might otherwise permit a lesser vote or no vote, but in addition to any affirmative vote of the holders of any particular class or series of the Voting Stock required by law or by this Amended and Restated Certificate of Incorporation (including any Certificate of Designation in respect of one or more series of Preferred Stock), the affirmative vote of the holders of at least sixty-six and two-thirds percent (66-2/3%) of the voting power of all of the then-outstanding shares of the Voting Stock, voting together as a single class, shall be required to alter, amend or repeal Articles V, VI, VII and VIII and this Article IX.</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3" w:right="439" w:bottom="1440" w:gutter="0" w:footer="0" w:header="0"/>
        </w:sectPr>
      </w:pPr>
    </w:p>
    <w:bookmarkStart w:id="383" w:name="page384"/>
    <w:bookmarkEnd w:id="383"/>
    <w:p>
      <w:pPr>
        <w:jc w:val="right"/>
        <w:spacing w:after="0"/>
        <w:rPr>
          <w:sz w:val="20"/>
          <w:szCs w:val="20"/>
          <w:color w:val="auto"/>
        </w:rPr>
      </w:pPr>
      <w:r>
        <w:rPr>
          <w:rFonts w:ascii="Arial" w:cs="Arial" w:eastAsia="Arial" w:hAnsi="Arial"/>
          <w:sz w:val="18"/>
          <w:szCs w:val="18"/>
          <w:b w:val="1"/>
          <w:bCs w:val="1"/>
          <w:color w:val="auto"/>
        </w:rPr>
        <w:t>Exhibit 3.5</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color w:val="auto"/>
        </w:rPr>
        <w:t>AMENDED AND RESTATED BYLAWS OF</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REVOLUTION MEDICINES, INC.</w:t>
      </w:r>
    </w:p>
    <w:p>
      <w:pPr>
        <w:spacing w:after="0" w:line="225"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(a Delaware corporation)</w:t>
      </w:r>
    </w:p>
    <w:p>
      <w:pPr>
        <w:sectPr>
          <w:pgSz w:w="11900" w:h="16838" w:orient="portrait"/>
          <w:cols w:equalWidth="0" w:num="1">
            <w:col w:w="10020"/>
          </w:cols>
          <w:pgMar w:left="1440" w:top="121" w:right="439" w:bottom="1440" w:gutter="0" w:footer="0" w:header="0"/>
        </w:sectPr>
      </w:pPr>
    </w:p>
    <w:bookmarkStart w:id="384" w:name="page385"/>
    <w:bookmarkEnd w:id="384"/>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836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140" w:type="dxa"/>
            <w:vAlign w:val="bottom"/>
            <w:gridSpan w:val="2"/>
            <w:vMerge w:val="restart"/>
          </w:tcPr>
          <w:p>
            <w:pPr>
              <w:spacing w:after="0"/>
              <w:rPr>
                <w:sz w:val="20"/>
                <w:szCs w:val="20"/>
                <w:color w:val="auto"/>
              </w:rPr>
            </w:pPr>
            <w:r>
              <w:rPr>
                <w:rFonts w:ascii="Arial" w:cs="Arial" w:eastAsia="Arial" w:hAnsi="Arial"/>
                <w:sz w:val="18"/>
                <w:szCs w:val="18"/>
                <w:color w:val="auto"/>
              </w:rPr>
              <w:t>ARTICLE I - CORPORATE OFFICES</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914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95"/>
        </w:trPr>
        <w:tc>
          <w:tcPr>
            <w:tcW w:w="780" w:type="dxa"/>
            <w:vAlign w:val="bottom"/>
          </w:tcPr>
          <w:p>
            <w:pPr>
              <w:ind w:left="360"/>
              <w:spacing w:after="0"/>
              <w:rPr>
                <w:sz w:val="20"/>
                <w:szCs w:val="20"/>
                <w:color w:val="auto"/>
              </w:rPr>
            </w:pPr>
            <w:r>
              <w:rPr>
                <w:rFonts w:ascii="Arial" w:cs="Arial" w:eastAsia="Arial" w:hAnsi="Arial"/>
                <w:sz w:val="18"/>
                <w:szCs w:val="18"/>
                <w:color w:val="auto"/>
              </w:rPr>
              <w:t>1.1</w:t>
            </w:r>
          </w:p>
        </w:tc>
        <w:tc>
          <w:tcPr>
            <w:tcW w:w="8360" w:type="dxa"/>
            <w:vAlign w:val="bottom"/>
          </w:tcPr>
          <w:p>
            <w:pPr>
              <w:ind w:left="80"/>
              <w:spacing w:after="0"/>
              <w:rPr>
                <w:sz w:val="20"/>
                <w:szCs w:val="20"/>
                <w:color w:val="auto"/>
              </w:rPr>
            </w:pPr>
            <w:r>
              <w:rPr>
                <w:rFonts w:ascii="Arial" w:cs="Arial" w:eastAsia="Arial" w:hAnsi="Arial"/>
                <w:sz w:val="18"/>
                <w:szCs w:val="18"/>
                <w:color w:val="auto"/>
              </w:rPr>
              <w:t>REGISTERED OFFICE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1.2</w:t>
            </w:r>
          </w:p>
        </w:tc>
        <w:tc>
          <w:tcPr>
            <w:tcW w:w="8360" w:type="dxa"/>
            <w:vAlign w:val="bottom"/>
          </w:tcPr>
          <w:p>
            <w:pPr>
              <w:ind w:left="80"/>
              <w:spacing w:after="0"/>
              <w:rPr>
                <w:sz w:val="20"/>
                <w:szCs w:val="20"/>
                <w:color w:val="auto"/>
              </w:rPr>
            </w:pPr>
            <w:r>
              <w:rPr>
                <w:rFonts w:ascii="Arial" w:cs="Arial" w:eastAsia="Arial" w:hAnsi="Arial"/>
                <w:sz w:val="18"/>
                <w:szCs w:val="18"/>
                <w:color w:val="auto"/>
              </w:rPr>
              <w:t>OTHER OFFICES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2.1</w:t>
            </w:r>
          </w:p>
        </w:tc>
        <w:tc>
          <w:tcPr>
            <w:tcW w:w="8360" w:type="dxa"/>
            <w:vAlign w:val="bottom"/>
          </w:tcPr>
          <w:p>
            <w:pPr>
              <w:ind w:left="80"/>
              <w:spacing w:after="0"/>
              <w:rPr>
                <w:sz w:val="20"/>
                <w:szCs w:val="20"/>
                <w:color w:val="auto"/>
              </w:rPr>
            </w:pPr>
            <w:r>
              <w:rPr>
                <w:rFonts w:ascii="Arial" w:cs="Arial" w:eastAsia="Arial" w:hAnsi="Arial"/>
                <w:sz w:val="18"/>
                <w:szCs w:val="18"/>
                <w:color w:val="auto"/>
              </w:rPr>
              <w:t>PLACE OF MEETINGS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2.2</w:t>
            </w:r>
          </w:p>
        </w:tc>
        <w:tc>
          <w:tcPr>
            <w:tcW w:w="8360" w:type="dxa"/>
            <w:vAlign w:val="bottom"/>
          </w:tcPr>
          <w:p>
            <w:pPr>
              <w:ind w:left="80"/>
              <w:spacing w:after="0"/>
              <w:rPr>
                <w:sz w:val="20"/>
                <w:szCs w:val="20"/>
                <w:color w:val="auto"/>
              </w:rPr>
            </w:pPr>
            <w:r>
              <w:rPr>
                <w:rFonts w:ascii="Arial" w:cs="Arial" w:eastAsia="Arial" w:hAnsi="Arial"/>
                <w:sz w:val="18"/>
                <w:szCs w:val="18"/>
                <w:color w:val="auto"/>
              </w:rPr>
              <w:t>ANNUAL MEETING</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2.3</w:t>
            </w:r>
          </w:p>
        </w:tc>
        <w:tc>
          <w:tcPr>
            <w:tcW w:w="8360" w:type="dxa"/>
            <w:vAlign w:val="bottom"/>
          </w:tcPr>
          <w:p>
            <w:pPr>
              <w:ind w:left="80"/>
              <w:spacing w:after="0"/>
              <w:rPr>
                <w:sz w:val="20"/>
                <w:szCs w:val="20"/>
                <w:color w:val="auto"/>
              </w:rPr>
            </w:pPr>
            <w:r>
              <w:rPr>
                <w:rFonts w:ascii="Arial" w:cs="Arial" w:eastAsia="Arial" w:hAnsi="Arial"/>
                <w:sz w:val="18"/>
                <w:szCs w:val="18"/>
                <w:color w:val="auto"/>
              </w:rPr>
              <w:t>SPECIAL MEETING</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2.4</w:t>
            </w:r>
          </w:p>
        </w:tc>
        <w:tc>
          <w:tcPr>
            <w:tcW w:w="8360" w:type="dxa"/>
            <w:vAlign w:val="bottom"/>
          </w:tcPr>
          <w:p>
            <w:pPr>
              <w:ind w:left="80"/>
              <w:spacing w:after="0"/>
              <w:rPr>
                <w:sz w:val="20"/>
                <w:szCs w:val="20"/>
                <w:color w:val="auto"/>
              </w:rPr>
            </w:pPr>
            <w:r>
              <w:rPr>
                <w:rFonts w:ascii="Arial" w:cs="Arial" w:eastAsia="Arial" w:hAnsi="Arial"/>
                <w:sz w:val="18"/>
                <w:szCs w:val="18"/>
                <w:color w:val="auto"/>
              </w:rPr>
              <w:t>ADVANCE NOTICE PROCEDURES FOR BUSINESS BROUGHT BEFORE A MEETING</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2.5</w:t>
            </w:r>
          </w:p>
        </w:tc>
        <w:tc>
          <w:tcPr>
            <w:tcW w:w="8360" w:type="dxa"/>
            <w:vAlign w:val="bottom"/>
          </w:tcPr>
          <w:p>
            <w:pPr>
              <w:ind w:left="80"/>
              <w:spacing w:after="0"/>
              <w:rPr>
                <w:sz w:val="20"/>
                <w:szCs w:val="20"/>
                <w:color w:val="auto"/>
              </w:rPr>
            </w:pPr>
            <w:r>
              <w:rPr>
                <w:rFonts w:ascii="Arial" w:cs="Arial" w:eastAsia="Arial" w:hAnsi="Arial"/>
                <w:sz w:val="18"/>
                <w:szCs w:val="18"/>
                <w:color w:val="auto"/>
              </w:rPr>
              <w:t>ADVANCE NOTICE PROCEDURES FOR NOMINATIONS OF DIRECTORS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2.6</w:t>
            </w:r>
          </w:p>
        </w:tc>
        <w:tc>
          <w:tcPr>
            <w:tcW w:w="8360" w:type="dxa"/>
            <w:vAlign w:val="bottom"/>
          </w:tcPr>
          <w:p>
            <w:pPr>
              <w:ind w:left="80"/>
              <w:spacing w:after="0"/>
              <w:rPr>
                <w:sz w:val="20"/>
                <w:szCs w:val="20"/>
                <w:color w:val="auto"/>
              </w:rPr>
            </w:pPr>
            <w:r>
              <w:rPr>
                <w:rFonts w:ascii="Arial" w:cs="Arial" w:eastAsia="Arial" w:hAnsi="Arial"/>
                <w:sz w:val="18"/>
                <w:szCs w:val="18"/>
                <w:color w:val="auto"/>
              </w:rPr>
              <w:t>NOTICE OF STOCKHOLDERS’ MEETINGS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2.7</w:t>
            </w:r>
          </w:p>
        </w:tc>
        <w:tc>
          <w:tcPr>
            <w:tcW w:w="8360" w:type="dxa"/>
            <w:vAlign w:val="bottom"/>
          </w:tcPr>
          <w:p>
            <w:pPr>
              <w:ind w:left="80"/>
              <w:spacing w:after="0"/>
              <w:rPr>
                <w:sz w:val="20"/>
                <w:szCs w:val="20"/>
                <w:color w:val="auto"/>
              </w:rPr>
            </w:pPr>
            <w:r>
              <w:rPr>
                <w:rFonts w:ascii="Arial" w:cs="Arial" w:eastAsia="Arial" w:hAnsi="Arial"/>
                <w:sz w:val="18"/>
                <w:szCs w:val="18"/>
                <w:color w:val="auto"/>
              </w:rPr>
              <w:t>MANNER OF GIVING NOTICE; AFFIDAVIT OF NOTICE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2.8</w:t>
            </w:r>
          </w:p>
        </w:tc>
        <w:tc>
          <w:tcPr>
            <w:tcW w:w="8360" w:type="dxa"/>
            <w:vAlign w:val="bottom"/>
          </w:tcPr>
          <w:p>
            <w:pPr>
              <w:ind w:left="80"/>
              <w:spacing w:after="0"/>
              <w:rPr>
                <w:sz w:val="20"/>
                <w:szCs w:val="20"/>
                <w:color w:val="auto"/>
              </w:rPr>
            </w:pPr>
            <w:r>
              <w:rPr>
                <w:rFonts w:ascii="Arial" w:cs="Arial" w:eastAsia="Arial" w:hAnsi="Arial"/>
                <w:sz w:val="18"/>
                <w:szCs w:val="18"/>
                <w:color w:val="auto"/>
              </w:rPr>
              <w:t>QUORUM</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2.9</w:t>
            </w:r>
          </w:p>
        </w:tc>
        <w:tc>
          <w:tcPr>
            <w:tcW w:w="8360" w:type="dxa"/>
            <w:vAlign w:val="bottom"/>
          </w:tcPr>
          <w:p>
            <w:pPr>
              <w:ind w:left="80"/>
              <w:spacing w:after="0"/>
              <w:rPr>
                <w:sz w:val="20"/>
                <w:szCs w:val="20"/>
                <w:color w:val="auto"/>
              </w:rPr>
            </w:pPr>
            <w:r>
              <w:rPr>
                <w:rFonts w:ascii="Arial" w:cs="Arial" w:eastAsia="Arial" w:hAnsi="Arial"/>
                <w:sz w:val="18"/>
                <w:szCs w:val="18"/>
                <w:color w:val="auto"/>
              </w:rPr>
              <w:t>ADJOURNED MEETING; NOTICE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2.10</w:t>
            </w:r>
          </w:p>
        </w:tc>
        <w:tc>
          <w:tcPr>
            <w:tcW w:w="8360" w:type="dxa"/>
            <w:vAlign w:val="bottom"/>
          </w:tcPr>
          <w:p>
            <w:pPr>
              <w:ind w:left="80"/>
              <w:spacing w:after="0"/>
              <w:rPr>
                <w:sz w:val="20"/>
                <w:szCs w:val="20"/>
                <w:color w:val="auto"/>
              </w:rPr>
            </w:pPr>
            <w:r>
              <w:rPr>
                <w:rFonts w:ascii="Arial" w:cs="Arial" w:eastAsia="Arial" w:hAnsi="Arial"/>
                <w:sz w:val="18"/>
                <w:szCs w:val="18"/>
                <w:color w:val="auto"/>
              </w:rPr>
              <w:t>CONDUCT OF BUSINESS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2.11</w:t>
            </w:r>
          </w:p>
        </w:tc>
        <w:tc>
          <w:tcPr>
            <w:tcW w:w="8360" w:type="dxa"/>
            <w:vAlign w:val="bottom"/>
          </w:tcPr>
          <w:p>
            <w:pPr>
              <w:ind w:left="80"/>
              <w:spacing w:after="0"/>
              <w:rPr>
                <w:sz w:val="20"/>
                <w:szCs w:val="20"/>
                <w:color w:val="auto"/>
              </w:rPr>
            </w:pPr>
            <w:r>
              <w:rPr>
                <w:rFonts w:ascii="Arial" w:cs="Arial" w:eastAsia="Arial" w:hAnsi="Arial"/>
                <w:sz w:val="18"/>
                <w:szCs w:val="18"/>
                <w:color w:val="auto"/>
              </w:rPr>
              <w:t>VOTING</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2.12</w:t>
            </w:r>
          </w:p>
        </w:tc>
        <w:tc>
          <w:tcPr>
            <w:tcW w:w="8360" w:type="dxa"/>
            <w:vAlign w:val="bottom"/>
          </w:tcPr>
          <w:p>
            <w:pPr>
              <w:ind w:left="80"/>
              <w:spacing w:after="0"/>
              <w:rPr>
                <w:sz w:val="20"/>
                <w:szCs w:val="20"/>
                <w:color w:val="auto"/>
              </w:rPr>
            </w:pPr>
            <w:r>
              <w:rPr>
                <w:rFonts w:ascii="Arial" w:cs="Arial" w:eastAsia="Arial" w:hAnsi="Arial"/>
                <w:sz w:val="18"/>
                <w:szCs w:val="18"/>
                <w:color w:val="auto"/>
              </w:rPr>
              <w:t>NO STOCKHOLDER ACTION BY WRITTEN CONSENT WITHOUT A MEETING</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2.13</w:t>
            </w:r>
          </w:p>
        </w:tc>
        <w:tc>
          <w:tcPr>
            <w:tcW w:w="8360" w:type="dxa"/>
            <w:vAlign w:val="bottom"/>
          </w:tcPr>
          <w:p>
            <w:pPr>
              <w:ind w:left="80"/>
              <w:spacing w:after="0"/>
              <w:rPr>
                <w:sz w:val="20"/>
                <w:szCs w:val="20"/>
                <w:color w:val="auto"/>
              </w:rPr>
            </w:pPr>
            <w:r>
              <w:rPr>
                <w:rFonts w:ascii="Arial" w:cs="Arial" w:eastAsia="Arial" w:hAnsi="Arial"/>
                <w:sz w:val="18"/>
                <w:szCs w:val="18"/>
                <w:color w:val="auto"/>
              </w:rPr>
              <w:t>RECORD DATE FOR STOCKHOLDER NOTICE; VOTING; GIVING CONSENTS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2.14</w:t>
            </w:r>
          </w:p>
        </w:tc>
        <w:tc>
          <w:tcPr>
            <w:tcW w:w="8360" w:type="dxa"/>
            <w:vAlign w:val="bottom"/>
          </w:tcPr>
          <w:p>
            <w:pPr>
              <w:ind w:left="80"/>
              <w:spacing w:after="0"/>
              <w:rPr>
                <w:sz w:val="20"/>
                <w:szCs w:val="20"/>
                <w:color w:val="auto"/>
              </w:rPr>
            </w:pPr>
            <w:r>
              <w:rPr>
                <w:rFonts w:ascii="Arial" w:cs="Arial" w:eastAsia="Arial" w:hAnsi="Arial"/>
                <w:sz w:val="18"/>
                <w:szCs w:val="18"/>
                <w:color w:val="auto"/>
              </w:rPr>
              <w:t>PROXIES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2.15</w:t>
            </w:r>
          </w:p>
        </w:tc>
        <w:tc>
          <w:tcPr>
            <w:tcW w:w="8360" w:type="dxa"/>
            <w:vAlign w:val="bottom"/>
          </w:tcPr>
          <w:p>
            <w:pPr>
              <w:ind w:left="80"/>
              <w:spacing w:after="0"/>
              <w:rPr>
                <w:sz w:val="20"/>
                <w:szCs w:val="20"/>
                <w:color w:val="auto"/>
              </w:rPr>
            </w:pPr>
            <w:r>
              <w:rPr>
                <w:rFonts w:ascii="Arial" w:cs="Arial" w:eastAsia="Arial" w:hAnsi="Arial"/>
                <w:sz w:val="18"/>
                <w:szCs w:val="18"/>
                <w:color w:val="auto"/>
              </w:rPr>
              <w:t>LIST OF STOCKHOLDERS ENTITLED TO VOTE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2.16</w:t>
            </w:r>
          </w:p>
        </w:tc>
        <w:tc>
          <w:tcPr>
            <w:tcW w:w="8360" w:type="dxa"/>
            <w:vAlign w:val="bottom"/>
          </w:tcPr>
          <w:p>
            <w:pPr>
              <w:ind w:left="80"/>
              <w:spacing w:after="0"/>
              <w:rPr>
                <w:sz w:val="20"/>
                <w:szCs w:val="20"/>
                <w:color w:val="auto"/>
              </w:rPr>
            </w:pPr>
            <w:r>
              <w:rPr>
                <w:rFonts w:ascii="Arial" w:cs="Arial" w:eastAsia="Arial" w:hAnsi="Arial"/>
                <w:sz w:val="18"/>
                <w:szCs w:val="18"/>
                <w:color w:val="auto"/>
              </w:rPr>
              <w:t>INSPECTORS OF ELECTION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3.1</w:t>
            </w:r>
          </w:p>
        </w:tc>
        <w:tc>
          <w:tcPr>
            <w:tcW w:w="8360" w:type="dxa"/>
            <w:vAlign w:val="bottom"/>
          </w:tcPr>
          <w:p>
            <w:pPr>
              <w:ind w:left="80"/>
              <w:spacing w:after="0"/>
              <w:rPr>
                <w:sz w:val="20"/>
                <w:szCs w:val="20"/>
                <w:color w:val="auto"/>
              </w:rPr>
            </w:pPr>
            <w:r>
              <w:rPr>
                <w:rFonts w:ascii="Arial" w:cs="Arial" w:eastAsia="Arial" w:hAnsi="Arial"/>
                <w:sz w:val="18"/>
                <w:szCs w:val="18"/>
                <w:color w:val="auto"/>
              </w:rPr>
              <w:t>POWERS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3.2</w:t>
            </w:r>
          </w:p>
        </w:tc>
        <w:tc>
          <w:tcPr>
            <w:tcW w:w="8360" w:type="dxa"/>
            <w:vAlign w:val="bottom"/>
          </w:tcPr>
          <w:p>
            <w:pPr>
              <w:ind w:left="80"/>
              <w:spacing w:after="0"/>
              <w:rPr>
                <w:sz w:val="20"/>
                <w:szCs w:val="20"/>
                <w:color w:val="auto"/>
              </w:rPr>
            </w:pPr>
            <w:r>
              <w:rPr>
                <w:rFonts w:ascii="Arial" w:cs="Arial" w:eastAsia="Arial" w:hAnsi="Arial"/>
                <w:sz w:val="18"/>
                <w:szCs w:val="18"/>
                <w:color w:val="auto"/>
              </w:rPr>
              <w:t>NUMBER OF DIRECTORS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3.3</w:t>
            </w:r>
          </w:p>
        </w:tc>
        <w:tc>
          <w:tcPr>
            <w:tcW w:w="8360" w:type="dxa"/>
            <w:vAlign w:val="bottom"/>
          </w:tcPr>
          <w:p>
            <w:pPr>
              <w:ind w:left="80"/>
              <w:spacing w:after="0"/>
              <w:rPr>
                <w:sz w:val="20"/>
                <w:szCs w:val="20"/>
                <w:color w:val="auto"/>
              </w:rPr>
            </w:pPr>
            <w:r>
              <w:rPr>
                <w:rFonts w:ascii="Arial" w:cs="Arial" w:eastAsia="Arial" w:hAnsi="Arial"/>
                <w:sz w:val="18"/>
                <w:szCs w:val="18"/>
                <w:color w:val="auto"/>
              </w:rPr>
              <w:t>ELECTION, QUALIFICATION AND TERM OF OFFICE OF DIRECTORS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3.4</w:t>
            </w:r>
          </w:p>
        </w:tc>
        <w:tc>
          <w:tcPr>
            <w:tcW w:w="8360" w:type="dxa"/>
            <w:vAlign w:val="bottom"/>
          </w:tcPr>
          <w:p>
            <w:pPr>
              <w:ind w:left="80"/>
              <w:spacing w:after="0"/>
              <w:rPr>
                <w:sz w:val="20"/>
                <w:szCs w:val="20"/>
                <w:color w:val="auto"/>
              </w:rPr>
            </w:pPr>
            <w:r>
              <w:rPr>
                <w:rFonts w:ascii="Arial" w:cs="Arial" w:eastAsia="Arial" w:hAnsi="Arial"/>
                <w:sz w:val="18"/>
                <w:szCs w:val="18"/>
                <w:color w:val="auto"/>
              </w:rPr>
              <w:t>RESIGNATION AND VACANCIES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3.5</w:t>
            </w:r>
          </w:p>
        </w:tc>
        <w:tc>
          <w:tcPr>
            <w:tcW w:w="8360" w:type="dxa"/>
            <w:vAlign w:val="bottom"/>
          </w:tcPr>
          <w:p>
            <w:pPr>
              <w:ind w:left="80"/>
              <w:spacing w:after="0"/>
              <w:rPr>
                <w:sz w:val="20"/>
                <w:szCs w:val="20"/>
                <w:color w:val="auto"/>
              </w:rPr>
            </w:pPr>
            <w:r>
              <w:rPr>
                <w:rFonts w:ascii="Arial" w:cs="Arial" w:eastAsia="Arial" w:hAnsi="Arial"/>
                <w:sz w:val="18"/>
                <w:szCs w:val="18"/>
                <w:color w:val="auto"/>
              </w:rPr>
              <w:t>PLACE OF MEETINGS; MEETINGS BY TELEPHONE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3.6</w:t>
            </w:r>
          </w:p>
        </w:tc>
        <w:tc>
          <w:tcPr>
            <w:tcW w:w="8360" w:type="dxa"/>
            <w:vAlign w:val="bottom"/>
          </w:tcPr>
          <w:p>
            <w:pPr>
              <w:ind w:left="80"/>
              <w:spacing w:after="0"/>
              <w:rPr>
                <w:sz w:val="20"/>
                <w:szCs w:val="20"/>
                <w:color w:val="auto"/>
              </w:rPr>
            </w:pPr>
            <w:r>
              <w:rPr>
                <w:rFonts w:ascii="Arial" w:cs="Arial" w:eastAsia="Arial" w:hAnsi="Arial"/>
                <w:sz w:val="18"/>
                <w:szCs w:val="18"/>
                <w:color w:val="auto"/>
              </w:rPr>
              <w:t>REGULAR MEETINGS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3.7</w:t>
            </w:r>
          </w:p>
        </w:tc>
        <w:tc>
          <w:tcPr>
            <w:tcW w:w="8360" w:type="dxa"/>
            <w:vAlign w:val="bottom"/>
          </w:tcPr>
          <w:p>
            <w:pPr>
              <w:ind w:left="80"/>
              <w:spacing w:after="0"/>
              <w:rPr>
                <w:sz w:val="20"/>
                <w:szCs w:val="20"/>
                <w:color w:val="auto"/>
              </w:rPr>
            </w:pPr>
            <w:r>
              <w:rPr>
                <w:rFonts w:ascii="Arial" w:cs="Arial" w:eastAsia="Arial" w:hAnsi="Arial"/>
                <w:sz w:val="18"/>
                <w:szCs w:val="18"/>
                <w:color w:val="auto"/>
              </w:rPr>
              <w:t>SPECIAL MEETINGS; NOTICE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3.8</w:t>
            </w:r>
          </w:p>
        </w:tc>
        <w:tc>
          <w:tcPr>
            <w:tcW w:w="8360" w:type="dxa"/>
            <w:vAlign w:val="bottom"/>
          </w:tcPr>
          <w:p>
            <w:pPr>
              <w:ind w:left="80"/>
              <w:spacing w:after="0"/>
              <w:rPr>
                <w:sz w:val="20"/>
                <w:szCs w:val="20"/>
                <w:color w:val="auto"/>
              </w:rPr>
            </w:pPr>
            <w:r>
              <w:rPr>
                <w:rFonts w:ascii="Arial" w:cs="Arial" w:eastAsia="Arial" w:hAnsi="Arial"/>
                <w:sz w:val="18"/>
                <w:szCs w:val="18"/>
                <w:color w:val="auto"/>
              </w:rPr>
              <w:t>QUORUM</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3.9</w:t>
            </w:r>
          </w:p>
        </w:tc>
        <w:tc>
          <w:tcPr>
            <w:tcW w:w="8360" w:type="dxa"/>
            <w:vAlign w:val="bottom"/>
          </w:tcPr>
          <w:p>
            <w:pPr>
              <w:ind w:left="80"/>
              <w:spacing w:after="0"/>
              <w:rPr>
                <w:sz w:val="20"/>
                <w:szCs w:val="20"/>
                <w:color w:val="auto"/>
              </w:rPr>
            </w:pPr>
            <w:r>
              <w:rPr>
                <w:rFonts w:ascii="Arial" w:cs="Arial" w:eastAsia="Arial" w:hAnsi="Arial"/>
                <w:sz w:val="18"/>
                <w:szCs w:val="18"/>
                <w:color w:val="auto"/>
              </w:rPr>
              <w:t>BOARD ACTION BY WRITTEN CONSENT WITHOUT A MEETING</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3.10</w:t>
            </w:r>
          </w:p>
        </w:tc>
        <w:tc>
          <w:tcPr>
            <w:tcW w:w="8360" w:type="dxa"/>
            <w:vAlign w:val="bottom"/>
          </w:tcPr>
          <w:p>
            <w:pPr>
              <w:ind w:left="80"/>
              <w:spacing w:after="0"/>
              <w:rPr>
                <w:sz w:val="20"/>
                <w:szCs w:val="20"/>
                <w:color w:val="auto"/>
              </w:rPr>
            </w:pPr>
            <w:r>
              <w:rPr>
                <w:rFonts w:ascii="Arial" w:cs="Arial" w:eastAsia="Arial" w:hAnsi="Arial"/>
                <w:sz w:val="18"/>
                <w:szCs w:val="18"/>
                <w:color w:val="auto"/>
              </w:rPr>
              <w:t>FEES AND COMPENSATION OF DIRECTORS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3.11</w:t>
            </w:r>
          </w:p>
        </w:tc>
        <w:tc>
          <w:tcPr>
            <w:tcW w:w="8360" w:type="dxa"/>
            <w:vAlign w:val="bottom"/>
          </w:tcPr>
          <w:p>
            <w:pPr>
              <w:ind w:left="80"/>
              <w:spacing w:after="0"/>
              <w:rPr>
                <w:sz w:val="20"/>
                <w:szCs w:val="20"/>
                <w:color w:val="auto"/>
              </w:rPr>
            </w:pPr>
            <w:r>
              <w:rPr>
                <w:rFonts w:ascii="Arial" w:cs="Arial" w:eastAsia="Arial" w:hAnsi="Arial"/>
                <w:sz w:val="18"/>
                <w:szCs w:val="18"/>
                <w:color w:val="auto"/>
              </w:rPr>
              <w:t>REMOVAL OF DIRECTORS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4"/>
        </w:trPr>
        <w:tc>
          <w:tcPr>
            <w:tcW w:w="914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4.1</w:t>
            </w:r>
          </w:p>
        </w:tc>
        <w:tc>
          <w:tcPr>
            <w:tcW w:w="8360" w:type="dxa"/>
            <w:vAlign w:val="bottom"/>
          </w:tcPr>
          <w:p>
            <w:pPr>
              <w:ind w:left="80"/>
              <w:spacing w:after="0"/>
              <w:rPr>
                <w:sz w:val="20"/>
                <w:szCs w:val="20"/>
                <w:color w:val="auto"/>
              </w:rPr>
            </w:pPr>
            <w:r>
              <w:rPr>
                <w:rFonts w:ascii="Arial" w:cs="Arial" w:eastAsia="Arial" w:hAnsi="Arial"/>
                <w:sz w:val="18"/>
                <w:szCs w:val="18"/>
                <w:color w:val="auto"/>
              </w:rPr>
              <w:t>COMMITTEES OF DIRECTORS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4.2</w:t>
            </w:r>
          </w:p>
        </w:tc>
        <w:tc>
          <w:tcPr>
            <w:tcW w:w="8360" w:type="dxa"/>
            <w:vAlign w:val="bottom"/>
          </w:tcPr>
          <w:p>
            <w:pPr>
              <w:ind w:left="80"/>
              <w:spacing w:after="0"/>
              <w:rPr>
                <w:sz w:val="20"/>
                <w:szCs w:val="20"/>
                <w:color w:val="auto"/>
              </w:rPr>
            </w:pPr>
            <w:r>
              <w:rPr>
                <w:rFonts w:ascii="Arial" w:cs="Arial" w:eastAsia="Arial" w:hAnsi="Arial"/>
                <w:sz w:val="18"/>
                <w:szCs w:val="18"/>
                <w:color w:val="auto"/>
              </w:rPr>
              <w:t>COMMITTEE MINUTES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4.3</w:t>
            </w:r>
          </w:p>
        </w:tc>
        <w:tc>
          <w:tcPr>
            <w:tcW w:w="8360" w:type="dxa"/>
            <w:vAlign w:val="bottom"/>
          </w:tcPr>
          <w:p>
            <w:pPr>
              <w:ind w:left="80"/>
              <w:spacing w:after="0"/>
              <w:rPr>
                <w:sz w:val="20"/>
                <w:szCs w:val="20"/>
                <w:color w:val="auto"/>
              </w:rPr>
            </w:pPr>
            <w:r>
              <w:rPr>
                <w:rFonts w:ascii="Arial" w:cs="Arial" w:eastAsia="Arial" w:hAnsi="Arial"/>
                <w:sz w:val="18"/>
                <w:szCs w:val="18"/>
                <w:color w:val="auto"/>
              </w:rPr>
              <w:t>MEETINGS AND ACTION OF COMMITTEES</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7800" w:type="dxa"/>
            <w:vAlign w:val="bottom"/>
          </w:tcPr>
          <w:p>
            <w:pPr>
              <w:ind w:left="378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7800" w:type="dxa"/>
            <w:vAlign w:val="bottom"/>
          </w:tcPr>
          <w:p>
            <w:pPr>
              <w:ind w:left="4300"/>
              <w:spacing w:after="0"/>
              <w:rPr>
                <w:sz w:val="20"/>
                <w:szCs w:val="20"/>
                <w:color w:val="auto"/>
              </w:rPr>
            </w:pPr>
            <w:r>
              <w:rPr>
                <w:rFonts w:ascii="Arial" w:cs="Arial" w:eastAsia="Arial" w:hAnsi="Arial"/>
                <w:sz w:val="18"/>
                <w:szCs w:val="18"/>
                <w:b w:val="1"/>
                <w:bCs w:val="1"/>
                <w:color w:val="auto"/>
              </w:rPr>
              <w:t>(continued)</w:t>
            </w: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580" w:type="dxa"/>
            <w:vAlign w:val="bottom"/>
            <w:gridSpan w:val="2"/>
            <w:vMerge w:val="restart"/>
          </w:tcPr>
          <w:p>
            <w:pPr>
              <w:spacing w:after="0"/>
              <w:rPr>
                <w:sz w:val="20"/>
                <w:szCs w:val="20"/>
                <w:color w:val="auto"/>
              </w:rPr>
            </w:pPr>
            <w:r>
              <w:rPr>
                <w:rFonts w:ascii="Arial" w:cs="Arial" w:eastAsia="Arial" w:hAnsi="Arial"/>
                <w:sz w:val="18"/>
                <w:szCs w:val="18"/>
                <w:color w:val="auto"/>
              </w:rPr>
              <w:t>ARTICLE V - OFFICERS</w:t>
            </w:r>
          </w:p>
        </w:tc>
        <w:tc>
          <w:tcPr>
            <w:tcW w:w="240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8580" w:type="dxa"/>
            <w:vAlign w:val="bottom"/>
            <w:gridSpan w:val="2"/>
            <w:vMerge w:val="continue"/>
          </w:tcPr>
          <w:p>
            <w:pPr>
              <w:spacing w:after="0"/>
              <w:rPr>
                <w:sz w:val="19"/>
                <w:szCs w:val="19"/>
                <w:color w:val="auto"/>
              </w:rPr>
            </w:pPr>
          </w:p>
        </w:tc>
        <w:tc>
          <w:tcPr>
            <w:tcW w:w="2100" w:type="dxa"/>
            <w:vAlign w:val="bottom"/>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95"/>
        </w:trPr>
        <w:tc>
          <w:tcPr>
            <w:tcW w:w="780" w:type="dxa"/>
            <w:vAlign w:val="bottom"/>
          </w:tcPr>
          <w:p>
            <w:pPr>
              <w:ind w:left="360"/>
              <w:spacing w:after="0"/>
              <w:rPr>
                <w:sz w:val="20"/>
                <w:szCs w:val="20"/>
                <w:color w:val="auto"/>
              </w:rPr>
            </w:pPr>
            <w:r>
              <w:rPr>
                <w:rFonts w:ascii="Arial" w:cs="Arial" w:eastAsia="Arial" w:hAnsi="Arial"/>
                <w:sz w:val="18"/>
                <w:szCs w:val="18"/>
                <w:color w:val="auto"/>
              </w:rPr>
              <w:t>5.1</w:t>
            </w:r>
          </w:p>
        </w:tc>
        <w:tc>
          <w:tcPr>
            <w:tcW w:w="7800" w:type="dxa"/>
            <w:vAlign w:val="bottom"/>
          </w:tcPr>
          <w:p>
            <w:pPr>
              <w:ind w:left="80"/>
              <w:spacing w:after="0"/>
              <w:rPr>
                <w:sz w:val="20"/>
                <w:szCs w:val="20"/>
                <w:color w:val="auto"/>
              </w:rPr>
            </w:pPr>
            <w:r>
              <w:rPr>
                <w:rFonts w:ascii="Arial" w:cs="Arial" w:eastAsia="Arial" w:hAnsi="Arial"/>
                <w:sz w:val="18"/>
                <w:szCs w:val="18"/>
                <w:color w:val="auto"/>
              </w:rPr>
              <w:t>OFFICERS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5.2</w:t>
            </w:r>
          </w:p>
        </w:tc>
        <w:tc>
          <w:tcPr>
            <w:tcW w:w="7800" w:type="dxa"/>
            <w:vAlign w:val="bottom"/>
          </w:tcPr>
          <w:p>
            <w:pPr>
              <w:ind w:left="80"/>
              <w:spacing w:after="0"/>
              <w:rPr>
                <w:sz w:val="20"/>
                <w:szCs w:val="20"/>
                <w:color w:val="auto"/>
              </w:rPr>
            </w:pPr>
            <w:r>
              <w:rPr>
                <w:rFonts w:ascii="Arial" w:cs="Arial" w:eastAsia="Arial" w:hAnsi="Arial"/>
                <w:sz w:val="18"/>
                <w:szCs w:val="18"/>
                <w:color w:val="auto"/>
              </w:rPr>
              <w:t>APPOINTMENT OF OFFICERS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5.3</w:t>
            </w:r>
          </w:p>
        </w:tc>
        <w:tc>
          <w:tcPr>
            <w:tcW w:w="7800" w:type="dxa"/>
            <w:vAlign w:val="bottom"/>
          </w:tcPr>
          <w:p>
            <w:pPr>
              <w:ind w:left="80"/>
              <w:spacing w:after="0"/>
              <w:rPr>
                <w:sz w:val="20"/>
                <w:szCs w:val="20"/>
                <w:color w:val="auto"/>
              </w:rPr>
            </w:pPr>
            <w:r>
              <w:rPr>
                <w:rFonts w:ascii="Arial" w:cs="Arial" w:eastAsia="Arial" w:hAnsi="Arial"/>
                <w:sz w:val="18"/>
                <w:szCs w:val="18"/>
                <w:color w:val="auto"/>
              </w:rPr>
              <w:t>SUBORDINATE OFFICERS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5.4</w:t>
            </w:r>
          </w:p>
        </w:tc>
        <w:tc>
          <w:tcPr>
            <w:tcW w:w="7800" w:type="dxa"/>
            <w:vAlign w:val="bottom"/>
          </w:tcPr>
          <w:p>
            <w:pPr>
              <w:ind w:left="80"/>
              <w:spacing w:after="0"/>
              <w:rPr>
                <w:sz w:val="20"/>
                <w:szCs w:val="20"/>
                <w:color w:val="auto"/>
              </w:rPr>
            </w:pPr>
            <w:r>
              <w:rPr>
                <w:rFonts w:ascii="Arial" w:cs="Arial" w:eastAsia="Arial" w:hAnsi="Arial"/>
                <w:sz w:val="18"/>
                <w:szCs w:val="18"/>
                <w:color w:val="auto"/>
              </w:rPr>
              <w:t>REMOVAL AND RESIGNATION OF OFFICERS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5.5</w:t>
            </w:r>
          </w:p>
        </w:tc>
        <w:tc>
          <w:tcPr>
            <w:tcW w:w="7800" w:type="dxa"/>
            <w:vAlign w:val="bottom"/>
          </w:tcPr>
          <w:p>
            <w:pPr>
              <w:ind w:left="80"/>
              <w:spacing w:after="0"/>
              <w:rPr>
                <w:sz w:val="20"/>
                <w:szCs w:val="20"/>
                <w:color w:val="auto"/>
              </w:rPr>
            </w:pPr>
            <w:r>
              <w:rPr>
                <w:rFonts w:ascii="Arial" w:cs="Arial" w:eastAsia="Arial" w:hAnsi="Arial"/>
                <w:sz w:val="18"/>
                <w:szCs w:val="18"/>
                <w:color w:val="auto"/>
              </w:rPr>
              <w:t>VACANCIES IN OFFICES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5.6</w:t>
            </w:r>
          </w:p>
        </w:tc>
        <w:tc>
          <w:tcPr>
            <w:tcW w:w="7800" w:type="dxa"/>
            <w:vAlign w:val="bottom"/>
          </w:tcPr>
          <w:p>
            <w:pPr>
              <w:ind w:left="80"/>
              <w:spacing w:after="0"/>
              <w:rPr>
                <w:sz w:val="20"/>
                <w:szCs w:val="20"/>
                <w:color w:val="auto"/>
              </w:rPr>
            </w:pPr>
            <w:r>
              <w:rPr>
                <w:rFonts w:ascii="Arial" w:cs="Arial" w:eastAsia="Arial" w:hAnsi="Arial"/>
                <w:sz w:val="18"/>
                <w:szCs w:val="18"/>
                <w:color w:val="auto"/>
              </w:rPr>
              <w:t>REPRESENTATION OF SHARES OF OTHER CORPORATIONS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5.7</w:t>
            </w:r>
          </w:p>
        </w:tc>
        <w:tc>
          <w:tcPr>
            <w:tcW w:w="7800" w:type="dxa"/>
            <w:vAlign w:val="bottom"/>
          </w:tcPr>
          <w:p>
            <w:pPr>
              <w:ind w:left="80"/>
              <w:spacing w:after="0"/>
              <w:rPr>
                <w:sz w:val="20"/>
                <w:szCs w:val="20"/>
                <w:color w:val="auto"/>
              </w:rPr>
            </w:pPr>
            <w:r>
              <w:rPr>
                <w:rFonts w:ascii="Arial" w:cs="Arial" w:eastAsia="Arial" w:hAnsi="Arial"/>
                <w:sz w:val="18"/>
                <w:szCs w:val="18"/>
                <w:color w:val="auto"/>
              </w:rPr>
              <w:t>AUTHORITY AND DUTIES OF OFFICERS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VI - RECORDS AND REPORTS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6.1</w:t>
            </w:r>
          </w:p>
        </w:tc>
        <w:tc>
          <w:tcPr>
            <w:tcW w:w="7800" w:type="dxa"/>
            <w:vAlign w:val="bottom"/>
          </w:tcPr>
          <w:p>
            <w:pPr>
              <w:ind w:left="80"/>
              <w:spacing w:after="0"/>
              <w:rPr>
                <w:sz w:val="20"/>
                <w:szCs w:val="20"/>
                <w:color w:val="auto"/>
              </w:rPr>
            </w:pPr>
            <w:r>
              <w:rPr>
                <w:rFonts w:ascii="Arial" w:cs="Arial" w:eastAsia="Arial" w:hAnsi="Arial"/>
                <w:sz w:val="18"/>
                <w:szCs w:val="18"/>
                <w:color w:val="auto"/>
              </w:rPr>
              <w:t>MAINTENANCE AND INSPECTION OF RECORDS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6.2</w:t>
            </w:r>
          </w:p>
        </w:tc>
        <w:tc>
          <w:tcPr>
            <w:tcW w:w="7800" w:type="dxa"/>
            <w:vAlign w:val="bottom"/>
          </w:tcPr>
          <w:p>
            <w:pPr>
              <w:ind w:left="80"/>
              <w:spacing w:after="0"/>
              <w:rPr>
                <w:sz w:val="20"/>
                <w:szCs w:val="20"/>
                <w:color w:val="auto"/>
              </w:rPr>
            </w:pPr>
            <w:r>
              <w:rPr>
                <w:rFonts w:ascii="Arial" w:cs="Arial" w:eastAsia="Arial" w:hAnsi="Arial"/>
                <w:sz w:val="18"/>
                <w:szCs w:val="18"/>
                <w:color w:val="auto"/>
              </w:rPr>
              <w:t>INSPECTION BY DIRECTORS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VII - GENERAL MATTERS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7.1</w:t>
            </w:r>
          </w:p>
        </w:tc>
        <w:tc>
          <w:tcPr>
            <w:tcW w:w="7800" w:type="dxa"/>
            <w:vAlign w:val="bottom"/>
          </w:tcPr>
          <w:p>
            <w:pPr>
              <w:ind w:left="80"/>
              <w:spacing w:after="0"/>
              <w:rPr>
                <w:sz w:val="20"/>
                <w:szCs w:val="20"/>
                <w:color w:val="auto"/>
              </w:rPr>
            </w:pPr>
            <w:r>
              <w:rPr>
                <w:rFonts w:ascii="Arial" w:cs="Arial" w:eastAsia="Arial" w:hAnsi="Arial"/>
                <w:sz w:val="18"/>
                <w:szCs w:val="18"/>
                <w:color w:val="auto"/>
              </w:rPr>
              <w:t>EXECUTION OF CORPORATE CONTRACTS AND INSTRUMENTS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7.2</w:t>
            </w:r>
          </w:p>
        </w:tc>
        <w:tc>
          <w:tcPr>
            <w:tcW w:w="7800" w:type="dxa"/>
            <w:vAlign w:val="bottom"/>
          </w:tcPr>
          <w:p>
            <w:pPr>
              <w:ind w:left="80"/>
              <w:spacing w:after="0"/>
              <w:rPr>
                <w:sz w:val="20"/>
                <w:szCs w:val="20"/>
                <w:color w:val="auto"/>
              </w:rPr>
            </w:pPr>
            <w:r>
              <w:rPr>
                <w:rFonts w:ascii="Arial" w:cs="Arial" w:eastAsia="Arial" w:hAnsi="Arial"/>
                <w:sz w:val="18"/>
                <w:szCs w:val="18"/>
                <w:color w:val="auto"/>
              </w:rPr>
              <w:t>STOCK CERTIFICATES; PARTLY PAID SHARES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7.3</w:t>
            </w:r>
          </w:p>
        </w:tc>
        <w:tc>
          <w:tcPr>
            <w:tcW w:w="7800" w:type="dxa"/>
            <w:vAlign w:val="bottom"/>
          </w:tcPr>
          <w:p>
            <w:pPr>
              <w:ind w:left="80"/>
              <w:spacing w:after="0"/>
              <w:rPr>
                <w:sz w:val="20"/>
                <w:szCs w:val="20"/>
                <w:color w:val="auto"/>
              </w:rPr>
            </w:pPr>
            <w:r>
              <w:rPr>
                <w:rFonts w:ascii="Arial" w:cs="Arial" w:eastAsia="Arial" w:hAnsi="Arial"/>
                <w:sz w:val="18"/>
                <w:szCs w:val="18"/>
                <w:color w:val="auto"/>
              </w:rPr>
              <w:t>SPECIAL DESIGNATION ON CERTIFICATES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7.4</w:t>
            </w:r>
          </w:p>
        </w:tc>
        <w:tc>
          <w:tcPr>
            <w:tcW w:w="7800" w:type="dxa"/>
            <w:vAlign w:val="bottom"/>
          </w:tcPr>
          <w:p>
            <w:pPr>
              <w:ind w:left="80"/>
              <w:spacing w:after="0"/>
              <w:rPr>
                <w:sz w:val="20"/>
                <w:szCs w:val="20"/>
                <w:color w:val="auto"/>
              </w:rPr>
            </w:pPr>
            <w:r>
              <w:rPr>
                <w:rFonts w:ascii="Arial" w:cs="Arial" w:eastAsia="Arial" w:hAnsi="Arial"/>
                <w:sz w:val="18"/>
                <w:szCs w:val="18"/>
                <w:color w:val="auto"/>
              </w:rPr>
              <w:t>LOST CERTIFICATES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7.5</w:t>
            </w:r>
          </w:p>
        </w:tc>
        <w:tc>
          <w:tcPr>
            <w:tcW w:w="7800" w:type="dxa"/>
            <w:vAlign w:val="bottom"/>
          </w:tcPr>
          <w:p>
            <w:pPr>
              <w:ind w:left="80"/>
              <w:spacing w:after="0"/>
              <w:rPr>
                <w:sz w:val="20"/>
                <w:szCs w:val="20"/>
                <w:color w:val="auto"/>
              </w:rPr>
            </w:pPr>
            <w:r>
              <w:rPr>
                <w:rFonts w:ascii="Arial" w:cs="Arial" w:eastAsia="Arial" w:hAnsi="Arial"/>
                <w:sz w:val="18"/>
                <w:szCs w:val="18"/>
                <w:color w:val="auto"/>
              </w:rPr>
              <w:t>CONSTRUCTION; DEFINITIONS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7.6</w:t>
            </w:r>
          </w:p>
        </w:tc>
        <w:tc>
          <w:tcPr>
            <w:tcW w:w="7800" w:type="dxa"/>
            <w:vAlign w:val="bottom"/>
          </w:tcPr>
          <w:p>
            <w:pPr>
              <w:ind w:left="80"/>
              <w:spacing w:after="0"/>
              <w:rPr>
                <w:sz w:val="20"/>
                <w:szCs w:val="20"/>
                <w:color w:val="auto"/>
              </w:rPr>
            </w:pPr>
            <w:r>
              <w:rPr>
                <w:rFonts w:ascii="Arial" w:cs="Arial" w:eastAsia="Arial" w:hAnsi="Arial"/>
                <w:sz w:val="18"/>
                <w:szCs w:val="18"/>
                <w:color w:val="auto"/>
              </w:rPr>
              <w:t>DIVIDENDS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7.7</w:t>
            </w:r>
          </w:p>
        </w:tc>
        <w:tc>
          <w:tcPr>
            <w:tcW w:w="7800" w:type="dxa"/>
            <w:vAlign w:val="bottom"/>
          </w:tcPr>
          <w:p>
            <w:pPr>
              <w:ind w:left="80"/>
              <w:spacing w:after="0"/>
              <w:rPr>
                <w:sz w:val="20"/>
                <w:szCs w:val="20"/>
                <w:color w:val="auto"/>
              </w:rPr>
            </w:pPr>
            <w:r>
              <w:rPr>
                <w:rFonts w:ascii="Arial" w:cs="Arial" w:eastAsia="Arial" w:hAnsi="Arial"/>
                <w:sz w:val="18"/>
                <w:szCs w:val="18"/>
                <w:color w:val="auto"/>
              </w:rPr>
              <w:t>FISCAL YEAR</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7.8</w:t>
            </w:r>
          </w:p>
        </w:tc>
        <w:tc>
          <w:tcPr>
            <w:tcW w:w="7800" w:type="dxa"/>
            <w:vAlign w:val="bottom"/>
          </w:tcPr>
          <w:p>
            <w:pPr>
              <w:ind w:left="80"/>
              <w:spacing w:after="0"/>
              <w:rPr>
                <w:sz w:val="20"/>
                <w:szCs w:val="20"/>
                <w:color w:val="auto"/>
              </w:rPr>
            </w:pPr>
            <w:r>
              <w:rPr>
                <w:rFonts w:ascii="Arial" w:cs="Arial" w:eastAsia="Arial" w:hAnsi="Arial"/>
                <w:sz w:val="18"/>
                <w:szCs w:val="18"/>
                <w:color w:val="auto"/>
              </w:rPr>
              <w:t>SEAL</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7.9</w:t>
            </w:r>
          </w:p>
        </w:tc>
        <w:tc>
          <w:tcPr>
            <w:tcW w:w="7800" w:type="dxa"/>
            <w:vAlign w:val="bottom"/>
          </w:tcPr>
          <w:p>
            <w:pPr>
              <w:ind w:left="80"/>
              <w:spacing w:after="0"/>
              <w:rPr>
                <w:sz w:val="20"/>
                <w:szCs w:val="20"/>
                <w:color w:val="auto"/>
              </w:rPr>
            </w:pPr>
            <w:r>
              <w:rPr>
                <w:rFonts w:ascii="Arial" w:cs="Arial" w:eastAsia="Arial" w:hAnsi="Arial"/>
                <w:sz w:val="18"/>
                <w:szCs w:val="18"/>
                <w:color w:val="auto"/>
              </w:rPr>
              <w:t>TRANSFER OF STOCK</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7.10</w:t>
            </w:r>
          </w:p>
        </w:tc>
        <w:tc>
          <w:tcPr>
            <w:tcW w:w="7800" w:type="dxa"/>
            <w:vAlign w:val="bottom"/>
          </w:tcPr>
          <w:p>
            <w:pPr>
              <w:ind w:left="80"/>
              <w:spacing w:after="0"/>
              <w:rPr>
                <w:sz w:val="20"/>
                <w:szCs w:val="20"/>
                <w:color w:val="auto"/>
              </w:rPr>
            </w:pPr>
            <w:r>
              <w:rPr>
                <w:rFonts w:ascii="Arial" w:cs="Arial" w:eastAsia="Arial" w:hAnsi="Arial"/>
                <w:sz w:val="18"/>
                <w:szCs w:val="18"/>
                <w:color w:val="auto"/>
              </w:rPr>
              <w:t>STOCK TRANSFER AGREEMENTS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7.11</w:t>
            </w:r>
          </w:p>
        </w:tc>
        <w:tc>
          <w:tcPr>
            <w:tcW w:w="7800" w:type="dxa"/>
            <w:vAlign w:val="bottom"/>
          </w:tcPr>
          <w:p>
            <w:pPr>
              <w:ind w:left="80"/>
              <w:spacing w:after="0"/>
              <w:rPr>
                <w:sz w:val="20"/>
                <w:szCs w:val="20"/>
                <w:color w:val="auto"/>
              </w:rPr>
            </w:pPr>
            <w:r>
              <w:rPr>
                <w:rFonts w:ascii="Arial" w:cs="Arial" w:eastAsia="Arial" w:hAnsi="Arial"/>
                <w:sz w:val="18"/>
                <w:szCs w:val="18"/>
                <w:color w:val="auto"/>
              </w:rPr>
              <w:t>REGISTERED STOCKHOLDERS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7.12</w:t>
            </w:r>
          </w:p>
        </w:tc>
        <w:tc>
          <w:tcPr>
            <w:tcW w:w="7800" w:type="dxa"/>
            <w:vAlign w:val="bottom"/>
          </w:tcPr>
          <w:p>
            <w:pPr>
              <w:ind w:left="80"/>
              <w:spacing w:after="0"/>
              <w:rPr>
                <w:sz w:val="20"/>
                <w:szCs w:val="20"/>
                <w:color w:val="auto"/>
              </w:rPr>
            </w:pPr>
            <w:r>
              <w:rPr>
                <w:rFonts w:ascii="Arial" w:cs="Arial" w:eastAsia="Arial" w:hAnsi="Arial"/>
                <w:sz w:val="18"/>
                <w:szCs w:val="18"/>
                <w:color w:val="auto"/>
              </w:rPr>
              <w:t>WAIVER OF NOTICE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VIII - NOTICE BY ELECTRONIC TRANSMISSION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780" w:type="dxa"/>
            <w:vAlign w:val="bottom"/>
          </w:tcPr>
          <w:p>
            <w:pPr>
              <w:ind w:left="360"/>
              <w:spacing w:after="0"/>
              <w:rPr>
                <w:sz w:val="20"/>
                <w:szCs w:val="20"/>
                <w:color w:val="auto"/>
              </w:rPr>
            </w:pPr>
            <w:r>
              <w:rPr>
                <w:rFonts w:ascii="Arial" w:cs="Arial" w:eastAsia="Arial" w:hAnsi="Arial"/>
                <w:sz w:val="18"/>
                <w:szCs w:val="18"/>
                <w:color w:val="auto"/>
              </w:rPr>
              <w:t>8.1</w:t>
            </w:r>
          </w:p>
        </w:tc>
        <w:tc>
          <w:tcPr>
            <w:tcW w:w="7800" w:type="dxa"/>
            <w:vAlign w:val="bottom"/>
          </w:tcPr>
          <w:p>
            <w:pPr>
              <w:ind w:left="80"/>
              <w:spacing w:after="0"/>
              <w:rPr>
                <w:sz w:val="20"/>
                <w:szCs w:val="20"/>
                <w:color w:val="auto"/>
              </w:rPr>
            </w:pPr>
            <w:r>
              <w:rPr>
                <w:rFonts w:ascii="Arial" w:cs="Arial" w:eastAsia="Arial" w:hAnsi="Arial"/>
                <w:sz w:val="18"/>
                <w:szCs w:val="18"/>
                <w:color w:val="auto"/>
              </w:rPr>
              <w:t>NOTICE BY ELECTRONIC TRANSMISSION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IX - INDEMNIFICATION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10"/>
        </w:trPr>
        <w:tc>
          <w:tcPr>
            <w:tcW w:w="780" w:type="dxa"/>
            <w:vAlign w:val="bottom"/>
          </w:tcPr>
          <w:p>
            <w:pPr>
              <w:ind w:left="360"/>
              <w:spacing w:after="0"/>
              <w:rPr>
                <w:sz w:val="20"/>
                <w:szCs w:val="20"/>
                <w:color w:val="auto"/>
              </w:rPr>
            </w:pPr>
            <w:r>
              <w:rPr>
                <w:rFonts w:ascii="Arial" w:cs="Arial" w:eastAsia="Arial" w:hAnsi="Arial"/>
                <w:sz w:val="18"/>
                <w:szCs w:val="18"/>
                <w:color w:val="auto"/>
              </w:rPr>
              <w:t>9.1</w:t>
            </w:r>
          </w:p>
        </w:tc>
        <w:tc>
          <w:tcPr>
            <w:tcW w:w="7800" w:type="dxa"/>
            <w:vAlign w:val="bottom"/>
          </w:tcPr>
          <w:p>
            <w:pPr>
              <w:ind w:left="80"/>
              <w:spacing w:after="0"/>
              <w:rPr>
                <w:sz w:val="20"/>
                <w:szCs w:val="20"/>
                <w:color w:val="auto"/>
              </w:rPr>
            </w:pPr>
            <w:r>
              <w:rPr>
                <w:rFonts w:ascii="Arial" w:cs="Arial" w:eastAsia="Arial" w:hAnsi="Arial"/>
                <w:sz w:val="18"/>
                <w:szCs w:val="18"/>
                <w:color w:val="auto"/>
              </w:rPr>
              <w:t>INDEMNIFICATION OF DIRECTORS AND OFFICERS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9.2</w:t>
            </w:r>
          </w:p>
        </w:tc>
        <w:tc>
          <w:tcPr>
            <w:tcW w:w="7800" w:type="dxa"/>
            <w:vAlign w:val="bottom"/>
          </w:tcPr>
          <w:p>
            <w:pPr>
              <w:ind w:left="80"/>
              <w:spacing w:after="0"/>
              <w:rPr>
                <w:sz w:val="20"/>
                <w:szCs w:val="20"/>
                <w:color w:val="auto"/>
              </w:rPr>
            </w:pPr>
            <w:r>
              <w:rPr>
                <w:rFonts w:ascii="Arial" w:cs="Arial" w:eastAsia="Arial" w:hAnsi="Arial"/>
                <w:sz w:val="18"/>
                <w:szCs w:val="18"/>
                <w:color w:val="auto"/>
              </w:rPr>
              <w:t>INDEMNIFICATION OF OTHERS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9.3</w:t>
            </w:r>
          </w:p>
        </w:tc>
        <w:tc>
          <w:tcPr>
            <w:tcW w:w="7800" w:type="dxa"/>
            <w:vAlign w:val="bottom"/>
          </w:tcPr>
          <w:p>
            <w:pPr>
              <w:ind w:left="80"/>
              <w:spacing w:after="0"/>
              <w:rPr>
                <w:sz w:val="20"/>
                <w:szCs w:val="20"/>
                <w:color w:val="auto"/>
              </w:rPr>
            </w:pPr>
            <w:r>
              <w:rPr>
                <w:rFonts w:ascii="Arial" w:cs="Arial" w:eastAsia="Arial" w:hAnsi="Arial"/>
                <w:sz w:val="18"/>
                <w:szCs w:val="18"/>
                <w:color w:val="auto"/>
              </w:rPr>
              <w:t>PREPAYMENT OF EXPENSES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9.4</w:t>
            </w:r>
          </w:p>
        </w:tc>
        <w:tc>
          <w:tcPr>
            <w:tcW w:w="7800" w:type="dxa"/>
            <w:vAlign w:val="bottom"/>
          </w:tcPr>
          <w:p>
            <w:pPr>
              <w:ind w:left="80"/>
              <w:spacing w:after="0"/>
              <w:rPr>
                <w:sz w:val="20"/>
                <w:szCs w:val="20"/>
                <w:color w:val="auto"/>
              </w:rPr>
            </w:pPr>
            <w:r>
              <w:rPr>
                <w:rFonts w:ascii="Arial" w:cs="Arial" w:eastAsia="Arial" w:hAnsi="Arial"/>
                <w:sz w:val="18"/>
                <w:szCs w:val="18"/>
                <w:color w:val="auto"/>
              </w:rPr>
              <w:t>DETERMINATION; CLAIM</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9.5</w:t>
            </w:r>
          </w:p>
        </w:tc>
        <w:tc>
          <w:tcPr>
            <w:tcW w:w="7800" w:type="dxa"/>
            <w:vAlign w:val="bottom"/>
          </w:tcPr>
          <w:p>
            <w:pPr>
              <w:ind w:left="80"/>
              <w:spacing w:after="0"/>
              <w:rPr>
                <w:sz w:val="20"/>
                <w:szCs w:val="20"/>
                <w:color w:val="auto"/>
              </w:rPr>
            </w:pPr>
            <w:r>
              <w:rPr>
                <w:rFonts w:ascii="Arial" w:cs="Arial" w:eastAsia="Arial" w:hAnsi="Arial"/>
                <w:sz w:val="18"/>
                <w:szCs w:val="18"/>
                <w:color w:val="auto"/>
              </w:rPr>
              <w:t>NON-EXCLUSIVITY OF RIGHTS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9.6</w:t>
            </w:r>
          </w:p>
        </w:tc>
        <w:tc>
          <w:tcPr>
            <w:tcW w:w="7800" w:type="dxa"/>
            <w:vAlign w:val="bottom"/>
          </w:tcPr>
          <w:p>
            <w:pPr>
              <w:ind w:left="80"/>
              <w:spacing w:after="0"/>
              <w:rPr>
                <w:sz w:val="20"/>
                <w:szCs w:val="20"/>
                <w:color w:val="auto"/>
              </w:rPr>
            </w:pPr>
            <w:r>
              <w:rPr>
                <w:rFonts w:ascii="Arial" w:cs="Arial" w:eastAsia="Arial" w:hAnsi="Arial"/>
                <w:sz w:val="18"/>
                <w:szCs w:val="18"/>
                <w:color w:val="auto"/>
              </w:rPr>
              <w:t>INSURANCE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80" w:type="dxa"/>
            <w:vAlign w:val="bottom"/>
          </w:tcPr>
          <w:p>
            <w:pPr>
              <w:ind w:left="360"/>
              <w:spacing w:after="0"/>
              <w:rPr>
                <w:sz w:val="20"/>
                <w:szCs w:val="20"/>
                <w:color w:val="auto"/>
              </w:rPr>
            </w:pPr>
            <w:r>
              <w:rPr>
                <w:rFonts w:ascii="Arial" w:cs="Arial" w:eastAsia="Arial" w:hAnsi="Arial"/>
                <w:sz w:val="18"/>
                <w:szCs w:val="18"/>
                <w:color w:val="auto"/>
              </w:rPr>
              <w:t>9.7</w:t>
            </w:r>
          </w:p>
        </w:tc>
        <w:tc>
          <w:tcPr>
            <w:tcW w:w="7800" w:type="dxa"/>
            <w:vAlign w:val="bottom"/>
          </w:tcPr>
          <w:p>
            <w:pPr>
              <w:ind w:left="80"/>
              <w:spacing w:after="0"/>
              <w:rPr>
                <w:sz w:val="20"/>
                <w:szCs w:val="20"/>
                <w:color w:val="auto"/>
              </w:rPr>
            </w:pPr>
            <w:r>
              <w:rPr>
                <w:rFonts w:ascii="Arial" w:cs="Arial" w:eastAsia="Arial" w:hAnsi="Arial"/>
                <w:sz w:val="18"/>
                <w:szCs w:val="18"/>
                <w:color w:val="auto"/>
              </w:rPr>
              <w:t>OTHER INDEMNIFICATION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780" w:type="dxa"/>
            <w:vAlign w:val="bottom"/>
          </w:tcPr>
          <w:p>
            <w:pPr>
              <w:ind w:left="360"/>
              <w:spacing w:after="0"/>
              <w:rPr>
                <w:sz w:val="20"/>
                <w:szCs w:val="20"/>
                <w:color w:val="auto"/>
              </w:rPr>
            </w:pPr>
            <w:r>
              <w:rPr>
                <w:rFonts w:ascii="Arial" w:cs="Arial" w:eastAsia="Arial" w:hAnsi="Arial"/>
                <w:sz w:val="18"/>
                <w:szCs w:val="18"/>
                <w:color w:val="auto"/>
              </w:rPr>
              <w:t>9.8</w:t>
            </w:r>
          </w:p>
        </w:tc>
        <w:tc>
          <w:tcPr>
            <w:tcW w:w="7800" w:type="dxa"/>
            <w:vAlign w:val="bottom"/>
          </w:tcPr>
          <w:p>
            <w:pPr>
              <w:ind w:left="80"/>
              <w:spacing w:after="0"/>
              <w:rPr>
                <w:sz w:val="20"/>
                <w:szCs w:val="20"/>
                <w:color w:val="auto"/>
              </w:rPr>
            </w:pPr>
            <w:r>
              <w:rPr>
                <w:rFonts w:ascii="Arial" w:cs="Arial" w:eastAsia="Arial" w:hAnsi="Arial"/>
                <w:sz w:val="18"/>
                <w:szCs w:val="18"/>
                <w:color w:val="auto"/>
              </w:rPr>
              <w:t>CONTINUATION OF INDEMNIFICATION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X - AMENDMENTS</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24"/>
        </w:trPr>
        <w:tc>
          <w:tcPr>
            <w:tcW w:w="8580" w:type="dxa"/>
            <w:vAlign w:val="bottom"/>
            <w:gridSpan w:val="2"/>
          </w:tcPr>
          <w:p>
            <w:pPr>
              <w:spacing w:after="0"/>
              <w:rPr>
                <w:sz w:val="20"/>
                <w:szCs w:val="20"/>
                <w:color w:val="auto"/>
              </w:rPr>
            </w:pPr>
            <w:r>
              <w:rPr>
                <w:rFonts w:ascii="Arial" w:cs="Arial" w:eastAsia="Arial" w:hAnsi="Arial"/>
                <w:sz w:val="18"/>
                <w:szCs w:val="18"/>
                <w:color w:val="auto"/>
              </w:rPr>
              <w:t>ARTICLE XI - FORUM SELECTION</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3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80"/>
          </w:cols>
          <w:pgMar w:left="440" w:top="269" w:right="479" w:bottom="1440" w:gutter="0" w:footer="0" w:header="0"/>
        </w:sectPr>
      </w:pPr>
    </w:p>
    <w:bookmarkStart w:id="386" w:name="page387"/>
    <w:bookmarkEnd w:id="38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AMENDED AND RESTATED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BYLAWS 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REVOLUTION MEDICINES, INC.</w:t>
      </w:r>
    </w:p>
    <w:p>
      <w:pPr>
        <w:spacing w:after="0" w:line="211"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(Adopted _____________ __ , 2020)</w:t>
      </w:r>
    </w:p>
    <w:p>
      <w:pPr>
        <w:spacing w:after="0" w:line="23"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(Effective as of _____________ __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228600</wp:posOffset>
            </wp:positionV>
            <wp:extent cx="146621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9">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2767965</wp:posOffset>
            </wp:positionH>
            <wp:positionV relativeFrom="paragraph">
              <wp:posOffset>280035</wp:posOffset>
            </wp:positionV>
            <wp:extent cx="146621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6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 - CORPORATE OFFICES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1.1 REGISTERED OFFICE.</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registered office of Revolution Medicines,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fixed in the Corporation’s certificate of incorporation, as the same may be amended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1.2 OTHER OFFICES.</w:t>
      </w:r>
    </w:p>
    <w:p>
      <w:pPr>
        <w:spacing w:after="0" w:line="225"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The Corporation’s board of directors (the “</w:t>
      </w:r>
      <w:r>
        <w:rPr>
          <w:rFonts w:ascii="Arial" w:cs="Arial" w:eastAsia="Arial" w:hAnsi="Arial"/>
          <w:sz w:val="18"/>
          <w:szCs w:val="18"/>
          <w:u w:val="single" w:color="auto"/>
          <w:color w:val="auto"/>
        </w:rPr>
        <w:t>Board</w:t>
      </w:r>
      <w:r>
        <w:rPr>
          <w:rFonts w:ascii="Arial" w:cs="Arial" w:eastAsia="Arial" w:hAnsi="Arial"/>
          <w:sz w:val="18"/>
          <w:szCs w:val="18"/>
          <w:color w:val="auto"/>
        </w:rPr>
        <w:t>”) may at any time establish other offices at any place or places where the Corporation is qualified to do business.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 PLACE OF MEETINGS.</w:t>
      </w:r>
    </w:p>
    <w:p>
      <w:pPr>
        <w:spacing w:after="0" w:line="225"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Arial" w:cs="Arial" w:eastAsia="Arial" w:hAnsi="Arial"/>
          <w:sz w:val="17"/>
          <w:szCs w:val="17"/>
          <w:u w:val="single" w:color="auto"/>
          <w:color w:val="auto"/>
        </w:rPr>
        <w:t>DGCL</w:t>
      </w:r>
      <w:r>
        <w:rPr>
          <w:rFonts w:ascii="Arial" w:cs="Arial" w:eastAsia="Arial" w:hAnsi="Arial"/>
          <w:sz w:val="17"/>
          <w:szCs w:val="17"/>
          <w:color w:val="auto"/>
        </w:rPr>
        <w:t>”). In the absence of any such designation or determination, stockholders’ meetings shall be held at the Corporation’s principal executive office.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 ANNUAL MEETING.</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 Board shall designate the date and time of the annual meeting. At the annual meeting, directors shall be elected and other proper business properly brought before the meeting in accordance with Section 2.4 may be transacted. The Corporation may postpone, reschedule or cancel any annual meeting of stockholders previously scheduled by the Board.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 SPECIAL MEETING.</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Except as otherwise provided by the Certificate of Incorporation, a special meeting of the stockholders may be called at any time by the Board, chief executive officer or president (in the absence of a chief executive officer), but such special meetings may not be called by the stockholders or any other person or persons.</w:t>
      </w:r>
    </w:p>
    <w:p>
      <w:pPr>
        <w:sectPr>
          <w:pgSz w:w="11900" w:h="16838" w:orient="portrait"/>
          <w:cols w:equalWidth="0" w:num="1">
            <w:col w:w="11000"/>
          </w:cols>
          <w:pgMar w:left="440" w:top="270" w:right="459" w:bottom="1440" w:gutter="0" w:footer="0" w:header="0"/>
        </w:sectPr>
      </w:pPr>
    </w:p>
    <w:bookmarkStart w:id="387" w:name="page388"/>
    <w:bookmarkEnd w:id="387"/>
    <w:p>
      <w:pPr>
        <w:jc w:val="both"/>
        <w:ind w:right="16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business may be transacted at such special meeting other than the business specified in the notice to stockholders. Nothing contained in this paragraph of this Section 2.3 shall be construed as limiting, fixing, or affecting the time when a meeting of stockholders called by action of the Board may be held. The Corporation may postpone, reschedule or cancel any special meeting of stockholders previously scheduled by the Chair of the Board or by the Secretary of the Corporation upon direction of the Board.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 ADVANCE NOTICE PROCEDURES FOR BUSINESS BROUGHT BEFORE A MEETING.</w:t>
      </w:r>
    </w:p>
    <w:p>
      <w:pPr>
        <w:spacing w:after="0" w:line="225" w:lineRule="exact"/>
        <w:rPr>
          <w:sz w:val="20"/>
          <w:szCs w:val="20"/>
          <w:color w:val="auto"/>
        </w:rPr>
      </w:pPr>
    </w:p>
    <w:p>
      <w:pPr>
        <w:ind w:right="80" w:firstLine="996"/>
        <w:spacing w:after="0" w:line="285" w:lineRule="auto"/>
        <w:tabs>
          <w:tab w:leader="none" w:pos="1207" w:val="left"/>
        </w:tabs>
        <w:numPr>
          <w:ilvl w:val="1"/>
          <w:numId w:val="196"/>
        </w:numPr>
        <w:rPr>
          <w:rFonts w:ascii="Arial" w:cs="Arial" w:eastAsia="Arial" w:hAnsi="Arial"/>
          <w:sz w:val="16"/>
          <w:szCs w:val="16"/>
          <w:color w:val="auto"/>
        </w:rPr>
      </w:pPr>
      <w:r>
        <w:rPr>
          <w:rFonts w:ascii="Arial" w:cs="Arial" w:eastAsia="Arial" w:hAnsi="Arial"/>
          <w:sz w:val="16"/>
          <w:szCs w:val="16"/>
          <w:color w:val="auto"/>
        </w:rPr>
        <w:t>At an annual meeting of the stockholders, only such business shall be conducted as shall have been properly brought before the meeting. To be properly brought before an annual meeting, business must be (a) specified in a notice of meeting given by or at the direction of the Board, (b) if not specified in a notice of meeting, otherwise brought before the meeting by or at the direction of the Board or the chairperson of the Board, or (c) otherwise properly brought before the meeting by a stockholder present in person who (A)(1) was a beneficial owner of shares of the Corporation both at the time of giving the notice provided for in this Section 2.4 and at the time of the meeting, (2) is entitled to vote at the meeting and</w:t>
      </w:r>
    </w:p>
    <w:p>
      <w:pPr>
        <w:spacing w:after="0" w:line="2" w:lineRule="exact"/>
        <w:rPr>
          <w:rFonts w:ascii="Arial" w:cs="Arial" w:eastAsia="Arial" w:hAnsi="Arial"/>
          <w:sz w:val="16"/>
          <w:szCs w:val="16"/>
          <w:color w:val="auto"/>
        </w:rPr>
      </w:pPr>
    </w:p>
    <w:p>
      <w:pPr>
        <w:ind w:firstLine="4"/>
        <w:spacing w:after="0" w:line="285" w:lineRule="auto"/>
        <w:tabs>
          <w:tab w:leader="none" w:pos="255" w:val="left"/>
        </w:tabs>
        <w:numPr>
          <w:ilvl w:val="0"/>
          <w:numId w:val="197"/>
        </w:numPr>
        <w:rPr>
          <w:rFonts w:ascii="Arial" w:cs="Arial" w:eastAsia="Arial" w:hAnsi="Arial"/>
          <w:sz w:val="16"/>
          <w:szCs w:val="16"/>
          <w:color w:val="auto"/>
        </w:rPr>
      </w:pPr>
      <w:r>
        <w:rPr>
          <w:rFonts w:ascii="Arial" w:cs="Arial" w:eastAsia="Arial" w:hAnsi="Arial"/>
          <w:sz w:val="16"/>
          <w:szCs w:val="16"/>
          <w:color w:val="auto"/>
        </w:rPr>
        <w:t>has complied with this Section 2.4 in all applicable respects, or (B) properly made such proposal in accordance with Rule 14a-8 under the Securities Exchange Act of 1934, as amended, and the rules and regulations promulgated thereunder (as so amended and inclusive of such rules and regulations, the “</w:t>
      </w:r>
      <w:r>
        <w:rPr>
          <w:rFonts w:ascii="Arial" w:cs="Arial" w:eastAsia="Arial" w:hAnsi="Arial"/>
          <w:sz w:val="16"/>
          <w:szCs w:val="16"/>
          <w:u w:val="single" w:color="auto"/>
          <w:color w:val="auto"/>
        </w:rPr>
        <w:t>Exchange Act</w:t>
      </w:r>
      <w:r>
        <w:rPr>
          <w:rFonts w:ascii="Arial" w:cs="Arial" w:eastAsia="Arial" w:hAnsi="Arial"/>
          <w:sz w:val="16"/>
          <w:szCs w:val="16"/>
          <w:color w:val="auto"/>
        </w:rPr>
        <w:t>”). The foregoing clause (c)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2.3 of these bylaws, and stockholders shall not be permitted to propose business to be brought before a special meeting of the stockholders. For purposes of this Section 2.4, “present in person” shall mean that the stockholder proposing that the business be brought before the annual meeting of the Corporation, or, if the proposing stockholder is not an individual, a qualified representative of such proposing stockholder, appear at such annual meeting. A “qualified representative” of such proposing stockholder shall be, if such proposing stockholder is (x) a general or limited partnership, any general partner or person who functions as a general partner of the general or limited partnership or who controls the general or limited partnership, (y)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(z) a trust, any trustee of such trust. Stockholders seeking to nominate persons for election to the Board must comply with Section 2.5 of these bylaws, and this Section 2.4 shall not be applicable to nominations except as expressly provided in Section 2.5 of these bylaws.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3" w:right="439" w:bottom="1440" w:gutter="0" w:footer="0" w:header="0"/>
        </w:sectPr>
      </w:pPr>
    </w:p>
    <w:bookmarkStart w:id="388" w:name="page389"/>
    <w:bookmarkEnd w:id="388"/>
    <w:p>
      <w:pPr>
        <w:ind w:firstLine="996"/>
        <w:spacing w:after="0" w:line="285" w:lineRule="auto"/>
        <w:tabs>
          <w:tab w:leader="none" w:pos="1257" w:val="left"/>
        </w:tabs>
        <w:numPr>
          <w:ilvl w:val="1"/>
          <w:numId w:val="1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For business to be properly brought before an annual meeting by a stockholder, the stockholder must (a) provide Timely Notice (as defined below) thereof in writing and in proper form to the Secretary of the Corporation and (b)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date of the annual meeting is more than thirty (30) days before or more than sixty</w:t>
      </w:r>
    </w:p>
    <w:p>
      <w:pPr>
        <w:spacing w:after="0" w:line="2" w:lineRule="exact"/>
        <w:rPr>
          <w:rFonts w:ascii="Arial" w:cs="Arial" w:eastAsia="Arial" w:hAnsi="Arial"/>
          <w:sz w:val="16"/>
          <w:szCs w:val="16"/>
          <w:color w:val="auto"/>
        </w:rPr>
      </w:pPr>
    </w:p>
    <w:p>
      <w:pPr>
        <w:ind w:right="60" w:firstLine="4"/>
        <w:spacing w:after="0" w:line="273" w:lineRule="auto"/>
        <w:tabs>
          <w:tab w:leader="none" w:pos="34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days after such anniversary date, notice by the stockholder to be timely must be so delivered, or mailed and received, not later than the ninetieth (90</w:t>
      </w:r>
      <w:r>
        <w:rPr>
          <w:rFonts w:ascii="Arial" w:cs="Arial" w:eastAsia="Arial" w:hAnsi="Arial"/>
          <w:sz w:val="14"/>
          <w:szCs w:val="14"/>
          <w:color w:val="auto"/>
        </w:rPr>
        <w:t>th</w:t>
      </w:r>
      <w:r>
        <w:rPr>
          <w:rFonts w:ascii="Arial" w:cs="Arial" w:eastAsia="Arial" w:hAnsi="Arial"/>
          <w:sz w:val="17"/>
          <w:szCs w:val="17"/>
          <w:color w:val="auto"/>
        </w:rPr>
        <w:t>) day prior to such annual meeting or, if later,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disclosure of the date of such annual meeting was first made (such notice within such time periods, “</w:t>
      </w:r>
      <w:r>
        <w:rPr>
          <w:rFonts w:ascii="Arial" w:cs="Arial" w:eastAsia="Arial" w:hAnsi="Arial"/>
          <w:sz w:val="17"/>
          <w:szCs w:val="17"/>
          <w:u w:val="single" w:color="auto"/>
          <w:color w:val="auto"/>
        </w:rPr>
        <w:t>Timely Notice</w:t>
      </w:r>
      <w:r>
        <w:rPr>
          <w:rFonts w:ascii="Arial" w:cs="Arial" w:eastAsia="Arial" w:hAnsi="Arial"/>
          <w:sz w:val="17"/>
          <w:szCs w:val="17"/>
          <w:color w:val="auto"/>
        </w:rPr>
        <w:t>”). In no event shall any adjournment or postponement of an annual meeting or the announcement thereof commence a new time period for the giving of Timely Notice as described above.</w:t>
      </w:r>
    </w:p>
    <w:p>
      <w:pPr>
        <w:spacing w:after="0" w:line="176" w:lineRule="exact"/>
        <w:rPr>
          <w:rFonts w:ascii="Arial" w:cs="Arial" w:eastAsia="Arial" w:hAnsi="Arial"/>
          <w:sz w:val="17"/>
          <w:szCs w:val="17"/>
          <w:color w:val="auto"/>
        </w:rPr>
      </w:pPr>
    </w:p>
    <w:p>
      <w:pPr>
        <w:ind w:left="1320" w:hanging="324"/>
        <w:spacing w:after="0"/>
        <w:tabs>
          <w:tab w:leader="none" w:pos="132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2.4, a stockholder’s notice to the Secretary shall set forth:</w:t>
      </w:r>
    </w:p>
    <w:p>
      <w:pPr>
        <w:spacing w:after="0" w:line="117" w:lineRule="exact"/>
        <w:rPr>
          <w:rFonts w:ascii="Arial" w:cs="Arial" w:eastAsia="Arial" w:hAnsi="Arial"/>
          <w:sz w:val="18"/>
          <w:szCs w:val="18"/>
          <w:color w:val="auto"/>
        </w:rPr>
      </w:pPr>
    </w:p>
    <w:p>
      <w:pPr>
        <w:jc w:val="both"/>
        <w:ind w:left="1000" w:right="40" w:firstLine="397"/>
        <w:spacing w:after="0" w:line="293" w:lineRule="auto"/>
        <w:tabs>
          <w:tab w:leader="none" w:pos="1646" w:val="left"/>
        </w:tabs>
        <w:numPr>
          <w:ilvl w:val="2"/>
          <w:numId w:val="199"/>
        </w:numPr>
        <w:rPr>
          <w:rFonts w:ascii="Arial" w:cs="Arial" w:eastAsia="Arial" w:hAnsi="Arial"/>
          <w:sz w:val="16"/>
          <w:szCs w:val="16"/>
          <w:color w:val="auto"/>
        </w:rPr>
      </w:pPr>
      <w:r>
        <w:rPr>
          <w:rFonts w:ascii="Arial" w:cs="Arial" w:eastAsia="Arial" w:hAnsi="Arial"/>
          <w:sz w:val="16"/>
          <w:szCs w:val="16"/>
          <w:color w:val="auto"/>
        </w:rPr>
        <w:t>As to each Proposing Person (as defined below), (A) the name and address of such Proposing Person (including, if applicable, the name and address that appear on the Corporation’s books and records); and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(the disclosures to be made pursuant to the foregoing clauses (A) and (B) are referred to as “</w:t>
      </w:r>
      <w:r>
        <w:rPr>
          <w:rFonts w:ascii="Arial" w:cs="Arial" w:eastAsia="Arial" w:hAnsi="Arial"/>
          <w:sz w:val="16"/>
          <w:szCs w:val="16"/>
          <w:u w:val="single" w:color="auto"/>
          <w:color w:val="auto"/>
        </w:rPr>
        <w:t>Stockholder Information</w:t>
      </w:r>
      <w:r>
        <w:rPr>
          <w:rFonts w:ascii="Arial" w:cs="Arial" w:eastAsia="Arial" w:hAnsi="Arial"/>
          <w:sz w:val="16"/>
          <w:szCs w:val="16"/>
          <w:color w:val="auto"/>
        </w:rPr>
        <w:t>”);</w:t>
      </w:r>
    </w:p>
    <w:p>
      <w:pPr>
        <w:spacing w:after="0" w:line="56" w:lineRule="exact"/>
        <w:rPr>
          <w:rFonts w:ascii="Arial" w:cs="Arial" w:eastAsia="Arial" w:hAnsi="Arial"/>
          <w:sz w:val="16"/>
          <w:szCs w:val="16"/>
          <w:color w:val="auto"/>
        </w:rPr>
      </w:pPr>
    </w:p>
    <w:p>
      <w:pPr>
        <w:ind w:left="1000" w:right="40" w:firstLine="397"/>
        <w:spacing w:after="0" w:line="288" w:lineRule="auto"/>
        <w:tabs>
          <w:tab w:leader="none" w:pos="1656" w:val="left"/>
        </w:tabs>
        <w:numPr>
          <w:ilvl w:val="2"/>
          <w:numId w:val="199"/>
        </w:numPr>
        <w:rPr>
          <w:rFonts w:ascii="Arial" w:cs="Arial" w:eastAsia="Arial" w:hAnsi="Arial"/>
          <w:sz w:val="16"/>
          <w:szCs w:val="16"/>
          <w:color w:val="auto"/>
        </w:rPr>
      </w:pPr>
      <w:r>
        <w:rPr>
          <w:rFonts w:ascii="Arial" w:cs="Arial" w:eastAsia="Arial" w:hAnsi="Arial"/>
          <w:sz w:val="16"/>
          <w:szCs w:val="16"/>
          <w:color w:val="auto"/>
        </w:rPr>
        <w:t>As to each Proposing Person, (A) the full notional amount of any securities that, directly or indirectly, underlie any “derivative security” (as such term is defined in Rule 16a-1(c) under the Exchange Act) that constitutes a “call equivalent position” (as such term is defined in Rule 16a-1(b) under the Exchange Act) (“</w:t>
      </w:r>
      <w:r>
        <w:rPr>
          <w:rFonts w:ascii="Arial" w:cs="Arial" w:eastAsia="Arial" w:hAnsi="Arial"/>
          <w:sz w:val="16"/>
          <w:szCs w:val="16"/>
          <w:u w:val="single" w:color="auto"/>
          <w:color w:val="auto"/>
        </w:rPr>
        <w:t>Synthetic Equity Position</w:t>
      </w:r>
      <w:r>
        <w:rPr>
          <w:rFonts w:ascii="Arial" w:cs="Arial" w:eastAsia="Arial" w:hAnsi="Arial"/>
          <w:sz w:val="16"/>
          <w:szCs w:val="16"/>
          <w:color w:val="auto"/>
        </w:rPr>
        <w:t xml:space="preserve">”) and that is, directly or indirectly, held or maintained by such Proposing Person with respect to any shares of any class or series of shares of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any Proposing Person satisfying the requirements of Rule 13d-1(b)(1) under the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89" w:name="page390"/>
    <w:bookmarkEnd w:id="389"/>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Exchange Act (other than a Proposing Person that so satisfies Rule 13d-1(b)(1) under the Exchange Act solely by reason of Rule 13d-1(b)(1)(ii)(E)) shall not be deemed to hold or maintain the notional amount of any securities that underlie a Synthetic Equity Position held by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(C)(x) if such Proposing Person is (i) a general or limited partnership, syndicate or other group, the identity of each general partner and each person who functions as a general partner of the general or limited partnership, each member of the syndicate or group and each person controlling the general partner or member, (ii) a corporation or a limited liability company, the identity of each officer and each person who functions as an officer of the corporation or limited liability company, each person controlling the corporation or limited liability company and each officer, director, general partner and person who functions as an officer, director or general partner of any entity ultimately in control of the corporation or limited liability company or (iii) a trust, any trustee of such trust (each such person or persons set forth in the preceding clauses (i), (ii) and (iii), a “</w:t>
      </w:r>
      <w:r>
        <w:rPr>
          <w:rFonts w:ascii="Arial" w:cs="Arial" w:eastAsia="Arial" w:hAnsi="Arial"/>
          <w:sz w:val="16"/>
          <w:szCs w:val="16"/>
          <w:u w:val="single" w:color="auto"/>
          <w:color w:val="auto"/>
        </w:rPr>
        <w:t>Responsible Person</w:t>
      </w:r>
      <w:r>
        <w:rPr>
          <w:rFonts w:ascii="Arial" w:cs="Arial" w:eastAsia="Arial" w:hAnsi="Arial"/>
          <w:sz w:val="16"/>
          <w:szCs w:val="16"/>
          <w:color w:val="auto"/>
        </w:rPr>
        <w:t>”), any fiduciary duties owed by such Responsible Person to the equity holders or other beneficiaries of such Proposing Person and any material interests or relationships of such Responsible Person that are not shared generally by other record or beneficial holders of the shares of any class or series of the Corporation and that reasonably could have influenced the decision of such Proposing Person to propose such business to be brought before the meeting, and (y) if such Proposing Person is a natural person, any material interests or relationships of such natural person that are not shared generally by other record or beneficial holders of the shares of any class or series of the Corporation and that reasonably could have influenced the decision of such Proposing Person to propose such business to be brought before the meeting, (D) any material shares or any Synthetic Equity Position in any principal competitor of the Corporation in any principal industry of the Corporation held by such Proposing Persons, (E) a summary of any material discussions regarding the business proposed to be brought before the meeting (x) between or among any of the Proposing Persons or (y) between or among any Proposing Person and any other record or beneficial holder of the shares of any class or series of the Corporation (including their names), (F) any material pending or threatened legal proceeding in which such Proposing Person is a party or material participant involving the Corporation or any of its officers or directors, or any affiliate of the Corporation, (G) any other material relationship between such Proposing Person, on the one hand, and the Corporation, any affiliate of the Corporation or any principal competitor of the Corporation, on the other hand, (H) any direct or indirect material interest in any material contract or agreement of such Proposing Person with the Corporation, any affiliate of the Corporation or any principal competitor of the Corporation (including, in any such case, any employment agreement, collective bargaining agreement or consulting agreement) and (I) any other information relating</w:t>
      </w:r>
    </w:p>
    <w:p>
      <w:pPr>
        <w:spacing w:after="0" w:line="321"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020"/>
          </w:cols>
          <w:pgMar w:left="1440" w:top="274" w:right="439" w:bottom="1440" w:gutter="0" w:footer="0" w:header="0"/>
        </w:sectPr>
      </w:pPr>
    </w:p>
    <w:bookmarkStart w:id="390" w:name="page391"/>
    <w:bookmarkEnd w:id="390"/>
    <w:p>
      <w:pPr>
        <w:ind w:left="100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such Proposing Person that would be required to be disclosed in a proxy statement or other filing required to be made in connection with solicitations of proxies or consents by such Proposing Person in support of the business proposed to be brought before the meeting pursuant to Section 14(a) of the Exchange Act (the disclosures to be made pursuant to the foregoing clauses (A) through (I) are referred to as “</w:t>
      </w:r>
      <w:r>
        <w:rPr>
          <w:rFonts w:ascii="Arial" w:cs="Arial" w:eastAsia="Arial" w:hAnsi="Arial"/>
          <w:sz w:val="16"/>
          <w:szCs w:val="16"/>
          <w:u w:val="single" w:color="auto"/>
          <w:color w:val="auto"/>
        </w:rPr>
        <w:t>Disclosable 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Disclosable Interests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 and</w:t>
      </w:r>
    </w:p>
    <w:p>
      <w:pPr>
        <w:spacing w:after="0" w:line="57" w:lineRule="exact"/>
        <w:rPr>
          <w:sz w:val="20"/>
          <w:szCs w:val="20"/>
          <w:color w:val="auto"/>
        </w:rPr>
      </w:pPr>
    </w:p>
    <w:p>
      <w:pPr>
        <w:ind w:left="1000" w:right="20" w:firstLine="397"/>
        <w:spacing w:after="0" w:line="269" w:lineRule="auto"/>
        <w:tabs>
          <w:tab w:leader="none" w:pos="1646" w:val="left"/>
        </w:tabs>
        <w:numPr>
          <w:ilvl w:val="1"/>
          <w:numId w:val="200"/>
        </w:numPr>
        <w:rPr>
          <w:rFonts w:ascii="Arial" w:cs="Arial" w:eastAsia="Arial" w:hAnsi="Arial"/>
          <w:sz w:val="17"/>
          <w:szCs w:val="17"/>
          <w:color w:val="auto"/>
        </w:rPr>
      </w:pPr>
      <w:r>
        <w:rPr>
          <w:rFonts w:ascii="Arial" w:cs="Arial" w:eastAsia="Arial" w:hAnsi="Arial"/>
          <w:sz w:val="17"/>
          <w:szCs w:val="17"/>
          <w:color w:val="auto"/>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 bylaws of the Corporation, the language of the proposed amendment), (C) a reasonably detailed description of all agreements, arrangements and understandings between or among any of the Proposing Persons or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disclosures required by this Section 2.4(iii) 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79" w:lineRule="exact"/>
        <w:rPr>
          <w:rFonts w:ascii="Arial" w:cs="Arial" w:eastAsia="Arial" w:hAnsi="Arial"/>
          <w:sz w:val="17"/>
          <w:szCs w:val="17"/>
          <w:color w:val="auto"/>
        </w:rPr>
      </w:pPr>
    </w:p>
    <w:p>
      <w:pPr>
        <w:ind w:right="20" w:firstLine="996"/>
        <w:spacing w:after="0" w:line="257" w:lineRule="auto"/>
        <w:tabs>
          <w:tab w:leader="none" w:pos="129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For purposes of this Section 2.4, the term “</w:t>
      </w:r>
      <w:r>
        <w:rPr>
          <w:rFonts w:ascii="Arial" w:cs="Arial" w:eastAsia="Arial" w:hAnsi="Arial"/>
          <w:sz w:val="18"/>
          <w:szCs w:val="18"/>
          <w:u w:val="single" w:color="auto"/>
          <w:color w:val="auto"/>
        </w:rPr>
        <w:t>Proposing Person</w:t>
      </w:r>
      <w:r>
        <w:rPr>
          <w:rFonts w:ascii="Arial" w:cs="Arial" w:eastAsia="Arial" w:hAnsi="Arial"/>
          <w:sz w:val="18"/>
          <w:szCs w:val="18"/>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and (c) any participant (as defined in paragraphs (a)(ii)-(vi) of Instruction 3 to Item 4 of Schedule 14A) with such stockholder in such solicitation or associate (within the meaning of Rule 12b-2 under the Exchange Act for the purposes of these bylaws) of such stockholder or beneficial owner.</w:t>
      </w:r>
    </w:p>
    <w:p>
      <w:pPr>
        <w:spacing w:after="0" w:line="188" w:lineRule="exact"/>
        <w:rPr>
          <w:rFonts w:ascii="Arial" w:cs="Arial" w:eastAsia="Arial" w:hAnsi="Arial"/>
          <w:sz w:val="18"/>
          <w:szCs w:val="18"/>
          <w:color w:val="auto"/>
        </w:rPr>
      </w:pPr>
    </w:p>
    <w:p>
      <w:pPr>
        <w:ind w:firstLine="996"/>
        <w:spacing w:after="0" w:line="259" w:lineRule="auto"/>
        <w:tabs>
          <w:tab w:leader="none" w:pos="124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notice of the meeting and as of the date that is ten (10) business days prior to the meeting or any adjournment or postponement thereof, and such update and supplement shall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91" w:name="page392"/>
    <w:bookmarkEnd w:id="391"/>
    <w:p>
      <w:pPr>
        <w:ind w:right="1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 than eight</w:t>
      </w:r>
    </w:p>
    <w:p>
      <w:pPr>
        <w:ind w:right="140" w:firstLine="4"/>
        <w:spacing w:after="0" w:line="255" w:lineRule="auto"/>
        <w:tabs>
          <w:tab w:leader="none" w:pos="2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90" w:lineRule="exact"/>
        <w:rPr>
          <w:rFonts w:ascii="Arial" w:cs="Arial" w:eastAsia="Arial" w:hAnsi="Arial"/>
          <w:sz w:val="18"/>
          <w:szCs w:val="18"/>
          <w:color w:val="auto"/>
        </w:rPr>
      </w:pPr>
    </w:p>
    <w:p>
      <w:pPr>
        <w:ind w:firstLine="996"/>
        <w:spacing w:after="0" w:line="279" w:lineRule="auto"/>
        <w:tabs>
          <w:tab w:leader="none" w:pos="1297" w:val="left"/>
        </w:tabs>
        <w:numPr>
          <w:ilvl w:val="1"/>
          <w:numId w:val="202"/>
        </w:numPr>
        <w:rPr>
          <w:rFonts w:ascii="Arial" w:cs="Arial" w:eastAsia="Arial" w:hAnsi="Arial"/>
          <w:sz w:val="17"/>
          <w:szCs w:val="17"/>
          <w:color w:val="auto"/>
        </w:rPr>
      </w:pPr>
      <w:r>
        <w:rPr>
          <w:rFonts w:ascii="Arial" w:cs="Arial" w:eastAsia="Arial" w:hAnsi="Arial"/>
          <w:sz w:val="17"/>
          <w:szCs w:val="17"/>
          <w:color w:val="auto"/>
        </w:rPr>
        <w:t>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171" w:lineRule="exact"/>
        <w:rPr>
          <w:rFonts w:ascii="Arial" w:cs="Arial" w:eastAsia="Arial" w:hAnsi="Arial"/>
          <w:sz w:val="17"/>
          <w:szCs w:val="17"/>
          <w:color w:val="auto"/>
        </w:rPr>
      </w:pPr>
    </w:p>
    <w:p>
      <w:pPr>
        <w:ind w:right="120" w:firstLine="996"/>
        <w:spacing w:after="0" w:line="297" w:lineRule="auto"/>
        <w:tabs>
          <w:tab w:leader="none" w:pos="1347"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58" w:lineRule="exact"/>
        <w:rPr>
          <w:rFonts w:ascii="Arial" w:cs="Arial" w:eastAsia="Arial" w:hAnsi="Arial"/>
          <w:sz w:val="16"/>
          <w:szCs w:val="16"/>
          <w:color w:val="auto"/>
        </w:rPr>
      </w:pPr>
    </w:p>
    <w:p>
      <w:pPr>
        <w:ind w:right="80" w:firstLine="996"/>
        <w:spacing w:after="0" w:line="342" w:lineRule="auto"/>
        <w:tabs>
          <w:tab w:leader="none" w:pos="1397" w:val="left"/>
        </w:tabs>
        <w:numPr>
          <w:ilvl w:val="1"/>
          <w:numId w:val="202"/>
        </w:numPr>
        <w:rPr>
          <w:rFonts w:ascii="Arial" w:cs="Arial" w:eastAsia="Arial" w:hAnsi="Arial"/>
          <w:sz w:val="16"/>
          <w:szCs w:val="16"/>
          <w:color w:val="auto"/>
        </w:rPr>
      </w:pPr>
      <w:r>
        <w:rPr>
          <w:rFonts w:ascii="Arial" w:cs="Arial" w:eastAsia="Arial" w:hAnsi="Arial"/>
          <w:sz w:val="16"/>
          <w:szCs w:val="16"/>
          <w:color w:val="auto"/>
        </w:rPr>
        <w:t>For purposes of these bylaws, “</w:t>
      </w:r>
      <w:r>
        <w:rPr>
          <w:rFonts w:ascii="Arial" w:cs="Arial" w:eastAsia="Arial" w:hAnsi="Arial"/>
          <w:sz w:val="16"/>
          <w:szCs w:val="16"/>
          <w:u w:val="single" w:color="auto"/>
          <w:color w:val="auto"/>
        </w:rPr>
        <w:t>public disclosure</w:t>
      </w:r>
      <w:r>
        <w:rPr>
          <w:rFonts w:ascii="Arial" w:cs="Arial" w:eastAsia="Arial" w:hAnsi="Arial"/>
          <w:sz w:val="16"/>
          <w:szCs w:val="16"/>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 ADVANCE NOTICE PROCEDURES FOR NOMINATIONS OF DIRECTORS.</w:t>
      </w:r>
    </w:p>
    <w:p>
      <w:pPr>
        <w:spacing w:after="0" w:line="225" w:lineRule="exact"/>
        <w:rPr>
          <w:sz w:val="20"/>
          <w:szCs w:val="20"/>
          <w:color w:val="auto"/>
        </w:rPr>
      </w:pPr>
    </w:p>
    <w:p>
      <w:pPr>
        <w:ind w:right="80" w:firstLine="996"/>
        <w:spacing w:after="0" w:line="291" w:lineRule="auto"/>
        <w:tabs>
          <w:tab w:leader="none" w:pos="1207" w:val="left"/>
        </w:tabs>
        <w:numPr>
          <w:ilvl w:val="1"/>
          <w:numId w:val="203"/>
        </w:numPr>
        <w:rPr>
          <w:rFonts w:ascii="Arial" w:cs="Arial" w:eastAsia="Arial" w:hAnsi="Arial"/>
          <w:sz w:val="16"/>
          <w:szCs w:val="16"/>
          <w:color w:val="auto"/>
        </w:rPr>
      </w:pPr>
      <w:r>
        <w:rPr>
          <w:rFonts w:ascii="Arial" w:cs="Arial" w:eastAsia="Arial" w:hAnsi="Arial"/>
          <w:sz w:val="16"/>
          <w:szCs w:val="16"/>
          <w:color w:val="auto"/>
        </w:rPr>
        <w:t>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w:t>
      </w:r>
    </w:p>
    <w:p>
      <w:pPr>
        <w:ind w:right="60" w:firstLine="4"/>
        <w:spacing w:after="0" w:line="290" w:lineRule="auto"/>
        <w:tabs>
          <w:tab w:leader="none" w:pos="245" w:val="left"/>
        </w:tabs>
        <w:numPr>
          <w:ilvl w:val="0"/>
          <w:numId w:val="204"/>
        </w:numPr>
        <w:rPr>
          <w:rFonts w:ascii="Arial" w:cs="Arial" w:eastAsia="Arial" w:hAnsi="Arial"/>
          <w:sz w:val="16"/>
          <w:szCs w:val="16"/>
          <w:color w:val="auto"/>
        </w:rPr>
      </w:pPr>
      <w:r>
        <w:rPr>
          <w:rFonts w:ascii="Arial" w:cs="Arial" w:eastAsia="Arial" w:hAnsi="Arial"/>
          <w:sz w:val="16"/>
          <w:szCs w:val="16"/>
          <w:color w:val="auto"/>
        </w:rPr>
        <w:t>by or at the direction of the Board, including by any committee or persons authorized to do so by the Board or these bylaws, or (b) by a stockholder present in person (A) who was a beneficial owner of shares of the Corporation both at the time of giving the notice provided for in this Section 2.5 and at the time of the meeting, (B) is entitled to vote at the meeting and (C) has complied with this Section 2.5 as to such notice and nomination. The foregoing clause (b) shall be the exclusive means for a stockholder to make any nomination of a person or persons for election to the Board at an annual meeting or special meeting. For purposes of this Section 2.5, “present in person” shall mean that the stockholder proposing that the business be brought before the meeting of the Corporation, or, if the proposing stockholder is not an individual, a qualified representative of such</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92" w:name="page393"/>
    <w:bookmarkEnd w:id="392"/>
    <w:p>
      <w:pPr>
        <w:ind w:right="6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stockholder, appear at such meeting. A “qualified representative” of such proposing stockholder shall be, if such proposing stockholder is (x) a general or limited partnership, any general partner or person who functions as a general partner of the general or limited partnership or who controls the general or limited partnership, (y) a corporation or a limited liability company, any officer or person who functions as an officer of the corporation or limited liability company or any officer, director, general partner or person who functions as an officer, director or general partner of any entity ultimately in control of the corporation or limited liability company or (z) a trust, any trustee of such trust.</w:t>
      </w:r>
    </w:p>
    <w:p>
      <w:pPr>
        <w:spacing w:after="0" w:line="173" w:lineRule="exact"/>
        <w:rPr>
          <w:sz w:val="20"/>
          <w:szCs w:val="20"/>
          <w:color w:val="auto"/>
        </w:rPr>
      </w:pPr>
    </w:p>
    <w:p>
      <w:pPr>
        <w:ind w:right="60" w:firstLine="996"/>
        <w:spacing w:after="0" w:line="268" w:lineRule="auto"/>
        <w:tabs>
          <w:tab w:leader="none" w:pos="1257" w:val="left"/>
        </w:tabs>
        <w:numPr>
          <w:ilvl w:val="0"/>
          <w:numId w:val="205"/>
        </w:numPr>
        <w:rPr>
          <w:rFonts w:ascii="Arial" w:cs="Arial" w:eastAsia="Arial" w:hAnsi="Arial"/>
          <w:sz w:val="17"/>
          <w:szCs w:val="17"/>
          <w:color w:val="auto"/>
        </w:rPr>
      </w:pPr>
      <w:r>
        <w:rPr>
          <w:rFonts w:ascii="Arial" w:cs="Arial" w:eastAsia="Arial" w:hAnsi="Arial"/>
          <w:sz w:val="17"/>
          <w:szCs w:val="17"/>
          <w:color w:val="auto"/>
        </w:rPr>
        <w:t>Without qualification, for a stockholder to make any nomination of a person or persons for election to the Board at an annual meeting, the stockholder must (a) provide Timely Notice (as defined in Section 2.4(ii) of these bylaws) thereof in writing and in proper form to the Secretary of the Corporation, (b) provide the information with respect to such stockholder and its proposed nominee as required by this Section 2.5, and (c) provide any updates or supplements to such notice at the times and in the forms required by this Section 2.5. Without qualification, if the election of directors is a matter specified in the notice of meeting given by or at the direction of the person calling such special meeting, then for a stockholder to make any nomination of a person or persons for election to the Board at a special meeting, the stockholder must (a) provide timely notice thereof in writing and in proper form to the Secretary of the Corporation at the principal executive offices of the Corporation, (b) provide the information with respect to such stockholder and its proposed nominee as required by this Section 2.5, and (c)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w:t>
      </w:r>
      <w:r>
        <w:rPr>
          <w:rFonts w:ascii="Arial" w:cs="Arial" w:eastAsia="Arial" w:hAnsi="Arial"/>
          <w:sz w:val="14"/>
          <w:szCs w:val="14"/>
          <w:color w:val="auto"/>
        </w:rPr>
        <w:t>th</w:t>
      </w:r>
      <w:r>
        <w:rPr>
          <w:rFonts w:ascii="Arial" w:cs="Arial" w:eastAsia="Arial" w:hAnsi="Arial"/>
          <w:sz w:val="17"/>
          <w:szCs w:val="17"/>
          <w:color w:val="auto"/>
        </w:rPr>
        <w:t>) day prior to such special meeting and not later than the ninetieth (90</w:t>
      </w:r>
      <w:r>
        <w:rPr>
          <w:rFonts w:ascii="Arial" w:cs="Arial" w:eastAsia="Arial" w:hAnsi="Arial"/>
          <w:sz w:val="14"/>
          <w:szCs w:val="14"/>
          <w:color w:val="auto"/>
        </w:rPr>
        <w:t>th</w:t>
      </w:r>
      <w:r>
        <w:rPr>
          <w:rFonts w:ascii="Arial" w:cs="Arial" w:eastAsia="Arial" w:hAnsi="Arial"/>
          <w:sz w:val="17"/>
          <w:szCs w:val="17"/>
          <w:color w:val="auto"/>
        </w:rPr>
        <w:t>) day prior to such special meeting or, if later, the tenth (10</w:t>
      </w:r>
      <w:r>
        <w:rPr>
          <w:rFonts w:ascii="Arial" w:cs="Arial" w:eastAsia="Arial" w:hAnsi="Arial"/>
          <w:sz w:val="14"/>
          <w:szCs w:val="14"/>
          <w:color w:val="auto"/>
        </w:rPr>
        <w:t>th</w:t>
      </w:r>
      <w:r>
        <w:rPr>
          <w:rFonts w:ascii="Arial" w:cs="Arial" w:eastAsia="Arial" w:hAnsi="Arial"/>
          <w:sz w:val="17"/>
          <w:szCs w:val="17"/>
          <w:color w:val="auto"/>
        </w:rPr>
        <w:t>) day following the day on which public disclosure (as defined in Section 2.4(ix) of these bylaws) of the date of such special meeting was first made. In no event shall any adjournment or postponement of an annual meeting or special meeting or the announcement thereof commence a new time period for the giving of a stockholder’s notice as described above.</w:t>
      </w:r>
    </w:p>
    <w:p>
      <w:pPr>
        <w:spacing w:after="0" w:line="185" w:lineRule="exact"/>
        <w:rPr>
          <w:rFonts w:ascii="Arial" w:cs="Arial" w:eastAsia="Arial" w:hAnsi="Arial"/>
          <w:sz w:val="17"/>
          <w:szCs w:val="17"/>
          <w:color w:val="auto"/>
        </w:rPr>
      </w:pPr>
    </w:p>
    <w:p>
      <w:pPr>
        <w:ind w:left="1320" w:hanging="324"/>
        <w:spacing w:after="0"/>
        <w:tabs>
          <w:tab w:leader="none" w:pos="13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2.5, a stockholder’s notice to the Secretary shall set forth:</w:t>
      </w:r>
    </w:p>
    <w:p>
      <w:pPr>
        <w:spacing w:after="0" w:line="117" w:lineRule="exact"/>
        <w:rPr>
          <w:rFonts w:ascii="Arial" w:cs="Arial" w:eastAsia="Arial" w:hAnsi="Arial"/>
          <w:sz w:val="18"/>
          <w:szCs w:val="18"/>
          <w:color w:val="auto"/>
        </w:rPr>
      </w:pPr>
    </w:p>
    <w:p>
      <w:pPr>
        <w:ind w:left="1000" w:right="80" w:firstLine="397"/>
        <w:spacing w:after="0" w:line="264" w:lineRule="auto"/>
        <w:tabs>
          <w:tab w:leader="none" w:pos="164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As to each Nominating Person (as defined below), the Stockholder Information (as defined in Section 2.4(iii)(a) of these bylaws) except that for purposes of this Section 2.5, the term “Nominating Person” shall be substituted for the term “Proposing Person” in all places it appears in Section 2.4(iii)(a);</w:t>
      </w:r>
    </w:p>
    <w:p>
      <w:pPr>
        <w:spacing w:after="0" w:line="73" w:lineRule="exact"/>
        <w:rPr>
          <w:rFonts w:ascii="Arial" w:cs="Arial" w:eastAsia="Arial" w:hAnsi="Arial"/>
          <w:sz w:val="18"/>
          <w:szCs w:val="18"/>
          <w:color w:val="auto"/>
        </w:rPr>
      </w:pPr>
    </w:p>
    <w:p>
      <w:pPr>
        <w:ind w:left="1000" w:firstLine="397"/>
        <w:spacing w:after="0" w:line="259" w:lineRule="auto"/>
        <w:tabs>
          <w:tab w:leader="none" w:pos="165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As to each Nominating Person, any Disclosable Interests (as defined in Section 2.4(iii)(b), except that for purposes of this Section 2.5 the term “Nominating Person” shall be substituted for the term “Proposing Person” in all places it appears in Section 2.4(iii)(b) and the disclosure with respect to the business to be brought before the meeting in Section 2.4(iii)(b) shall be made with respect to the election of directors at the meeting);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3" w:right="459" w:bottom="1440" w:gutter="0" w:footer="0" w:header="0"/>
        </w:sectPr>
      </w:pPr>
    </w:p>
    <w:bookmarkStart w:id="393" w:name="page394"/>
    <w:bookmarkEnd w:id="393"/>
    <w:p>
      <w:pPr>
        <w:ind w:left="980" w:right="80" w:firstLine="397"/>
        <w:spacing w:after="0" w:line="269" w:lineRule="auto"/>
        <w:tabs>
          <w:tab w:leader="none" w:pos="1626" w:val="left"/>
        </w:tabs>
        <w:numPr>
          <w:ilvl w:val="1"/>
          <w:numId w:val="20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to each person whom a Nominating Person proposes to nominate for election as a director, (A) all information with respect to such 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 (C) a description of any direct or indirect material interest in any material contract or agreement between or among any Nominating Person, on the one hand, and each proposed nominee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 (A) through (C) are referred to as “</w:t>
      </w:r>
      <w:r>
        <w:rPr>
          <w:rFonts w:ascii="Arial" w:cs="Arial" w:eastAsia="Arial" w:hAnsi="Arial"/>
          <w:sz w:val="17"/>
          <w:szCs w:val="17"/>
          <w:u w:val="single" w:color="auto"/>
          <w:color w:val="auto"/>
        </w:rPr>
        <w:t>Nominee Information</w:t>
      </w:r>
      <w:r>
        <w:rPr>
          <w:rFonts w:ascii="Arial" w:cs="Arial" w:eastAsia="Arial" w:hAnsi="Arial"/>
          <w:sz w:val="17"/>
          <w:szCs w:val="17"/>
          <w:color w:val="auto"/>
        </w:rPr>
        <w:t>”), and (D) a completed and signed questionnaire, representation and agreement as provided in Section 2.5(vi); and</w:t>
      </w:r>
    </w:p>
    <w:p>
      <w:pPr>
        <w:spacing w:after="0" w:line="71" w:lineRule="exact"/>
        <w:rPr>
          <w:rFonts w:ascii="Arial" w:cs="Arial" w:eastAsia="Arial" w:hAnsi="Arial"/>
          <w:sz w:val="17"/>
          <w:szCs w:val="17"/>
          <w:color w:val="auto"/>
        </w:rPr>
      </w:pPr>
    </w:p>
    <w:p>
      <w:pPr>
        <w:ind w:left="980" w:right="140" w:firstLine="397"/>
        <w:spacing w:after="0" w:line="259" w:lineRule="auto"/>
        <w:tabs>
          <w:tab w:leader="none" w:pos="1636"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Corporation may require any proposed nominee to furnish such other information (A) as may reasonably be required by the Corporation to determine the eligibility of such proposed nominee to serve as an independent director of the Corporation in accordance with the Corporation’s Corporate Governance Guidelines or (B) that could be material to a reasonable stockholder’s understanding of the independence or lack of independence of such proposed nominee.</w:t>
      </w:r>
    </w:p>
    <w:p>
      <w:pPr>
        <w:spacing w:after="0" w:line="186" w:lineRule="exact"/>
        <w:rPr>
          <w:rFonts w:ascii="Arial" w:cs="Arial" w:eastAsia="Arial" w:hAnsi="Arial"/>
          <w:sz w:val="18"/>
          <w:szCs w:val="18"/>
          <w:color w:val="auto"/>
        </w:rPr>
      </w:pPr>
    </w:p>
    <w:p>
      <w:pPr>
        <w:ind w:left="-20" w:right="40" w:firstLine="996"/>
        <w:spacing w:after="0" w:line="312" w:lineRule="auto"/>
        <w:tabs>
          <w:tab w:leader="none" w:pos="127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For purposes of this Section 2.5, the term “</w:t>
      </w:r>
      <w:r>
        <w:rPr>
          <w:rFonts w:ascii="Arial" w:cs="Arial" w:eastAsia="Arial" w:hAnsi="Arial"/>
          <w:sz w:val="16"/>
          <w:szCs w:val="16"/>
          <w:u w:val="single" w:color="auto"/>
          <w:color w:val="auto"/>
        </w:rPr>
        <w:t>Nominating Person</w:t>
      </w:r>
      <w:r>
        <w:rPr>
          <w:rFonts w:ascii="Arial" w:cs="Arial" w:eastAsia="Arial" w:hAnsi="Arial"/>
          <w:sz w:val="16"/>
          <w:szCs w:val="16"/>
          <w:color w:val="auto"/>
        </w:rPr>
        <w:t>” shall mean (a) the stockholder providing the notice of the nomination proposed to be made at the meeting, (b) the beneficial owner or beneficial owners, if different, on whose behalf the notice of the nomination proposed to be made at the meeting is made and (c) any associate of such stockholder or beneficial owner or any other participant in such solicitation.</w:t>
      </w:r>
    </w:p>
    <w:p>
      <w:pPr>
        <w:spacing w:after="0" w:line="146" w:lineRule="exact"/>
        <w:rPr>
          <w:rFonts w:ascii="Arial" w:cs="Arial" w:eastAsia="Arial" w:hAnsi="Arial"/>
          <w:sz w:val="16"/>
          <w:szCs w:val="16"/>
          <w:color w:val="auto"/>
        </w:rPr>
      </w:pPr>
    </w:p>
    <w:p>
      <w:pPr>
        <w:ind w:left="-20" w:firstLine="996"/>
        <w:spacing w:after="0" w:line="255" w:lineRule="auto"/>
        <w:tabs>
          <w:tab w:leader="none" w:pos="122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notice of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notice of the meeting (in the case of the update and supplement required to be made as of such record date), and not later</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60" w:top="274" w:right="439" w:bottom="1440" w:gutter="0" w:footer="0" w:header="0"/>
        </w:sectPr>
      </w:pPr>
    </w:p>
    <w:bookmarkStart w:id="394" w:name="page395"/>
    <w:bookmarkEnd w:id="394"/>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w:t>
      </w:r>
    </w:p>
    <w:p>
      <w:pPr>
        <w:spacing w:after="0" w:line="166" w:lineRule="exact"/>
        <w:rPr>
          <w:sz w:val="20"/>
          <w:szCs w:val="20"/>
          <w:color w:val="auto"/>
        </w:rPr>
      </w:pPr>
    </w:p>
    <w:p>
      <w:pPr>
        <w:ind w:firstLine="996"/>
        <w:spacing w:after="0" w:line="286" w:lineRule="auto"/>
        <w:tabs>
          <w:tab w:leader="none" w:pos="1297"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To be eligible to be a nominee for election as a director of the Corporation at an annual or special meeting, the proposed nominee must be nominated in the manner prescribed in Section 2.5 and must deliver (in accordance with the time period prescribed for delivery in a notice to such proposed nominee given by or on behalf of the Board), to the Secretary at the principal executive offices of the Corporation, (a) a completed written questionnaire (in a form provided by the Corporation) with respect to the background, qualifications, stock ownership and independence of such proposed nominee and (b) a written representation and agreement (in form provided by the Corporation) that such proposed nominee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Arial" w:cs="Arial" w:eastAsia="Arial" w:hAnsi="Arial"/>
          <w:sz w:val="16"/>
          <w:szCs w:val="16"/>
          <w:u w:val="single" w:color="auto"/>
          <w:color w:val="auto"/>
        </w:rPr>
        <w:t>Voting Commitment</w:t>
      </w:r>
      <w:r>
        <w:rPr>
          <w:rFonts w:ascii="Arial" w:cs="Arial" w:eastAsia="Arial" w:hAnsi="Arial"/>
          <w:sz w:val="16"/>
          <w:szCs w:val="16"/>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proposed nominee, the Secretary of the Corporation shall provide to such proposed nominee all such policies and guidelines then in effect).</w:t>
      </w:r>
    </w:p>
    <w:p>
      <w:pPr>
        <w:spacing w:after="0" w:line="171" w:lineRule="exact"/>
        <w:rPr>
          <w:rFonts w:ascii="Arial" w:cs="Arial" w:eastAsia="Arial" w:hAnsi="Arial"/>
          <w:sz w:val="16"/>
          <w:szCs w:val="16"/>
          <w:color w:val="auto"/>
        </w:rPr>
      </w:pPr>
    </w:p>
    <w:p>
      <w:pPr>
        <w:ind w:right="140" w:firstLine="996"/>
        <w:spacing w:after="0" w:line="277" w:lineRule="auto"/>
        <w:tabs>
          <w:tab w:leader="none" w:pos="134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In addition to the requirements of this Section 2.5 with respect to any nomination proposed to be made at a meeting, each Proposing Person shall comply with all applicable requirements of the Exchange Act with respect to any such nominations.</w:t>
      </w:r>
    </w:p>
    <w:p>
      <w:pPr>
        <w:spacing w:after="0" w:line="170" w:lineRule="exact"/>
        <w:rPr>
          <w:rFonts w:ascii="Arial" w:cs="Arial" w:eastAsia="Arial" w:hAnsi="Arial"/>
          <w:sz w:val="18"/>
          <w:szCs w:val="18"/>
          <w:color w:val="auto"/>
        </w:rPr>
      </w:pPr>
    </w:p>
    <w:p>
      <w:pPr>
        <w:ind w:right="60" w:firstLine="996"/>
        <w:spacing w:after="0" w:line="255" w:lineRule="auto"/>
        <w:tabs>
          <w:tab w:leader="none" w:pos="139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No proposed nominee shall be eligible for nomination as a director of the Corporation unless such proposed nominee and the Nominating Person seeking to place such proposed nominee’s name in nomination have complied with this Section 2.5, as applicable. The presiding officer at the meeting shall, if the facts warrant, determine that a nomination was not properly made in accordance with this Section 2.5, and if he or she should so determine, he or she shall so declare such determination to the meeting, the defective nomination shall be disregarded and any ballots cast for the proposed nominee in question (but in the case of any form of ballot listing other qualified nominees, only the ballots cast for the nominee in question) shall be void and of no force or effect.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95" w:name="page396"/>
    <w:bookmarkEnd w:id="39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 NOTICE OF STOCKHOLDERS’ MEETINGS.</w:t>
      </w:r>
    </w:p>
    <w:p>
      <w:pPr>
        <w:spacing w:after="0" w:line="225"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Unless otherwise provided by law, the Certificate of Incorporation or these bylaws, the notice of any meeting of stockholders shall be sent or otherwise given in accordance with either Section 2.7 or Section 8.1 of these bylaws not less than ten (10) nor more than sixty (60) days before the date of the meeting to each stockholder entitled to vote at such meeting. The notice shall specify the place, if any, date and hour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2.7 MANNER OF GIVING NOTICE; AFFIDAVIT OF NOTICE.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Notice of any meeting of stockholders shall be deemed given:</w:t>
      </w:r>
    </w:p>
    <w:p>
      <w:pPr>
        <w:spacing w:after="0" w:line="117" w:lineRule="exact"/>
        <w:rPr>
          <w:sz w:val="20"/>
          <w:szCs w:val="20"/>
          <w:color w:val="auto"/>
        </w:rPr>
      </w:pPr>
    </w:p>
    <w:p>
      <w:pPr>
        <w:ind w:right="620" w:firstLine="996"/>
        <w:spacing w:after="0" w:line="277" w:lineRule="auto"/>
        <w:tabs>
          <w:tab w:leader="none" w:pos="120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mailed, when deposited in the U.S. mail, postage prepaid, directed to the stockholder at his or her address as it appears on the Corporation’s records; or</w:t>
      </w:r>
    </w:p>
    <w:p>
      <w:pPr>
        <w:spacing w:after="0" w:line="170" w:lineRule="exact"/>
        <w:rPr>
          <w:rFonts w:ascii="Arial" w:cs="Arial" w:eastAsia="Arial" w:hAnsi="Arial"/>
          <w:sz w:val="18"/>
          <w:szCs w:val="18"/>
          <w:color w:val="auto"/>
        </w:rPr>
      </w:pPr>
    </w:p>
    <w:p>
      <w:pPr>
        <w:ind w:left="1260" w:hanging="264"/>
        <w:spacing w:after="0"/>
        <w:tabs>
          <w:tab w:leader="none" w:pos="12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electronically transmitted as provided in Section 8.1 of these bylaws.</w:t>
      </w:r>
    </w:p>
    <w:p>
      <w:pPr>
        <w:spacing w:after="0" w:line="225"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An affidavit of the secretary or an assistant secretary of the Corporation or of the transfer agent or any other agent of the Corporation that the notice has been given by mail or by a form of electronic transmission, as applicable, shall, in the absence of fraud, be prima facie evidence of the facts stated therein.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2.8 QUORUM.</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If, however, a quorum is not present or represented at any meeting of the stockholders, then either (i) the chairperson of the meeting or (ii) a majority in voting power of the stockholders entitled to vote at the meeting, present in person, or by remote communication, if applicable, or represented by proxy, shall have power to adjourn the meeting from time to time in the manner provided in Section 2.9 of these bylaws until a quorum is present or represented. At such adjourned meeting at which a quorum is present or represented, any business may be transacted that might have been transacted at the meeting as originally noticed.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2.9 ADJOURNED MEETING; NOTICE.</w:t>
      </w:r>
    </w:p>
    <w:p>
      <w:pPr>
        <w:spacing w:after="0" w:line="22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Corporation may transact any business which</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96" w:name="page397"/>
    <w:bookmarkEnd w:id="396"/>
    <w:p>
      <w:pPr>
        <w:ind w:right="1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might have been transacted at the original meeting. If the adjournment is for more than thirty (30) days, or if after the adjournment a new record date is fixed for the adjourned meeting, a notice of the adjourned meeting shall be given to each stockholder of record entitled to vote at the meeting.</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CONDUCT OF BUSINESS.</w:t>
      </w:r>
    </w:p>
    <w:p>
      <w:pPr>
        <w:spacing w:after="0" w:line="225"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The date and time of the opening and the closing of the polls for each matter upon which the stockholders will vote at a meeting shall be announced at the meeting by the chair of the meeting. The Board may adopt by resolution such rules and regulations for the conduct of the meeting of stockholders as it shall deem appropriate. Except to the extent inconsistent with such rules and regulations as adopted by the Board, the chair of any meeting of stockholders shall have the right and authority to convene and (for any or no reason) to recess and/or adjourn the meeting, to prescribe such rules, regulations and procedures and to do all such acts as, in the judgment of such chair of the meeting, are appropriate for the proper conduct of the meeting. Such rules, regulations or procedures, whether adopted by the Board or prescribed by the chair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 (v) limitations on the time allotted to questions or comments by participants. The chair of any meeting of stockholders, in addition to making any other determinations that may be appropriate to the conduct of the meeting, shall, if the facts warrant, determine and declare to the meeting that a matter or business was not properly brought before the meeting and if such chair of the meeting should so determine, such chair of the meeting shall so declare to the meeting and any such matter or business not properly brought before the meeting shall not be transacted or considered. Unless and to the extent determined by the Board or the chair of the meeting, meetings of stockholders shall not be required to be held in accordance with the rules of parliamentary procedure.</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2.11 VOTING.</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2.13 of these bylaws, subject to Section 217 (relating to voting rights of fiduciaries, pledgors and joint owners of stock) and Section 218 (relating to voting trusts and other voting agreements) of the DGCL.</w:t>
      </w:r>
    </w:p>
    <w:p>
      <w:pPr>
        <w:spacing w:after="0" w:line="181" w:lineRule="exact"/>
        <w:rPr>
          <w:sz w:val="20"/>
          <w:szCs w:val="20"/>
          <w:color w:val="auto"/>
        </w:rPr>
      </w:pPr>
    </w:p>
    <w:p>
      <w:pPr>
        <w:jc w:val="both"/>
        <w:ind w:right="660" w:firstLine="441"/>
        <w:spacing w:after="0" w:line="264" w:lineRule="auto"/>
        <w:rPr>
          <w:sz w:val="20"/>
          <w:szCs w:val="20"/>
          <w:color w:val="auto"/>
        </w:rPr>
      </w:pPr>
      <w:r>
        <w:rPr>
          <w:rFonts w:ascii="Arial" w:cs="Arial" w:eastAsia="Arial" w:hAnsi="Arial"/>
          <w:sz w:val="18"/>
          <w:szCs w:val="18"/>
          <w:color w:val="auto"/>
        </w:rPr>
        <w:t>Except as may be otherwise provided in the Certificate of Incorporation or these bylaws, each stockholder entitled to vote at a meeting of stockholders shall be entitled to one (1) vote for each share of capital stock held by such stockholder which has voting power upon the matter in question.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97" w:name="page398"/>
    <w:bookmarkEnd w:id="397"/>
    <w:p>
      <w:pPr>
        <w:ind w:firstLine="441"/>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all other elections and questions presented to the stockholders at a duly called or convened meeting, at which a quorum is present, shall be decided by the majority of the votes cast affirmatively or negatively (excluding abstentions and broker non-votes) and shall be valid and binding upon the Corporation.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2.12 NO STOCKHOLDER ACTION BY WRITTEN CONSENT WITHOUT A MEETING.</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Subject to the rights of the holders of the shares of any series of Preferred Stock or any other class of stock or series thereof having a preference over the Common Stock as to dividends or upon liquidation, and except as otherwise provided in the Certificate of Incorporation,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RECORD DATE FOR STOCKHOLDER NOTICE; VOTING; GIVING CONSENTS.</w:t>
      </w:r>
    </w:p>
    <w:p>
      <w:pPr>
        <w:spacing w:after="0" w:line="225" w:lineRule="exact"/>
        <w:rPr>
          <w:sz w:val="20"/>
          <w:szCs w:val="20"/>
          <w:color w:val="auto"/>
        </w:rPr>
      </w:pPr>
    </w:p>
    <w:p>
      <w:pPr>
        <w:ind w:right="40" w:firstLine="441"/>
        <w:spacing w:after="0" w:line="276" w:lineRule="auto"/>
        <w:rPr>
          <w:sz w:val="20"/>
          <w:szCs w:val="20"/>
          <w:color w:val="auto"/>
        </w:rPr>
      </w:pPr>
      <w:r>
        <w:rPr>
          <w:rFonts w:ascii="Arial" w:cs="Arial" w:eastAsia="Arial" w:hAnsi="Arial"/>
          <w:sz w:val="17"/>
          <w:szCs w:val="17"/>
          <w:color w:val="auto"/>
        </w:rPr>
        <w:t>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may fix, in advance, a record date, which record date shall not precede the date on which the resolution fixing the record date is adopted and which shall not be more than sixty (60) nor less than ten (10) days before the date of such meeting, nor more than sixty (60) days prior to any other such action.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the Board does not so fix a record date:</w:t>
      </w:r>
    </w:p>
    <w:p>
      <w:pPr>
        <w:spacing w:after="0" w:line="117" w:lineRule="exact"/>
        <w:rPr>
          <w:sz w:val="20"/>
          <w:szCs w:val="20"/>
          <w:color w:val="auto"/>
        </w:rPr>
      </w:pPr>
    </w:p>
    <w:p>
      <w:pPr>
        <w:ind w:firstLine="996"/>
        <w:spacing w:after="0" w:line="264" w:lineRule="auto"/>
        <w:tabs>
          <w:tab w:leader="none" w:pos="120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1" w:lineRule="exact"/>
        <w:rPr>
          <w:rFonts w:ascii="Arial" w:cs="Arial" w:eastAsia="Arial" w:hAnsi="Arial"/>
          <w:sz w:val="18"/>
          <w:szCs w:val="18"/>
          <w:color w:val="auto"/>
        </w:rPr>
      </w:pPr>
    </w:p>
    <w:p>
      <w:pPr>
        <w:ind w:right="320" w:firstLine="996"/>
        <w:spacing w:after="0" w:line="277" w:lineRule="auto"/>
        <w:tabs>
          <w:tab w:leader="none" w:pos="125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adopts the resolution relating thereto.</w:t>
      </w:r>
    </w:p>
    <w:p>
      <w:pPr>
        <w:spacing w:after="0" w:line="170"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Board may fix a new record date for the adjourned meeting.</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3" w:right="479" w:bottom="1440" w:gutter="0" w:footer="0" w:header="0"/>
        </w:sectPr>
      </w:pPr>
    </w:p>
    <w:bookmarkStart w:id="398" w:name="page399"/>
    <w:bookmarkEnd w:id="39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2.14 PROXIES.</w:t>
      </w:r>
    </w:p>
    <w:p>
      <w:pPr>
        <w:spacing w:after="0" w:line="225"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Each stockholder entitled to vote at a meeting of stockholders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 telegram, cablegram or other means of electronic transmission which sets forth or is submitted with information from which it can be determined that the telegram, cablegram or other means of electronic transmission was authorized by the stockholder.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2.15 LIST OF STOCKHOLDERS ENTITLED TO VOTE.</w:t>
      </w:r>
    </w:p>
    <w:p>
      <w:pPr>
        <w:spacing w:after="0" w:line="225" w:lineRule="exact"/>
        <w:rPr>
          <w:sz w:val="20"/>
          <w:szCs w:val="20"/>
          <w:color w:val="auto"/>
        </w:rPr>
      </w:pPr>
    </w:p>
    <w:p>
      <w:pPr>
        <w:ind w:right="200" w:firstLine="441"/>
        <w:spacing w:after="0" w:line="286" w:lineRule="auto"/>
        <w:rPr>
          <w:sz w:val="20"/>
          <w:szCs w:val="20"/>
          <w:color w:val="auto"/>
        </w:rPr>
      </w:pPr>
      <w:r>
        <w:rPr>
          <w:rFonts w:ascii="Arial" w:cs="Arial" w:eastAsia="Arial" w:hAnsi="Arial"/>
          <w:sz w:val="16"/>
          <w:szCs w:val="16"/>
          <w:color w:val="auto"/>
        </w:rPr>
        <w:t>The Corporation shall prepare, at least ten (10) days before every meeting of stockholders, a complete list of the stockholders entitled to vote at the meeting,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w:t>
      </w:r>
    </w:p>
    <w:p>
      <w:pPr>
        <w:spacing w:after="0" w:line="2" w:lineRule="exact"/>
        <w:rPr>
          <w:sz w:val="20"/>
          <w:szCs w:val="20"/>
          <w:color w:val="auto"/>
        </w:rPr>
      </w:pPr>
    </w:p>
    <w:p>
      <w:pPr>
        <w:ind w:firstLine="4"/>
        <w:spacing w:after="0" w:line="268" w:lineRule="auto"/>
        <w:tabs>
          <w:tab w:leader="none" w:pos="21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Such list shall presumptively determine the identity of the stockholders entitled to vote at the meeting and the number of shares held by each of them.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2.16 INSPECTORS OF ELECTION.</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Before any meeting of stockholders, the Board shall appoint an inspector or inspectors of election to act at the meeting or its adjournment and make a written report thereof. The number of inspectors shall be either one (1) or three (3). If any person appointed as inspector fails to appear or fails or refuses to act, then the chairperson of the meeting may, and upon the request of any stockholder or a stockholder’s proxy shall, appoint a person to fill that vacancy.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Such inspectors shall:</w:t>
      </w:r>
    </w:p>
    <w:p>
      <w:pPr>
        <w:spacing w:after="0" w:line="117" w:lineRule="exact"/>
        <w:rPr>
          <w:sz w:val="20"/>
          <w:szCs w:val="20"/>
          <w:color w:val="auto"/>
        </w:rPr>
      </w:pPr>
    </w:p>
    <w:p>
      <w:pPr>
        <w:ind w:left="1220" w:hanging="224"/>
        <w:spacing w:after="0"/>
        <w:tabs>
          <w:tab w:leader="none" w:pos="12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ascertain the number of shares of capital stock of the corporation outstanding and the voting power of each such share;</w:t>
      </w:r>
    </w:p>
    <w:p>
      <w:pPr>
        <w:spacing w:after="0" w:line="157" w:lineRule="exact"/>
        <w:rPr>
          <w:rFonts w:ascii="Arial" w:cs="Arial" w:eastAsia="Arial" w:hAnsi="Arial"/>
          <w:sz w:val="18"/>
          <w:szCs w:val="18"/>
          <w:color w:val="auto"/>
        </w:rPr>
      </w:pPr>
    </w:p>
    <w:p>
      <w:pPr>
        <w:ind w:left="5360"/>
        <w:spacing w:after="0"/>
        <w:rPr>
          <w:rFonts w:ascii="Arial" w:cs="Arial" w:eastAsia="Arial" w:hAnsi="Arial"/>
          <w:sz w:val="18"/>
          <w:szCs w:val="18"/>
          <w:color w:val="auto"/>
        </w:rPr>
      </w:pPr>
      <w:r>
        <w:rPr>
          <w:rFonts w:ascii="Arial" w:cs="Arial" w:eastAsia="Arial" w:hAnsi="Arial"/>
          <w:sz w:val="18"/>
          <w:szCs w:val="18"/>
          <w:color w:val="auto"/>
        </w:rPr>
        <w:t>-13-</w:t>
      </w:r>
    </w:p>
    <w:p>
      <w:pPr>
        <w:sectPr>
          <w:pgSz w:w="11900" w:h="16838" w:orient="portrait"/>
          <w:cols w:equalWidth="0" w:num="1">
            <w:col w:w="11000"/>
          </w:cols>
          <w:pgMar w:left="440" w:top="273" w:right="459" w:bottom="1440" w:gutter="0" w:footer="0" w:header="0"/>
        </w:sectPr>
      </w:pPr>
    </w:p>
    <w:bookmarkStart w:id="399" w:name="page400"/>
    <w:bookmarkEnd w:id="399"/>
    <w:p>
      <w:pPr>
        <w:ind w:left="1260" w:hanging="264"/>
        <w:spacing w:after="0"/>
        <w:tabs>
          <w:tab w:leader="none" w:pos="12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determine the shares of capital stock of the corporation represented at the meeting and the validity of proxies and ballots;</w:t>
      </w:r>
    </w:p>
    <w:p>
      <w:pPr>
        <w:spacing w:after="0" w:line="225" w:lineRule="exact"/>
        <w:rPr>
          <w:rFonts w:ascii="Arial" w:cs="Arial" w:eastAsia="Arial" w:hAnsi="Arial"/>
          <w:sz w:val="18"/>
          <w:szCs w:val="18"/>
          <w:color w:val="auto"/>
        </w:rPr>
      </w:pPr>
    </w:p>
    <w:p>
      <w:pPr>
        <w:ind w:left="1320" w:hanging="324"/>
        <w:spacing w:after="0"/>
        <w:tabs>
          <w:tab w:leader="none" w:pos="13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count all votes and ballots;</w:t>
      </w:r>
    </w:p>
    <w:p>
      <w:pPr>
        <w:spacing w:after="0" w:line="225" w:lineRule="exact"/>
        <w:rPr>
          <w:rFonts w:ascii="Arial" w:cs="Arial" w:eastAsia="Arial" w:hAnsi="Arial"/>
          <w:sz w:val="18"/>
          <w:szCs w:val="18"/>
          <w:color w:val="auto"/>
        </w:rPr>
      </w:pPr>
    </w:p>
    <w:p>
      <w:pPr>
        <w:ind w:left="1300" w:hanging="304"/>
        <w:spacing w:after="0"/>
        <w:tabs>
          <w:tab w:leader="none" w:pos="130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determine and retain for a reasonable period a record of the disposition of any challenges made to any determination by the inspectors;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right="180" w:firstLine="996"/>
        <w:spacing w:after="0" w:line="277" w:lineRule="auto"/>
        <w:tabs>
          <w:tab w:leader="none" w:pos="124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certify their determination of the number of shares of capital stock of the corporation represented at the meeting and such inspectors’ count of all votes and ballots.</w:t>
      </w:r>
    </w:p>
    <w:p>
      <w:pPr>
        <w:spacing w:after="0" w:line="170" w:lineRule="exact"/>
        <w:rPr>
          <w:rFonts w:ascii="Arial" w:cs="Arial" w:eastAsia="Arial" w:hAnsi="Arial"/>
          <w:sz w:val="18"/>
          <w:szCs w:val="18"/>
          <w:color w:val="auto"/>
        </w:rPr>
      </w:pPr>
    </w:p>
    <w:p>
      <w:pPr>
        <w:ind w:firstLine="996"/>
        <w:spacing w:after="0" w:line="259" w:lineRule="auto"/>
        <w:tabs>
          <w:tab w:leader="none" w:pos="1297"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inspectors of election shall perform their duties impartially, in good faith, to the best of their ability and as expeditiously as is practical. If there are three (3) inspectors of election, the decision, act or certificate of a majority is effective in all respects as the decision, act or certificate of all. Any report or certificate made by the inspectors of election is prima facie evidence of the facts stated therein. The inspectors of election may appoint such persons to assist them in performing their duties as they determine.</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 DIRECTORS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 POWERS.</w:t>
      </w:r>
    </w:p>
    <w:p>
      <w:pPr>
        <w:spacing w:after="0" w:line="225"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Subject to the provisions of the DGCL and any limitations in the Certificate of Incorporation, the business and affairs of the Corporation shall be managed and all corporate powers shall be exercised by or under the direction of the Board.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3.2 NUMBER OF DIRECTORS.</w:t>
      </w:r>
    </w:p>
    <w:p>
      <w:pPr>
        <w:spacing w:after="0" w:line="225"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authorized number of directors shall be determined from time to time by resolution of the Board, provided the Board shall consist of at least one member. No reduction of the authorized number of directors shall have the effect of removing any director before that director’s term of office expires.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3.3 ELECTION, QUALIFICATION AND TERM OF OFFICE OF DIRECTORS.</w:t>
      </w:r>
    </w:p>
    <w:p>
      <w:pPr>
        <w:spacing w:after="0" w:line="225"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provided in the Certificate of Incorporation, the directors of the Corporation shall be divided into three (3) classes.</w:t>
      </w:r>
    </w:p>
    <w:p>
      <w:pPr>
        <w:spacing w:after="0" w:line="158"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400" w:name="page401"/>
    <w:bookmarkEnd w:id="40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 RESIGNATION AND VACANCIES.</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Any director may resign at any time upon notice given in writing or by electronic transmission to the Corporation. When one or more directors so resigns and the resignation is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in the filling of other vacancies.</w:t>
      </w:r>
    </w:p>
    <w:p>
      <w:pPr>
        <w:spacing w:after="0" w:line="187"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Unless otherwise provided in the Certificate of Incorporation or these bylaws, vacancies and newly created directorships resulting from any increase in the authorized number of directors shall, unless the Board determines by resolution that any such vacancies or newly created directorships shall be filled by stockholders, be filled only by a majority of the directors then in office, although less than a quorum, or by a sole remaining director. Any director elected in accordance with the preceding sentence shall hold office for the remainder of the full term of the director for which the vacancy was created or occurred and until such director’s successor shall have been elected and qualified. A vacancy in the Board of Directors shall be deemed to exist under these bylaws in the case of the death, removal or resignation of any director.</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3.5 PLACE OF MEETINGS; MEETINGS BY TELEPHONE.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may hold meetings, both regular and special, either within or outside the State of Delaware.</w:t>
      </w:r>
    </w:p>
    <w:p>
      <w:pPr>
        <w:spacing w:after="0" w:line="225"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3.6 REGULAR MEETINGS.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Regular meetings of the Board may be held without notice at such time and at such place as shall from time to time be determined by the Board.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3.7 SPECIAL MEETINGS; NOTICE.</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Special meetings of the Board for any purpose or purposes may be called at any time by the chairperson of the Board, the chief executive officer, the president, the secretary or a majority of the authorized number of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401" w:name="page402"/>
    <w:bookmarkEnd w:id="40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 of the time and place of special meetings shall be:</w:t>
      </w:r>
    </w:p>
    <w:p>
      <w:pPr>
        <w:spacing w:after="0" w:line="117" w:lineRule="exact"/>
        <w:rPr>
          <w:sz w:val="20"/>
          <w:szCs w:val="20"/>
          <w:color w:val="auto"/>
        </w:rPr>
      </w:pPr>
    </w:p>
    <w:p>
      <w:pPr>
        <w:ind w:left="1220" w:hanging="224"/>
        <w:spacing w:after="0"/>
        <w:tabs>
          <w:tab w:leader="none" w:pos="12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260" w:hanging="264"/>
        <w:spacing w:after="0"/>
        <w:tabs>
          <w:tab w:leader="none" w:pos="12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225" w:lineRule="exact"/>
        <w:rPr>
          <w:rFonts w:ascii="Arial" w:cs="Arial" w:eastAsia="Arial" w:hAnsi="Arial"/>
          <w:sz w:val="18"/>
          <w:szCs w:val="18"/>
          <w:color w:val="auto"/>
        </w:rPr>
      </w:pPr>
    </w:p>
    <w:p>
      <w:pPr>
        <w:ind w:left="1320" w:hanging="324"/>
        <w:spacing w:after="0"/>
        <w:tabs>
          <w:tab w:leader="none" w:pos="13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225" w:lineRule="exact"/>
        <w:rPr>
          <w:rFonts w:ascii="Arial" w:cs="Arial" w:eastAsia="Arial" w:hAnsi="Arial"/>
          <w:sz w:val="18"/>
          <w:szCs w:val="18"/>
          <w:color w:val="auto"/>
        </w:rPr>
      </w:pPr>
    </w:p>
    <w:p>
      <w:pPr>
        <w:ind w:left="1300" w:hanging="304"/>
        <w:spacing w:after="0"/>
        <w:tabs>
          <w:tab w:leader="none" w:pos="13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sent by electronic mail,</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Corporation’s records.</w:t>
      </w:r>
    </w:p>
    <w:p>
      <w:pPr>
        <w:spacing w:after="0" w:line="170"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If the notice is (i) delivered personally by hand, by courier or by telephone, (ii) sent by facsimile or (iii) sent by electronic mail, it shall be delivered or sent at least twenty-four (24) hours before the time of the holding of the meeting. If the notice is sent by U.S. mail, it shall be deposited in the U.S.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3.8 QUORUM.</w:t>
      </w:r>
    </w:p>
    <w:p>
      <w:pPr>
        <w:spacing w:after="0" w:line="225" w:lineRule="exact"/>
        <w:rPr>
          <w:sz w:val="20"/>
          <w:szCs w:val="20"/>
          <w:color w:val="auto"/>
        </w:rPr>
      </w:pPr>
    </w:p>
    <w:p>
      <w:pPr>
        <w:jc w:val="both"/>
        <w:ind w:right="80" w:firstLine="441"/>
        <w:spacing w:after="0" w:line="302" w:lineRule="auto"/>
        <w:rPr>
          <w:sz w:val="20"/>
          <w:szCs w:val="20"/>
          <w:color w:val="auto"/>
        </w:rPr>
      </w:pPr>
      <w:r>
        <w:rPr>
          <w:rFonts w:ascii="Arial" w:cs="Arial" w:eastAsia="Arial" w:hAnsi="Arial"/>
          <w:sz w:val="16"/>
          <w:szCs w:val="16"/>
          <w:color w:val="auto"/>
        </w:rPr>
        <w:t>At all meetings of the Board, a majority of the authorized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3.9 BOARD ACTION BY WRITTEN CONSENT WITHOUT A MEETING.</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3.10 FEES AND COMPENSATION OF DIRECTORS.</w:t>
      </w:r>
    </w:p>
    <w:p>
      <w:pPr>
        <w:spacing w:after="0" w:line="225"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the Board shall have the authority to fix the compensation of directors.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3.11 REMOVAL OF DIRECTORS.</w:t>
      </w:r>
    </w:p>
    <w:p>
      <w:pPr>
        <w:spacing w:after="0" w:line="225" w:lineRule="exact"/>
        <w:rPr>
          <w:sz w:val="20"/>
          <w:szCs w:val="20"/>
          <w:color w:val="auto"/>
        </w:rPr>
      </w:pPr>
    </w:p>
    <w:p>
      <w:pPr>
        <w:ind w:right="40" w:firstLine="441"/>
        <w:spacing w:after="0" w:line="312" w:lineRule="auto"/>
        <w:rPr>
          <w:sz w:val="20"/>
          <w:szCs w:val="20"/>
          <w:color w:val="auto"/>
        </w:rPr>
      </w:pPr>
      <w:r>
        <w:rPr>
          <w:rFonts w:ascii="Arial" w:cs="Arial" w:eastAsia="Arial" w:hAnsi="Arial"/>
          <w:sz w:val="16"/>
          <w:szCs w:val="16"/>
          <w:color w:val="auto"/>
        </w:rPr>
        <w:t>Except as otherwise provided by the DGCL or the Certificate of Incorporation, the Board of Directors or any individual director may be removed from office at any time, but only with cause by the affirmative vote of the holders of at least sixty six and two thirds percent (66-2/3%) of the voting power of all the then outstanding shares of voting stock of the Corporation with the power to vote at an election of directors (the “</w:t>
      </w:r>
      <w:r>
        <w:rPr>
          <w:rFonts w:ascii="Arial" w:cs="Arial" w:eastAsia="Arial" w:hAnsi="Arial"/>
          <w:sz w:val="16"/>
          <w:szCs w:val="16"/>
          <w:u w:val="single" w:color="auto"/>
          <w:color w:val="auto"/>
        </w:rPr>
        <w:t>Voting Stock</w:t>
      </w:r>
      <w:r>
        <w:rPr>
          <w:rFonts w:ascii="Arial" w:cs="Arial" w:eastAsia="Arial" w:hAnsi="Arial"/>
          <w:sz w:val="16"/>
          <w:szCs w:val="16"/>
          <w:color w:val="auto"/>
        </w:rPr>
        <w:t>”).</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402" w:name="page403"/>
    <w:bookmarkEnd w:id="402"/>
    <w:p>
      <w:pPr>
        <w:ind w:right="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reduction of the authorized number of directors shall have the effect of removing any director prior to the expiration of such director’s term of office.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 COMMITTEES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4.1 COMMITTEES OF DIRECTORS.</w:t>
      </w:r>
    </w:p>
    <w:p>
      <w:pPr>
        <w:spacing w:after="0" w:line="225"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w:t>
      </w:r>
    </w:p>
    <w:p>
      <w:pPr>
        <w:spacing w:after="0" w:line="3" w:lineRule="exact"/>
        <w:rPr>
          <w:sz w:val="20"/>
          <w:szCs w:val="20"/>
          <w:color w:val="auto"/>
        </w:rPr>
      </w:pPr>
    </w:p>
    <w:p>
      <w:pPr>
        <w:ind w:right="560" w:firstLine="4"/>
        <w:spacing w:after="0" w:line="261" w:lineRule="auto"/>
        <w:tabs>
          <w:tab w:leader="none" w:pos="21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approve or adopt, or recommend to the stockholders, any action or matter expressly required by the DGCL to be submitted to stockholders for approval, or (ii) adopt, amend or repeal any bylaw of the Corporation.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4.2 COMMITTEE MINUTES.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Each committee shall keep regular minutes of its meetings and report the same to the Board when required.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4.3 MEETINGS AND ACTION OF COMMITTEES.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1220" w:hanging="224"/>
        <w:spacing w:after="0"/>
        <w:tabs>
          <w:tab w:leader="none" w:pos="12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Section 3.5 (place of meetings and meetings by telephone);</w:t>
      </w:r>
    </w:p>
    <w:p>
      <w:pPr>
        <w:spacing w:after="0" w:line="225" w:lineRule="exact"/>
        <w:rPr>
          <w:rFonts w:ascii="Arial" w:cs="Arial" w:eastAsia="Arial" w:hAnsi="Arial"/>
          <w:sz w:val="18"/>
          <w:szCs w:val="18"/>
          <w:color w:val="auto"/>
        </w:rPr>
      </w:pPr>
    </w:p>
    <w:p>
      <w:pPr>
        <w:ind w:left="1260" w:hanging="264"/>
        <w:spacing w:after="0"/>
        <w:tabs>
          <w:tab w:leader="none" w:pos="12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Section 3.6 (regular meetings);</w:t>
      </w:r>
    </w:p>
    <w:p>
      <w:pPr>
        <w:spacing w:after="0" w:line="225" w:lineRule="exact"/>
        <w:rPr>
          <w:rFonts w:ascii="Arial" w:cs="Arial" w:eastAsia="Arial" w:hAnsi="Arial"/>
          <w:sz w:val="18"/>
          <w:szCs w:val="18"/>
          <w:color w:val="auto"/>
        </w:rPr>
      </w:pPr>
    </w:p>
    <w:p>
      <w:pPr>
        <w:ind w:left="1320" w:hanging="324"/>
        <w:spacing w:after="0"/>
        <w:tabs>
          <w:tab w:leader="none" w:pos="132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Section 3.7 (special meetings and notice);</w:t>
      </w:r>
    </w:p>
    <w:p>
      <w:pPr>
        <w:spacing w:after="0" w:line="225" w:lineRule="exact"/>
        <w:rPr>
          <w:rFonts w:ascii="Arial" w:cs="Arial" w:eastAsia="Arial" w:hAnsi="Arial"/>
          <w:sz w:val="18"/>
          <w:szCs w:val="18"/>
          <w:color w:val="auto"/>
        </w:rPr>
      </w:pPr>
    </w:p>
    <w:p>
      <w:pPr>
        <w:ind w:left="1300" w:hanging="304"/>
        <w:spacing w:after="0"/>
        <w:tabs>
          <w:tab w:leader="none" w:pos="13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Section 3.8 (quorum);</w:t>
      </w:r>
    </w:p>
    <w:p>
      <w:pPr>
        <w:spacing w:after="0" w:line="225" w:lineRule="exact"/>
        <w:rPr>
          <w:rFonts w:ascii="Arial" w:cs="Arial" w:eastAsia="Arial" w:hAnsi="Arial"/>
          <w:sz w:val="18"/>
          <w:szCs w:val="18"/>
          <w:color w:val="auto"/>
        </w:rPr>
      </w:pPr>
    </w:p>
    <w:p>
      <w:pPr>
        <w:ind w:left="1260" w:hanging="264"/>
        <w:spacing w:after="0"/>
        <w:tabs>
          <w:tab w:leader="none" w:pos="12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Section 7.12 (waiver of notice); and</w:t>
      </w:r>
    </w:p>
    <w:p>
      <w:pPr>
        <w:spacing w:after="0" w:line="225" w:lineRule="exact"/>
        <w:rPr>
          <w:rFonts w:ascii="Arial" w:cs="Arial" w:eastAsia="Arial" w:hAnsi="Arial"/>
          <w:sz w:val="18"/>
          <w:szCs w:val="18"/>
          <w:color w:val="auto"/>
        </w:rPr>
      </w:pPr>
    </w:p>
    <w:p>
      <w:pPr>
        <w:ind w:left="1300" w:hanging="304"/>
        <w:spacing w:after="0"/>
        <w:tabs>
          <w:tab w:leader="none" w:pos="130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Section 3.9 (action without a meeting),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3" w:right="439" w:bottom="1440" w:gutter="0" w:footer="0" w:header="0"/>
        </w:sectPr>
      </w:pPr>
    </w:p>
    <w:bookmarkStart w:id="403" w:name="page404"/>
    <w:bookmarkEnd w:id="40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r>
        <w:rPr>
          <w:rFonts w:ascii="Arial" w:cs="Arial" w:eastAsia="Arial" w:hAnsi="Arial"/>
          <w:sz w:val="16"/>
          <w:szCs w:val="16"/>
          <w:color w:val="auto"/>
        </w:rPr>
        <w:t>:</w:t>
      </w:r>
    </w:p>
    <w:p>
      <w:pPr>
        <w:spacing w:after="0" w:line="140" w:lineRule="exact"/>
        <w:rPr>
          <w:sz w:val="20"/>
          <w:szCs w:val="20"/>
          <w:color w:val="auto"/>
        </w:rPr>
      </w:pPr>
    </w:p>
    <w:p>
      <w:pPr>
        <w:ind w:left="1220" w:hanging="224"/>
        <w:spacing w:after="0"/>
        <w:tabs>
          <w:tab w:leader="none" w:pos="122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time of regular meetings of committees may be determined either by resolution of the Board or by resolution of the committee;</w:t>
      </w:r>
    </w:p>
    <w:p>
      <w:pPr>
        <w:spacing w:after="0" w:line="236" w:lineRule="exact"/>
        <w:rPr>
          <w:rFonts w:ascii="Arial" w:cs="Arial" w:eastAsia="Arial" w:hAnsi="Arial"/>
          <w:sz w:val="17"/>
          <w:szCs w:val="17"/>
          <w:color w:val="auto"/>
        </w:rPr>
      </w:pPr>
    </w:p>
    <w:p>
      <w:pPr>
        <w:ind w:left="1260" w:hanging="264"/>
        <w:spacing w:after="0"/>
        <w:tabs>
          <w:tab w:leader="none" w:pos="12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special meetings of committees may also be called by resolution of the Board or the chairperson of the applicable committee;</w:t>
      </w:r>
    </w:p>
    <w:p>
      <w:pPr>
        <w:spacing w:after="0" w:line="236" w:lineRule="exact"/>
        <w:rPr>
          <w:rFonts w:ascii="Arial" w:cs="Arial" w:eastAsia="Arial" w:hAnsi="Arial"/>
          <w:sz w:val="17"/>
          <w:szCs w:val="17"/>
          <w:color w:val="auto"/>
        </w:rPr>
      </w:pPr>
    </w:p>
    <w:p>
      <w:pPr>
        <w:ind w:firstLine="996"/>
        <w:spacing w:after="0" w:line="277" w:lineRule="auto"/>
        <w:tabs>
          <w:tab w:leader="none" w:pos="1307"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notice of special meetings of committees shall also be given to all alternate members, who shall have the right to attend all meetings of the committee; and</w:t>
      </w:r>
    </w:p>
    <w:p>
      <w:pPr>
        <w:spacing w:after="0" w:line="170" w:lineRule="exact"/>
        <w:rPr>
          <w:rFonts w:ascii="Arial" w:cs="Arial" w:eastAsia="Arial" w:hAnsi="Arial"/>
          <w:sz w:val="18"/>
          <w:szCs w:val="18"/>
          <w:color w:val="auto"/>
        </w:rPr>
      </w:pPr>
    </w:p>
    <w:p>
      <w:pPr>
        <w:ind w:right="540" w:firstLine="996"/>
        <w:spacing w:after="0" w:line="342" w:lineRule="auto"/>
        <w:tabs>
          <w:tab w:leader="none" w:pos="1297"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 OFFICERS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5.1 OFFICERS.</w:t>
      </w:r>
    </w:p>
    <w:p>
      <w:pPr>
        <w:spacing w:after="0" w:line="225"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The officers of the Corporation shall be a president and a secretary. The Corporation may also have, at the discretion of the Board, a chairperson of the Board, a vice chairperson of the Board,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5.2 APPOINTMENT OF OFFICERS.</w:t>
      </w:r>
    </w:p>
    <w:p>
      <w:pPr>
        <w:spacing w:after="0" w:line="225"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Board shall appoint the officers of the Corporation, except such officers as may be appointed in accordance with the provisions of Section 5.3 of these bylaws, subject to the rights, if any, of an officer under any contract of employment.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5.3 SUBORDINATE OFFICERS.</w:t>
      </w:r>
    </w:p>
    <w:p>
      <w:pPr>
        <w:spacing w:after="0" w:line="225"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5.4 REMOVAL AND RESIGNATION OF OFFICERS.</w:t>
      </w:r>
    </w:p>
    <w:p>
      <w:pPr>
        <w:spacing w:after="0" w:line="225"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Subject to the rights, if any, of an officer under any contract of employment,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3" w:right="439" w:bottom="1440" w:gutter="0" w:footer="0" w:header="0"/>
        </w:sectPr>
      </w:pPr>
    </w:p>
    <w:bookmarkStart w:id="404" w:name="page405"/>
    <w:bookmarkEnd w:id="404"/>
    <w:p>
      <w:pPr>
        <w:jc w:val="both"/>
        <w:ind w:right="12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5.5 VACANCIES IN OFFICES.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vacancy occurring in any office of the Corporation shall be filled by the Board or as provided in Section 5.2.</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5.6 REPRESENTATION OF SHARES OF OTHER CORPORATIONS.</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chairperson of the Board, the chief executive officer, the president, any vice president, the treasurer, the secretary or assistant secretary of this Corporation, or any other person authorized by the Board , the chief executive officer, the president or a vice president, is authorized to vote, represent and exercise on behalf of this Corporation all rights incident to any and all shares of any other corporation or corporations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5.7 AUTHORITY AND DUTIES OF OFFICERS.</w:t>
      </w:r>
    </w:p>
    <w:p>
      <w:pPr>
        <w:spacing w:after="0" w:line="225"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color w:val="auto"/>
        </w:rPr>
        <w:t>All officers of the Corporation shall respectively have such authority and perform such duties in the management of the business of the Corporation as may be designated from time to time by the Board or the stockholders and, to the extent not so provided, as generally pertain to their respective offices, subject to the control of the Board.</w:t>
      </w:r>
    </w:p>
    <w:p>
      <w:pPr>
        <w:spacing w:after="0" w:line="39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ARTICLE VI - RECORDS AND REPORTS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6.1 MAINTENANCE AND INSPECTION OF RECORDS.</w:t>
      </w:r>
    </w:p>
    <w:p>
      <w:pPr>
        <w:spacing w:after="0" w:line="225"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The Corporation shall, either at its principal executive office or at such place or places as designated by the Board, keep a record of its stockholders listing their names and addresses and the number and class of shares held by each stockholder, a copy of these bylaws as amended to date, accounting books and other records.</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A proper purpose shall mean a purpose</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60"/>
          </w:cols>
          <w:pgMar w:left="440" w:top="274" w:right="499" w:bottom="1440" w:gutter="0" w:footer="0" w:header="0"/>
        </w:sectPr>
      </w:pPr>
    </w:p>
    <w:bookmarkStart w:id="405" w:name="page406"/>
    <w:bookmarkEnd w:id="40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reasonably related to such person’s interest as a stockholder. In every instance where an attorney or other agent is the person who seeks the right to inspection, the demand under oath shall be accompanied by a power of attorney or such other writing that authorizes the attorney or other agent so to act on behalf of the stockholder. The demand under oath shall be directed to the Corporation at its registered office in Delaware or at its principal executive office.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6.2 INSPECTION BY DIRECTORS.</w:t>
      </w:r>
    </w:p>
    <w:p>
      <w:pPr>
        <w:spacing w:after="0" w:line="225"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Any director shall have the right to examine the Corporation’s stock ledger, a list of its stockholders, and its other books and records for a purpose reasonably related to his or her position as a director to the extent such director is entitled to do so under Section 220 of the DGCL.</w:t>
      </w:r>
    </w:p>
    <w:p>
      <w:pPr>
        <w:spacing w:after="0" w:line="147" w:lineRule="exact"/>
        <w:rPr>
          <w:sz w:val="20"/>
          <w:szCs w:val="20"/>
          <w:color w:val="auto"/>
        </w:rPr>
      </w:pPr>
    </w:p>
    <w:p>
      <w:pPr>
        <w:jc w:val="both"/>
        <w:ind w:right="260" w:firstLine="441"/>
        <w:spacing w:after="0" w:line="259" w:lineRule="auto"/>
        <w:rPr>
          <w:sz w:val="20"/>
          <w:szCs w:val="20"/>
          <w:color w:val="auto"/>
        </w:rPr>
      </w:pPr>
      <w:r>
        <w:rPr>
          <w:rFonts w:ascii="Arial" w:cs="Arial" w:eastAsia="Arial" w:hAnsi="Arial"/>
          <w:sz w:val="18"/>
          <w:szCs w:val="18"/>
          <w:color w:val="auto"/>
        </w:rPr>
        <w:t>The Court of Chancery is hereby vested with the exclusive jurisdiction to determine whether a director is entitled to the inspection sought. The Court may summarily order the Corporation to permit the director to inspect any and all books and records, the stock ledger, and the stock list and to make copies or extracts therefrom. The Court may, in its discretion, prescribe any limitations or conditions with reference to the inspection, or award such other and further relief as the Court may deem just and proper.</w:t>
      </w:r>
    </w:p>
    <w:p>
      <w:pPr>
        <w:spacing w:after="0" w:line="399"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ARTICLE VII - GENERAL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 EXECUTION OF CORPORATE CONTRACTS AND INSTRUMENTS.</w:t>
      </w:r>
    </w:p>
    <w:p>
      <w:pPr>
        <w:spacing w:after="0" w:line="225" w:lineRule="exact"/>
        <w:rPr>
          <w:sz w:val="20"/>
          <w:szCs w:val="20"/>
          <w:color w:val="auto"/>
        </w:rPr>
      </w:pPr>
    </w:p>
    <w:p>
      <w:pPr>
        <w:ind w:right="60" w:firstLine="441"/>
        <w:spacing w:after="0" w:line="302" w:lineRule="auto"/>
        <w:rPr>
          <w:sz w:val="20"/>
          <w:szCs w:val="20"/>
          <w:color w:val="auto"/>
        </w:rPr>
      </w:pPr>
      <w:r>
        <w:rPr>
          <w:rFonts w:ascii="Arial" w:cs="Arial" w:eastAsia="Arial" w:hAnsi="Arial"/>
          <w:sz w:val="16"/>
          <w:szCs w:val="16"/>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7.2 STOCK CERTIFICATES; PARTLY PAID SHARES.</w:t>
      </w:r>
    </w:p>
    <w:p>
      <w:pPr>
        <w:spacing w:after="0" w:line="225"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The shares of the Corporation shall be represented by certificates, provided that the Board may provide by resolution or resolutions that some or all of any or all classes or series of stock shall be uncertificated shares. Any such resolution shall not apply to shares represented by a certificate until such certificate is surrendered to the corporation.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authorized officers of the Corporation (it being understood that each of the chairperson or vice-chairperson of the Board, or the president or vice-president, and by the treasurer or an assistant treasurer, or the secretary or an assistant secretary of the Corporation shall be an authorized officer for such purpose),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406" w:name="page407"/>
    <w:bookmarkEnd w:id="406"/>
    <w:p>
      <w:pPr>
        <w:ind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7.3 SPECIAL DESIGNATION ON CERTIFICATES.</w:t>
      </w:r>
    </w:p>
    <w:p>
      <w:pPr>
        <w:spacing w:after="0" w:line="225"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as otherwise provided in Section 202 of the DGCL, in lieu of the foregoing requirements, there may be set forth on the face or back of the certificate that the Corporation shall issue to represent such class or series of stock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7.4 LOST CERTIFICATES.</w:t>
      </w:r>
    </w:p>
    <w:p>
      <w:pPr>
        <w:spacing w:after="0" w:line="225"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7.5 CONSTRUCTION; DEFINITIONS.</w:t>
      </w:r>
    </w:p>
    <w:p>
      <w:pPr>
        <w:spacing w:after="0" w:line="225"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4" w:right="439" w:bottom="1440" w:gutter="0" w:footer="0" w:header="0"/>
        </w:sectPr>
      </w:pPr>
    </w:p>
    <w:bookmarkStart w:id="407" w:name="page408"/>
    <w:bookmarkEnd w:id="40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7.6 DIVIDENDS.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70"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7.7 FISCAL YEAR.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fiscal year of the Corporation shall be fixed by resolution of the Board and may be changed by the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7.8 SEAL.</w:t>
      </w:r>
    </w:p>
    <w:p>
      <w:pPr>
        <w:spacing w:after="0" w:line="225" w:lineRule="exact"/>
        <w:rPr>
          <w:sz w:val="20"/>
          <w:szCs w:val="20"/>
          <w:color w:val="auto"/>
        </w:rPr>
      </w:pPr>
    </w:p>
    <w:p>
      <w:pPr>
        <w:ind w:right="600" w:firstLine="441"/>
        <w:spacing w:after="0" w:line="308" w:lineRule="auto"/>
        <w:rPr>
          <w:sz w:val="20"/>
          <w:szCs w:val="20"/>
          <w:color w:val="auto"/>
        </w:rPr>
      </w:pPr>
      <w:r>
        <w:rPr>
          <w:rFonts w:ascii="Arial" w:cs="Arial" w:eastAsia="Arial" w:hAnsi="Arial"/>
          <w:sz w:val="17"/>
          <w:szCs w:val="17"/>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7.9 TRANSFER OF STOCK.</w:t>
      </w:r>
    </w:p>
    <w:p>
      <w:pPr>
        <w:spacing w:after="0" w:line="225"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7.10 STOCK TRANSFER AGREEMENTS.</w:t>
      </w:r>
    </w:p>
    <w:p>
      <w:pPr>
        <w:spacing w:after="0" w:line="225"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3" w:right="439" w:bottom="1440" w:gutter="0" w:footer="0" w:header="0"/>
        </w:sectPr>
      </w:pPr>
    </w:p>
    <w:bookmarkStart w:id="408" w:name="page409"/>
    <w:bookmarkEnd w:id="40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7.11 REGISTERED STOCKHOLDERS.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w:t>
      </w:r>
    </w:p>
    <w:p>
      <w:pPr>
        <w:spacing w:after="0" w:line="225" w:lineRule="exact"/>
        <w:rPr>
          <w:sz w:val="20"/>
          <w:szCs w:val="20"/>
          <w:color w:val="auto"/>
        </w:rPr>
      </w:pPr>
    </w:p>
    <w:p>
      <w:pPr>
        <w:ind w:right="200" w:firstLine="996"/>
        <w:spacing w:after="0" w:line="277" w:lineRule="auto"/>
        <w:tabs>
          <w:tab w:leader="none" w:pos="120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to vote as such owner; and</w:t>
      </w:r>
    </w:p>
    <w:p>
      <w:pPr>
        <w:spacing w:after="0" w:line="170" w:lineRule="exact"/>
        <w:rPr>
          <w:rFonts w:ascii="Arial" w:cs="Arial" w:eastAsia="Arial" w:hAnsi="Arial"/>
          <w:sz w:val="18"/>
          <w:szCs w:val="18"/>
          <w:color w:val="auto"/>
        </w:rPr>
      </w:pPr>
    </w:p>
    <w:p>
      <w:pPr>
        <w:ind w:firstLine="996"/>
        <w:spacing w:after="0" w:line="277" w:lineRule="auto"/>
        <w:tabs>
          <w:tab w:leader="none" w:pos="125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7.12 WAIVER OF NOTICE.</w:t>
      </w:r>
    </w:p>
    <w:p>
      <w:pPr>
        <w:spacing w:after="0" w:line="225" w:lineRule="exact"/>
        <w:rPr>
          <w:sz w:val="20"/>
          <w:szCs w:val="20"/>
          <w:color w:val="auto"/>
        </w:rPr>
      </w:pPr>
    </w:p>
    <w:p>
      <w:pPr>
        <w:ind w:right="200" w:firstLine="441"/>
        <w:spacing w:after="0" w:line="272" w:lineRule="auto"/>
        <w:rPr>
          <w:sz w:val="20"/>
          <w:szCs w:val="20"/>
          <w:color w:val="auto"/>
        </w:rPr>
      </w:pPr>
      <w:r>
        <w:rPr>
          <w:rFonts w:ascii="Arial" w:cs="Arial" w:eastAsia="Arial" w:hAnsi="Arial"/>
          <w:sz w:val="17"/>
          <w:szCs w:val="17"/>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ARTICLE VIII - NOTICE BY ELECTRONIC TRANSMISSION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8.1 NOTICE BY ELECTRONIC TRANSMISSION.</w:t>
      </w:r>
    </w:p>
    <w:p>
      <w:pPr>
        <w:spacing w:after="0" w:line="225" w:lineRule="exact"/>
        <w:rPr>
          <w:sz w:val="20"/>
          <w:szCs w:val="20"/>
          <w:color w:val="auto"/>
        </w:rPr>
      </w:pPr>
    </w:p>
    <w:p>
      <w:pPr>
        <w:ind w:right="20" w:firstLine="441"/>
        <w:spacing w:after="0" w:line="312" w:lineRule="auto"/>
        <w:rPr>
          <w:sz w:val="20"/>
          <w:szCs w:val="20"/>
          <w:color w:val="auto"/>
        </w:rPr>
      </w:pPr>
      <w:r>
        <w:rPr>
          <w:rFonts w:ascii="Arial" w:cs="Arial" w:eastAsia="Arial" w:hAnsi="Arial"/>
          <w:sz w:val="16"/>
          <w:szCs w:val="16"/>
          <w:color w:val="auto"/>
        </w:rPr>
        <w:t>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satisfying the requirements of and given in accordance with applicable law.</w:t>
      </w:r>
    </w:p>
    <w:p>
      <w:pPr>
        <w:spacing w:after="0" w:line="35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ARTICLE IX - INDEMNIFICATION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9.1 INDEMNIFICATION OF DIRECTORS AND OFFICERS.</w:t>
      </w:r>
    </w:p>
    <w:p>
      <w:pPr>
        <w:spacing w:after="0" w:line="225"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or a person for whom he or she is the legal representative, is or was a director or officer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3" w:right="459" w:bottom="1440" w:gutter="0" w:footer="0" w:header="0"/>
        </w:sectPr>
      </w:pPr>
    </w:p>
    <w:bookmarkStart w:id="409" w:name="page410"/>
    <w:bookmarkEnd w:id="40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 INDEMNIFICATION OF OTHERS.</w:t>
      </w:r>
    </w:p>
    <w:p>
      <w:pPr>
        <w:spacing w:after="0" w:line="225"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9.3 PREPAYMENT OF EXPENSES.</w:t>
      </w:r>
    </w:p>
    <w:p>
      <w:pPr>
        <w:spacing w:after="0" w:line="22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The Corporation shall to the fullest extent not prohibited by applicable law pay the expenses (including attorneys’ fees) incurred by any officer or director of the Corporation, and may pay the expenses incurred by any employee or agent of the Corporation, in defending any Proceeding in advance of its final disposition;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to the extent required by law, such payment of expenses in advance of the final disposition of the Proceeding shall be made only upon receipt of an undertaking by the person to repay all amounts advanced if it should be ultimately determined that the person is not entitled to be indemnified under this Article IX or otherwise.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9.4 DETERMINATION; CLAIM.</w:t>
      </w:r>
    </w:p>
    <w:p>
      <w:pPr>
        <w:spacing w:after="0" w:line="225"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If a claim for indemnification (following the final disposition of such Proceeding) or advancement of expenses under this Article IX is not paid in full within sixty (60) days after a written claim therefor has been received by the Corporation the claimant may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9.5 NON-EXCLUSIVITY OF RIGHTS.</w:t>
      </w:r>
    </w:p>
    <w:p>
      <w:pPr>
        <w:spacing w:after="0" w:line="225" w:lineRule="exact"/>
        <w:rPr>
          <w:sz w:val="20"/>
          <w:szCs w:val="20"/>
          <w:color w:val="auto"/>
        </w:rPr>
      </w:pPr>
    </w:p>
    <w:p>
      <w:pPr>
        <w:ind w:right="180" w:firstLine="441"/>
        <w:spacing w:after="0" w:line="342" w:lineRule="auto"/>
        <w:rPr>
          <w:sz w:val="20"/>
          <w:szCs w:val="20"/>
          <w:color w:val="auto"/>
        </w:rPr>
      </w:pPr>
      <w:r>
        <w:rPr>
          <w:rFonts w:ascii="Arial" w:cs="Arial" w:eastAsia="Arial" w:hAnsi="Arial"/>
          <w:sz w:val="16"/>
          <w:szCs w:val="16"/>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410" w:name="page411"/>
    <w:bookmarkEnd w:id="41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9.6 INSURANCE.</w:t>
      </w:r>
    </w:p>
    <w:p>
      <w:pPr>
        <w:spacing w:after="0" w:line="225"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9.7 OTHER INDEMNIFICATION.</w:t>
      </w:r>
    </w:p>
    <w:p>
      <w:pPr>
        <w:spacing w:after="0" w:line="225" w:lineRule="exact"/>
        <w:rPr>
          <w:sz w:val="20"/>
          <w:szCs w:val="20"/>
          <w:color w:val="auto"/>
        </w:rPr>
      </w:pPr>
    </w:p>
    <w:p>
      <w:pPr>
        <w:ind w:right="240" w:firstLine="441"/>
        <w:spacing w:after="0" w:line="259" w:lineRule="auto"/>
        <w:rPr>
          <w:sz w:val="20"/>
          <w:szCs w:val="20"/>
          <w:color w:val="auto"/>
        </w:rPr>
      </w:pPr>
      <w:r>
        <w:rPr>
          <w:rFonts w:ascii="Arial" w:cs="Arial" w:eastAsia="Arial" w:hAnsi="Arial"/>
          <w:sz w:val="18"/>
          <w:szCs w:val="18"/>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9.8 CONTINUATION OF INDEMNIFICATION.</w:t>
      </w:r>
    </w:p>
    <w:p>
      <w:pPr>
        <w:spacing w:after="0" w:line="225"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9.9 AMENDMENT OR REPEAL.</w:t>
      </w:r>
    </w:p>
    <w:p>
      <w:pPr>
        <w:spacing w:after="0" w:line="22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 directors and officers of the Corporation, the rights conferred under this Article IX are present contractual rights and such rights are fully vested, and shall be deemed to have vested fully, immediately upon adoption of theses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 (ii) under any agreement providing for indemnification or advancement of expenses to an officer or director of the Corporation in effect prior to the time of such repeal or modification.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411" w:name="page412"/>
    <w:bookmarkEnd w:id="4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X - AMENDMENTS</w:t>
      </w:r>
    </w:p>
    <w:p>
      <w:pPr>
        <w:spacing w:after="0" w:line="229" w:lineRule="exact"/>
        <w:rPr>
          <w:sz w:val="20"/>
          <w:szCs w:val="20"/>
          <w:color w:val="auto"/>
        </w:rPr>
      </w:pPr>
    </w:p>
    <w:p>
      <w:pPr>
        <w:ind w:right="20" w:firstLine="441"/>
        <w:spacing w:after="0" w:line="273" w:lineRule="auto"/>
        <w:rPr>
          <w:sz w:val="20"/>
          <w:szCs w:val="20"/>
          <w:color w:val="auto"/>
        </w:rPr>
      </w:pPr>
      <w:r>
        <w:rPr>
          <w:rFonts w:ascii="Arial" w:cs="Arial" w:eastAsia="Arial" w:hAnsi="Arial"/>
          <w:sz w:val="17"/>
          <w:szCs w:val="17"/>
          <w:color w:val="auto"/>
        </w:rPr>
        <w:t xml:space="preserve">Subject to the limitations set forth in Section 9.9 of these bylaws or the provisions of the certificate of incorporation, the Board is expressly empowered to adopt, amend or repeal the bylaws of the Corporation. Any adoption, amendment or repeal of the bylaws of the Corporation by the Board shall require the approval of a majority of the authorized number of directors. The stockholders also shall have power to adopt, amend or repeal the bylaws of the Corporation;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addition to any vote of the holders of any class or series of stock of the Corporation required by law or by the Certificate of Incorporation, such action by stockholders shall require the affirmative vote of the holders of at least sixty-six and two-thirds percent (66-2/3%) of the voting power of all of the then-outstanding shares of the Voting Stock.</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 - FORUM SELECTION</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Unless the Corporation consents in writing to the selection of an alternative forum, the Court of Chancery (the “</w:t>
      </w:r>
      <w:r>
        <w:rPr>
          <w:rFonts w:ascii="Arial" w:cs="Arial" w:eastAsia="Arial" w:hAnsi="Arial"/>
          <w:sz w:val="17"/>
          <w:szCs w:val="17"/>
          <w:u w:val="single" w:color="auto"/>
          <w:color w:val="auto"/>
        </w:rPr>
        <w:t>Chancery Court</w:t>
      </w:r>
      <w:r>
        <w:rPr>
          <w:rFonts w:ascii="Arial" w:cs="Arial" w:eastAsia="Arial" w:hAnsi="Arial"/>
          <w:sz w:val="17"/>
          <w:szCs w:val="17"/>
          <w:color w:val="auto"/>
        </w:rPr>
        <w:t>”) of the State of Delaware shall, to the fullest extent permitted by law, be the sole and exclusive forum for (i) any derivative action or proceeding brought on behalf of the Corporation, (ii) any action asserting a claim of breach of a fiduciary duty owed by any director, officer, other employee or stockholder of the Corporation to the Corporation or to the Corporation’s stockholders, (iii) any action asserting a claim arising pursuant to any provision of the DGCL or the Certificate of Incorporation or these bylaws (as either may be amended from time to time) or (iv) any action asserting a claim against the Corporation governed by the internal affairs doctrine, in each case, subject to said Court of Chancery having personal jurisdiction over the indispensable parties named as defendants therein; provided that, the provisions of this Article XI will not apply to suits brought to enforce any liability or duty created by the Securities Act of 1933, as amended, the Securities Exchange Act of 1934, as amended,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w:t>
      </w:r>
    </w:p>
    <w:p>
      <w:pPr>
        <w:spacing w:after="0" w:line="178" w:lineRule="exact"/>
        <w:rPr>
          <w:sz w:val="20"/>
          <w:szCs w:val="20"/>
          <w:color w:val="auto"/>
        </w:rPr>
      </w:pPr>
    </w:p>
    <w:p>
      <w:pPr>
        <w:ind w:right="360" w:firstLine="441"/>
        <w:spacing w:after="0" w:line="342" w:lineRule="auto"/>
        <w:rPr>
          <w:sz w:val="20"/>
          <w:szCs w:val="20"/>
          <w:color w:val="auto"/>
        </w:rPr>
      </w:pPr>
      <w:r>
        <w:rPr>
          <w:rFonts w:ascii="Arial" w:cs="Arial" w:eastAsia="Arial" w:hAnsi="Arial"/>
          <w:sz w:val="16"/>
          <w:szCs w:val="16"/>
          <w:color w:val="auto"/>
        </w:rPr>
        <w:t>Nothing herein contained shall be construed to preclude stockholders that assert claims under the Securities Act of 1933, as amended, or any successor thereto or the Securities Exchange Act of 1934, as amended, from bringing such claims in state or federal court, subject to applicable law.</w:t>
      </w:r>
    </w:p>
    <w:p>
      <w:pPr>
        <w:spacing w:after="0" w:line="124" w:lineRule="exact"/>
        <w:rPr>
          <w:sz w:val="20"/>
          <w:szCs w:val="20"/>
          <w:color w:val="auto"/>
        </w:rPr>
      </w:pPr>
    </w:p>
    <w:p>
      <w:pPr>
        <w:ind w:right="60" w:firstLine="441"/>
        <w:spacing w:after="0" w:line="273" w:lineRule="auto"/>
        <w:rPr>
          <w:sz w:val="20"/>
          <w:szCs w:val="20"/>
          <w:color w:val="auto"/>
        </w:rPr>
      </w:pPr>
      <w:r>
        <w:rPr>
          <w:rFonts w:ascii="Arial" w:cs="Arial" w:eastAsia="Arial" w:hAnsi="Arial"/>
          <w:sz w:val="17"/>
          <w:szCs w:val="17"/>
          <w:color w:val="auto"/>
        </w:rPr>
        <w:t>If any action the subject matter of which is within the scope of the preceding sentence is filed in a court other than a court located within the State of Delaware (a “</w:t>
      </w:r>
      <w:r>
        <w:rPr>
          <w:rFonts w:ascii="Arial" w:cs="Arial" w:eastAsia="Arial" w:hAnsi="Arial"/>
          <w:sz w:val="17"/>
          <w:szCs w:val="17"/>
          <w:u w:val="single" w:color="auto"/>
          <w:color w:val="auto"/>
        </w:rPr>
        <w:t>Foreign Action</w:t>
      </w:r>
      <w:r>
        <w:rPr>
          <w:rFonts w:ascii="Arial" w:cs="Arial" w:eastAsia="Arial" w:hAnsi="Arial"/>
          <w:sz w:val="17"/>
          <w:szCs w:val="17"/>
          <w:color w:val="auto"/>
        </w:rPr>
        <w:t>”) in the name of any stockholder, such stockholder shall be deemed to have consented to (a) the Personal jurisdiction of the state and federal courts located within the State of Delaware in connection with any action brought in any such court to enforce the preceding sentence and (b) having service of process made upon such stockholder in any such action by service upon such stockholder’s counsel in the Foreign Action as agent for such stockholder. Any person or entity purchasing or otherwise acquiring or holding any interest in shares of capital stock of the Corporation shall be deemed to have notice of and consented to the provisions of this Article XI.</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0" w:right="439" w:bottom="1440" w:gutter="0" w:footer="0" w:header="0"/>
        </w:sectPr>
      </w:pPr>
    </w:p>
    <w:bookmarkStart w:id="412" w:name="page413"/>
    <w:bookmarkEnd w:id="412"/>
    <w:p>
      <w:pPr>
        <w:ind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provision or provisions of this Article XI shall be held to be invalid, illegal or unenforceable as applied to any circumstance for any reason whatsoever, (a) the validity, legality and enforceability of such provisions in any other circumstance and of the remaining provisions of this Article XI (including, without limitation, each portion of any paragraph of this Article XI containing any such provision held to be invalid, illegal or unenforceable that is not itself held to be invalid, illegal or unenforceable) shall not in any way be affected or impaired thereby and (b) the application of such provision to other persons or entities and circumstances shall not in any way be affected or impaired thereby.</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3" w:right="499" w:bottom="1440" w:gutter="0" w:footer="0" w:header="0"/>
        </w:sectPr>
      </w:pPr>
    </w:p>
    <w:bookmarkStart w:id="413" w:name="page414"/>
    <w:bookmarkEnd w:id="413"/>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560" w:type="dxa"/>
            <w:vAlign w:val="bottom"/>
          </w:tcPr>
          <w:p>
            <w:pPr>
              <w:ind w:left="1720"/>
              <w:spacing w:after="0"/>
              <w:rPr>
                <w:sz w:val="20"/>
                <w:szCs w:val="20"/>
                <w:color w:val="auto"/>
              </w:rPr>
            </w:pPr>
            <w:r>
              <w:rPr>
                <w:rFonts w:ascii="Arial" w:cs="Arial" w:eastAsia="Arial" w:hAnsi="Arial"/>
                <w:sz w:val="18"/>
                <w:szCs w:val="18"/>
                <w:b w:val="1"/>
                <w:bCs w:val="1"/>
                <w:color w:val="auto"/>
                <w:w w:val="91"/>
              </w:rPr>
              <w:t>Exhibit 5.1</w:t>
            </w:r>
          </w:p>
        </w:tc>
      </w:tr>
      <w:tr>
        <w:trPr>
          <w:trHeight w:val="445"/>
        </w:trPr>
        <w:tc>
          <w:tcPr>
            <w:tcW w:w="8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140 Scott Drive</w:t>
            </w:r>
          </w:p>
        </w:tc>
        <w:tc>
          <w:tcPr>
            <w:tcW w:w="256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480" w:type="dxa"/>
            <w:vAlign w:val="bottom"/>
            <w:gridSpan w:val="2"/>
          </w:tcPr>
          <w:p>
            <w:pPr>
              <w:ind w:left="640"/>
              <w:spacing w:after="0"/>
              <w:rPr>
                <w:sz w:val="20"/>
                <w:szCs w:val="20"/>
                <w:color w:val="auto"/>
              </w:rPr>
            </w:pPr>
            <w:r>
              <w:rPr>
                <w:rFonts w:ascii="Arial" w:cs="Arial" w:eastAsia="Arial" w:hAnsi="Arial"/>
                <w:sz w:val="18"/>
                <w:szCs w:val="18"/>
                <w:color w:val="auto"/>
              </w:rPr>
              <w:t>Menlo Park, California 94025</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480" w:type="dxa"/>
            <w:vAlign w:val="bottom"/>
            <w:gridSpan w:val="2"/>
          </w:tcPr>
          <w:p>
            <w:pPr>
              <w:ind w:left="640"/>
              <w:spacing w:after="0"/>
              <w:rPr>
                <w:sz w:val="20"/>
                <w:szCs w:val="20"/>
                <w:color w:val="auto"/>
              </w:rPr>
            </w:pPr>
            <w:r>
              <w:rPr>
                <w:rFonts w:ascii="Arial" w:cs="Arial" w:eastAsia="Arial" w:hAnsi="Arial"/>
                <w:sz w:val="18"/>
                <w:szCs w:val="18"/>
                <w:color w:val="auto"/>
              </w:rPr>
              <w:t>Tel: +1.650.328.4600 Fax: +1.650.463.2600</w:t>
            </w:r>
          </w:p>
        </w:tc>
      </w:tr>
      <w:tr>
        <w:trPr>
          <w:trHeight w:val="230"/>
        </w:trPr>
        <w:tc>
          <w:tcPr>
            <w:tcW w:w="8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www.lw.com</w:t>
            </w:r>
          </w:p>
        </w:tc>
        <w:tc>
          <w:tcPr>
            <w:tcW w:w="2560" w:type="dxa"/>
            <w:vAlign w:val="bottom"/>
          </w:tcPr>
          <w:p>
            <w:pPr>
              <w:spacing w:after="0"/>
              <w:rPr>
                <w:sz w:val="20"/>
                <w:szCs w:val="20"/>
                <w:color w:val="auto"/>
              </w:rPr>
            </w:pPr>
          </w:p>
        </w:tc>
      </w:tr>
      <w:tr>
        <w:trPr>
          <w:trHeight w:val="337"/>
        </w:trPr>
        <w:tc>
          <w:tcPr>
            <w:tcW w:w="8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4480" w:type="dxa"/>
            <w:vAlign w:val="bottom"/>
            <w:gridSpan w:val="2"/>
          </w:tcPr>
          <w:p>
            <w:pPr>
              <w:ind w:left="640"/>
              <w:spacing w:after="0"/>
              <w:rPr>
                <w:sz w:val="20"/>
                <w:szCs w:val="20"/>
                <w:color w:val="auto"/>
              </w:rPr>
            </w:pPr>
            <w:r>
              <w:rPr>
                <w:rFonts w:ascii="Arial" w:cs="Arial" w:eastAsia="Arial" w:hAnsi="Arial"/>
                <w:sz w:val="18"/>
                <w:szCs w:val="18"/>
                <w:color w:val="auto"/>
              </w:rPr>
              <w:t>FIRM / AFFILIATE OFFICES</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Beijing</w:t>
            </w:r>
          </w:p>
        </w:tc>
        <w:tc>
          <w:tcPr>
            <w:tcW w:w="2560" w:type="dxa"/>
            <w:vAlign w:val="bottom"/>
          </w:tcPr>
          <w:p>
            <w:pPr>
              <w:ind w:left="140"/>
              <w:spacing w:after="0"/>
              <w:rPr>
                <w:sz w:val="20"/>
                <w:szCs w:val="20"/>
                <w:color w:val="auto"/>
              </w:rPr>
            </w:pPr>
            <w:r>
              <w:rPr>
                <w:rFonts w:ascii="Arial" w:cs="Arial" w:eastAsia="Arial" w:hAnsi="Arial"/>
                <w:sz w:val="18"/>
                <w:szCs w:val="18"/>
                <w:color w:val="auto"/>
              </w:rPr>
              <w:t>Moscow</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Boston</w:t>
            </w:r>
          </w:p>
        </w:tc>
        <w:tc>
          <w:tcPr>
            <w:tcW w:w="2560" w:type="dxa"/>
            <w:vAlign w:val="bottom"/>
          </w:tcPr>
          <w:p>
            <w:pPr>
              <w:ind w:left="140"/>
              <w:spacing w:after="0"/>
              <w:rPr>
                <w:sz w:val="20"/>
                <w:szCs w:val="20"/>
                <w:color w:val="auto"/>
              </w:rPr>
            </w:pPr>
            <w:r>
              <w:rPr>
                <w:rFonts w:ascii="Arial" w:cs="Arial" w:eastAsia="Arial" w:hAnsi="Arial"/>
                <w:sz w:val="18"/>
                <w:szCs w:val="18"/>
                <w:color w:val="auto"/>
              </w:rPr>
              <w:t>Munich</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Brussels</w:t>
            </w:r>
          </w:p>
        </w:tc>
        <w:tc>
          <w:tcPr>
            <w:tcW w:w="2560" w:type="dxa"/>
            <w:vAlign w:val="bottom"/>
          </w:tcPr>
          <w:p>
            <w:pPr>
              <w:ind w:left="140"/>
              <w:spacing w:after="0"/>
              <w:rPr>
                <w:sz w:val="20"/>
                <w:szCs w:val="20"/>
                <w:color w:val="auto"/>
              </w:rPr>
            </w:pPr>
            <w:r>
              <w:rPr>
                <w:rFonts w:ascii="Arial" w:cs="Arial" w:eastAsia="Arial" w:hAnsi="Arial"/>
                <w:sz w:val="18"/>
                <w:szCs w:val="18"/>
                <w:color w:val="auto"/>
              </w:rPr>
              <w:t>New York</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Century City</w:t>
            </w:r>
          </w:p>
        </w:tc>
        <w:tc>
          <w:tcPr>
            <w:tcW w:w="2560" w:type="dxa"/>
            <w:vAlign w:val="bottom"/>
          </w:tcPr>
          <w:p>
            <w:pPr>
              <w:ind w:left="140"/>
              <w:spacing w:after="0"/>
              <w:rPr>
                <w:sz w:val="20"/>
                <w:szCs w:val="20"/>
                <w:color w:val="auto"/>
              </w:rPr>
            </w:pPr>
            <w:r>
              <w:rPr>
                <w:rFonts w:ascii="Arial" w:cs="Arial" w:eastAsia="Arial" w:hAnsi="Arial"/>
                <w:sz w:val="18"/>
                <w:szCs w:val="18"/>
                <w:color w:val="auto"/>
              </w:rPr>
              <w:t>Orange County</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Chicago</w:t>
            </w:r>
          </w:p>
        </w:tc>
        <w:tc>
          <w:tcPr>
            <w:tcW w:w="2560" w:type="dxa"/>
            <w:vAlign w:val="bottom"/>
          </w:tcPr>
          <w:p>
            <w:pPr>
              <w:ind w:left="140"/>
              <w:spacing w:after="0"/>
              <w:rPr>
                <w:sz w:val="20"/>
                <w:szCs w:val="20"/>
                <w:color w:val="auto"/>
              </w:rPr>
            </w:pPr>
            <w:r>
              <w:rPr>
                <w:rFonts w:ascii="Arial" w:cs="Arial" w:eastAsia="Arial" w:hAnsi="Arial"/>
                <w:sz w:val="18"/>
                <w:szCs w:val="18"/>
                <w:color w:val="auto"/>
              </w:rPr>
              <w:t>Paris</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Dubai</w:t>
            </w:r>
          </w:p>
        </w:tc>
        <w:tc>
          <w:tcPr>
            <w:tcW w:w="2560" w:type="dxa"/>
            <w:vAlign w:val="bottom"/>
          </w:tcPr>
          <w:p>
            <w:pPr>
              <w:ind w:left="140"/>
              <w:spacing w:after="0"/>
              <w:rPr>
                <w:sz w:val="20"/>
                <w:szCs w:val="20"/>
                <w:color w:val="auto"/>
              </w:rPr>
            </w:pPr>
            <w:r>
              <w:rPr>
                <w:rFonts w:ascii="Arial" w:cs="Arial" w:eastAsia="Arial" w:hAnsi="Arial"/>
                <w:sz w:val="18"/>
                <w:szCs w:val="18"/>
                <w:color w:val="auto"/>
              </w:rPr>
              <w:t>Riyadh</w:t>
            </w: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February 3, 2020</w:t>
            </w:r>
          </w:p>
        </w:tc>
        <w:tc>
          <w:tcPr>
            <w:tcW w:w="1920" w:type="dxa"/>
            <w:vAlign w:val="bottom"/>
          </w:tcPr>
          <w:p>
            <w:pPr>
              <w:ind w:left="640"/>
              <w:spacing w:after="0"/>
              <w:rPr>
                <w:sz w:val="20"/>
                <w:szCs w:val="20"/>
                <w:color w:val="auto"/>
              </w:rPr>
            </w:pPr>
            <w:r>
              <w:rPr>
                <w:rFonts w:ascii="Arial" w:cs="Arial" w:eastAsia="Arial" w:hAnsi="Arial"/>
                <w:sz w:val="18"/>
                <w:szCs w:val="18"/>
                <w:color w:val="auto"/>
              </w:rPr>
              <w:t>Düsseldorf</w:t>
            </w:r>
          </w:p>
        </w:tc>
        <w:tc>
          <w:tcPr>
            <w:tcW w:w="2560" w:type="dxa"/>
            <w:vAlign w:val="bottom"/>
          </w:tcPr>
          <w:p>
            <w:pPr>
              <w:ind w:left="140"/>
              <w:spacing w:after="0"/>
              <w:rPr>
                <w:sz w:val="20"/>
                <w:szCs w:val="20"/>
                <w:color w:val="auto"/>
              </w:rPr>
            </w:pPr>
            <w:r>
              <w:rPr>
                <w:rFonts w:ascii="Arial" w:cs="Arial" w:eastAsia="Arial" w:hAnsi="Arial"/>
                <w:sz w:val="18"/>
                <w:szCs w:val="18"/>
                <w:color w:val="auto"/>
              </w:rPr>
              <w:t>San Diego</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Frankfurt</w:t>
            </w:r>
          </w:p>
        </w:tc>
        <w:tc>
          <w:tcPr>
            <w:tcW w:w="2560" w:type="dxa"/>
            <w:vAlign w:val="bottom"/>
          </w:tcPr>
          <w:p>
            <w:pPr>
              <w:ind w:left="140"/>
              <w:spacing w:after="0"/>
              <w:rPr>
                <w:sz w:val="20"/>
                <w:szCs w:val="20"/>
                <w:color w:val="auto"/>
              </w:rPr>
            </w:pPr>
            <w:r>
              <w:rPr>
                <w:rFonts w:ascii="Arial" w:cs="Arial" w:eastAsia="Arial" w:hAnsi="Arial"/>
                <w:sz w:val="18"/>
                <w:szCs w:val="18"/>
                <w:color w:val="auto"/>
              </w:rPr>
              <w:t>San Francisco</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Hamburg</w:t>
            </w:r>
          </w:p>
        </w:tc>
        <w:tc>
          <w:tcPr>
            <w:tcW w:w="2560" w:type="dxa"/>
            <w:vAlign w:val="bottom"/>
          </w:tcPr>
          <w:p>
            <w:pPr>
              <w:ind w:left="140"/>
              <w:spacing w:after="0"/>
              <w:rPr>
                <w:sz w:val="20"/>
                <w:szCs w:val="20"/>
                <w:color w:val="auto"/>
              </w:rPr>
            </w:pPr>
            <w:r>
              <w:rPr>
                <w:rFonts w:ascii="Arial" w:cs="Arial" w:eastAsia="Arial" w:hAnsi="Arial"/>
                <w:sz w:val="18"/>
                <w:szCs w:val="18"/>
                <w:color w:val="auto"/>
              </w:rPr>
              <w:t>Seoul</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Hong Kong</w:t>
            </w:r>
          </w:p>
        </w:tc>
        <w:tc>
          <w:tcPr>
            <w:tcW w:w="2560" w:type="dxa"/>
            <w:vAlign w:val="bottom"/>
          </w:tcPr>
          <w:p>
            <w:pPr>
              <w:ind w:left="140"/>
              <w:spacing w:after="0"/>
              <w:rPr>
                <w:sz w:val="20"/>
                <w:szCs w:val="20"/>
                <w:color w:val="auto"/>
              </w:rPr>
            </w:pPr>
            <w:r>
              <w:rPr>
                <w:rFonts w:ascii="Arial" w:cs="Arial" w:eastAsia="Arial" w:hAnsi="Arial"/>
                <w:sz w:val="18"/>
                <w:szCs w:val="18"/>
                <w:color w:val="auto"/>
              </w:rPr>
              <w:t>Shanghai</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Houston</w:t>
            </w:r>
          </w:p>
        </w:tc>
        <w:tc>
          <w:tcPr>
            <w:tcW w:w="2560" w:type="dxa"/>
            <w:vAlign w:val="bottom"/>
          </w:tcPr>
          <w:p>
            <w:pPr>
              <w:ind w:left="140"/>
              <w:spacing w:after="0"/>
              <w:rPr>
                <w:sz w:val="20"/>
                <w:szCs w:val="20"/>
                <w:color w:val="auto"/>
              </w:rPr>
            </w:pPr>
            <w:r>
              <w:rPr>
                <w:rFonts w:ascii="Arial" w:cs="Arial" w:eastAsia="Arial" w:hAnsi="Arial"/>
                <w:sz w:val="18"/>
                <w:szCs w:val="18"/>
                <w:color w:val="auto"/>
              </w:rPr>
              <w:t>Silicon Valley</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London</w:t>
            </w:r>
          </w:p>
        </w:tc>
        <w:tc>
          <w:tcPr>
            <w:tcW w:w="2560" w:type="dxa"/>
            <w:vAlign w:val="bottom"/>
          </w:tcPr>
          <w:p>
            <w:pPr>
              <w:ind w:left="140"/>
              <w:spacing w:after="0"/>
              <w:rPr>
                <w:sz w:val="20"/>
                <w:szCs w:val="20"/>
                <w:color w:val="auto"/>
              </w:rPr>
            </w:pPr>
            <w:r>
              <w:rPr>
                <w:rFonts w:ascii="Arial" w:cs="Arial" w:eastAsia="Arial" w:hAnsi="Arial"/>
                <w:sz w:val="18"/>
                <w:szCs w:val="18"/>
                <w:color w:val="auto"/>
              </w:rPr>
              <w:t>Singapore</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Los Angeles</w:t>
            </w:r>
          </w:p>
        </w:tc>
        <w:tc>
          <w:tcPr>
            <w:tcW w:w="2560" w:type="dxa"/>
            <w:vAlign w:val="bottom"/>
          </w:tcPr>
          <w:p>
            <w:pPr>
              <w:ind w:left="140"/>
              <w:spacing w:after="0"/>
              <w:rPr>
                <w:sz w:val="20"/>
                <w:szCs w:val="20"/>
                <w:color w:val="auto"/>
              </w:rPr>
            </w:pPr>
            <w:r>
              <w:rPr>
                <w:rFonts w:ascii="Arial" w:cs="Arial" w:eastAsia="Arial" w:hAnsi="Arial"/>
                <w:sz w:val="18"/>
                <w:szCs w:val="18"/>
                <w:color w:val="auto"/>
              </w:rPr>
              <w:t>Tokyo</w:t>
            </w:r>
          </w:p>
        </w:tc>
      </w:tr>
      <w:tr>
        <w:trPr>
          <w:trHeight w:val="216"/>
        </w:trPr>
        <w:tc>
          <w:tcPr>
            <w:tcW w:w="8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Madrid</w:t>
            </w:r>
          </w:p>
        </w:tc>
        <w:tc>
          <w:tcPr>
            <w:tcW w:w="2560" w:type="dxa"/>
            <w:vAlign w:val="bottom"/>
          </w:tcPr>
          <w:p>
            <w:pPr>
              <w:ind w:left="140"/>
              <w:spacing w:after="0"/>
              <w:rPr>
                <w:sz w:val="20"/>
                <w:szCs w:val="20"/>
                <w:color w:val="auto"/>
              </w:rPr>
            </w:pPr>
            <w:r>
              <w:rPr>
                <w:rFonts w:ascii="Arial" w:cs="Arial" w:eastAsia="Arial" w:hAnsi="Arial"/>
                <w:sz w:val="18"/>
                <w:szCs w:val="18"/>
                <w:color w:val="auto"/>
              </w:rPr>
              <w:t>Washington, D.C.</w:t>
            </w:r>
          </w:p>
        </w:tc>
      </w:tr>
      <w:tr>
        <w:trPr>
          <w:trHeight w:val="230"/>
        </w:trPr>
        <w:tc>
          <w:tcPr>
            <w:tcW w:w="8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920" w:type="dxa"/>
            <w:vAlign w:val="bottom"/>
          </w:tcPr>
          <w:p>
            <w:pPr>
              <w:ind w:left="640"/>
              <w:spacing w:after="0"/>
              <w:rPr>
                <w:sz w:val="20"/>
                <w:szCs w:val="20"/>
                <w:color w:val="auto"/>
              </w:rPr>
            </w:pPr>
            <w:r>
              <w:rPr>
                <w:rFonts w:ascii="Arial" w:cs="Arial" w:eastAsia="Arial" w:hAnsi="Arial"/>
                <w:sz w:val="18"/>
                <w:szCs w:val="18"/>
                <w:color w:val="auto"/>
              </w:rPr>
              <w:t>Milan</w:t>
            </w:r>
          </w:p>
        </w:tc>
        <w:tc>
          <w:tcPr>
            <w:tcW w:w="2560" w:type="dxa"/>
            <w:vAlign w:val="bottom"/>
          </w:tcPr>
          <w:p>
            <w:pPr>
              <w:spacing w:after="0"/>
              <w:rPr>
                <w:sz w:val="20"/>
                <w:szCs w:val="20"/>
                <w:color w:val="auto"/>
              </w:rPr>
            </w:pPr>
          </w:p>
        </w:tc>
      </w:tr>
      <w:tr>
        <w:trPr>
          <w:trHeight w:val="418"/>
        </w:trPr>
        <w:tc>
          <w:tcPr>
            <w:tcW w:w="6540" w:type="dxa"/>
            <w:vAlign w:val="bottom"/>
            <w:gridSpan w:val="2"/>
          </w:tcPr>
          <w:p>
            <w:pPr>
              <w:spacing w:after="0"/>
              <w:rPr>
                <w:sz w:val="20"/>
                <w:szCs w:val="20"/>
                <w:color w:val="auto"/>
              </w:rPr>
            </w:pPr>
            <w:r>
              <w:rPr>
                <w:rFonts w:ascii="Arial" w:cs="Arial" w:eastAsia="Arial" w:hAnsi="Arial"/>
                <w:sz w:val="18"/>
                <w:szCs w:val="18"/>
                <w:color w:val="auto"/>
              </w:rPr>
              <w:t>Revolution Medicines, Inc.</w:t>
            </w:r>
          </w:p>
        </w:tc>
        <w:tc>
          <w:tcPr>
            <w:tcW w:w="19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16"/>
        </w:trPr>
        <w:tc>
          <w:tcPr>
            <w:tcW w:w="6540" w:type="dxa"/>
            <w:vAlign w:val="bottom"/>
            <w:gridSpan w:val="2"/>
          </w:tcPr>
          <w:p>
            <w:pPr>
              <w:spacing w:after="0"/>
              <w:rPr>
                <w:sz w:val="20"/>
                <w:szCs w:val="20"/>
                <w:color w:val="auto"/>
              </w:rPr>
            </w:pPr>
            <w:r>
              <w:rPr>
                <w:rFonts w:ascii="Arial" w:cs="Arial" w:eastAsia="Arial" w:hAnsi="Arial"/>
                <w:sz w:val="18"/>
                <w:szCs w:val="18"/>
                <w:color w:val="auto"/>
              </w:rPr>
              <w:t>700 Saginaw Drive</w:t>
            </w:r>
          </w:p>
        </w:tc>
        <w:tc>
          <w:tcPr>
            <w:tcW w:w="19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6540" w:type="dxa"/>
            <w:vAlign w:val="bottom"/>
            <w:gridSpan w:val="2"/>
          </w:tcPr>
          <w:p>
            <w:pPr>
              <w:spacing w:after="0"/>
              <w:rPr>
                <w:sz w:val="20"/>
                <w:szCs w:val="20"/>
                <w:color w:val="auto"/>
              </w:rPr>
            </w:pPr>
            <w:r>
              <w:rPr>
                <w:rFonts w:ascii="Arial" w:cs="Arial" w:eastAsia="Arial" w:hAnsi="Arial"/>
                <w:sz w:val="18"/>
                <w:szCs w:val="18"/>
                <w:color w:val="auto"/>
              </w:rPr>
              <w:t>Redwood City, California 94063</w:t>
            </w:r>
          </w:p>
        </w:tc>
        <w:tc>
          <w:tcPr>
            <w:tcW w:w="192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45"/>
        </w:trPr>
        <w:tc>
          <w:tcPr>
            <w:tcW w:w="820" w:type="dxa"/>
            <w:vAlign w:val="bottom"/>
          </w:tcPr>
          <w:p>
            <w:pPr>
              <w:ind w:left="440"/>
              <w:spacing w:after="0"/>
              <w:rPr>
                <w:sz w:val="20"/>
                <w:szCs w:val="20"/>
                <w:color w:val="auto"/>
              </w:rPr>
            </w:pPr>
            <w:r>
              <w:rPr>
                <w:rFonts w:ascii="Arial" w:cs="Arial" w:eastAsia="Arial" w:hAnsi="Arial"/>
                <w:sz w:val="18"/>
                <w:szCs w:val="18"/>
                <w:color w:val="auto"/>
              </w:rPr>
              <w:t>Re:</w:t>
            </w:r>
          </w:p>
        </w:tc>
        <w:tc>
          <w:tcPr>
            <w:tcW w:w="5720" w:type="dxa"/>
            <w:vAlign w:val="bottom"/>
          </w:tcPr>
          <w:p>
            <w:pPr>
              <w:ind w:left="160"/>
              <w:spacing w:after="0"/>
              <w:rPr>
                <w:sz w:val="20"/>
                <w:szCs w:val="20"/>
                <w:color w:val="auto"/>
              </w:rPr>
            </w:pPr>
            <w:r>
              <w:rPr>
                <w:rFonts w:ascii="Arial" w:cs="Arial" w:eastAsia="Arial" w:hAnsi="Arial"/>
                <w:sz w:val="18"/>
                <w:szCs w:val="18"/>
                <w:color w:val="auto"/>
              </w:rPr>
              <w:t>Form S-1 Registration Statement File No. 333-235968</w:t>
            </w:r>
          </w:p>
        </w:tc>
        <w:tc>
          <w:tcPr>
            <w:tcW w:w="192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16"/>
        </w:trPr>
        <w:tc>
          <w:tcPr>
            <w:tcW w:w="8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Initial Public Offering of up to 11,500,000 Shares of Common Stock</w:t>
            </w:r>
          </w:p>
        </w:tc>
        <w:tc>
          <w:tcPr>
            <w:tcW w:w="1920" w:type="dxa"/>
            <w:vAlign w:val="bottom"/>
          </w:tcPr>
          <w:p>
            <w:pPr>
              <w:spacing w:after="0"/>
              <w:rPr>
                <w:sz w:val="18"/>
                <w:szCs w:val="18"/>
                <w:color w:val="auto"/>
              </w:rPr>
            </w:pPr>
          </w:p>
        </w:tc>
        <w:tc>
          <w:tcPr>
            <w:tcW w:w="2560" w:type="dxa"/>
            <w:vAlign w:val="bottom"/>
          </w:tcPr>
          <w:p>
            <w:pPr>
              <w:spacing w:after="0"/>
              <w:rPr>
                <w:sz w:val="18"/>
                <w:szCs w:val="18"/>
                <w:color w:val="auto"/>
              </w:rPr>
            </w:pPr>
          </w:p>
        </w:tc>
      </w:tr>
      <w:tr>
        <w:trPr>
          <w:trHeight w:val="230"/>
        </w:trPr>
        <w:tc>
          <w:tcPr>
            <w:tcW w:w="820" w:type="dxa"/>
            <w:vAlign w:val="bottom"/>
          </w:tcPr>
          <w:p>
            <w:pPr>
              <w:spacing w:after="0"/>
              <w:rPr>
                <w:sz w:val="20"/>
                <w:szCs w:val="20"/>
                <w:color w:val="auto"/>
              </w:rPr>
            </w:pPr>
          </w:p>
        </w:tc>
        <w:tc>
          <w:tcPr>
            <w:tcW w:w="5720" w:type="dxa"/>
            <w:vAlign w:val="bottom"/>
          </w:tcPr>
          <w:p>
            <w:pPr>
              <w:ind w:left="140"/>
              <w:spacing w:after="0"/>
              <w:rPr>
                <w:sz w:val="20"/>
                <w:szCs w:val="20"/>
                <w:color w:val="auto"/>
              </w:rPr>
            </w:pPr>
            <w:r>
              <w:rPr>
                <w:rFonts w:ascii="Arial" w:cs="Arial" w:eastAsia="Arial" w:hAnsi="Arial"/>
                <w:sz w:val="18"/>
                <w:szCs w:val="18"/>
                <w:color w:val="auto"/>
              </w:rPr>
              <w:t>of Revolution Medicines, Inc.</w:t>
            </w:r>
          </w:p>
        </w:tc>
        <w:tc>
          <w:tcPr>
            <w:tcW w:w="1920" w:type="dxa"/>
            <w:vAlign w:val="bottom"/>
          </w:tcPr>
          <w:p>
            <w:pPr>
              <w:spacing w:after="0"/>
              <w:rPr>
                <w:sz w:val="20"/>
                <w:szCs w:val="20"/>
                <w:color w:val="auto"/>
              </w:rPr>
            </w:pPr>
          </w:p>
        </w:tc>
        <w:tc>
          <w:tcPr>
            <w:tcW w:w="2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-3472815</wp:posOffset>
            </wp:positionV>
            <wp:extent cx="2263775" cy="3346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7">
                      <a:extLst>
                        <a:ext uri="{28A0092B-C50C-407E-A947-70E740481C1C}"/>
                      </a:extLst>
                    </a:blip>
                    <a:srcRect/>
                    <a:stretch>
                      <a:fillRect/>
                    </a:stretch>
                  </pic:blipFill>
                  <pic:spPr bwMode="auto">
                    <a:xfrm>
                      <a:off x="0" y="0"/>
                      <a:ext cx="2263775" cy="33464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We have acted as special counsel to Revolution Medicines,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in connection with the proposed issuance of up to 11,500,000 shares of common stock, $0.0001 par value per share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The Shares are included in a registration statement on Form S-1 under the Securities Act of 1933,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filed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on January 17, 2020 (Registration No. 333-235968) (as amended,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This opinion is being furnished in connection with the requirements of Item 601(b)(5) of Regulation S-K under the Act, and no opinion is expressed herein as to any matter pertaining to the contents of the Registration Statement or related prospectus (the “</w:t>
      </w:r>
      <w:r>
        <w:rPr>
          <w:rFonts w:ascii="Arial" w:cs="Arial" w:eastAsia="Arial" w:hAnsi="Arial"/>
          <w:sz w:val="16"/>
          <w:szCs w:val="16"/>
          <w:b w:val="1"/>
          <w:bCs w:val="1"/>
          <w:i w:val="1"/>
          <w:iCs w:val="1"/>
          <w:color w:val="auto"/>
        </w:rPr>
        <w:t>Prospectus</w:t>
      </w:r>
      <w:r>
        <w:rPr>
          <w:rFonts w:ascii="Arial" w:cs="Arial" w:eastAsia="Arial" w:hAnsi="Arial"/>
          <w:sz w:val="16"/>
          <w:szCs w:val="16"/>
          <w:color w:val="auto"/>
        </w:rPr>
        <w:t>”), other than as expressly stated herein with respect to the issue of the Shares.</w:t>
      </w:r>
    </w:p>
    <w:p>
      <w:pPr>
        <w:spacing w:after="0" w:line="165" w:lineRule="exact"/>
        <w:rPr>
          <w:sz w:val="20"/>
          <w:szCs w:val="20"/>
          <w:color w:val="auto"/>
        </w:rPr>
      </w:pPr>
    </w:p>
    <w:p>
      <w:pPr>
        <w:ind w:right="180" w:firstLine="441"/>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and we express no opinion with respect to any other laws.</w:t>
      </w:r>
    </w:p>
    <w:p>
      <w:pPr>
        <w:spacing w:after="0" w:line="187" w:lineRule="exact"/>
        <w:rPr>
          <w:sz w:val="20"/>
          <w:szCs w:val="20"/>
          <w:color w:val="auto"/>
        </w:rPr>
      </w:pPr>
    </w:p>
    <w:p>
      <w:pPr>
        <w:ind w:right="260" w:firstLine="441"/>
        <w:spacing w:after="0" w:line="264" w:lineRule="auto"/>
        <w:rPr>
          <w:sz w:val="20"/>
          <w:szCs w:val="20"/>
          <w:color w:val="auto"/>
        </w:rPr>
      </w:pPr>
      <w:r>
        <w:rPr>
          <w:rFonts w:ascii="Arial" w:cs="Arial" w:eastAsia="Arial" w:hAnsi="Arial"/>
          <w:sz w:val="18"/>
          <w:szCs w:val="18"/>
          <w:color w:val="auto"/>
        </w:rPr>
        <w:t>Subject to the foregoing and the other matters set forth herein, it is our opinion that, as of the date hereof, when the Shares shall have been duly registered on the books of the transfer agent and registrar therefor in the name or on behalf of the purchasers and have been issued by the Company against payment therefor in the circumstances contemplated by the form of underwriting</w:t>
      </w:r>
    </w:p>
    <w:p>
      <w:pPr>
        <w:sectPr>
          <w:pgSz w:w="11900" w:h="16838" w:orient="portrait"/>
          <w:cols w:equalWidth="0" w:num="1">
            <w:col w:w="11020"/>
          </w:cols>
          <w:pgMar w:left="440" w:top="121" w:right="439" w:bottom="1440" w:gutter="0" w:footer="0" w:header="0"/>
        </w:sectPr>
      </w:pPr>
    </w:p>
    <w:bookmarkStart w:id="414" w:name="page415"/>
    <w:bookmarkEnd w:id="414"/>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February 3, 2020</w:t>
      </w:r>
    </w:p>
    <w:p>
      <w:pPr>
        <w:spacing w:after="0"/>
        <w:rPr>
          <w:sz w:val="20"/>
          <w:szCs w:val="20"/>
          <w:color w:val="auto"/>
        </w:rPr>
      </w:pPr>
      <w:r>
        <w:rPr>
          <w:rFonts w:ascii="Arial" w:cs="Arial" w:eastAsia="Arial" w:hAnsi="Arial"/>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151130</wp:posOffset>
            </wp:positionV>
            <wp:extent cx="1551940" cy="21463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9">
                      <a:extLst>
                        <a:ext uri="{28A0092B-C50C-407E-A947-70E740481C1C}"/>
                      </a:extLst>
                    </a:blip>
                    <a:srcRect/>
                    <a:stretch>
                      <a:fillRect/>
                    </a:stretch>
                  </pic:blipFill>
                  <pic:spPr bwMode="auto">
                    <a:xfrm>
                      <a:off x="0" y="0"/>
                      <a:ext cx="1551940"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agreement most recently filed as an exhibit to the Registration Statement,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DGCL.</w:t>
      </w:r>
    </w:p>
    <w:p>
      <w:pPr>
        <w:spacing w:after="0" w:line="147" w:lineRule="exact"/>
        <w:rPr>
          <w:sz w:val="20"/>
          <w:szCs w:val="20"/>
          <w:color w:val="auto"/>
        </w:rPr>
      </w:pPr>
    </w:p>
    <w:p>
      <w:pPr>
        <w:jc w:val="both"/>
        <w:ind w:firstLine="441"/>
        <w:spacing w:after="0" w:line="279"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In giving such consent, we do not thereby admit that we are in the category of persons whose consent is required under Section 7 of the Act or the rules and regulations of the Commission thereunder.</w:t>
      </w:r>
    </w:p>
    <w:p>
      <w:pPr>
        <w:spacing w:after="0" w:line="198"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Latham &amp; Watkins LLP</w:t>
      </w:r>
    </w:p>
    <w:p>
      <w:pPr>
        <w:sectPr>
          <w:pgSz w:w="11900" w:h="16838" w:orient="portrait"/>
          <w:cols w:equalWidth="0" w:num="1">
            <w:col w:w="10940"/>
          </w:cols>
          <w:pgMar w:left="440" w:top="269" w:right="519" w:bottom="1440" w:gutter="0" w:footer="0" w:header="0"/>
        </w:sectPr>
      </w:pPr>
    </w:p>
    <w:bookmarkStart w:id="415" w:name="page416"/>
    <w:bookmarkEnd w:id="415"/>
    <w:p>
      <w:pPr>
        <w:jc w:val="right"/>
        <w:spacing w:after="0"/>
        <w:rPr>
          <w:sz w:val="20"/>
          <w:szCs w:val="20"/>
          <w:color w:val="auto"/>
        </w:rPr>
      </w:pPr>
      <w:r>
        <w:rPr>
          <w:rFonts w:ascii="Arial" w:cs="Arial" w:eastAsia="Arial" w:hAnsi="Arial"/>
          <w:sz w:val="18"/>
          <w:szCs w:val="18"/>
          <w:b w:val="1"/>
          <w:bCs w:val="1"/>
          <w:color w:val="auto"/>
        </w:rPr>
        <w:t>Exhibit 10.7(a)</w:t>
      </w:r>
    </w:p>
    <w:p>
      <w:pPr>
        <w:spacing w:after="0" w:line="200" w:lineRule="exact"/>
        <w:rPr>
          <w:sz w:val="20"/>
          <w:szCs w:val="20"/>
          <w:color w:val="auto"/>
        </w:rPr>
      </w:pPr>
    </w:p>
    <w:p>
      <w:pPr>
        <w:spacing w:after="0" w:line="241"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REVOLUTION MEDICINES, INC.</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2020 INCENTIVE AWARD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The Plan’s purpose is to enhance the Company’s ability to attract, retain and motivate persons who make (or are expected to make) important contributions to the Company by providing these individuals with equity ownership opportunities.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As used in the Plan, the following words and phrases have the meanings specified below, unless the context clearly indicates otherwise:</w:t>
      </w:r>
    </w:p>
    <w:p>
      <w:pPr>
        <w:spacing w:after="0" w:line="129" w:lineRule="exact"/>
        <w:rPr>
          <w:sz w:val="20"/>
          <w:szCs w:val="20"/>
          <w:color w:val="auto"/>
        </w:rPr>
      </w:pPr>
    </w:p>
    <w:p>
      <w:pPr>
        <w:jc w:val="both"/>
        <w:ind w:right="300" w:firstLine="441"/>
        <w:spacing w:after="0" w:line="312" w:lineRule="auto"/>
        <w:rPr>
          <w:sz w:val="20"/>
          <w:szCs w:val="20"/>
          <w:color w:val="auto"/>
        </w:rPr>
      </w:pPr>
      <w:r>
        <w:rPr>
          <w:rFonts w:ascii="Arial" w:cs="Arial" w:eastAsia="Arial" w:hAnsi="Arial"/>
          <w:sz w:val="16"/>
          <w:szCs w:val="16"/>
          <w:color w:val="auto"/>
        </w:rPr>
        <w:t>2.1 “</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 means the Board or a Committee to the extent that the Board’s powers or authority under the Plan have been delegated to such Committee. With reference to the Board’s or a Committee’s powers or authority under the Plan that have been delegated to one or more officers pursuant to Section 4.2, the term “Administrator” shall refer to such officer(s) unless and until such delegation has been revoked.</w:t>
      </w:r>
    </w:p>
    <w:p>
      <w:pPr>
        <w:spacing w:after="0" w:line="147" w:lineRule="exact"/>
        <w:rPr>
          <w:sz w:val="20"/>
          <w:szCs w:val="20"/>
          <w:color w:val="auto"/>
        </w:rPr>
      </w:pPr>
    </w:p>
    <w:p>
      <w:pPr>
        <w:jc w:val="both"/>
        <w:ind w:right="280" w:firstLine="441"/>
        <w:spacing w:after="0" w:line="312" w:lineRule="auto"/>
        <w:rPr>
          <w:sz w:val="20"/>
          <w:szCs w:val="20"/>
          <w:color w:val="auto"/>
        </w:rPr>
      </w:pPr>
      <w:r>
        <w:rPr>
          <w:rFonts w:ascii="Arial" w:cs="Arial" w:eastAsia="Arial" w:hAnsi="Arial"/>
          <w:sz w:val="16"/>
          <w:szCs w:val="16"/>
          <w:color w:val="auto"/>
        </w:rPr>
        <w:t>2.2 “</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147" w:lineRule="exact"/>
        <w:rPr>
          <w:sz w:val="20"/>
          <w:szCs w:val="20"/>
          <w:color w:val="auto"/>
        </w:rPr>
      </w:pPr>
    </w:p>
    <w:p>
      <w:pPr>
        <w:ind w:right="520" w:firstLine="441"/>
        <w:spacing w:after="0" w:line="342" w:lineRule="auto"/>
        <w:rPr>
          <w:sz w:val="20"/>
          <w:szCs w:val="20"/>
          <w:color w:val="auto"/>
        </w:rPr>
      </w:pPr>
      <w:r>
        <w:rPr>
          <w:rFonts w:ascii="Arial" w:cs="Arial" w:eastAsia="Arial" w:hAnsi="Arial"/>
          <w:sz w:val="16"/>
          <w:szCs w:val="16"/>
          <w:color w:val="auto"/>
        </w:rPr>
        <w:t>2.3 “</w:t>
      </w:r>
      <w:r>
        <w:rPr>
          <w:rFonts w:ascii="Arial" w:cs="Arial" w:eastAsia="Arial" w:hAnsi="Arial"/>
          <w:sz w:val="16"/>
          <w:szCs w:val="16"/>
          <w:b w:val="1"/>
          <w:bCs w:val="1"/>
          <w:i w:val="1"/>
          <w:iCs w:val="1"/>
          <w:color w:val="auto"/>
        </w:rPr>
        <w:t>Award</w:t>
      </w:r>
      <w:r>
        <w:rPr>
          <w:rFonts w:ascii="Arial" w:cs="Arial" w:eastAsia="Arial" w:hAnsi="Arial"/>
          <w:sz w:val="16"/>
          <w:szCs w:val="16"/>
          <w:color w:val="auto"/>
        </w:rPr>
        <w:t>” means an Option, Stock Appreciation Right, Restricted Stock award, Restricted Stock Unit award, Performance Bonus Award, Performance Stock Unit award, Dividend Equivalents award or Other Stock or Cash Based Award granted to a Participant under the Plan.</w:t>
      </w:r>
    </w:p>
    <w:p>
      <w:pPr>
        <w:spacing w:after="0" w:line="124"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an agreement evidencing an Award, which may be written or electronic, that contains such terms and conditions as the Administrator determines, consistent with and subject to the terms and conditions of the Plan.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2.5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means any of the following:</w:t>
      </w:r>
    </w:p>
    <w:p>
      <w:pPr>
        <w:spacing w:after="0" w:line="117" w:lineRule="exact"/>
        <w:rPr>
          <w:sz w:val="20"/>
          <w:szCs w:val="20"/>
          <w:color w:val="auto"/>
        </w:rPr>
      </w:pPr>
    </w:p>
    <w:p>
      <w:pPr>
        <w:ind w:right="20" w:firstLine="996"/>
        <w:spacing w:after="0" w:line="253" w:lineRule="auto"/>
        <w:tabs>
          <w:tab w:leader="none" w:pos="1237"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the Company’s securities possessing more than 50% of the total combined voting power of the Company’s securities outstanding immediately after such acquisition; provided, however,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2.6(c)(i), 2.6(c)(ii) and 2.6(c)(iii); or (iv) in respect of an Award held by a particular Participant, any acquisition by the Participant or any group of persons including the Participant (or any entity controlled by the Participant or any group of persons including the Participant);</w:t>
      </w:r>
    </w:p>
    <w:p>
      <w:pPr>
        <w:sectPr>
          <w:pgSz w:w="11900" w:h="16838" w:orient="portrait"/>
          <w:cols w:equalWidth="0" w:num="1">
            <w:col w:w="11020"/>
          </w:cols>
          <w:pgMar w:left="440" w:top="121" w:right="439" w:bottom="1440" w:gutter="0" w:footer="0" w:header="0"/>
        </w:sectPr>
      </w:pPr>
    </w:p>
    <w:bookmarkStart w:id="416" w:name="page417"/>
    <w:bookmarkEnd w:id="416"/>
    <w:p>
      <w:pPr>
        <w:ind w:left="1260" w:hanging="264"/>
        <w:spacing w:after="0"/>
        <w:tabs>
          <w:tab w:leader="none" w:pos="1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Incumbent Directors cease for any reason to constitute a majority of the Board;</w:t>
      </w:r>
    </w:p>
    <w:p>
      <w:pPr>
        <w:spacing w:after="0" w:line="225" w:lineRule="exact"/>
        <w:rPr>
          <w:rFonts w:ascii="Arial" w:cs="Arial" w:eastAsia="Arial" w:hAnsi="Arial"/>
          <w:sz w:val="18"/>
          <w:szCs w:val="18"/>
          <w:color w:val="auto"/>
        </w:rPr>
      </w:pPr>
    </w:p>
    <w:p>
      <w:pPr>
        <w:ind w:right="140" w:firstLine="996"/>
        <w:spacing w:after="0" w:line="259" w:lineRule="auto"/>
        <w:tabs>
          <w:tab w:leader="none" w:pos="123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186" w:lineRule="exact"/>
        <w:rPr>
          <w:rFonts w:ascii="Arial" w:cs="Arial" w:eastAsia="Arial" w:hAnsi="Arial"/>
          <w:sz w:val="18"/>
          <w:szCs w:val="18"/>
          <w:color w:val="auto"/>
        </w:rPr>
      </w:pPr>
    </w:p>
    <w:p>
      <w:pPr>
        <w:ind w:right="40" w:firstLine="1436"/>
        <w:spacing w:after="0" w:line="257" w:lineRule="auto"/>
        <w:tabs>
          <w:tab w:leader="none" w:pos="164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8"/>
          <w:szCs w:val="18"/>
          <w:b w:val="1"/>
          <w:bCs w:val="1"/>
          <w:i w:val="1"/>
          <w:iCs w:val="1"/>
          <w:color w:val="auto"/>
        </w:rPr>
        <w:t>Successor Entity</w:t>
      </w:r>
      <w:r>
        <w:rPr>
          <w:rFonts w:ascii="Arial" w:cs="Arial" w:eastAsia="Arial" w:hAnsi="Arial"/>
          <w:sz w:val="18"/>
          <w:szCs w:val="18"/>
          <w:color w:val="auto"/>
        </w:rPr>
        <w:t>”)) directly or indirectly, at least a majority of the combined voting power of the Successor Entity’s outstanding voting securities immediately after the transaction;</w:t>
      </w:r>
    </w:p>
    <w:p>
      <w:pPr>
        <w:spacing w:after="0" w:line="188" w:lineRule="exact"/>
        <w:rPr>
          <w:rFonts w:ascii="Arial" w:cs="Arial" w:eastAsia="Arial" w:hAnsi="Arial"/>
          <w:sz w:val="18"/>
          <w:szCs w:val="18"/>
          <w:color w:val="auto"/>
        </w:rPr>
      </w:pPr>
    </w:p>
    <w:p>
      <w:pPr>
        <w:jc w:val="both"/>
        <w:ind w:right="20" w:firstLine="1436"/>
        <w:spacing w:after="0" w:line="259" w:lineRule="auto"/>
        <w:tabs>
          <w:tab w:leader="none" w:pos="1698"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after which no person or group beneficially owns voting securities representing 50% or more of the combined voting power of the Successor Entity; provided</w:t>
      </w:r>
      <w:r>
        <w:rPr>
          <w:rFonts w:ascii="Arial" w:cs="Arial" w:eastAsia="Arial" w:hAnsi="Arial"/>
          <w:sz w:val="18"/>
          <w:szCs w:val="18"/>
          <w:i w:val="1"/>
          <w:iCs w:val="1"/>
          <w:color w:val="auto"/>
        </w:rPr>
        <w:t>,</w:t>
      </w:r>
      <w:r>
        <w:rPr>
          <w:rFonts w:ascii="Arial" w:cs="Arial" w:eastAsia="Arial" w:hAnsi="Arial"/>
          <w:sz w:val="18"/>
          <w:szCs w:val="18"/>
          <w:color w:val="auto"/>
        </w:rPr>
        <w:t xml:space="preserve"> however, that no person or group shall be treated for purposes of this Section 2.6(c)(ii) as beneficially owning 50% or more of the combined voting power of the Successor Entity solely as a result of the voting power held in the Company prior to the consummation of the transaction; and</w:t>
      </w:r>
    </w:p>
    <w:p>
      <w:pPr>
        <w:spacing w:after="0" w:line="186" w:lineRule="exact"/>
        <w:rPr>
          <w:rFonts w:ascii="Arial" w:cs="Arial" w:eastAsia="Arial" w:hAnsi="Arial"/>
          <w:sz w:val="18"/>
          <w:szCs w:val="18"/>
          <w:color w:val="auto"/>
        </w:rPr>
      </w:pPr>
    </w:p>
    <w:p>
      <w:pPr>
        <w:ind w:right="380" w:firstLine="1436"/>
        <w:spacing w:after="0" w:line="342" w:lineRule="auto"/>
        <w:tabs>
          <w:tab w:leader="none" w:pos="1748" w:val="left"/>
        </w:tabs>
        <w:numPr>
          <w:ilvl w:val="1"/>
          <w:numId w:val="221"/>
        </w:numPr>
        <w:rPr>
          <w:rFonts w:ascii="Arial" w:cs="Arial" w:eastAsia="Arial" w:hAnsi="Arial"/>
          <w:sz w:val="16"/>
          <w:szCs w:val="16"/>
          <w:color w:val="auto"/>
        </w:rPr>
      </w:pPr>
      <w:r>
        <w:rPr>
          <w:rFonts w:ascii="Arial" w:cs="Arial" w:eastAsia="Arial" w:hAnsi="Arial"/>
          <w:sz w:val="16"/>
          <w:szCs w:val="16"/>
          <w:color w:val="auto"/>
        </w:rPr>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123" w:lineRule="exact"/>
        <w:rPr>
          <w:rFonts w:ascii="Arial" w:cs="Arial" w:eastAsia="Arial" w:hAnsi="Arial"/>
          <w:sz w:val="16"/>
          <w:szCs w:val="16"/>
          <w:color w:val="auto"/>
        </w:rPr>
      </w:pPr>
    </w:p>
    <w:p>
      <w:pPr>
        <w:ind w:left="1260" w:hanging="264"/>
        <w:spacing w:after="0"/>
        <w:tabs>
          <w:tab w:leader="none" w:pos="12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completion of a liquidation or dissolution of the Company.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(c) or (d) of this Section 2.6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187" w:lineRule="exact"/>
        <w:rPr>
          <w:sz w:val="20"/>
          <w:szCs w:val="20"/>
          <w:color w:val="auto"/>
        </w:rPr>
      </w:pPr>
    </w:p>
    <w:p>
      <w:pPr>
        <w:ind w:right="820" w:firstLine="441"/>
        <w:spacing w:after="0" w:line="277" w:lineRule="auto"/>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 and all regulations, guidance, compliance programs and other interpretative authority issued thereunder.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417" w:name="page418"/>
    <w:bookmarkEnd w:id="417"/>
    <w:p>
      <w:pPr>
        <w:ind w:right="60"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2.8 “</w:t>
      </w:r>
      <w:r>
        <w:rPr>
          <w:rFonts w:ascii="Arial" w:cs="Arial" w:eastAsia="Arial" w:hAnsi="Arial"/>
          <w:sz w:val="17"/>
          <w:szCs w:val="17"/>
          <w:b w:val="1"/>
          <w:bCs w:val="1"/>
          <w:i w:val="1"/>
          <w:iCs w:val="1"/>
          <w:color w:val="auto"/>
        </w:rPr>
        <w:t>Committee</w:t>
      </w:r>
      <w:r>
        <w:rPr>
          <w:rFonts w:ascii="Arial" w:cs="Arial" w:eastAsia="Arial" w:hAnsi="Arial"/>
          <w:sz w:val="17"/>
          <w:szCs w:val="17"/>
          <w:color w:val="auto"/>
        </w:rPr>
        <w:t>” means one or more committees or subcommittees of the Board, which may include one or more Company directors or executive officers,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Revolution Medicines, Inc., a Delaware corporation, or any successor.</w:t>
      </w:r>
    </w:p>
    <w:p>
      <w:pPr>
        <w:spacing w:after="0" w:line="225" w:lineRule="exact"/>
        <w:rPr>
          <w:sz w:val="20"/>
          <w:szCs w:val="20"/>
          <w:color w:val="auto"/>
        </w:rPr>
      </w:pPr>
    </w:p>
    <w:p>
      <w:pPr>
        <w:jc w:val="both"/>
        <w:ind w:right="100" w:firstLine="441"/>
        <w:spacing w:after="0" w:line="312" w:lineRule="auto"/>
        <w:rPr>
          <w:sz w:val="20"/>
          <w:szCs w:val="20"/>
          <w:color w:val="auto"/>
        </w:rPr>
      </w:pPr>
      <w:r>
        <w:rPr>
          <w:rFonts w:ascii="Arial" w:cs="Arial" w:eastAsia="Arial" w:hAnsi="Arial"/>
          <w:sz w:val="16"/>
          <w:szCs w:val="16"/>
          <w:color w:val="auto"/>
        </w:rPr>
        <w:t>2.11 “</w:t>
      </w:r>
      <w:r>
        <w:rPr>
          <w:rFonts w:ascii="Arial" w:cs="Arial" w:eastAsia="Arial" w:hAnsi="Arial"/>
          <w:sz w:val="16"/>
          <w:szCs w:val="16"/>
          <w:b w:val="1"/>
          <w:bCs w:val="1"/>
          <w:i w:val="1"/>
          <w:iCs w:val="1"/>
          <w:color w:val="auto"/>
        </w:rPr>
        <w:t>Consultant</w:t>
      </w:r>
      <w:r>
        <w:rPr>
          <w:rFonts w:ascii="Arial" w:cs="Arial" w:eastAsia="Arial" w:hAnsi="Arial"/>
          <w:sz w:val="16"/>
          <w:szCs w:val="16"/>
          <w:color w:val="auto"/>
        </w:rPr>
        <w:t>” means any person, including any adviser, engaged by the Company or its parent or Subsidiary to render services to such entity if the consultant or adviser: (i) renders bona fide services to the Company; (ii) renders services not in connection with the offer or sale of securities in a capital-raising transaction and does not directly or indirectly promote or maintain a market for the Company’s securities; and (iii) is a natural person.</w:t>
      </w:r>
    </w:p>
    <w:p>
      <w:pPr>
        <w:spacing w:after="0" w:line="147"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b w:val="1"/>
          <w:bCs w:val="1"/>
          <w:i w:val="1"/>
          <w:iCs w:val="1"/>
          <w:color w:val="auto"/>
        </w:rPr>
        <w:t>Designated Beneficiary</w:t>
      </w:r>
      <w:r>
        <w:rPr>
          <w:rFonts w:ascii="Arial" w:cs="Arial" w:eastAsia="Arial" w:hAnsi="Arial"/>
          <w:sz w:val="18"/>
          <w:szCs w:val="18"/>
          <w:color w:val="auto"/>
        </w:rPr>
        <w:t>” means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Board member.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 permanent and total disability under Section 22(e)(3) of the Code.</w:t>
      </w:r>
    </w:p>
    <w:p>
      <w:pPr>
        <w:spacing w:after="0" w:line="225" w:lineRule="exact"/>
        <w:rPr>
          <w:sz w:val="20"/>
          <w:szCs w:val="20"/>
          <w:color w:val="auto"/>
        </w:rPr>
      </w:pPr>
    </w:p>
    <w:p>
      <w:pPr>
        <w:ind w:right="320" w:firstLine="441"/>
        <w:spacing w:after="0" w:line="286"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b w:val="1"/>
          <w:bCs w:val="1"/>
          <w:i w:val="1"/>
          <w:iCs w:val="1"/>
          <w:color w:val="auto"/>
        </w:rPr>
        <w:t>Dividend Equivalents</w:t>
      </w:r>
      <w:r>
        <w:rPr>
          <w:rFonts w:ascii="Arial" w:cs="Arial" w:eastAsia="Arial" w:hAnsi="Arial"/>
          <w:sz w:val="17"/>
          <w:szCs w:val="17"/>
          <w:color w:val="auto"/>
        </w:rPr>
        <w:t>” 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spacing w:after="0" w:line="166"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i w:val="1"/>
          <w:iCs w:val="1"/>
          <w:color w:val="auto"/>
        </w:rPr>
        <w:t>DRO</w:t>
      </w:r>
      <w:r>
        <w:rPr>
          <w:rFonts w:ascii="Arial" w:cs="Arial" w:eastAsia="Arial" w:hAnsi="Arial"/>
          <w:sz w:val="18"/>
          <w:szCs w:val="18"/>
          <w:color w:val="auto"/>
        </w:rPr>
        <w:t>” means a “domestic relations order” as defined by the Code or Title I of the Employee Retirement Income Security Act of 1974, as amended, or the rules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Section 11.3.</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employee of the Company or any of its Subsidiaries.</w:t>
      </w:r>
    </w:p>
    <w:p>
      <w:pPr>
        <w:spacing w:after="0" w:line="225"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i w:val="1"/>
          <w:iCs w:val="1"/>
          <w:color w:val="auto"/>
        </w:rPr>
        <w:t>Equity Restructuring</w:t>
      </w:r>
      <w:r>
        <w:rPr>
          <w:rFonts w:ascii="Arial" w:cs="Arial" w:eastAsia="Arial" w:hAnsi="Arial"/>
          <w:sz w:val="18"/>
          <w:szCs w:val="18"/>
          <w:color w:val="auto"/>
        </w:rPr>
        <w:t>” 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share price of Common Stock (or other Company securities) and causes a change in the per share value of the Common Stock underlying outstanding Awards.</w:t>
      </w:r>
    </w:p>
    <w:p>
      <w:pPr>
        <w:spacing w:after="0" w:line="187" w:lineRule="exact"/>
        <w:rPr>
          <w:sz w:val="20"/>
          <w:szCs w:val="20"/>
          <w:color w:val="auto"/>
        </w:rPr>
      </w:pPr>
    </w:p>
    <w:p>
      <w:pPr>
        <w:ind w:right="640" w:firstLine="441"/>
        <w:spacing w:after="0" w:line="277"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U.S. Securities Exchange Act of 1934, as amended, and all regulations, guidance and other interpretative authority issued thereunder.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3" w:right="439" w:bottom="1440" w:gutter="0" w:footer="0" w:header="0"/>
        </w:sectPr>
      </w:pPr>
    </w:p>
    <w:bookmarkStart w:id="418" w:name="page419"/>
    <w:bookmarkEnd w:id="418"/>
    <w:p>
      <w:pPr>
        <w:ind w:right="40"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2.21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xml:space="preserve">” means, as of any date, the value of a Share determined as follows: (i) if the Common Stock is listed on any established stock exchange, the value of a Share will be the closing sales price for a Share as quoted on such exchange for such date, or if no sale occurred on such date, the last day preceding such date during which a sale occurred, 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or another source the Administrator deems reliable; (ii) if the Common Stock is not listed on an established stock exchange but is quoted on a national market or other quotation system, the value of a Share will be the closing sales price for a Share on such date, or if no sales occurred on such date, then on the last date preceding such date during which a sale occurred, as reported in The Wall Street Journal or another source the Administrator deems reliable; or (iii) if the Common Stock is not listed on any established stock exchange or quoted on a national market or other quotation system, the value established by the Administrator in its sole discretion. Notwithstanding the foregoing, with respect to any Award granted on or after the effectiveness of the Company’s registration statement relating to its initial public offering and prior to the Public Trading Date, the Fair Market Value means the initial public offering price of a Share as set forth in the Company’s final prospectus relating to its initial public offering filed with the Securities and Exchange Commission.</w:t>
      </w:r>
    </w:p>
    <w:p>
      <w:pPr>
        <w:spacing w:after="0" w:line="169"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2.22 “</w:t>
      </w:r>
      <w:r>
        <w:rPr>
          <w:rFonts w:ascii="Arial" w:cs="Arial" w:eastAsia="Arial" w:hAnsi="Arial"/>
          <w:sz w:val="18"/>
          <w:szCs w:val="18"/>
          <w:b w:val="1"/>
          <w:bCs w:val="1"/>
          <w:i w:val="1"/>
          <w:iCs w:val="1"/>
          <w:color w:val="auto"/>
        </w:rPr>
        <w:t>Greater Than 10% Stockholder</w:t>
      </w:r>
      <w:r>
        <w:rPr>
          <w:rFonts w:ascii="Arial" w:cs="Arial" w:eastAsia="Arial" w:hAnsi="Arial"/>
          <w:sz w:val="18"/>
          <w:szCs w:val="18"/>
          <w:color w:val="auto"/>
        </w:rPr>
        <w:t>” means an individual then owning (within the meaning of Section 424(d) of the Code) more than 10% of the total combined voting power of all classes of stock of the Company or any parent corporation or subsidiary corporation of the Company, as determined in accordance with in Section 424(e) and (f) of the Code, respectively.</w:t>
      </w:r>
    </w:p>
    <w:p>
      <w:pPr>
        <w:spacing w:after="0" w:line="18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that meets the requirements to qualify as an “incentive stock option” as defined in Section 422 of the Code.</w:t>
      </w:r>
    </w:p>
    <w:p>
      <w:pPr>
        <w:spacing w:after="0" w:line="170"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color w:val="auto"/>
        </w:rPr>
        <w:t>2.24 “</w:t>
      </w:r>
      <w:r>
        <w:rPr>
          <w:rFonts w:ascii="Arial" w:cs="Arial" w:eastAsia="Arial" w:hAnsi="Arial"/>
          <w:sz w:val="17"/>
          <w:szCs w:val="17"/>
          <w:b w:val="1"/>
          <w:bCs w:val="1"/>
          <w:i w:val="1"/>
          <w:iCs w:val="1"/>
          <w:color w:val="auto"/>
        </w:rPr>
        <w:t>Incumbent Directors”</w:t>
      </w:r>
      <w:r>
        <w:rPr>
          <w:rFonts w:ascii="Arial" w:cs="Arial" w:eastAsia="Arial" w:hAnsi="Arial"/>
          <w:sz w:val="17"/>
          <w:szCs w:val="17"/>
          <w:color w:val="auto"/>
        </w:rPr>
        <w:t xml:space="preserve"> means, for any period of 12 consecutive months, individuals who, at the beginning of such period, constitute the Board together with any new Director(s) (other than a Director designated by a person who shall have entered into an agreement with the Company to effect a transaction described in Section 2.6(a) or 2.6(c)) whose election or nomination for election to the Board was approved by a vote of at least a majority (either by a specific vote or by approval of the proxy statement of the Company in which such person is named as a nominee for Director without objection to such nomination) of the Directors then still in office who either were Directors at the beginning of the 12-month period or whose election or nomination for election was previously so approved. No individual initially elected or nominated as a director of the Company as a result of an actual or threatened election contest with respect to Directors or as a result of any other actual or threatened solicitation of proxies by or on behalf of any person other than the Board shall be an Incumbent Director.</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means an Option that is not an Incentive Stock Option.</w:t>
      </w:r>
    </w:p>
    <w:p>
      <w:pPr>
        <w:spacing w:after="0" w:line="225"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a right granted under Article VI to purchase a specified number of Shares at a specified price per Share during a specified time period. An Option may be either an Incentive Stock Option or a Nonqualified Stock Option.</w:t>
      </w:r>
    </w:p>
    <w:p>
      <w:pPr>
        <w:spacing w:after="0" w:line="170"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i w:val="1"/>
          <w:iCs w:val="1"/>
          <w:color w:val="auto"/>
        </w:rPr>
        <w:t>Other Stock or Cash Based Awards</w:t>
      </w:r>
      <w:r>
        <w:rPr>
          <w:rFonts w:ascii="Arial" w:cs="Arial" w:eastAsia="Arial" w:hAnsi="Arial"/>
          <w:sz w:val="18"/>
          <w:szCs w:val="18"/>
          <w:color w:val="auto"/>
        </w:rPr>
        <w:t>” means cash awards, awards of Shares, and other awards valued wholly or partially by referring to, or are otherwise based on, Shares or other property.</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i w:val="1"/>
          <w:iCs w:val="1"/>
          <w:color w:val="auto"/>
        </w:rPr>
        <w:t>Overall Share Limit</w:t>
      </w:r>
      <w:r>
        <w:rPr>
          <w:rFonts w:ascii="Arial" w:cs="Arial" w:eastAsia="Arial" w:hAnsi="Arial"/>
          <w:sz w:val="18"/>
          <w:szCs w:val="18"/>
          <w:color w:val="auto"/>
        </w:rPr>
        <w:t>” means the sum of (i) 5,771,197 Shares; (ii) any Shares that are subject to Prior Plan Awards that become available for issuance under the Plan pursuant to Article V; and (iii) an annual increase on the first day of each year beginning in 2021 and ending in 2030, equal to the lesser of (A) 5% of the Shares outstanding on the last day of the immediately preceding fiscal year and (B) such smaller number of Shares as determined by the Board.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Service Provider who has been granted an Award.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419" w:name="page420"/>
    <w:bookmarkEnd w:id="41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2.30 “</w:t>
      </w:r>
      <w:r>
        <w:rPr>
          <w:rFonts w:ascii="Arial" w:cs="Arial" w:eastAsia="Arial" w:hAnsi="Arial"/>
          <w:sz w:val="18"/>
          <w:szCs w:val="18"/>
          <w:b w:val="1"/>
          <w:bCs w:val="1"/>
          <w:i w:val="1"/>
          <w:iCs w:val="1"/>
          <w:color w:val="auto"/>
        </w:rPr>
        <w:t>Performance Bonus Award</w:t>
      </w:r>
      <w:r>
        <w:rPr>
          <w:rFonts w:ascii="Arial" w:cs="Arial" w:eastAsia="Arial" w:hAnsi="Arial"/>
          <w:sz w:val="18"/>
          <w:szCs w:val="18"/>
          <w:color w:val="auto"/>
        </w:rPr>
        <w:t>” has the meaning set forth in Section 8.3.</w:t>
      </w:r>
    </w:p>
    <w:p>
      <w:pPr>
        <w:spacing w:after="0" w:line="225" w:lineRule="exact"/>
        <w:rPr>
          <w:sz w:val="20"/>
          <w:szCs w:val="20"/>
          <w:color w:val="auto"/>
        </w:rPr>
      </w:pPr>
    </w:p>
    <w:p>
      <w:pPr>
        <w:ind w:right="200" w:firstLine="441"/>
        <w:spacing w:after="0" w:line="342"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b w:val="1"/>
          <w:bCs w:val="1"/>
          <w:i w:val="1"/>
          <w:iCs w:val="1"/>
          <w:color w:val="auto"/>
        </w:rPr>
        <w:t>Performance Stock Unit</w:t>
      </w:r>
      <w:r>
        <w:rPr>
          <w:rFonts w:ascii="Arial" w:cs="Arial" w:eastAsia="Arial" w:hAnsi="Arial"/>
          <w:sz w:val="16"/>
          <w:szCs w:val="16"/>
          <w:color w:val="auto"/>
        </w:rPr>
        <w:t>” means a right granted to a Participant pursuant to Section 8.1 and subject to Section 8.2, to receive Shares, the payment of which is contingent upon achieving certain performance goals or other performance-based targets established by the Administrator.</w:t>
      </w:r>
    </w:p>
    <w:p>
      <w:pPr>
        <w:spacing w:after="0" w:line="124"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i w:val="1"/>
          <w:iCs w:val="1"/>
          <w:color w:val="auto"/>
        </w:rPr>
        <w:t>Permitted Transferee</w:t>
      </w:r>
      <w:r>
        <w:rPr>
          <w:rFonts w:ascii="Arial" w:cs="Arial" w:eastAsia="Arial" w:hAnsi="Arial"/>
          <w:sz w:val="18"/>
          <w:szCs w:val="18"/>
          <w:color w:val="auto"/>
        </w:rPr>
        <w:t>” 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2020 Incentive Award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b w:val="1"/>
          <w:bCs w:val="1"/>
          <w:i w:val="1"/>
          <w:iCs w:val="1"/>
          <w:color w:val="auto"/>
        </w:rPr>
        <w:t>Prior Plan</w:t>
      </w:r>
      <w:r>
        <w:rPr>
          <w:rFonts w:ascii="Arial" w:cs="Arial" w:eastAsia="Arial" w:hAnsi="Arial"/>
          <w:sz w:val="18"/>
          <w:szCs w:val="18"/>
          <w:color w:val="auto"/>
        </w:rPr>
        <w:t>” means the Company’s 2014 Equity Incentive Plan,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b w:val="1"/>
          <w:bCs w:val="1"/>
          <w:i w:val="1"/>
          <w:iCs w:val="1"/>
          <w:color w:val="auto"/>
        </w:rPr>
        <w:t>Prior Plan Award</w:t>
      </w:r>
      <w:r>
        <w:rPr>
          <w:rFonts w:ascii="Arial" w:cs="Arial" w:eastAsia="Arial" w:hAnsi="Arial"/>
          <w:sz w:val="18"/>
          <w:szCs w:val="18"/>
          <w:color w:val="auto"/>
        </w:rPr>
        <w:t>” means an award outstanding under the Prior Plan as of the Effective Date.</w:t>
      </w:r>
    </w:p>
    <w:p>
      <w:pPr>
        <w:spacing w:after="0" w:line="225" w:lineRule="exact"/>
        <w:rPr>
          <w:sz w:val="20"/>
          <w:szCs w:val="20"/>
          <w:color w:val="auto"/>
        </w:rPr>
      </w:pPr>
    </w:p>
    <w:p>
      <w:pPr>
        <w:ind w:right="440" w:firstLine="441"/>
        <w:spacing w:after="0" w:line="277"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b w:val="1"/>
          <w:bCs w:val="1"/>
          <w:i w:val="1"/>
          <w:iCs w:val="1"/>
          <w:color w:val="auto"/>
        </w:rPr>
        <w:t>Public Trading Date</w:t>
      </w:r>
      <w:r>
        <w:rPr>
          <w:rFonts w:ascii="Arial" w:cs="Arial" w:eastAsia="Arial" w:hAnsi="Arial"/>
          <w:sz w:val="18"/>
          <w:szCs w:val="18"/>
          <w:color w:val="auto"/>
        </w:rPr>
        <w:t>” means the first date upon which Common Stock is listed upon notice of issuance on any securities exchange or designated upon notice of issuance as a national market security on an interdealer quotation system.</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2.37 “</w:t>
      </w:r>
      <w:r>
        <w:rPr>
          <w:rFonts w:ascii="Arial" w:cs="Arial" w:eastAsia="Arial" w:hAnsi="Arial"/>
          <w:sz w:val="16"/>
          <w:szCs w:val="16"/>
          <w:b w:val="1"/>
          <w:bCs w:val="1"/>
          <w:i w:val="1"/>
          <w:iCs w:val="1"/>
          <w:color w:val="auto"/>
        </w:rPr>
        <w:t>Restricted Stock</w:t>
      </w:r>
      <w:r>
        <w:rPr>
          <w:rFonts w:ascii="Arial" w:cs="Arial" w:eastAsia="Arial" w:hAnsi="Arial"/>
          <w:sz w:val="16"/>
          <w:szCs w:val="16"/>
          <w:color w:val="auto"/>
        </w:rPr>
        <w:t>” means Shares awarded to a Participant under Article VII, subject to certain vesting conditions and other restrictions.</w:t>
      </w:r>
    </w:p>
    <w:p>
      <w:pPr>
        <w:spacing w:after="0" w:line="248"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2.38 “</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means an unfunded, unsecured right to receive, on the applicable settlement date, one Share or an amount in cash or other consideration determined by the Administrator to be of equal value as of such settlement date, subject to certain vesting conditions and other restrictions.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b w:val="1"/>
          <w:bCs w:val="1"/>
          <w:i w:val="1"/>
          <w:iCs w:val="1"/>
          <w:color w:val="auto"/>
        </w:rPr>
        <w:t>Rule 16b-3</w:t>
      </w:r>
      <w:r>
        <w:rPr>
          <w:rFonts w:ascii="Arial" w:cs="Arial" w:eastAsia="Arial" w:hAnsi="Arial"/>
          <w:sz w:val="18"/>
          <w:szCs w:val="18"/>
          <w:color w:val="auto"/>
        </w:rPr>
        <w:t>” means Rule 16b-3 promulgated under the Exchange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2.40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w:t>
      </w:r>
    </w:p>
    <w:p>
      <w:pPr>
        <w:spacing w:after="0" w:line="225"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all regulations, guidance and other interpretative authority issued thereunder.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2.42 “</w:t>
      </w:r>
      <w:r>
        <w:rPr>
          <w:rFonts w:ascii="Arial" w:cs="Arial" w:eastAsia="Arial" w:hAnsi="Arial"/>
          <w:sz w:val="18"/>
          <w:szCs w:val="18"/>
          <w:b w:val="1"/>
          <w:bCs w:val="1"/>
          <w:i w:val="1"/>
          <w:iCs w:val="1"/>
          <w:color w:val="auto"/>
        </w:rPr>
        <w:t>Service Provider</w:t>
      </w:r>
      <w:r>
        <w:rPr>
          <w:rFonts w:ascii="Arial" w:cs="Arial" w:eastAsia="Arial" w:hAnsi="Arial"/>
          <w:sz w:val="18"/>
          <w:szCs w:val="18"/>
          <w:color w:val="auto"/>
        </w:rPr>
        <w:t>” means an Employee, Consultant or Director.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2.43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means shares of Common Stock.</w:t>
      </w:r>
    </w:p>
    <w:p>
      <w:pPr>
        <w:spacing w:after="0" w:line="225"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2.44 “</w:t>
      </w:r>
      <w:r>
        <w:rPr>
          <w:rFonts w:ascii="Arial" w:cs="Arial" w:eastAsia="Arial" w:hAnsi="Arial"/>
          <w:sz w:val="16"/>
          <w:szCs w:val="16"/>
          <w:b w:val="1"/>
          <w:bCs w:val="1"/>
          <w:i w:val="1"/>
          <w:iCs w:val="1"/>
          <w:color w:val="auto"/>
        </w:rPr>
        <w:t>Stock Appreciation Right</w:t>
      </w:r>
      <w:r>
        <w:rPr>
          <w:rFonts w:ascii="Arial" w:cs="Arial" w:eastAsia="Arial" w:hAnsi="Arial"/>
          <w:sz w:val="16"/>
          <w:szCs w:val="16"/>
          <w:color w:val="auto"/>
        </w:rPr>
        <w:t>” or “</w:t>
      </w:r>
      <w:r>
        <w:rPr>
          <w:rFonts w:ascii="Arial" w:cs="Arial" w:eastAsia="Arial" w:hAnsi="Arial"/>
          <w:sz w:val="16"/>
          <w:szCs w:val="16"/>
          <w:b w:val="1"/>
          <w:bCs w:val="1"/>
          <w:i w:val="1"/>
          <w:iCs w:val="1"/>
          <w:color w:val="auto"/>
        </w:rPr>
        <w:t>SAR</w:t>
      </w:r>
      <w:r>
        <w:rPr>
          <w:rFonts w:ascii="Arial" w:cs="Arial" w:eastAsia="Arial" w:hAnsi="Arial"/>
          <w:sz w:val="16"/>
          <w:szCs w:val="16"/>
          <w:color w:val="auto"/>
        </w:rPr>
        <w:t>” means a right granted under Article VI to receive a payment equal to the excess of the Fair Market Value of a specified number of Shares on the date the right is exercised over the exercise price set forth in the applicable Award Agreement.</w:t>
      </w:r>
    </w:p>
    <w:p>
      <w:pPr>
        <w:spacing w:after="0" w:line="124" w:lineRule="exact"/>
        <w:rPr>
          <w:sz w:val="20"/>
          <w:szCs w:val="20"/>
          <w:color w:val="auto"/>
        </w:rPr>
      </w:pPr>
    </w:p>
    <w:p>
      <w:pPr>
        <w:ind w:firstLine="441"/>
        <w:spacing w:after="0" w:line="312" w:lineRule="auto"/>
        <w:rPr>
          <w:sz w:val="20"/>
          <w:szCs w:val="20"/>
          <w:color w:val="auto"/>
        </w:rPr>
      </w:pPr>
      <w:r>
        <w:rPr>
          <w:rFonts w:ascii="Arial" w:cs="Arial" w:eastAsia="Arial" w:hAnsi="Arial"/>
          <w:sz w:val="16"/>
          <w:szCs w:val="16"/>
          <w:color w:val="auto"/>
        </w:rPr>
        <w:t>2.45 “</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147"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2.46 “</w:t>
      </w:r>
      <w:r>
        <w:rPr>
          <w:rFonts w:ascii="Arial" w:cs="Arial" w:eastAsia="Arial" w:hAnsi="Arial"/>
          <w:sz w:val="18"/>
          <w:szCs w:val="18"/>
          <w:b w:val="1"/>
          <w:bCs w:val="1"/>
          <w:i w:val="1"/>
          <w:iCs w:val="1"/>
          <w:color w:val="auto"/>
        </w:rPr>
        <w:t>Substitute Awards</w:t>
      </w:r>
      <w:r>
        <w:rPr>
          <w:rFonts w:ascii="Arial" w:cs="Arial" w:eastAsia="Arial" w:hAnsi="Arial"/>
          <w:sz w:val="18"/>
          <w:szCs w:val="18"/>
          <w:color w:val="auto"/>
        </w:rPr>
        <w:t>” 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440" w:top="274" w:right="519" w:bottom="1440" w:gutter="0" w:footer="0" w:header="0"/>
        </w:sectPr>
      </w:pPr>
    </w:p>
    <w:bookmarkStart w:id="420" w:name="page421"/>
    <w:bookmarkEnd w:id="4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2.47 “</w:t>
      </w:r>
      <w:r>
        <w:rPr>
          <w:rFonts w:ascii="Arial" w:cs="Arial" w:eastAsia="Arial" w:hAnsi="Arial"/>
          <w:sz w:val="18"/>
          <w:szCs w:val="18"/>
          <w:b w:val="1"/>
          <w:bCs w:val="1"/>
          <w:i w:val="1"/>
          <w:iCs w:val="1"/>
          <w:color w:val="auto"/>
        </w:rPr>
        <w:t>Termination of Service</w:t>
      </w:r>
      <w:r>
        <w:rPr>
          <w:rFonts w:ascii="Arial" w:cs="Arial" w:eastAsia="Arial" w:hAnsi="Arial"/>
          <w:sz w:val="18"/>
          <w:szCs w:val="18"/>
          <w:color w:val="auto"/>
        </w:rPr>
        <w:t>” means:</w:t>
      </w:r>
    </w:p>
    <w:p>
      <w:pPr>
        <w:spacing w:after="0" w:line="117" w:lineRule="exact"/>
        <w:rPr>
          <w:sz w:val="20"/>
          <w:szCs w:val="20"/>
          <w:color w:val="auto"/>
        </w:rPr>
      </w:pPr>
    </w:p>
    <w:p>
      <w:pPr>
        <w:ind w:firstLine="996"/>
        <w:spacing w:after="0" w:line="264" w:lineRule="auto"/>
        <w:tabs>
          <w:tab w:leader="none" w:pos="1237"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As to a Consultant, the time when the engagement of a Participant as a Consultant to the Company or a Subsidiary is terminated for any reason, with or without cause, including, without limitation, by resignation, discharge, death or retirement, but excluding terminations where the Consultant simultaneously commences or remains in employment or service with the Company or any Subsidiary.</w:t>
      </w:r>
    </w:p>
    <w:p>
      <w:pPr>
        <w:spacing w:after="0" w:line="181" w:lineRule="exact"/>
        <w:rPr>
          <w:rFonts w:ascii="Arial" w:cs="Arial" w:eastAsia="Arial" w:hAnsi="Arial"/>
          <w:sz w:val="18"/>
          <w:szCs w:val="18"/>
          <w:color w:val="auto"/>
        </w:rPr>
      </w:pPr>
    </w:p>
    <w:p>
      <w:pPr>
        <w:ind w:right="200" w:firstLine="996"/>
        <w:spacing w:after="0" w:line="286" w:lineRule="auto"/>
        <w:tabs>
          <w:tab w:leader="none" w:pos="1247" w:val="left"/>
        </w:tabs>
        <w:numPr>
          <w:ilvl w:val="0"/>
          <w:numId w:val="222"/>
        </w:numPr>
        <w:rPr>
          <w:rFonts w:ascii="Arial" w:cs="Arial" w:eastAsia="Arial" w:hAnsi="Arial"/>
          <w:sz w:val="17"/>
          <w:szCs w:val="17"/>
          <w:color w:val="auto"/>
        </w:rPr>
      </w:pPr>
      <w:r>
        <w:rPr>
          <w:rFonts w:ascii="Arial" w:cs="Arial" w:eastAsia="Arial" w:hAnsi="Arial"/>
          <w:sz w:val="17"/>
          <w:szCs w:val="17"/>
          <w:color w:val="auto"/>
        </w:rPr>
        <w:t>As to a Non-Employee Director, the time when a Participant who is a Non-Employee Director ceases to be a Director for any reason, including, without limitation, a termination by resignation, failure to be elected, death or retirement, but excluding terminations where the Participant simultaneously commences or remains in employment or service with the Company or any Subsidiary.</w:t>
      </w:r>
    </w:p>
    <w:p>
      <w:pPr>
        <w:spacing w:after="0" w:line="165" w:lineRule="exact"/>
        <w:rPr>
          <w:rFonts w:ascii="Arial" w:cs="Arial" w:eastAsia="Arial" w:hAnsi="Arial"/>
          <w:sz w:val="17"/>
          <w:szCs w:val="17"/>
          <w:color w:val="auto"/>
        </w:rPr>
      </w:pPr>
    </w:p>
    <w:p>
      <w:pPr>
        <w:ind w:right="260" w:firstLine="996"/>
        <w:spacing w:after="0" w:line="312" w:lineRule="auto"/>
        <w:tabs>
          <w:tab w:leader="none" w:pos="1237"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As to an Employee, the time when the employee-employer relationship between a Participant and the Company or any Subsidiary is terminated for any reason, including, without limitation, a termination by resignation, discharge, death, disability or retirement; but excluding terminations where the Participant simultaneously commences or remains in employment or service with the Company or any Subsidiary.</w:t>
      </w:r>
    </w:p>
    <w:p>
      <w:pPr>
        <w:spacing w:after="0" w:line="147"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The Company, in its sole discretion, shall determine the effect of all matters and questions relating to any Termination of Service, including, without limitation, whether a Termination of Service has occurred, whether a Termination of Service resulted from a discharge for “cause” and all questions of whether particular leaves of absence constitute a Termination of Service. For purposes of the Plan, a Participant’s employee-employer relationship or consultancy relationship shall be deemed to be terminated in the event that the Subsidiary employing or contracting with such Participant ceases to remain a Subsidiary following any merger, sale of stock or other corporate transaction or event (including, without limitation, a spin-off), even though the Participant may subsequently continue to perform services for that entity.</w:t>
      </w:r>
    </w:p>
    <w:p>
      <w:pPr>
        <w:spacing w:after="0" w:line="39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ELIGIBILITY</w:t>
      </w:r>
    </w:p>
    <w:p>
      <w:pPr>
        <w:spacing w:after="0" w:line="211" w:lineRule="exact"/>
        <w:rPr>
          <w:sz w:val="20"/>
          <w:szCs w:val="20"/>
          <w:color w:val="auto"/>
        </w:rPr>
      </w:pPr>
    </w:p>
    <w:p>
      <w:pPr>
        <w:jc w:val="both"/>
        <w:ind w:right="60" w:firstLine="441"/>
        <w:spacing w:after="0" w:line="264" w:lineRule="auto"/>
        <w:rPr>
          <w:sz w:val="20"/>
          <w:szCs w:val="20"/>
          <w:color w:val="auto"/>
        </w:rPr>
      </w:pPr>
      <w:r>
        <w:rPr>
          <w:rFonts w:ascii="Arial" w:cs="Arial" w:eastAsia="Arial" w:hAnsi="Arial"/>
          <w:sz w:val="18"/>
          <w:szCs w:val="18"/>
          <w:color w:val="auto"/>
        </w:rPr>
        <w:t>Service Providers are eligible to be granted Awards under the Plan, subject to the limitations described herein. No Service Provider shall have any right to be granted an Award pursuant to the Plan and neither the Company nor the Administrator is obligated to treat Service Providers, Participants or any other persons uniformly.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 AND DELEGATION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117" w:lineRule="exact"/>
        <w:rPr>
          <w:sz w:val="20"/>
          <w:szCs w:val="20"/>
          <w:color w:val="auto"/>
        </w:rPr>
      </w:pPr>
    </w:p>
    <w:p>
      <w:pPr>
        <w:jc w:val="both"/>
        <w:ind w:right="100" w:firstLine="996"/>
        <w:spacing w:after="0" w:line="259" w:lineRule="auto"/>
        <w:tabs>
          <w:tab w:leader="none" w:pos="123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3" w:right="439" w:bottom="1440" w:gutter="0" w:footer="0" w:header="0"/>
        </w:sectPr>
      </w:pPr>
    </w:p>
    <w:bookmarkStart w:id="421" w:name="page422"/>
    <w:bookmarkEnd w:id="421"/>
    <w:p>
      <w:pPr>
        <w:ind w:right="2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it, him or her by any officer or other employee of the Company or any Subsidiary,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w:t>
      </w:r>
    </w:p>
    <w:p>
      <w:pPr>
        <w:spacing w:after="0" w:line="178" w:lineRule="exact"/>
        <w:rPr>
          <w:sz w:val="20"/>
          <w:szCs w:val="20"/>
          <w:color w:val="auto"/>
        </w:rPr>
      </w:pPr>
    </w:p>
    <w:p>
      <w:pPr>
        <w:ind w:left="1260" w:hanging="264"/>
        <w:spacing w:after="0"/>
        <w:tabs>
          <w:tab w:leader="none" w:pos="1260" w:val="left"/>
        </w:tabs>
        <w:numPr>
          <w:ilvl w:val="1"/>
          <w:numId w:val="224"/>
        </w:numPr>
        <w:rPr>
          <w:rFonts w:ascii="Arial" w:cs="Arial" w:eastAsia="Arial" w:hAnsi="Arial"/>
          <w:sz w:val="16"/>
          <w:szCs w:val="16"/>
          <w:color w:val="auto"/>
        </w:rPr>
      </w:pPr>
      <w:r>
        <w:rPr>
          <w:rFonts w:ascii="Arial" w:cs="Arial" w:eastAsia="Arial" w:hAnsi="Arial"/>
          <w:sz w:val="16"/>
          <w:szCs w:val="16"/>
          <w:color w:val="auto"/>
        </w:rPr>
        <w:t>Without limiting the foregoing, the Administrator has the exclusive power, authority and sole discretion to: (i) designate Participants;</w:t>
      </w:r>
    </w:p>
    <w:p>
      <w:pPr>
        <w:spacing w:after="0" w:line="46" w:lineRule="exact"/>
        <w:rPr>
          <w:rFonts w:ascii="Arial" w:cs="Arial" w:eastAsia="Arial" w:hAnsi="Arial"/>
          <w:sz w:val="16"/>
          <w:szCs w:val="16"/>
          <w:color w:val="auto"/>
        </w:rPr>
      </w:pPr>
    </w:p>
    <w:p>
      <w:pPr>
        <w:ind w:firstLine="4"/>
        <w:spacing w:after="0" w:line="281" w:lineRule="auto"/>
        <w:tabs>
          <w:tab w:leader="none" w:pos="26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w:t>
      </w:r>
    </w:p>
    <w:p>
      <w:pPr>
        <w:spacing w:after="0" w:line="2" w:lineRule="exact"/>
        <w:rPr>
          <w:rFonts w:ascii="Arial" w:cs="Arial" w:eastAsia="Arial" w:hAnsi="Arial"/>
          <w:sz w:val="16"/>
          <w:szCs w:val="16"/>
          <w:color w:val="auto"/>
        </w:rPr>
      </w:pPr>
    </w:p>
    <w:p>
      <w:pPr>
        <w:ind w:right="60" w:firstLine="4"/>
        <w:spacing w:after="0" w:line="255" w:lineRule="auto"/>
        <w:tabs>
          <w:tab w:leader="none" w:pos="25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Shares, or other property, or an Award may be canceled, forfeited, or surrendered; and (vi) make all other decisions and determinations that may be required pursuant to the Plan or as the Administrator deems necessary or advisable to administer the Plan.</w:t>
      </w:r>
    </w:p>
    <w:p>
      <w:pPr>
        <w:spacing w:after="0" w:line="190" w:lineRule="exact"/>
        <w:rPr>
          <w:sz w:val="20"/>
          <w:szCs w:val="20"/>
          <w:color w:val="auto"/>
        </w:rPr>
      </w:pPr>
    </w:p>
    <w:p>
      <w:pPr>
        <w:ind w:right="80" w:firstLine="441"/>
        <w:spacing w:after="0" w:line="26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Delegation of Authority</w:t>
      </w:r>
      <w:r>
        <w:rPr>
          <w:rFonts w:ascii="Arial" w:cs="Arial" w:eastAsia="Arial" w:hAnsi="Arial"/>
          <w:sz w:val="17"/>
          <w:szCs w:val="17"/>
          <w:color w:val="auto"/>
        </w:rPr>
        <w:t>. To the extent permitted by Applicable Law, the Board or any Committee may delegate any or all of its powers under the Plan to one or more Committees or officers of the Company or any of its Subsidiaries; provided, however, that in no event shall an officer of the Company or any of its Subsidiaries be delegated the authority to grant Awards to, or amend Awards held by, the following individuals: (a) individuals who are subject to Section 16 of the Exchange Act, or (b) officers of the Company or any of its Subsidiaries or Directors to whom authority to grant or amend Awards has been delegated hereunder.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4.2 shall serve in such capacity at the pleasure of the Board or the Committee, as applicable, and the Board or the Committee may abolish any committee at any time and re-vest in itself any previously delegated authority. Further, regardless of any delegation, the Board or a Committee may, in its discretion, exercise any and all rights and duties as the Administrator under the Plan delegated thereby, except with respect to Awards that are required to be determined in the sole discretion of the Committee under the rules of any securities exchange or automated quotation system on which the Shares are listed, quoted or traded.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AVAILABLE FOR AWARDS</w:t>
      </w:r>
    </w:p>
    <w:p>
      <w:pPr>
        <w:spacing w:after="0" w:line="21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Number of Shares</w:t>
      </w:r>
      <w:r>
        <w:rPr>
          <w:rFonts w:ascii="Arial" w:cs="Arial" w:eastAsia="Arial" w:hAnsi="Arial"/>
          <w:sz w:val="18"/>
          <w:szCs w:val="18"/>
          <w:color w:val="auto"/>
        </w:rPr>
        <w:t>. Subject to adjustment under Article IX and the terms of this Article V, Awards may be made under the Plan covering up to the Overall Share Limit. As of the Effective Date, the Company will cease granting awards under the Prior Plan; however, Prior Plan Awards will remain subject to the terms of the Prior Plan. Shares issued or delivered under the Plan may consist of authorized but unissued Shares, Shares purchased on the open market or treasury Shares.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422" w:name="page423"/>
    <w:bookmarkEnd w:id="4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5.2 </w:t>
      </w:r>
      <w:r>
        <w:rPr>
          <w:rFonts w:ascii="Arial" w:cs="Arial" w:eastAsia="Arial" w:hAnsi="Arial"/>
          <w:sz w:val="18"/>
          <w:szCs w:val="18"/>
          <w:u w:val="single" w:color="auto"/>
          <w:color w:val="auto"/>
        </w:rPr>
        <w:t>Share Recycling</w:t>
      </w:r>
      <w:r>
        <w:rPr>
          <w:rFonts w:ascii="Arial" w:cs="Arial" w:eastAsia="Arial" w:hAnsi="Arial"/>
          <w:sz w:val="18"/>
          <w:szCs w:val="18"/>
          <w:color w:val="auto"/>
        </w:rPr>
        <w:t>.</w:t>
      </w:r>
    </w:p>
    <w:p>
      <w:pPr>
        <w:spacing w:after="0" w:line="117" w:lineRule="exact"/>
        <w:rPr>
          <w:sz w:val="20"/>
          <w:szCs w:val="20"/>
          <w:color w:val="auto"/>
        </w:rPr>
      </w:pPr>
    </w:p>
    <w:p>
      <w:pPr>
        <w:ind w:right="140" w:firstLine="996"/>
        <w:spacing w:after="0" w:line="255" w:lineRule="auto"/>
        <w:tabs>
          <w:tab w:leader="none" w:pos="1237"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If all or any part of an Award or Prior Plan Award expires, lapses or is terminated, converted into an award in respect of shares of another entity in connection with a spin-off or other similar event, exchanged for cash, surrendered, repurchased, canceled without having been fully exercised or forfeited, in any case, in a manner that results in the Company acquiring Shares covered by the Award or Prior Plan Award at a price not greater than the price (as adjusted to reflect any Equity Restructuring) paid by the Participant for such Shares or not issuing any Shares covered by the Award or Prior Plan Award, the unused Shares covered by the Award or Prior Plan Award will, as applicable, become or again be available for Awards under the Plan. The payment of Dividend Equivalents in cash in conjunction with any outstanding Awards or Prior Plan Awards shall not count against the Overall Share Limit.</w:t>
      </w:r>
    </w:p>
    <w:p>
      <w:pPr>
        <w:spacing w:after="0" w:line="189" w:lineRule="exact"/>
        <w:rPr>
          <w:rFonts w:ascii="Arial" w:cs="Arial" w:eastAsia="Arial" w:hAnsi="Arial"/>
          <w:sz w:val="18"/>
          <w:szCs w:val="18"/>
          <w:color w:val="auto"/>
        </w:rPr>
      </w:pPr>
    </w:p>
    <w:p>
      <w:pPr>
        <w:ind w:right="80" w:firstLine="996"/>
        <w:spacing w:after="0" w:line="273" w:lineRule="auto"/>
        <w:tabs>
          <w:tab w:leader="none" w:pos="1247"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 addition, the following Shares shall be available for future grants of Awards: (i) Shares tendered by a Participant or withheld by the Company in payment of the exercise price of an Option or any stock option granted under the Prior Plan; (ii) Shares tendered by the Participant or withheld by the Company to satisfy any tax withholding obligation with respect to an Award or any award granted under the Prior Plan; and (iii) Shares subject to a Stock Appreciation Right that are not issued in connection with the stock settlement of the Stock Appreciation Right on exercise thereof. Notwithstanding the provisions of this Section 5.2(b), no Shares may again be optioned, granted or awarded pursuant to an Incentive Stock Option if such action would cause such Option to fail to qualify as an incentive stock option under Section 422 of the Code.</w:t>
      </w:r>
    </w:p>
    <w:p>
      <w:pPr>
        <w:spacing w:after="0" w:line="178"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Incentive Stock Option Limitations</w:t>
      </w:r>
      <w:r>
        <w:rPr>
          <w:rFonts w:ascii="Arial" w:cs="Arial" w:eastAsia="Arial" w:hAnsi="Arial"/>
          <w:sz w:val="18"/>
          <w:szCs w:val="18"/>
          <w:color w:val="auto"/>
        </w:rPr>
        <w:t>. Notwithstanding anything to the contrary herein, no more than 46,173,732 Shares (as adjusted to reflect any Equity Restructuring) may be issued pursuant to the exercise of Incentive Stock Options.</w:t>
      </w:r>
    </w:p>
    <w:p>
      <w:pPr>
        <w:spacing w:after="0" w:line="170"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Substitute Awards</w:t>
      </w:r>
      <w:r>
        <w:rPr>
          <w:rFonts w:ascii="Arial" w:cs="Arial" w:eastAsia="Arial" w:hAnsi="Arial"/>
          <w:sz w:val="17"/>
          <w:szCs w:val="17"/>
          <w:color w:val="auto"/>
        </w:rPr>
        <w:t>. In connection with an entity’s merger or consolidation with the Company or any Subsidiary or the Company’s or any Subsidiary’s acquisition of an entity’s property or stock, the Administrator may grant Awards in substitution for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appropriately adjusted to reflect the transaction) may be used for Awards under the Plan and shall not reduce the Shares authorized for grant under the Plan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of its Subsidiaries prior to such acquisition or combination.</w:t>
      </w:r>
    </w:p>
    <w:p>
      <w:pPr>
        <w:spacing w:after="0" w:line="185"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Non-Employee Director Award Limit</w:t>
      </w:r>
      <w:r>
        <w:rPr>
          <w:rFonts w:ascii="Arial" w:cs="Arial" w:eastAsia="Arial" w:hAnsi="Arial"/>
          <w:sz w:val="18"/>
          <w:szCs w:val="18"/>
          <w:color w:val="auto"/>
        </w:rPr>
        <w:t>. Notwithstanding any provision to the contrary in the Plan or in any policy of the Company regarding non-employee director compensation, the sum of the grant date fair value (determined as of the grant date in accordance with Financial Accounting Standards Board Accounting Standards Codification Topic 718, or any successor thereto) of all equity-based Awards and the maximum amount that may become payable pursuant to all cash-based Awards that may be granted to a Service Provider as compensation for services as a Non-Employee Director during any calendar year shall not exceed $1,000,000.</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423" w:name="page424"/>
    <w:bookmarkEnd w:id="4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OPTIONS AND STOCK APPRECIATION RIGHTS</w:t>
      </w:r>
    </w:p>
    <w:p>
      <w:pPr>
        <w:spacing w:after="0" w:line="211"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General</w:t>
      </w:r>
      <w:r>
        <w:rPr>
          <w:rFonts w:ascii="Arial" w:cs="Arial" w:eastAsia="Arial" w:hAnsi="Arial"/>
          <w:sz w:val="17"/>
          <w:szCs w:val="17"/>
          <w:color w:val="auto"/>
        </w:rPr>
        <w:t>. The Administrator may grant Options or Stock Appreciation Rights to one or more Service Providers,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w:t>
      </w:r>
    </w:p>
    <w:p>
      <w:pPr>
        <w:spacing w:after="0" w:line="182"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Exercise Price</w:t>
      </w:r>
      <w:r>
        <w:rPr>
          <w:rFonts w:ascii="Arial" w:cs="Arial" w:eastAsia="Arial" w:hAnsi="Arial"/>
          <w:sz w:val="18"/>
          <w:szCs w:val="18"/>
          <w:color w:val="auto"/>
        </w:rPr>
        <w:t>. The Administrator will establish each Option’s and Stock Appreciation Right’s exercise price and specify the exercise price in the Award Agreement. Subject to Section 6.6, the exercise price will not be less than 100% of the Fair Market Value on the grant date of the Option or Stock Appreciation Right. Notwithstanding the foregoing, in the case of an Option or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 424 and 409A of the Code.</w:t>
      </w:r>
    </w:p>
    <w:p>
      <w:pPr>
        <w:spacing w:after="0" w:line="193"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Duration of Options</w:t>
      </w:r>
      <w:r>
        <w:rPr>
          <w:rFonts w:ascii="Arial" w:cs="Arial" w:eastAsia="Arial" w:hAnsi="Arial"/>
          <w:sz w:val="17"/>
          <w:szCs w:val="17"/>
          <w:color w:val="auto"/>
        </w:rPr>
        <w:t>. Subject to Section 6.6, each Option or Stock Appreciation Right will be exercisable at such times and as specified in the Award Agreement, provided that the term of an Option or Stock Appreciation Right will not exceed ten years; provided, further, that, unless otherwise determined by the Administrator,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w:t>
      </w:r>
    </w:p>
    <w:p>
      <w:pPr>
        <w:spacing w:after="0" w:line="178" w:lineRule="exact"/>
        <w:rPr>
          <w:sz w:val="20"/>
          <w:szCs w:val="20"/>
          <w:color w:val="auto"/>
        </w:rPr>
      </w:pPr>
    </w:p>
    <w:p>
      <w:pPr>
        <w:ind w:firstLine="441"/>
        <w:spacing w:after="0" w:line="302"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Exercise</w:t>
      </w:r>
      <w:r>
        <w:rPr>
          <w:rFonts w:ascii="Arial" w:cs="Arial" w:eastAsia="Arial" w:hAnsi="Arial"/>
          <w:sz w:val="16"/>
          <w:szCs w:val="16"/>
          <w:color w:val="auto"/>
        </w:rPr>
        <w:t>.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payment in full of (a) the exercise price for the number of Shares for which the Option is exercised in a</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424" w:name="page425"/>
    <w:bookmarkEnd w:id="424"/>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manner specified in Section 6.5 and (b) all applicable taxes in a manner specified in Section 10.5. The Administrator may, in its discretion, limit exercise with respect to fractional Shares and require that any partial exercise of an Option or Stock Appreciation Right be with respect to a minimum number of Shares.</w:t>
      </w:r>
    </w:p>
    <w:p>
      <w:pPr>
        <w:spacing w:after="0" w:line="18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Payment Upon Exercise</w:t>
      </w:r>
      <w:r>
        <w:rPr>
          <w:rFonts w:ascii="Arial" w:cs="Arial" w:eastAsia="Arial" w:hAnsi="Arial"/>
          <w:sz w:val="18"/>
          <w:szCs w:val="18"/>
          <w:color w:val="auto"/>
        </w:rPr>
        <w:t>. The Administrator shall determine the methods by which payment of the exercise price of an Option shall be made, including, without limitation:</w:t>
      </w:r>
    </w:p>
    <w:p>
      <w:pPr>
        <w:spacing w:after="0" w:line="62" w:lineRule="exact"/>
        <w:rPr>
          <w:sz w:val="20"/>
          <w:szCs w:val="20"/>
          <w:color w:val="auto"/>
        </w:rPr>
      </w:pPr>
    </w:p>
    <w:p>
      <w:pPr>
        <w:ind w:right="420" w:firstLine="996"/>
        <w:spacing w:after="0" w:line="277" w:lineRule="auto"/>
        <w:tabs>
          <w:tab w:leader="none" w:pos="123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Cash, check or wire transfer of immediately available funds; provided that the Company may limit the use of one of the foregoing methods if one or more of the methods below is permitted;</w:t>
      </w:r>
    </w:p>
    <w:p>
      <w:pPr>
        <w:spacing w:after="0" w:line="170" w:lineRule="exact"/>
        <w:rPr>
          <w:rFonts w:ascii="Arial" w:cs="Arial" w:eastAsia="Arial" w:hAnsi="Arial"/>
          <w:sz w:val="18"/>
          <w:szCs w:val="18"/>
          <w:color w:val="auto"/>
        </w:rPr>
      </w:pPr>
    </w:p>
    <w:p>
      <w:pPr>
        <w:ind w:right="100" w:firstLine="996"/>
        <w:spacing w:after="0" w:line="293" w:lineRule="auto"/>
        <w:tabs>
          <w:tab w:leader="none" w:pos="1247"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w:t>
      </w:r>
    </w:p>
    <w:p>
      <w:pPr>
        <w:spacing w:after="0" w:line="164" w:lineRule="exact"/>
        <w:rPr>
          <w:rFonts w:ascii="Arial" w:cs="Arial" w:eastAsia="Arial" w:hAnsi="Arial"/>
          <w:sz w:val="16"/>
          <w:szCs w:val="16"/>
          <w:color w:val="auto"/>
        </w:rPr>
      </w:pPr>
    </w:p>
    <w:p>
      <w:pPr>
        <w:ind w:right="440" w:firstLine="996"/>
        <w:spacing w:after="0" w:line="277" w:lineRule="auto"/>
        <w:tabs>
          <w:tab w:leader="none" w:pos="123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(either by actual delivery or attestation) of Shares owned by the Participant valued at their Fair Market Value on the date of delivery;</w:t>
      </w:r>
    </w:p>
    <w:p>
      <w:pPr>
        <w:spacing w:after="0" w:line="170" w:lineRule="exact"/>
        <w:rPr>
          <w:rFonts w:ascii="Arial" w:cs="Arial" w:eastAsia="Arial" w:hAnsi="Arial"/>
          <w:sz w:val="18"/>
          <w:szCs w:val="18"/>
          <w:color w:val="auto"/>
        </w:rPr>
      </w:pPr>
    </w:p>
    <w:p>
      <w:pPr>
        <w:ind w:right="120" w:firstLine="996"/>
        <w:spacing w:after="0" w:line="277" w:lineRule="auto"/>
        <w:tabs>
          <w:tab w:leader="none" w:pos="1247"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the extent permitted by the Administrator, surrendering Shares then issuable upon the Option’s exercise valued at their Fair Market Value on the exercise date;</w:t>
      </w:r>
    </w:p>
    <w:p>
      <w:pPr>
        <w:spacing w:after="0" w:line="170" w:lineRule="exact"/>
        <w:rPr>
          <w:rFonts w:ascii="Arial" w:cs="Arial" w:eastAsia="Arial" w:hAnsi="Arial"/>
          <w:sz w:val="18"/>
          <w:szCs w:val="18"/>
          <w:color w:val="auto"/>
        </w:rPr>
      </w:pPr>
    </w:p>
    <w:p>
      <w:pPr>
        <w:ind w:left="1240" w:hanging="244"/>
        <w:spacing w:after="0"/>
        <w:tabs>
          <w:tab w:leader="none" w:pos="124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the extent permitted by the Administrator, delivery of a promissory note or any other lawful consideration; or</w:t>
      </w:r>
    </w:p>
    <w:p>
      <w:pPr>
        <w:spacing w:after="0" w:line="225" w:lineRule="exact"/>
        <w:rPr>
          <w:rFonts w:ascii="Arial" w:cs="Arial" w:eastAsia="Arial" w:hAnsi="Arial"/>
          <w:sz w:val="18"/>
          <w:szCs w:val="18"/>
          <w:color w:val="auto"/>
        </w:rPr>
      </w:pPr>
    </w:p>
    <w:p>
      <w:pPr>
        <w:ind w:left="1220" w:hanging="224"/>
        <w:spacing w:after="0"/>
        <w:tabs>
          <w:tab w:leader="none" w:pos="12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the extent permitted by the Administrator, any combination of the above payment forms.</w:t>
      </w:r>
    </w:p>
    <w:p>
      <w:pPr>
        <w:spacing w:after="0" w:line="225"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Additional Terms of Incentive Stock Options</w:t>
      </w:r>
      <w:r>
        <w:rPr>
          <w:rFonts w:ascii="Arial" w:cs="Arial" w:eastAsia="Arial" w:hAnsi="Arial"/>
          <w:sz w:val="17"/>
          <w:szCs w:val="17"/>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(and Award Agreements related thereto)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425" w:name="page426"/>
    <w:bookmarkEnd w:id="4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RESTRICTED STOCK UNITS</w:t>
      </w:r>
    </w:p>
    <w:p>
      <w:pPr>
        <w:spacing w:after="0" w:line="211"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General</w:t>
      </w:r>
      <w:r>
        <w:rPr>
          <w:rFonts w:ascii="Arial" w:cs="Arial" w:eastAsia="Arial" w:hAnsi="Arial"/>
          <w:sz w:val="17"/>
          <w:szCs w:val="17"/>
          <w:color w:val="auto"/>
        </w:rPr>
        <w:t>. The Administrator may grant Restricted Stock, or the right to purchase Restricted Stock, to any Service Provider, subject to forfeiture or the Company’s right to repurchase all or part of such shares at their issue price or other stated or formula price from the Participant if conditions the Administrator specifies in the Award Agreement are not satisfied before the end of the applicable restriction period or periods that the Administrator establishes for such Award. In addition, the Administrator may grant Restricted Stock Units, which may be subject to vesting and forfeiture conditions during the applicable restriction period or periods, as set forth in an Award Agreement, to Service Providers. The Administrator shall establish the purchase price, if any, and form of payment for Restricted Stock and Restricted Stock Units;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 and Restricted Stock Units to the extent required by Applicable Law. The Award Agreement for each Restricted Stock and Restricted Stock Unit Award shall set forth the terms and conditions not inconsistent with the Plan as the Administrator shall determine.</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Restricted Stock</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71" w:lineRule="auto"/>
        <w:tabs>
          <w:tab w:leader="none" w:pos="1236" w:val="left"/>
        </w:tabs>
        <w:numPr>
          <w:ilvl w:val="0"/>
          <w:numId w:val="229"/>
        </w:numPr>
        <w:rPr>
          <w:rFonts w:ascii="Arial" w:cs="Arial" w:eastAsia="Arial" w:hAnsi="Arial"/>
          <w:sz w:val="17"/>
          <w:szCs w:val="17"/>
          <w:color w:val="auto"/>
        </w:rPr>
      </w:pPr>
      <w:r>
        <w:rPr>
          <w:rFonts w:ascii="Arial" w:cs="Arial" w:eastAsia="Arial" w:hAnsi="Arial"/>
          <w:sz w:val="17"/>
          <w:szCs w:val="17"/>
          <w:i w:val="1"/>
          <w:iCs w:val="1"/>
          <w:color w:val="auto"/>
        </w:rPr>
        <w:t>Stockholder Rights</w:t>
      </w:r>
      <w:r>
        <w:rPr>
          <w:rFonts w:ascii="Arial" w:cs="Arial" w:eastAsia="Arial" w:hAnsi="Arial"/>
          <w:sz w:val="17"/>
          <w:szCs w:val="17"/>
          <w:color w:val="auto"/>
        </w:rPr>
        <w:t>. Unless otherwise determined by the Administrator, each Participant holding shares of Restricted Stock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entitled to all the rights of a stockholder with respect to such Shares, subject to the restrictions in the Plan and the applicable Award Agreement, including the right to receive all dividends and other distributions paid or made with respect to the Shares to the extent such dividends and other distributions have a record date that is on or after the date on which such Participant becomes the record holder of such Shares; provided, however, that with respect to a share of Restricted Stock subject to restrictions or vesting conditions as described in Section 8.3, except in connection with a spin-off or other similar event as otherwise permitted under Section 9.2, dividends which are paid to Company stockholders prior to the removal of restrictions and satisfaction of vesting conditions shall only be paid to the Participant to the extent that the restrictions are subsequently removed and the vesting conditions are subsequently satisfied and the share of Restricted Stock vests.</w:t>
      </w:r>
    </w:p>
    <w:p>
      <w:pPr>
        <w:spacing w:after="0" w:line="178" w:lineRule="exact"/>
        <w:rPr>
          <w:rFonts w:ascii="Arial" w:cs="Arial" w:eastAsia="Arial" w:hAnsi="Arial"/>
          <w:sz w:val="17"/>
          <w:szCs w:val="17"/>
          <w:color w:val="auto"/>
        </w:rPr>
      </w:pPr>
    </w:p>
    <w:p>
      <w:pPr>
        <w:ind w:right="460" w:firstLine="996"/>
        <w:spacing w:after="0" w:line="277" w:lineRule="auto"/>
        <w:tabs>
          <w:tab w:leader="none" w:pos="1247"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Stock Certificates</w:t>
      </w:r>
      <w:r>
        <w:rPr>
          <w:rFonts w:ascii="Arial" w:cs="Arial" w:eastAsia="Arial" w:hAnsi="Arial"/>
          <w:sz w:val="18"/>
          <w:szCs w:val="18"/>
          <w:color w:val="auto"/>
        </w:rPr>
        <w:t>. The Company may require that the Participant deposit in escrow with the Company (or its designee) any stock</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issued in respect of shares of Restricted Stock, together with a stock power endorsed in blank.</w:t>
      </w:r>
    </w:p>
    <w:p>
      <w:pPr>
        <w:spacing w:after="0" w:line="170" w:lineRule="exact"/>
        <w:rPr>
          <w:rFonts w:ascii="Arial" w:cs="Arial" w:eastAsia="Arial" w:hAnsi="Arial"/>
          <w:sz w:val="18"/>
          <w:szCs w:val="18"/>
          <w:color w:val="auto"/>
        </w:rPr>
      </w:pPr>
    </w:p>
    <w:p>
      <w:pPr>
        <w:ind w:right="140" w:firstLine="996"/>
        <w:spacing w:after="0" w:line="259" w:lineRule="auto"/>
        <w:tabs>
          <w:tab w:leader="none" w:pos="1236"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Section 83(b) Election</w:t>
      </w:r>
      <w:r>
        <w:rPr>
          <w:rFonts w:ascii="Arial" w:cs="Arial" w:eastAsia="Arial" w:hAnsi="Arial"/>
          <w:sz w:val="18"/>
          <w:szCs w:val="18"/>
          <w:color w:val="auto"/>
        </w:rPr>
        <w:t>. If a Participant makes an election under Section 83(b) of the Code to be taxed with respect to the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as of the date of transfer of the Restricted Stock rather than as of the date or dates upon which such Participant would otherwise be taxable under Section 83(a) of the Code, such Participant shall be required to deliver a copy of such election to the Company promptly after filing such election with the Internal Revenue Service along with proof of the timely filing thereof.</w:t>
      </w:r>
    </w:p>
    <w:p>
      <w:pPr>
        <w:spacing w:after="0" w:line="187"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69" w:right="439" w:bottom="1440" w:gutter="0" w:footer="0" w:header="0"/>
        </w:sectPr>
      </w:pPr>
    </w:p>
    <w:bookmarkStart w:id="426" w:name="page427"/>
    <w:bookmarkEnd w:id="4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7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TYPES OF AWARDS</w:t>
      </w:r>
    </w:p>
    <w:p>
      <w:pPr>
        <w:spacing w:after="0" w:line="211" w:lineRule="exact"/>
        <w:rPr>
          <w:sz w:val="20"/>
          <w:szCs w:val="20"/>
          <w:color w:val="auto"/>
        </w:rPr>
      </w:pPr>
    </w:p>
    <w:p>
      <w:pPr>
        <w:ind w:right="140" w:firstLine="441"/>
        <w:spacing w:after="0" w:line="26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General</w:t>
      </w:r>
      <w:r>
        <w:rPr>
          <w:rFonts w:ascii="Arial" w:cs="Arial" w:eastAsia="Arial" w:hAnsi="Arial"/>
          <w:sz w:val="18"/>
          <w:szCs w:val="18"/>
          <w:color w:val="auto"/>
        </w:rPr>
        <w:t>. The Administrator may grant Performance Stock Unit awards, Performance Bonus Awards, Dividend Equivalents or Other Stock or Cash Based Awards, to one or more Service Providers, in such amounts and subject to such terms and conditions not inconsistent with the Plan as the Administrator shall determine.</w:t>
      </w:r>
    </w:p>
    <w:p>
      <w:pPr>
        <w:spacing w:after="0" w:line="181" w:lineRule="exact"/>
        <w:rPr>
          <w:sz w:val="20"/>
          <w:szCs w:val="20"/>
          <w:color w:val="auto"/>
        </w:rPr>
      </w:pPr>
    </w:p>
    <w:p>
      <w:pPr>
        <w:ind w:right="160" w:firstLine="441"/>
        <w:spacing w:after="0" w:line="29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Performance Stock Unit Awards</w:t>
      </w:r>
      <w:r>
        <w:rPr>
          <w:rFonts w:ascii="Arial" w:cs="Arial" w:eastAsia="Arial" w:hAnsi="Arial"/>
          <w:sz w:val="16"/>
          <w:szCs w:val="16"/>
          <w:color w:val="auto"/>
        </w:rPr>
        <w:t>. 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spacing w:after="0" w:line="158"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Performance Bonus Awards</w:t>
      </w:r>
      <w:r>
        <w:rPr>
          <w:rFonts w:ascii="Arial" w:cs="Arial" w:eastAsia="Arial" w:hAnsi="Arial"/>
          <w:sz w:val="17"/>
          <w:szCs w:val="17"/>
          <w:color w:val="auto"/>
        </w:rPr>
        <w:t>. Each right to receive a bonus granted under this Section 8.3 shall be denominated in the form of cash (but may be payable in cash, stock or a combination thereof) (a “</w:t>
      </w:r>
      <w:r>
        <w:rPr>
          <w:rFonts w:ascii="Arial" w:cs="Arial" w:eastAsia="Arial" w:hAnsi="Arial"/>
          <w:sz w:val="17"/>
          <w:szCs w:val="17"/>
          <w:b w:val="1"/>
          <w:bCs w:val="1"/>
          <w:i w:val="1"/>
          <w:iCs w:val="1"/>
          <w:color w:val="auto"/>
        </w:rPr>
        <w:t>Performance Bonus Award</w:t>
      </w:r>
      <w:r>
        <w:rPr>
          <w:rFonts w:ascii="Arial" w:cs="Arial" w:eastAsia="Arial" w:hAnsi="Arial"/>
          <w:sz w:val="17"/>
          <w:szCs w:val="17"/>
          <w:color w:val="auto"/>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spacing w:after="0" w:line="171"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Dividend Equivalents</w:t>
      </w:r>
      <w:r>
        <w:rPr>
          <w:rFonts w:ascii="Arial" w:cs="Arial" w:eastAsia="Arial" w:hAnsi="Arial"/>
          <w:sz w:val="17"/>
          <w:szCs w:val="17"/>
          <w:color w:val="auto"/>
        </w:rPr>
        <w:t>.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(i) to the extent permitted by Applicable Law, not be paid or credited or (ii) be accumulated and subject to vesting to the same extent as the related Award. All such Dividend Equivalents shall be paid at such time as the Administrator shall specify in the applicable Award Agreement.</w:t>
      </w:r>
    </w:p>
    <w:p>
      <w:pPr>
        <w:spacing w:after="0" w:line="17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Other Stock or Cash Based Awards</w:t>
      </w:r>
      <w:r>
        <w:rPr>
          <w:rFonts w:ascii="Arial" w:cs="Arial" w:eastAsia="Arial" w:hAnsi="Arial"/>
          <w:sz w:val="17"/>
          <w:szCs w:val="17"/>
          <w:color w:val="auto"/>
        </w:rPr>
        <w:t>.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dividends that are paid prior to vesting of any Other Stock or Cash Based Award shall only be paid to the applicable Participant to the extent that the vesting conditions are subsequently satisfied and the Other Stock or Cash Based Award vests.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427" w:name="page428"/>
    <w:bookmarkEnd w:id="42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ADJUSTMENTS FOR CHANGES IN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CERTAIN OTHER EVENTS</w:t>
      </w:r>
    </w:p>
    <w:p>
      <w:pPr>
        <w:spacing w:after="0" w:line="21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u w:val="single" w:color="auto"/>
          <w:color w:val="auto"/>
        </w:rPr>
        <w:t>Equity Restructuring</w:t>
      </w:r>
      <w:r>
        <w:rPr>
          <w:rFonts w:ascii="Arial" w:cs="Arial" w:eastAsia="Arial" w:hAnsi="Arial"/>
          <w:sz w:val="16"/>
          <w:szCs w:val="16"/>
          <w:color w:val="auto"/>
        </w:rPr>
        <w:t>. In connection with any Equity Restructuring, notwithstanding anything to the contrary in this Article IX the Administrator will equitably adjust the terms of the Plan and each outstanding Award as it deems appropriate to reflect the Equity Restructuring, which may include (i) adjusting the number and type of securities subject to each outstanding Award or with respect to which Awards may be granted under the Plan (including, but not limited to, adjustments of the limitations in Article V hereof on the maximum number and kind of shares that may be issued);</w:t>
      </w:r>
    </w:p>
    <w:p>
      <w:pPr>
        <w:spacing w:after="0" w:line="2" w:lineRule="exact"/>
        <w:rPr>
          <w:sz w:val="20"/>
          <w:szCs w:val="20"/>
          <w:color w:val="auto"/>
        </w:rPr>
      </w:pPr>
    </w:p>
    <w:p>
      <w:pPr>
        <w:ind w:right="20" w:firstLine="4"/>
        <w:spacing w:after="0" w:line="254" w:lineRule="auto"/>
        <w:tabs>
          <w:tab w:leader="none" w:pos="26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adjusting the terms and conditions of (including the grant or exercise price), and the performance goals or other criteria included in, outstanding Awards; and (iii) granting new Awards or making cash payments to Participants. The adjustments provided under this Section 9.1 will be nondiscretionary and final and binding on all interested parties, including the affected Participant and the Company; provided that the Administrator will determine whether an adjustment is equitable.</w:t>
      </w:r>
    </w:p>
    <w:p>
      <w:pPr>
        <w:spacing w:after="0" w:line="190" w:lineRule="exact"/>
        <w:rPr>
          <w:sz w:val="20"/>
          <w:szCs w:val="20"/>
          <w:color w:val="auto"/>
        </w:rPr>
      </w:pPr>
    </w:p>
    <w:p>
      <w:pPr>
        <w:ind w:right="60" w:firstLine="441"/>
        <w:spacing w:after="0" w:line="26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Corporate Transactions</w:t>
      </w:r>
      <w:r>
        <w:rPr>
          <w:rFonts w:ascii="Arial" w:cs="Arial" w:eastAsia="Arial" w:hAnsi="Arial"/>
          <w:sz w:val="17"/>
          <w:szCs w:val="17"/>
          <w:color w:val="auto"/>
        </w:rPr>
        <w:t>. In the event of any dividend or other distribution (whether in the form of cash, Common Stock, other securities, or other property), reorganization, merger, consolidation, split-up, spin off, combination, amalgamation, repurchase, recapitalization, liquidation, dissolution, or sale, transfer, exchange or other disposition of all or substantially all of the assets of the Company, or sale or exchange of Common Stock or other securities of the Company, Change in Control, issuance of warrants or other rights to purchase Common Stock or other securities of the Company,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w:t>
      </w:r>
    </w:p>
    <w:p>
      <w:pPr>
        <w:spacing w:after="0" w:line="72" w:lineRule="exact"/>
        <w:rPr>
          <w:sz w:val="20"/>
          <w:szCs w:val="20"/>
          <w:color w:val="auto"/>
        </w:rPr>
      </w:pPr>
    </w:p>
    <w:p>
      <w:pPr>
        <w:ind w:right="60" w:firstLine="996"/>
        <w:spacing w:after="0" w:line="257" w:lineRule="auto"/>
        <w:tabs>
          <w:tab w:leader="none" w:pos="123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188" w:lineRule="exact"/>
        <w:rPr>
          <w:rFonts w:ascii="Arial" w:cs="Arial" w:eastAsia="Arial" w:hAnsi="Arial"/>
          <w:sz w:val="18"/>
          <w:szCs w:val="18"/>
          <w:color w:val="auto"/>
        </w:rPr>
      </w:pPr>
    </w:p>
    <w:p>
      <w:pPr>
        <w:ind w:right="120" w:firstLine="996"/>
        <w:spacing w:after="0" w:line="277" w:lineRule="auto"/>
        <w:tabs>
          <w:tab w:leader="none" w:pos="124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To provide that such Award shall vest and, to the extent applicable, be exercisable as to all Shares (or other property) covered thereby, notwithstanding anything to the contrary in the Plan or the provisions of such Award;</w:t>
      </w:r>
    </w:p>
    <w:p>
      <w:pPr>
        <w:spacing w:after="0" w:line="170" w:lineRule="exact"/>
        <w:rPr>
          <w:rFonts w:ascii="Arial" w:cs="Arial" w:eastAsia="Arial" w:hAnsi="Arial"/>
          <w:sz w:val="18"/>
          <w:szCs w:val="18"/>
          <w:color w:val="auto"/>
        </w:rPr>
      </w:pPr>
    </w:p>
    <w:p>
      <w:pPr>
        <w:ind w:right="100" w:firstLine="996"/>
        <w:spacing w:after="0" w:line="312" w:lineRule="auto"/>
        <w:tabs>
          <w:tab w:leader="none" w:pos="123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 applicable exercise or purchase price, in all cases, as determined by the Administrator;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69" w:right="439" w:bottom="1440" w:gutter="0" w:footer="0" w:header="0"/>
        </w:sectPr>
      </w:pPr>
    </w:p>
    <w:bookmarkStart w:id="428" w:name="page429"/>
    <w:bookmarkEnd w:id="428"/>
    <w:p>
      <w:pPr>
        <w:ind w:right="60" w:firstLine="996"/>
        <w:spacing w:after="0" w:line="259" w:lineRule="auto"/>
        <w:tabs>
          <w:tab w:leader="none" w:pos="1247"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make adjustments in the number and type of shares of Common Stock (or other securities or property) subject to outstanding Awards or with respect to which Awards may be granted under the Plan (including, but not limited to, adjustments of the limitations in Article V hereof on the maximum number and kind of shares which may be issued) or in the terms and conditions of (including the grant or exercise price), and the criteria included in, outstanding Awards;</w:t>
      </w:r>
    </w:p>
    <w:p>
      <w:pPr>
        <w:spacing w:after="0" w:line="186" w:lineRule="exact"/>
        <w:rPr>
          <w:rFonts w:ascii="Arial" w:cs="Arial" w:eastAsia="Arial" w:hAnsi="Arial"/>
          <w:sz w:val="18"/>
          <w:szCs w:val="18"/>
          <w:color w:val="auto"/>
        </w:rPr>
      </w:pPr>
    </w:p>
    <w:p>
      <w:pPr>
        <w:ind w:left="1240" w:hanging="244"/>
        <w:spacing w:after="0"/>
        <w:tabs>
          <w:tab w:leader="none" w:pos="12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replace such Award with other rights or property selected by the Administrator; or</w:t>
      </w:r>
    </w:p>
    <w:p>
      <w:pPr>
        <w:spacing w:after="0" w:line="225" w:lineRule="exact"/>
        <w:rPr>
          <w:rFonts w:ascii="Arial" w:cs="Arial" w:eastAsia="Arial" w:hAnsi="Arial"/>
          <w:sz w:val="18"/>
          <w:szCs w:val="18"/>
          <w:color w:val="auto"/>
        </w:rPr>
      </w:pPr>
    </w:p>
    <w:p>
      <w:pPr>
        <w:ind w:left="1220" w:hanging="224"/>
        <w:spacing w:after="0"/>
        <w:tabs>
          <w:tab w:leader="none" w:pos="12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To provide that the Award will terminate and cannot vest, be exercised or become payable after the applicable event.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Change in Control</w:t>
      </w:r>
      <w:r>
        <w:rPr>
          <w:rFonts w:ascii="Arial" w:cs="Arial" w:eastAsia="Arial" w:hAnsi="Arial"/>
          <w:sz w:val="18"/>
          <w:szCs w:val="18"/>
          <w:color w:val="auto"/>
        </w:rPr>
        <w:t>.</w:t>
      </w:r>
    </w:p>
    <w:p>
      <w:pPr>
        <w:spacing w:after="0" w:line="117" w:lineRule="exact"/>
        <w:rPr>
          <w:sz w:val="20"/>
          <w:szCs w:val="20"/>
          <w:color w:val="auto"/>
        </w:rPr>
      </w:pPr>
    </w:p>
    <w:p>
      <w:pPr>
        <w:ind w:firstLine="996"/>
        <w:spacing w:after="0" w:line="273" w:lineRule="auto"/>
        <w:tabs>
          <w:tab w:leader="none" w:pos="123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178" w:lineRule="exact"/>
        <w:rPr>
          <w:rFonts w:ascii="Arial" w:cs="Arial" w:eastAsia="Arial" w:hAnsi="Arial"/>
          <w:sz w:val="17"/>
          <w:szCs w:val="17"/>
          <w:color w:val="auto"/>
        </w:rPr>
      </w:pPr>
    </w:p>
    <w:p>
      <w:pPr>
        <w:ind w:right="20" w:firstLine="996"/>
        <w:spacing w:after="0" w:line="255" w:lineRule="auto"/>
        <w:tabs>
          <w:tab w:leader="none" w:pos="1247"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In the event that the successor corporation in a Change in Control refuses to assume or substitute for an Award (other than any portion subject to performance-based vesting), the Administrator shall cause such Award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The Administrator shall notify the Participant of any Award that becomes exercisable pursuant to the preceding sentence that such Award shall be fully exercisable for a period of 15 days from the date of such notice, contingent upon the occurrence of the Change in Control, and such Award shall terminate upon the consummation of the Change in Control in accordance with the preceding sentence.</w:t>
      </w:r>
    </w:p>
    <w:p>
      <w:pPr>
        <w:spacing w:after="0" w:line="189" w:lineRule="exact"/>
        <w:rPr>
          <w:rFonts w:ascii="Arial" w:cs="Arial" w:eastAsia="Arial" w:hAnsi="Arial"/>
          <w:sz w:val="18"/>
          <w:szCs w:val="18"/>
          <w:color w:val="auto"/>
        </w:rPr>
      </w:pPr>
    </w:p>
    <w:p>
      <w:pPr>
        <w:ind w:right="60" w:firstLine="996"/>
        <w:spacing w:after="0" w:line="271" w:lineRule="auto"/>
        <w:tabs>
          <w:tab w:leader="none" w:pos="1237" w:val="left"/>
        </w:tabs>
        <w:numPr>
          <w:ilvl w:val="0"/>
          <w:numId w:val="233"/>
        </w:numPr>
        <w:rPr>
          <w:rFonts w:ascii="Arial" w:cs="Arial" w:eastAsia="Arial" w:hAnsi="Arial"/>
          <w:sz w:val="17"/>
          <w:szCs w:val="17"/>
          <w:color w:val="auto"/>
        </w:rPr>
      </w:pPr>
      <w:r>
        <w:rPr>
          <w:rFonts w:ascii="Arial" w:cs="Arial" w:eastAsia="Arial" w:hAnsi="Arial"/>
          <w:sz w:val="17"/>
          <w:szCs w:val="17"/>
          <w:color w:val="auto"/>
        </w:rPr>
        <w:t>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common stock of the successor corporation or its parent, the Administrator may, with the consent of the successor corporation, provide for the consideration to be received upon the exercise of the Award, for each Share subject to an Award, to be solely common stock of the successor corporation or its parent equal in fair market value to the per-share consideration received by holders of Common Stock in the Change in Control.</w:t>
      </w:r>
    </w:p>
    <w:p>
      <w:pPr>
        <w:spacing w:after="0" w:line="179"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Administrative Stand Still</w:t>
      </w:r>
      <w:r>
        <w:rPr>
          <w:rFonts w:ascii="Arial" w:cs="Arial" w:eastAsia="Arial" w:hAnsi="Arial"/>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Common Stock (including any Equity Restructuring or any securities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429" w:name="page430"/>
    <w:bookmarkEnd w:id="429"/>
    <w:p>
      <w:pPr>
        <w:ind w:right="2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offering or other similar transaction) or for reasons of administrative convenience or to facilitate compliance with any Applicable Law, the Company may refuse to permit the exercise or settlement of one or more Awards for such period of time as the Company may determine to be reasonably appropriate under the circumstances.</w:t>
      </w:r>
    </w:p>
    <w:p>
      <w:pPr>
        <w:spacing w:after="0" w:line="18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General</w:t>
      </w:r>
      <w:r>
        <w:rPr>
          <w:rFonts w:ascii="Arial" w:cs="Arial" w:eastAsia="Arial" w:hAnsi="Arial"/>
          <w:sz w:val="16"/>
          <w:szCs w:val="16"/>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spinoff, dissolution or liquidation of the Company or sale of Company assets or (iii) any sale or issuance of securities, including securities with rights superior to those of the Shares or securities convertible into or exchangeable for Shares.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APPLICABLE TO AWARDS</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117" w:lineRule="exact"/>
        <w:rPr>
          <w:sz w:val="20"/>
          <w:szCs w:val="20"/>
          <w:color w:val="auto"/>
        </w:rPr>
      </w:pPr>
    </w:p>
    <w:p>
      <w:pPr>
        <w:ind w:right="120" w:firstLine="996"/>
        <w:spacing w:after="0" w:line="271" w:lineRule="auto"/>
        <w:tabs>
          <w:tab w:leader="none" w:pos="123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No Award may be sold, assigned, transferred, pledged or otherwise encumbered, either voluntarily or by operation of law, except by will or the laws of descent and distribution, or, subject to the Administrator’s consent, pursuant to a domestic relations order, unless and until such Award has been exercised or the Shares underlying such Award have been issued, and all restrictions applicable to such Shares have lapsed. During the life of a Participant, Awards will be exercisable only by the Participant, unless it has been disposed of pursuant to a domestic relations order.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w:t>
      </w:r>
    </w:p>
    <w:p>
      <w:pPr>
        <w:spacing w:after="0" w:line="178" w:lineRule="exact"/>
        <w:rPr>
          <w:rFonts w:ascii="Arial" w:cs="Arial" w:eastAsia="Arial" w:hAnsi="Arial"/>
          <w:sz w:val="17"/>
          <w:szCs w:val="17"/>
          <w:color w:val="auto"/>
        </w:rPr>
      </w:pPr>
    </w:p>
    <w:p>
      <w:pPr>
        <w:ind w:right="40" w:firstLine="996"/>
        <w:spacing w:after="0" w:line="269" w:lineRule="auto"/>
        <w:tabs>
          <w:tab w:leader="none" w:pos="1247" w:val="left"/>
        </w:tabs>
        <w:numPr>
          <w:ilvl w:val="0"/>
          <w:numId w:val="234"/>
        </w:numPr>
        <w:rPr>
          <w:rFonts w:ascii="Arial" w:cs="Arial" w:eastAsia="Arial" w:hAnsi="Arial"/>
          <w:sz w:val="17"/>
          <w:szCs w:val="17"/>
          <w:color w:val="auto"/>
        </w:rPr>
      </w:pPr>
      <w:r>
        <w:rPr>
          <w:rFonts w:ascii="Arial" w:cs="Arial" w:eastAsia="Arial" w:hAnsi="Arial"/>
          <w:sz w:val="17"/>
          <w:szCs w:val="17"/>
          <w:color w:val="auto"/>
        </w:rPr>
        <w:t>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domestic relations order;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430" w:name="page431"/>
    <w:bookmarkEnd w:id="430"/>
    <w:p>
      <w:pPr>
        <w:jc w:val="both"/>
        <w:ind w:right="1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147" w:lineRule="exact"/>
        <w:rPr>
          <w:sz w:val="20"/>
          <w:szCs w:val="20"/>
          <w:color w:val="auto"/>
        </w:rPr>
      </w:pPr>
    </w:p>
    <w:p>
      <w:pPr>
        <w:ind w:firstLine="996"/>
        <w:spacing w:after="0" w:line="290" w:lineRule="auto"/>
        <w:tabs>
          <w:tab w:leader="none" w:pos="1237"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Notwithstanding Section 10.1(a),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the Participant’s Designated Beneficiary with respect to more than 50% of the Participant’s interest in the Award shall not be effective without the prior written or electronic consent of the Participant’s spouse or domestic partner. Subject to the foregoing, a beneficiary designation may be changed or revoked by a Participant at any time; provided that the change or revocation is delivered in writing to the Administrator prior to the Participant’s death.</w:t>
      </w:r>
    </w:p>
    <w:p>
      <w:pPr>
        <w:spacing w:after="0" w:line="166"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Documentation</w:t>
      </w:r>
      <w:r>
        <w:rPr>
          <w:rFonts w:ascii="Arial" w:cs="Arial" w:eastAsia="Arial" w:hAnsi="Arial"/>
          <w:sz w:val="18"/>
          <w:szCs w:val="18"/>
          <w:color w:val="auto"/>
        </w:rPr>
        <w:t>.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w:t>
      </w:r>
    </w:p>
    <w:p>
      <w:pPr>
        <w:spacing w:after="0" w:line="181" w:lineRule="exact"/>
        <w:rPr>
          <w:sz w:val="20"/>
          <w:szCs w:val="20"/>
          <w:color w:val="auto"/>
        </w:rPr>
      </w:pPr>
    </w:p>
    <w:p>
      <w:pPr>
        <w:ind w:right="40" w:firstLine="441"/>
        <w:spacing w:after="0" w:line="34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Discretion</w:t>
      </w:r>
      <w:r>
        <w:rPr>
          <w:rFonts w:ascii="Arial" w:cs="Arial" w:eastAsia="Arial" w:hAnsi="Arial"/>
          <w:sz w:val="16"/>
          <w:szCs w:val="16"/>
          <w:color w:val="auto"/>
        </w:rPr>
        <w:t>. Except as the Plan otherwise provides, each Award may be made alone or in addition or in relation to any other Award. The terms of each Award to a Participant need not be identical, and the Administrator need not treat Participants or Awards (or portions thereof) uniformly.</w:t>
      </w:r>
    </w:p>
    <w:p>
      <w:pPr>
        <w:spacing w:after="0" w:line="124" w:lineRule="exact"/>
        <w:rPr>
          <w:sz w:val="20"/>
          <w:szCs w:val="20"/>
          <w:color w:val="auto"/>
        </w:rPr>
      </w:pPr>
    </w:p>
    <w:p>
      <w:pPr>
        <w:jc w:val="both"/>
        <w:ind w:right="220" w:firstLine="441"/>
        <w:spacing w:after="0" w:line="276" w:lineRule="auto"/>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Changes in Participant’s Status</w:t>
      </w:r>
      <w:r>
        <w:rPr>
          <w:rFonts w:ascii="Arial" w:cs="Arial" w:eastAsia="Arial" w:hAnsi="Arial"/>
          <w:sz w:val="17"/>
          <w:szCs w:val="17"/>
          <w:color w:val="auto"/>
        </w:rPr>
        <w:t>. The Administrator will determine how the disability, death,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Except to the extent otherwise required by law or expressly authorized by the Company or by the Company’s written policy on leaves of absence, no Service credit shall be given for vesting purposes for any period the Participant is on a leave of absence.</w:t>
      </w:r>
    </w:p>
    <w:p>
      <w:pPr>
        <w:spacing w:after="0" w:line="173"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Withholding</w:t>
      </w:r>
      <w:r>
        <w:rPr>
          <w:rFonts w:ascii="Arial" w:cs="Arial" w:eastAsia="Arial" w:hAnsi="Arial"/>
          <w:sz w:val="17"/>
          <w:szCs w:val="17"/>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from any payment of any kind otherwise due to a Participant. The amount deducted shall be determined by the Company and may be up to, but no greater than, the aggregate amount of such obligations based on the maximum statutory withholding rates in the applicable Participant’s jurisdiction for federal, state, local and foreign income tax and payroll tax purposes that are applicable to such taxable income. Subject to any Company insider trading policy (including blackout periods), Participants may satisfy such tax obligations (i) in cash, by wire transfer of immediately available funds, by check made payable to the order of the Company; provided that the Company may limit the use of one of the foregoing methods if one or more of the exercise methods below is permitted, (ii) to the extent permitted by the Administrator, in whole or in part by delivery of Shares, including Shares delivered by attestation and Shares retained from the Award creating the tax obligation, valued at their Fair Market Value on the date of delivery, (iii) if there is a public market for Shares at the time the tax obligations are satisfied, unless the Administrator otherwise determines, (A) delivery</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3" w:right="439" w:bottom="1440" w:gutter="0" w:footer="0" w:header="0"/>
        </w:sectPr>
      </w:pPr>
    </w:p>
    <w:bookmarkStart w:id="431" w:name="page432"/>
    <w:bookmarkEnd w:id="43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(including electronically or telephonically to the extent permitted by the Company) of a notice that the Participant has placed a market sell order with a broker acceptable to the Company with respect to Shares then issuable in respect of the Award and that the broker has been directed to deliver promptly to the Company funds sufficient to satisfy the tax obligations, or (B) the Participant’s delivery to the Company of a copy of irrevocable and unconditional instructions to a broker acceptable to the Company to deliver promptly to the Company an amount sufficient to satisfy the tax withholding by cash, wire transfer of immediately available funds or check; provided that such amount is paid to the Company at such time as may be required by the Company, (iv) to the extent permitted by the Administrator, delivery of a promissory note or any other lawful consideration or (v) to the extent permitted by the Administrator, any combination of the foregoing payment forms.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169"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 xml:space="preserve">10.6 </w:t>
      </w:r>
      <w:r>
        <w:rPr>
          <w:rFonts w:ascii="Arial" w:cs="Arial" w:eastAsia="Arial" w:hAnsi="Arial"/>
          <w:sz w:val="16"/>
          <w:szCs w:val="16"/>
          <w:u w:val="single" w:color="auto"/>
          <w:color w:val="auto"/>
        </w:rPr>
        <w:t>Amendment of Award; Repricing</w:t>
      </w:r>
      <w:r>
        <w:rPr>
          <w:rFonts w:ascii="Arial" w:cs="Arial" w:eastAsia="Arial" w:hAnsi="Arial"/>
          <w:sz w:val="16"/>
          <w:szCs w:val="16"/>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IX or pursuant to Section 11.6. In addition, the Administrator shall, without the approval of the stockholders of the Company, have the authority to (a) amend any outstanding Option or Stock Appreciation Right to reduce its exercise price per Share, or (b) cancel any Option or Stock Appreciation Right in exchange for cash or another Award.</w:t>
      </w:r>
    </w:p>
    <w:p>
      <w:pPr>
        <w:spacing w:after="0" w:line="165"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Conditions on Delivery of Stock</w:t>
      </w:r>
      <w:r>
        <w:rPr>
          <w:rFonts w:ascii="Arial" w:cs="Arial" w:eastAsia="Arial" w:hAnsi="Arial"/>
          <w:sz w:val="16"/>
          <w:szCs w:val="16"/>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Applicable Law.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6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 xml:space="preserve">10.8 </w:t>
      </w:r>
      <w:r>
        <w:rPr>
          <w:rFonts w:ascii="Arial" w:cs="Arial" w:eastAsia="Arial" w:hAnsi="Arial"/>
          <w:sz w:val="18"/>
          <w:szCs w:val="18"/>
          <w:u w:val="single" w:color="auto"/>
          <w:color w:val="auto"/>
        </w:rPr>
        <w:t>Acceleration</w:t>
      </w:r>
      <w:r>
        <w:rPr>
          <w:rFonts w:ascii="Arial" w:cs="Arial" w:eastAsia="Arial" w:hAnsi="Arial"/>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right="20" w:firstLine="441"/>
        <w:spacing w:after="0" w:line="302" w:lineRule="auto"/>
        <w:rPr>
          <w:sz w:val="20"/>
          <w:szCs w:val="20"/>
          <w:color w:val="auto"/>
        </w:rPr>
      </w:pPr>
      <w:r>
        <w:rPr>
          <w:rFonts w:ascii="Arial" w:cs="Arial" w:eastAsia="Arial" w:hAnsi="Arial"/>
          <w:sz w:val="16"/>
          <w:szCs w:val="16"/>
          <w:color w:val="auto"/>
        </w:rPr>
        <w:t xml:space="preserve">11.1 </w:t>
      </w:r>
      <w:r>
        <w:rPr>
          <w:rFonts w:ascii="Arial" w:cs="Arial" w:eastAsia="Arial" w:hAnsi="Arial"/>
          <w:sz w:val="16"/>
          <w:szCs w:val="16"/>
          <w:u w:val="single" w:color="auto"/>
          <w:color w:val="auto"/>
        </w:rPr>
        <w:t>No Right to Employment or Other Status</w:t>
      </w:r>
      <w:r>
        <w:rPr>
          <w:rFonts w:ascii="Arial" w:cs="Arial" w:eastAsia="Arial" w:hAnsi="Arial"/>
          <w:sz w:val="16"/>
          <w:szCs w:val="16"/>
          <w:color w:val="auto"/>
        </w:rPr>
        <w:t>. No person will have any claim or right to be granted an Award, and the grant of an Award will not be construed as giving a Participant the right to continue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432" w:name="page433"/>
    <w:bookmarkEnd w:id="432"/>
    <w:p>
      <w:pPr>
        <w:ind w:right="200" w:firstLine="44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11.2 </w:t>
      </w:r>
      <w:r>
        <w:rPr>
          <w:rFonts w:ascii="Arial" w:cs="Arial" w:eastAsia="Arial" w:hAnsi="Arial"/>
          <w:sz w:val="16"/>
          <w:szCs w:val="16"/>
          <w:u w:val="single" w:color="auto"/>
          <w:color w:val="auto"/>
        </w:rPr>
        <w:t>No Rights as Stockholder; Certificates</w:t>
      </w:r>
      <w:r>
        <w:rPr>
          <w:rFonts w:ascii="Arial" w:cs="Arial" w:eastAsia="Arial" w:hAnsi="Arial"/>
          <w:sz w:val="16"/>
          <w:szCs w:val="16"/>
          <w:color w:val="auto"/>
        </w:rPr>
        <w:t>. Subject to the Award Agreement, no Participant or Designated Beneficiary will have any rights as a stockholder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 (including, without limitation, restrictions applicable to Restricted Stock).</w:t>
      </w:r>
    </w:p>
    <w:p>
      <w:pPr>
        <w:spacing w:after="0" w:line="165" w:lineRule="exact"/>
        <w:rPr>
          <w:sz w:val="20"/>
          <w:szCs w:val="20"/>
          <w:color w:val="auto"/>
        </w:rPr>
      </w:pPr>
    </w:p>
    <w:p>
      <w:pPr>
        <w:ind w:right="160" w:firstLine="441"/>
        <w:spacing w:after="0" w:line="312"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Effective Date</w:t>
      </w:r>
      <w:r>
        <w:rPr>
          <w:rFonts w:ascii="Arial" w:cs="Arial" w:eastAsia="Arial" w:hAnsi="Arial"/>
          <w:sz w:val="16"/>
          <w:szCs w:val="16"/>
          <w:color w:val="auto"/>
        </w:rPr>
        <w:t>. The Plan will become effective on the date immediately prior to the date the Company’s registration statement relating to its initial public offering becomes effective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No Incentive Stock Option may be granted pursuant to the Plan after the tenth anniversary of the earlier of (i) the date the Plan was approved by the Board and (ii) the date the Plan was approved by the Company’s stockholders.</w:t>
      </w:r>
    </w:p>
    <w:p>
      <w:pPr>
        <w:spacing w:after="0" w:line="147"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Amendment of Plan</w:t>
      </w:r>
      <w:r>
        <w:rPr>
          <w:rFonts w:ascii="Arial" w:cs="Arial" w:eastAsia="Arial" w:hAnsi="Arial"/>
          <w:sz w:val="18"/>
          <w:szCs w:val="18"/>
          <w:color w:val="auto"/>
        </w:rPr>
        <w:t>. The Board may amend, suspend or terminate the Plan at any time and from time to time; provided that (a) no amendment requiring stockholder approval to comply with Applicable Law shall be effective unless approved by the Board, and (b) no amendment, other than an increase to the Overall Share Limit or pursuant to Article IX or Section 11.6, may materially and adversely affect any Award outstanding at the time of such amendment without the affected Participant’s consent. No Awards may be granted under the Plan during any suspension period or after Plan termination. Awards outstanding at the time of any Plan suspension or termination will continue to be governed by the Plan and the Award Agreement, as in effect before such suspension or termination. The Board will obtain stockholder approval of any Plan amendment to the extent necessary to comply with Applicable Law.</w:t>
      </w:r>
    </w:p>
    <w:p>
      <w:pPr>
        <w:spacing w:after="0" w:line="18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u w:val="single" w:color="auto"/>
          <w:color w:val="auto"/>
        </w:rPr>
        <w:t>Provisions for Foreign Participants</w:t>
      </w:r>
      <w:r>
        <w:rPr>
          <w:rFonts w:ascii="Arial" w:cs="Arial" w:eastAsia="Arial" w:hAnsi="Arial"/>
          <w:sz w:val="18"/>
          <w:szCs w:val="18"/>
          <w:color w:val="auto"/>
        </w:rPr>
        <w:t>. The Administrator may modify Awards granted to Participants who are foreign nationals or employed outside the United States, establish subplans or procedures under the Plan or take any other necessary or appropriate action to address Applicable Law, including (a) differences in laws, rules, regulations or customs of such foreign jurisdictions with respect to tax, securities, currency, employee benefit or other matters, (b) listing and other requirements of any foreign securities exchange, and (c) any necessary local governmental or regulatory exemptions or approvals.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117" w:lineRule="exact"/>
        <w:rPr>
          <w:sz w:val="20"/>
          <w:szCs w:val="20"/>
          <w:color w:val="auto"/>
        </w:rPr>
      </w:pPr>
    </w:p>
    <w:p>
      <w:pPr>
        <w:ind w:right="80" w:firstLine="996"/>
        <w:spacing w:after="0" w:line="270" w:lineRule="auto"/>
        <w:tabs>
          <w:tab w:leader="none" w:pos="1236" w:val="left"/>
        </w:tabs>
        <w:numPr>
          <w:ilvl w:val="0"/>
          <w:numId w:val="236"/>
        </w:numPr>
        <w:rPr>
          <w:rFonts w:ascii="Arial" w:cs="Arial" w:eastAsia="Arial" w:hAnsi="Arial"/>
          <w:sz w:val="17"/>
          <w:szCs w:val="17"/>
          <w:color w:val="auto"/>
        </w:rPr>
      </w:pPr>
      <w:r>
        <w:rPr>
          <w:rFonts w:ascii="Arial" w:cs="Arial" w:eastAsia="Arial" w:hAnsi="Arial"/>
          <w:sz w:val="17"/>
          <w:szCs w:val="17"/>
          <w:i w:val="1"/>
          <w:iCs w:val="1"/>
          <w:color w:val="auto"/>
        </w:rPr>
        <w:t>General</w:t>
      </w:r>
      <w:r>
        <w:rPr>
          <w:rFonts w:ascii="Arial" w:cs="Arial" w:eastAsia="Arial" w:hAnsi="Arial"/>
          <w:sz w:val="17"/>
          <w:szCs w:val="17"/>
          <w:color w:val="auto"/>
        </w:rPr>
        <w:t>. The Company intends that all Awards be structured to comply with, or be exempt from, Section 409A, such that no adverse</w:t>
      </w:r>
      <w:r>
        <w:rPr>
          <w:rFonts w:ascii="Arial" w:cs="Arial" w:eastAsia="Arial" w:hAnsi="Arial"/>
          <w:sz w:val="17"/>
          <w:szCs w:val="17"/>
          <w:i w:val="1"/>
          <w:iCs w:val="1"/>
          <w:color w:val="auto"/>
        </w:rPr>
        <w:t xml:space="preserve"> </w:t>
      </w:r>
      <w:r>
        <w:rPr>
          <w:rFonts w:ascii="Arial" w:cs="Arial" w:eastAsia="Arial" w:hAnsi="Arial"/>
          <w:sz w:val="17"/>
          <w:szCs w:val="17"/>
          <w:color w:val="auto"/>
        </w:rPr>
        <w:t>tax consequences, interest, or penalties under Section 409A apply. Notwithstanding anything in the Plan or any Award Agreement to the contrary, the Administrator may, without a Participant’s consent, amend this Plan or Awards, adopt policies and procedures, or take any other actions (including amendments, policies, procedures and retroactive actions) as are necessary or appropriate to preserve the intended tax treatment of Awards, including any such actions intended to (A) exempt this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433" w:name="page434"/>
    <w:bookmarkEnd w:id="433"/>
    <w:p>
      <w:pPr>
        <w:ind w:right="80" w:firstLine="996"/>
        <w:spacing w:after="0" w:line="257" w:lineRule="auto"/>
        <w:tabs>
          <w:tab w:leader="none" w:pos="1247" w:val="left"/>
        </w:tabs>
        <w:numPr>
          <w:ilvl w:val="0"/>
          <w:numId w:val="23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Separation from Service</w:t>
      </w:r>
      <w:r>
        <w:rPr>
          <w:rFonts w:ascii="Arial" w:cs="Arial" w:eastAsia="Arial" w:hAnsi="Arial"/>
          <w:sz w:val="18"/>
          <w:szCs w:val="18"/>
          <w:color w:val="auto"/>
        </w:rPr>
        <w:t>. If an Award constitutes “nonqualified deferred compensation” under Section 409A, any payment or</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this Plan or any Award Agreement relating to any such payments or benefits, references to a “termination,” “termination of employment” or like terms means a “separation from service.”</w:t>
      </w:r>
    </w:p>
    <w:p>
      <w:pPr>
        <w:spacing w:after="0" w:line="188" w:lineRule="exact"/>
        <w:rPr>
          <w:rFonts w:ascii="Arial" w:cs="Arial" w:eastAsia="Arial" w:hAnsi="Arial"/>
          <w:sz w:val="18"/>
          <w:szCs w:val="18"/>
          <w:color w:val="auto"/>
        </w:rPr>
      </w:pPr>
    </w:p>
    <w:p>
      <w:pPr>
        <w:ind w:right="20" w:firstLine="996"/>
        <w:spacing w:after="0" w:line="291" w:lineRule="auto"/>
        <w:tabs>
          <w:tab w:leader="none" w:pos="1236" w:val="left"/>
        </w:tabs>
        <w:numPr>
          <w:ilvl w:val="0"/>
          <w:numId w:val="237"/>
        </w:numPr>
        <w:rPr>
          <w:rFonts w:ascii="Arial" w:cs="Arial" w:eastAsia="Arial" w:hAnsi="Arial"/>
          <w:sz w:val="16"/>
          <w:szCs w:val="16"/>
          <w:color w:val="auto"/>
        </w:rPr>
      </w:pPr>
      <w:r>
        <w:rPr>
          <w:rFonts w:ascii="Arial" w:cs="Arial" w:eastAsia="Arial" w:hAnsi="Arial"/>
          <w:sz w:val="16"/>
          <w:szCs w:val="16"/>
          <w:i w:val="1"/>
          <w:iCs w:val="1"/>
          <w:color w:val="auto"/>
        </w:rPr>
        <w:t>Payments to Specified Employees</w:t>
      </w:r>
      <w:r>
        <w:rPr>
          <w:rFonts w:ascii="Arial" w:cs="Arial" w:eastAsia="Arial" w:hAnsi="Arial"/>
          <w:sz w:val="16"/>
          <w:szCs w:val="16"/>
          <w:color w:val="auto"/>
        </w:rPr>
        <w:t>. Notwithstanding any contrary provision in the Plan or any Award Agreement, any payment(s)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16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11.7 </w:t>
      </w:r>
      <w:r>
        <w:rPr>
          <w:rFonts w:ascii="Arial" w:cs="Arial" w:eastAsia="Arial" w:hAnsi="Arial"/>
          <w:sz w:val="17"/>
          <w:szCs w:val="17"/>
          <w:u w:val="single" w:color="auto"/>
          <w:color w:val="auto"/>
        </w:rPr>
        <w:t>Limitations on Liability</w:t>
      </w:r>
      <w:r>
        <w:rPr>
          <w:rFonts w:ascii="Arial" w:cs="Arial" w:eastAsia="Arial" w:hAnsi="Arial"/>
          <w:sz w:val="17"/>
          <w:szCs w:val="17"/>
          <w:color w:val="auto"/>
        </w:rPr>
        <w:t>. Notwithstanding any other provisions of the Plan, no individual acting as a director, officer or other employee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or other employee of the Company or any Subsidiary. The Company will indemnify and hold harmless each director, officer or other employee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this Plan unless arising from such person’s own fraud or bad faith; provided that he or she gives the Company an opportunity, at its own expense, to handle and defend the same before he or she undertakes to handle and defend it on his or her own behalf.</w:t>
      </w:r>
    </w:p>
    <w:p>
      <w:pPr>
        <w:spacing w:after="0" w:line="182"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11.8 </w:t>
      </w:r>
      <w:r>
        <w:rPr>
          <w:rFonts w:ascii="Arial" w:cs="Arial" w:eastAsia="Arial" w:hAnsi="Arial"/>
          <w:sz w:val="17"/>
          <w:szCs w:val="17"/>
          <w:u w:val="single" w:color="auto"/>
          <w:color w:val="auto"/>
        </w:rPr>
        <w:t>Data Privacy</w:t>
      </w:r>
      <w:r>
        <w:rPr>
          <w:rFonts w:ascii="Arial" w:cs="Arial" w:eastAsia="Arial" w:hAnsi="Arial"/>
          <w:sz w:val="17"/>
          <w:szCs w:val="17"/>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Arial" w:cs="Arial" w:eastAsia="Arial" w:hAnsi="Arial"/>
          <w:sz w:val="17"/>
          <w:szCs w:val="17"/>
          <w:b w:val="1"/>
          <w:bCs w:val="1"/>
          <w:i w:val="1"/>
          <w:iCs w:val="1"/>
          <w:color w:val="auto"/>
        </w:rPr>
        <w:t>Data</w:t>
      </w:r>
      <w:r>
        <w:rPr>
          <w:rFonts w:ascii="Arial" w:cs="Arial" w:eastAsia="Arial" w:hAnsi="Arial"/>
          <w:sz w:val="17"/>
          <w:szCs w:val="17"/>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434" w:name="page435"/>
    <w:bookmarkEnd w:id="434"/>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 information on the consequences of refusing or withdrawing consent, Participants may contact their local human resources representative.</w:t>
      </w:r>
    </w:p>
    <w:p>
      <w:pPr>
        <w:spacing w:after="0" w:line="182"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18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Governing Documents</w:t>
      </w:r>
      <w:r>
        <w:rPr>
          <w:rFonts w:ascii="Arial" w:cs="Arial" w:eastAsia="Arial" w:hAnsi="Arial"/>
          <w:sz w:val="18"/>
          <w:szCs w:val="18"/>
          <w:color w:val="auto"/>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spacing w:after="0" w:line="18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Awards will be governed by and interpreted in accordance with the laws of the State of Delaware, without regard to the conflict of law rules thereof or of any other jurisdiction.</w:t>
      </w:r>
    </w:p>
    <w:p>
      <w:pPr>
        <w:spacing w:after="0" w:line="170"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Clawback Provisions</w:t>
      </w:r>
      <w:r>
        <w:rPr>
          <w:rFonts w:ascii="Arial" w:cs="Arial" w:eastAsia="Arial" w:hAnsi="Arial"/>
          <w:sz w:val="18"/>
          <w:szCs w:val="18"/>
          <w:color w:val="auto"/>
        </w:rPr>
        <w:t>. 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 comply with Applicable Law or any policy of the Company providing for the reimbursement of incentive compensation, whether or not such policy was in place at the time of grant of an Award.</w:t>
      </w:r>
    </w:p>
    <w:p>
      <w:pPr>
        <w:spacing w:after="0" w:line="18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u w:val="single" w:color="auto"/>
          <w:color w:val="auto"/>
        </w:rPr>
        <w:t>Titles and Headings</w:t>
      </w:r>
      <w:r>
        <w:rPr>
          <w:rFonts w:ascii="Arial" w:cs="Arial" w:eastAsia="Arial" w:hAnsi="Arial"/>
          <w:sz w:val="18"/>
          <w:szCs w:val="18"/>
          <w:color w:val="auto"/>
        </w:rPr>
        <w:t>. The titles and headings in the Plan are for convenience of reference only and, if any conflict, the Plan’s text, rather than such titles or headings, will control.</w:t>
      </w:r>
    </w:p>
    <w:p>
      <w:pPr>
        <w:spacing w:after="0" w:line="170"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 xml:space="preserve">11.14 </w:t>
      </w:r>
      <w:r>
        <w:rPr>
          <w:rFonts w:ascii="Arial" w:cs="Arial" w:eastAsia="Arial" w:hAnsi="Arial"/>
          <w:sz w:val="16"/>
          <w:szCs w:val="16"/>
          <w:u w:val="single" w:color="auto"/>
          <w:color w:val="auto"/>
        </w:rPr>
        <w:t>Conformity to Applicable Law</w:t>
      </w:r>
      <w:r>
        <w:rPr>
          <w:rFonts w:ascii="Arial" w:cs="Arial" w:eastAsia="Arial" w:hAnsi="Arial"/>
          <w:sz w:val="16"/>
          <w:szCs w:val="16"/>
          <w:color w:val="auto"/>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 the Plan and all Award Agreements will be deemed amended as necessary to conform to Applicable Law.</w:t>
      </w:r>
    </w:p>
    <w:p>
      <w:pPr>
        <w:spacing w:after="0" w:line="147"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u w:val="single" w:color="auto"/>
          <w:color w:val="auto"/>
        </w:rPr>
        <w:t>Relationship to Other Benefits</w:t>
      </w:r>
      <w:r>
        <w:rPr>
          <w:rFonts w:ascii="Arial" w:cs="Arial" w:eastAsia="Arial" w:hAnsi="Arial"/>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181" w:lineRule="exact"/>
        <w:rPr>
          <w:sz w:val="20"/>
          <w:szCs w:val="20"/>
          <w:color w:val="auto"/>
        </w:rPr>
      </w:pPr>
    </w:p>
    <w:p>
      <w:pPr>
        <w:jc w:val="both"/>
        <w:ind w:right="160" w:firstLine="441"/>
        <w:spacing w:after="0" w:line="264" w:lineRule="auto"/>
        <w:rPr>
          <w:sz w:val="20"/>
          <w:szCs w:val="20"/>
          <w:color w:val="auto"/>
        </w:rPr>
      </w:pPr>
      <w:r>
        <w:rPr>
          <w:rFonts w:ascii="Arial" w:cs="Arial" w:eastAsia="Arial" w:hAnsi="Arial"/>
          <w:sz w:val="18"/>
          <w:szCs w:val="18"/>
          <w:color w:val="auto"/>
        </w:rPr>
        <w:t xml:space="preserve">11.16 </w:t>
      </w:r>
      <w:r>
        <w:rPr>
          <w:rFonts w:ascii="Arial" w:cs="Arial" w:eastAsia="Arial" w:hAnsi="Arial"/>
          <w:sz w:val="18"/>
          <w:szCs w:val="18"/>
          <w:u w:val="single" w:color="auto"/>
          <w:color w:val="auto"/>
        </w:rPr>
        <w:t>Unfunded Status of Awards</w:t>
      </w:r>
      <w:r>
        <w:rPr>
          <w:rFonts w:ascii="Arial" w:cs="Arial" w:eastAsia="Arial" w:hAnsi="Arial"/>
          <w:sz w:val="18"/>
          <w:szCs w:val="18"/>
          <w:color w:val="auto"/>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435" w:name="page436"/>
    <w:bookmarkEnd w:id="435"/>
    <w:p>
      <w:pPr>
        <w:ind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11.17 </w:t>
      </w:r>
      <w:r>
        <w:rPr>
          <w:rFonts w:ascii="Arial" w:cs="Arial" w:eastAsia="Arial" w:hAnsi="Arial"/>
          <w:sz w:val="17"/>
          <w:szCs w:val="17"/>
          <w:u w:val="single" w:color="auto"/>
          <w:color w:val="auto"/>
        </w:rPr>
        <w:t>Limitations Applicable to Section 16 Persons</w:t>
      </w:r>
      <w:r>
        <w:rPr>
          <w:rFonts w:ascii="Arial" w:cs="Arial" w:eastAsia="Arial" w:hAnsi="Arial"/>
          <w:sz w:val="17"/>
          <w:szCs w:val="17"/>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73"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11.18 </w:t>
      </w:r>
      <w:r>
        <w:rPr>
          <w:rFonts w:ascii="Arial" w:cs="Arial" w:eastAsia="Arial" w:hAnsi="Arial"/>
          <w:sz w:val="18"/>
          <w:szCs w:val="18"/>
          <w:u w:val="single" w:color="auto"/>
          <w:color w:val="auto"/>
        </w:rPr>
        <w:t>Prohibition on Executive Officer Loans</w:t>
      </w:r>
      <w:r>
        <w:rPr>
          <w:rFonts w:ascii="Arial" w:cs="Arial" w:eastAsia="Arial" w:hAnsi="Arial"/>
          <w:sz w:val="18"/>
          <w:szCs w:val="18"/>
          <w:color w:val="auto"/>
        </w:rPr>
        <w:t>. Notwithstanding any other provision of the Plan to the contrary, no Participant who is a Director or an “executive officer” of the Company within the meaning of Section 13(k) of the Exchange Act shall be permitted to make payment with respect to any Awards granted under the Plan, or continue any extension of credit with respect to such payment, with a loan from the Company or a loan arranged by the Company in violation of Section 13(k) of the Exchange Act.</w:t>
      </w:r>
    </w:p>
    <w:p>
      <w:pPr>
        <w:spacing w:after="0" w:line="187"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 xml:space="preserve">11.19 </w:t>
      </w:r>
      <w:r>
        <w:rPr>
          <w:rFonts w:ascii="Arial" w:cs="Arial" w:eastAsia="Arial" w:hAnsi="Arial"/>
          <w:sz w:val="16"/>
          <w:szCs w:val="16"/>
          <w:u w:val="single" w:color="auto"/>
          <w:color w:val="auto"/>
        </w:rPr>
        <w:t>Broker-Assisted Sales</w:t>
      </w:r>
      <w:r>
        <w:rPr>
          <w:rFonts w:ascii="Arial" w:cs="Arial" w:eastAsia="Arial" w:hAnsi="Arial"/>
          <w:sz w:val="16"/>
          <w:szCs w:val="16"/>
          <w:color w:val="auto"/>
        </w:rPr>
        <w:t>. In the event of a broker-assisted sale of Shares in connection with the payment of amounts owed by a Participant under or with respect to the Plan or Awards, including amounts to be paid under the final sentence of Section 10.5: (a) any Shares to be sold through the broker-assisted sale will be sold on the day the payment first becomes due, or as soon thereafter as practicable; (b) such Shares may be sold as part of a block trade with other Participants in the Plan in which all participants receive an average price; (c) the applicable Participant will be responsible for all broker’s fees and other costs of sale, and by accepting an Award, each Participant agrees to indemnify and hold the Company harmless from any losses, costs, damages, or expenses relating to any such sale; (d) to the extent the Company or its designee receives proceeds of such sale that exceed the amount owed, the Company will pay such excess in cash to the applicable Participant as soon as reasonably practicable; (e) the Company and its designees are under no obligation to arrange for such sale at any particular price; and (f) in the event the proceeds of such sale are insufficient to satisfy the Participant’s applicable obligation, the Participant may be required to pay immediately upon demand to the Company or its designee an amount in cash sufficient to satisfy any remaining portion of the Participant’s obligation.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3" w:right="459" w:bottom="1440" w:gutter="0" w:footer="0" w:header="0"/>
        </w:sectPr>
      </w:pPr>
    </w:p>
    <w:bookmarkStart w:id="436" w:name="page437"/>
    <w:bookmarkEnd w:id="436"/>
    <w:p>
      <w:pPr>
        <w:jc w:val="right"/>
        <w:ind w:right="20"/>
        <w:spacing w:after="0"/>
        <w:rPr>
          <w:sz w:val="20"/>
          <w:szCs w:val="20"/>
          <w:color w:val="auto"/>
        </w:rPr>
      </w:pPr>
      <w:r>
        <w:rPr>
          <w:rFonts w:ascii="Arial" w:cs="Arial" w:eastAsia="Arial" w:hAnsi="Arial"/>
          <w:sz w:val="18"/>
          <w:szCs w:val="18"/>
          <w:b w:val="1"/>
          <w:bCs w:val="1"/>
          <w:color w:val="auto"/>
        </w:rPr>
        <w:t>Exhibit 10.7(b)</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REVOLUTION MEDICINES,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2020 INCENTIVE AWARD PLAN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STOCK OPTION GRANT NOTICE</w:t>
      </w:r>
    </w:p>
    <w:p>
      <w:pPr>
        <w:spacing w:after="0" w:line="211"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Revolution Medicines,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2020 Incentive Award Plan, as may be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hereby grants to the holder listed below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an option to purchase the number of shares of the Company’s Common Stock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set forth below (the “</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xml:space="preserve">”). This Option is subject to all of the terms and conditions set forth herein, as well as in the Plan and the Stock Option Agreement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Stock Option Agreement</w:t>
      </w:r>
      <w:r>
        <w:rPr>
          <w:rFonts w:ascii="Arial" w:cs="Arial" w:eastAsia="Arial" w:hAnsi="Arial"/>
          <w:sz w:val="16"/>
          <w:szCs w:val="16"/>
          <w:color w:val="auto"/>
        </w:rPr>
        <w:t>”), each of which are incorporated herein by reference. Unless otherwise defined herein, the terms defined in the Plan shall have the same defined meanings in this Grant Notice and the Stock Option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560" w:type="dxa"/>
            <w:vAlign w:val="bottom"/>
          </w:tcPr>
          <w:p>
            <w:pPr>
              <w:spacing w:after="0"/>
              <w:rPr>
                <w:sz w:val="20"/>
                <w:szCs w:val="20"/>
                <w:color w:val="auto"/>
              </w:rPr>
            </w:pPr>
            <w:r>
              <w:rPr>
                <w:rFonts w:ascii="Arial" w:cs="Arial" w:eastAsia="Arial" w:hAnsi="Arial"/>
                <w:sz w:val="20"/>
                <w:szCs w:val="20"/>
                <w:b w:val="1"/>
                <w:bCs w:val="1"/>
                <w:color w:val="auto"/>
              </w:rPr>
              <w:t>Participant:</w:t>
            </w:r>
          </w:p>
        </w:tc>
        <w:tc>
          <w:tcPr>
            <w:tcW w:w="2600" w:type="dxa"/>
            <w:vAlign w:val="bottom"/>
          </w:tcPr>
          <w:p>
            <w:pPr>
              <w:spacing w:after="0"/>
              <w:rPr>
                <w:sz w:val="22"/>
                <w:szCs w:val="22"/>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61"/>
        </w:trPr>
        <w:tc>
          <w:tcPr>
            <w:tcW w:w="1560" w:type="dxa"/>
            <w:vAlign w:val="bottom"/>
          </w:tcPr>
          <w:p>
            <w:pPr>
              <w:spacing w:after="0"/>
              <w:rPr>
                <w:sz w:val="20"/>
                <w:szCs w:val="20"/>
                <w:color w:val="auto"/>
              </w:rPr>
            </w:pPr>
            <w:r>
              <w:rPr>
                <w:rFonts w:ascii="Arial" w:cs="Arial" w:eastAsia="Arial" w:hAnsi="Arial"/>
                <w:sz w:val="20"/>
                <w:szCs w:val="20"/>
                <w:b w:val="1"/>
                <w:bCs w:val="1"/>
                <w:color w:val="auto"/>
              </w:rPr>
              <w:t>Grant Date:</w:t>
            </w:r>
          </w:p>
        </w:tc>
        <w:tc>
          <w:tcPr>
            <w:tcW w:w="260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65"/>
        </w:trPr>
        <w:tc>
          <w:tcPr>
            <w:tcW w:w="4160" w:type="dxa"/>
            <w:vAlign w:val="bottom"/>
            <w:gridSpan w:val="2"/>
          </w:tcPr>
          <w:p>
            <w:pPr>
              <w:spacing w:after="0"/>
              <w:rPr>
                <w:sz w:val="20"/>
                <w:szCs w:val="20"/>
                <w:color w:val="auto"/>
              </w:rPr>
            </w:pPr>
            <w:r>
              <w:rPr>
                <w:rFonts w:ascii="Arial" w:cs="Arial" w:eastAsia="Arial" w:hAnsi="Arial"/>
                <w:sz w:val="20"/>
                <w:szCs w:val="20"/>
                <w:b w:val="1"/>
                <w:bCs w:val="1"/>
                <w:color w:val="auto"/>
              </w:rPr>
              <w:t>Vesting Commencement Date:</w:t>
            </w:r>
          </w:p>
        </w:tc>
        <w:tc>
          <w:tcPr>
            <w:tcW w:w="278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65"/>
        </w:trPr>
        <w:tc>
          <w:tcPr>
            <w:tcW w:w="4160" w:type="dxa"/>
            <w:vAlign w:val="bottom"/>
            <w:gridSpan w:val="2"/>
          </w:tcPr>
          <w:p>
            <w:pPr>
              <w:spacing w:after="0"/>
              <w:rPr>
                <w:sz w:val="20"/>
                <w:szCs w:val="20"/>
                <w:color w:val="auto"/>
              </w:rPr>
            </w:pPr>
            <w:r>
              <w:rPr>
                <w:rFonts w:ascii="Arial" w:cs="Arial" w:eastAsia="Arial" w:hAnsi="Arial"/>
                <w:sz w:val="20"/>
                <w:szCs w:val="20"/>
                <w:b w:val="1"/>
                <w:bCs w:val="1"/>
                <w:color w:val="auto"/>
              </w:rPr>
              <w:t>Exercise Price per Share:</w:t>
            </w:r>
          </w:p>
        </w:tc>
        <w:tc>
          <w:tcPr>
            <w:tcW w:w="2780" w:type="dxa"/>
            <w:vAlign w:val="bottom"/>
          </w:tcPr>
          <w:p>
            <w:pPr>
              <w:jc w:val="right"/>
              <w:spacing w:after="0"/>
              <w:rPr>
                <w:sz w:val="20"/>
                <w:szCs w:val="20"/>
                <w:color w:val="auto"/>
              </w:rPr>
            </w:pPr>
            <w:r>
              <w:rPr>
                <w:rFonts w:ascii="Arial" w:cs="Arial" w:eastAsia="Arial" w:hAnsi="Arial"/>
                <w:sz w:val="18"/>
                <w:szCs w:val="18"/>
                <w:color w:val="auto"/>
              </w:rPr>
              <w:t>$[___________]</w:t>
            </w:r>
          </w:p>
        </w:tc>
      </w:tr>
      <w:tr>
        <w:trPr>
          <w:trHeight w:val="365"/>
        </w:trPr>
        <w:tc>
          <w:tcPr>
            <w:tcW w:w="4160" w:type="dxa"/>
            <w:vAlign w:val="bottom"/>
            <w:gridSpan w:val="2"/>
          </w:tcPr>
          <w:p>
            <w:pPr>
              <w:spacing w:after="0"/>
              <w:rPr>
                <w:sz w:val="20"/>
                <w:szCs w:val="20"/>
                <w:color w:val="auto"/>
              </w:rPr>
            </w:pPr>
            <w:r>
              <w:rPr>
                <w:rFonts w:ascii="Arial" w:cs="Arial" w:eastAsia="Arial" w:hAnsi="Arial"/>
                <w:sz w:val="20"/>
                <w:szCs w:val="20"/>
                <w:b w:val="1"/>
                <w:bCs w:val="1"/>
                <w:color w:val="auto"/>
              </w:rPr>
              <w:t>Total Exercise Price:</w:t>
            </w:r>
          </w:p>
        </w:tc>
        <w:tc>
          <w:tcPr>
            <w:tcW w:w="278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65"/>
        </w:trPr>
        <w:tc>
          <w:tcPr>
            <w:tcW w:w="4160" w:type="dxa"/>
            <w:vAlign w:val="bottom"/>
            <w:gridSpan w:val="2"/>
          </w:tcPr>
          <w:p>
            <w:pPr>
              <w:spacing w:after="0"/>
              <w:rPr>
                <w:sz w:val="20"/>
                <w:szCs w:val="20"/>
                <w:color w:val="auto"/>
              </w:rPr>
            </w:pPr>
            <w:r>
              <w:rPr>
                <w:rFonts w:ascii="Arial" w:cs="Arial" w:eastAsia="Arial" w:hAnsi="Arial"/>
                <w:sz w:val="20"/>
                <w:szCs w:val="20"/>
                <w:b w:val="1"/>
                <w:bCs w:val="1"/>
                <w:color w:val="auto"/>
                <w:w w:val="94"/>
              </w:rPr>
              <w:t>Total Number of Shares Subject to the Option:</w:t>
            </w:r>
          </w:p>
        </w:tc>
        <w:tc>
          <w:tcPr>
            <w:tcW w:w="278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65"/>
        </w:trPr>
        <w:tc>
          <w:tcPr>
            <w:tcW w:w="1560" w:type="dxa"/>
            <w:vAlign w:val="bottom"/>
          </w:tcPr>
          <w:p>
            <w:pPr>
              <w:spacing w:after="0"/>
              <w:rPr>
                <w:sz w:val="20"/>
                <w:szCs w:val="20"/>
                <w:color w:val="auto"/>
              </w:rPr>
            </w:pPr>
            <w:r>
              <w:rPr>
                <w:rFonts w:ascii="Arial" w:cs="Arial" w:eastAsia="Arial" w:hAnsi="Arial"/>
                <w:sz w:val="20"/>
                <w:szCs w:val="20"/>
                <w:b w:val="1"/>
                <w:bCs w:val="1"/>
                <w:color w:val="auto"/>
              </w:rPr>
              <w:t>Expiration Date:</w:t>
            </w:r>
          </w:p>
        </w:tc>
        <w:tc>
          <w:tcPr>
            <w:tcW w:w="260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365"/>
        </w:trPr>
        <w:tc>
          <w:tcPr>
            <w:tcW w:w="1560" w:type="dxa"/>
            <w:vAlign w:val="bottom"/>
          </w:tcPr>
          <w:p>
            <w:pPr>
              <w:spacing w:after="0"/>
              <w:rPr>
                <w:sz w:val="20"/>
                <w:szCs w:val="20"/>
                <w:color w:val="auto"/>
              </w:rPr>
            </w:pPr>
            <w:r>
              <w:rPr>
                <w:rFonts w:ascii="Arial" w:cs="Arial" w:eastAsia="Arial" w:hAnsi="Arial"/>
                <w:sz w:val="20"/>
                <w:szCs w:val="20"/>
                <w:b w:val="1"/>
                <w:bCs w:val="1"/>
                <w:color w:val="auto"/>
                <w:w w:val="88"/>
              </w:rPr>
              <w:t>Vesting Schedule:</w:t>
            </w:r>
          </w:p>
        </w:tc>
        <w:tc>
          <w:tcPr>
            <w:tcW w:w="2600" w:type="dxa"/>
            <w:vAlign w:val="bottom"/>
          </w:tcPr>
          <w:p>
            <w:pPr>
              <w:spacing w:after="0"/>
              <w:rPr>
                <w:sz w:val="24"/>
                <w:szCs w:val="24"/>
                <w:color w:val="auto"/>
              </w:rPr>
            </w:pPr>
          </w:p>
        </w:tc>
        <w:tc>
          <w:tcPr>
            <w:tcW w:w="2780" w:type="dxa"/>
            <w:vAlign w:val="bottom"/>
          </w:tcPr>
          <w:p>
            <w:pPr>
              <w:jc w:val="right"/>
              <w:spacing w:after="0"/>
              <w:rPr>
                <w:sz w:val="20"/>
                <w:szCs w:val="20"/>
                <w:color w:val="auto"/>
              </w:rPr>
            </w:pPr>
            <w:r>
              <w:rPr>
                <w:rFonts w:ascii="Arial" w:cs="Arial" w:eastAsia="Arial" w:hAnsi="Arial"/>
                <w:sz w:val="18"/>
                <w:szCs w:val="18"/>
                <w:color w:val="auto"/>
              </w:rPr>
              <w:t>[____________]</w:t>
            </w:r>
          </w:p>
        </w:tc>
      </w:tr>
      <w:tr>
        <w:trPr>
          <w:trHeight w:val="452"/>
        </w:trPr>
        <w:tc>
          <w:tcPr>
            <w:tcW w:w="1560" w:type="dxa"/>
            <w:vAlign w:val="bottom"/>
          </w:tcPr>
          <w:p>
            <w:pPr>
              <w:spacing w:after="0"/>
              <w:rPr>
                <w:sz w:val="20"/>
                <w:szCs w:val="20"/>
                <w:color w:val="auto"/>
              </w:rPr>
            </w:pPr>
            <w:r>
              <w:rPr>
                <w:rFonts w:ascii="Arial" w:cs="Arial" w:eastAsia="Arial" w:hAnsi="Arial"/>
                <w:sz w:val="18"/>
                <w:szCs w:val="18"/>
                <w:b w:val="1"/>
                <w:bCs w:val="1"/>
                <w:color w:val="auto"/>
              </w:rPr>
              <w:t>Type of Option:</w:t>
            </w:r>
          </w:p>
        </w:tc>
        <w:tc>
          <w:tcPr>
            <w:tcW w:w="2600" w:type="dxa"/>
            <w:vAlign w:val="bottom"/>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Incentive Stock Option</w:t>
            </w:r>
          </w:p>
        </w:tc>
        <w:tc>
          <w:tcPr>
            <w:tcW w:w="2780" w:type="dxa"/>
            <w:vAlign w:val="bottom"/>
          </w:tcPr>
          <w:p>
            <w:pPr>
              <w:jc w:val="right"/>
              <w:ind w:right="21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Nonqualified Stock Option</w:t>
            </w:r>
          </w:p>
        </w:tc>
      </w:tr>
    </w:tbl>
    <w:p>
      <w:pPr>
        <w:spacing w:after="0" w:line="182" w:lineRule="exact"/>
        <w:rPr>
          <w:sz w:val="20"/>
          <w:szCs w:val="20"/>
          <w:color w:val="auto"/>
        </w:rPr>
      </w:pPr>
    </w:p>
    <w:p>
      <w:pPr>
        <w:ind w:right="100" w:firstLine="441"/>
        <w:spacing w:after="0" w:line="276" w:lineRule="auto"/>
        <w:rPr>
          <w:sz w:val="20"/>
          <w:szCs w:val="20"/>
          <w:color w:val="auto"/>
        </w:rPr>
      </w:pPr>
      <w:r>
        <w:rPr>
          <w:rFonts w:ascii="Arial" w:cs="Arial" w:eastAsia="Arial" w:hAnsi="Arial"/>
          <w:sz w:val="17"/>
          <w:szCs w:val="17"/>
          <w:color w:val="auto"/>
        </w:rPr>
        <w:t>By his or her signature and the Company’s signature below, Participant agrees to be bound by the terms and conditions of the Plan, the Stock Option Agreement and this Grant Notice. Participant has reviewed the Plan, the Stock Option Agreement and this Grant Notice in their entirety, has had an opportunity to obtain the advice of counsel prior to executing this Grant Notice and fully understands all provisions of the Plan, the Stock Option Agreement and this Grant Notice. Participant hereby agrees to accept as binding, conclusive and final all decisions or interpretations of the Administrator upon any questions arising under the Plan, the Stock Option Agreement or this Grant Notice.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160" w:type="dxa"/>
            <w:vAlign w:val="bottom"/>
            <w:gridSpan w:val="2"/>
          </w:tcPr>
          <w:p>
            <w:pPr>
              <w:spacing w:after="0"/>
              <w:rPr>
                <w:sz w:val="20"/>
                <w:szCs w:val="20"/>
                <w:color w:val="auto"/>
              </w:rPr>
            </w:pPr>
            <w:r>
              <w:rPr>
                <w:rFonts w:ascii="Arial" w:cs="Arial" w:eastAsia="Arial" w:hAnsi="Arial"/>
                <w:sz w:val="20"/>
                <w:szCs w:val="20"/>
                <w:b w:val="1"/>
                <w:bCs w:val="1"/>
                <w:color w:val="auto"/>
              </w:rPr>
              <w:t>REVOLUTION MEDICINES, INC.:</w:t>
            </w:r>
          </w:p>
        </w:tc>
        <w:tc>
          <w:tcPr>
            <w:tcW w:w="5880" w:type="dxa"/>
            <w:vAlign w:val="bottom"/>
            <w:gridSpan w:val="2"/>
          </w:tcPr>
          <w:p>
            <w:pPr>
              <w:ind w:left="700"/>
              <w:spacing w:after="0"/>
              <w:rPr>
                <w:sz w:val="20"/>
                <w:szCs w:val="20"/>
                <w:color w:val="auto"/>
              </w:rPr>
            </w:pPr>
            <w:r>
              <w:rPr>
                <w:rFonts w:ascii="Arial" w:cs="Arial" w:eastAsia="Arial" w:hAnsi="Arial"/>
                <w:sz w:val="18"/>
                <w:szCs w:val="18"/>
                <w:b w:val="1"/>
                <w:bCs w:val="1"/>
                <w:color w:val="auto"/>
              </w:rPr>
              <w:t>PARTICIPANT:</w:t>
            </w:r>
          </w:p>
        </w:tc>
      </w:tr>
      <w:tr>
        <w:trPr>
          <w:trHeight w:val="428"/>
        </w:trPr>
        <w:tc>
          <w:tcPr>
            <w:tcW w:w="5160" w:type="dxa"/>
            <w:vAlign w:val="bottom"/>
            <w:gridSpan w:val="2"/>
          </w:tcPr>
          <w:p>
            <w:pPr>
              <w:spacing w:after="0"/>
              <w:rPr>
                <w:sz w:val="20"/>
                <w:szCs w:val="20"/>
                <w:color w:val="auto"/>
              </w:rPr>
            </w:pPr>
            <w:r>
              <w:rPr>
                <w:rFonts w:ascii="Arial" w:cs="Arial" w:eastAsia="Arial" w:hAnsi="Arial"/>
                <w:sz w:val="18"/>
                <w:szCs w:val="18"/>
                <w:color w:val="auto"/>
              </w:rPr>
              <w:t>By:</w:t>
            </w: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By:</w:t>
            </w:r>
          </w:p>
        </w:tc>
      </w:tr>
      <w:tr>
        <w:trPr>
          <w:trHeight w:val="196"/>
        </w:trPr>
        <w:tc>
          <w:tcPr>
            <w:tcW w:w="1000" w:type="dxa"/>
            <w:vAlign w:val="bottom"/>
          </w:tcPr>
          <w:p>
            <w:pPr>
              <w:spacing w:after="0" w:line="196" w:lineRule="exact"/>
              <w:rPr>
                <w:sz w:val="20"/>
                <w:szCs w:val="20"/>
                <w:color w:val="auto"/>
              </w:rPr>
            </w:pPr>
            <w:r>
              <w:rPr>
                <w:rFonts w:ascii="Arial" w:cs="Arial" w:eastAsia="Arial" w:hAnsi="Arial"/>
                <w:sz w:val="18"/>
                <w:szCs w:val="18"/>
                <w:color w:val="auto"/>
              </w:rPr>
              <w:t>Print Name:</w:t>
            </w:r>
          </w:p>
        </w:tc>
        <w:tc>
          <w:tcPr>
            <w:tcW w:w="4160" w:type="dxa"/>
            <w:vAlign w:val="bottom"/>
            <w:tcBorders>
              <w:top w:val="single" w:sz="8" w:color="auto"/>
              <w:bottom w:val="single" w:sz="8" w:color="auto"/>
            </w:tcBorders>
          </w:tcPr>
          <w:p>
            <w:pPr>
              <w:spacing w:after="0"/>
              <w:rPr>
                <w:sz w:val="17"/>
                <w:szCs w:val="17"/>
                <w:color w:val="auto"/>
              </w:rPr>
            </w:pPr>
          </w:p>
        </w:tc>
        <w:tc>
          <w:tcPr>
            <w:tcW w:w="1700" w:type="dxa"/>
            <w:vAlign w:val="bottom"/>
          </w:tcPr>
          <w:p>
            <w:pPr>
              <w:ind w:left="700"/>
              <w:spacing w:after="0" w:line="196" w:lineRule="exact"/>
              <w:rPr>
                <w:sz w:val="20"/>
                <w:szCs w:val="20"/>
                <w:color w:val="auto"/>
              </w:rPr>
            </w:pPr>
            <w:r>
              <w:rPr>
                <w:rFonts w:ascii="Arial" w:cs="Arial" w:eastAsia="Arial" w:hAnsi="Arial"/>
                <w:sz w:val="18"/>
                <w:szCs w:val="18"/>
                <w:color w:val="auto"/>
              </w:rPr>
              <w:t>Print Name:</w:t>
            </w:r>
          </w:p>
        </w:tc>
        <w:tc>
          <w:tcPr>
            <w:tcW w:w="4180" w:type="dxa"/>
            <w:vAlign w:val="bottom"/>
            <w:tcBorders>
              <w:top w:val="single" w:sz="8" w:color="auto"/>
              <w:bottom w:val="single" w:sz="8" w:color="auto"/>
            </w:tcBorders>
          </w:tcPr>
          <w:p>
            <w:pPr>
              <w:spacing w:after="0"/>
              <w:rPr>
                <w:sz w:val="17"/>
                <w:szCs w:val="17"/>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Title:</w:t>
            </w:r>
          </w:p>
        </w:tc>
        <w:tc>
          <w:tcPr>
            <w:tcW w:w="4160" w:type="dxa"/>
            <w:vAlign w:val="bottom"/>
            <w:tcBorders>
              <w:bottom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4180" w:type="dxa"/>
            <w:vAlign w:val="bottom"/>
          </w:tcPr>
          <w:p>
            <w:pPr>
              <w:spacing w:after="0"/>
              <w:rPr>
                <w:sz w:val="18"/>
                <w:szCs w:val="18"/>
                <w:color w:val="auto"/>
              </w:rPr>
            </w:pPr>
          </w:p>
        </w:tc>
      </w:tr>
      <w:tr>
        <w:trPr>
          <w:trHeight w:val="210"/>
        </w:trPr>
        <w:tc>
          <w:tcPr>
            <w:tcW w:w="1000" w:type="dxa"/>
            <w:vAlign w:val="bottom"/>
          </w:tcPr>
          <w:p>
            <w:pPr>
              <w:spacing w:after="0"/>
              <w:rPr>
                <w:sz w:val="20"/>
                <w:szCs w:val="20"/>
                <w:color w:val="auto"/>
              </w:rPr>
            </w:pPr>
            <w:r>
              <w:rPr>
                <w:rFonts w:ascii="Arial" w:cs="Arial" w:eastAsia="Arial" w:hAnsi="Arial"/>
                <w:sz w:val="18"/>
                <w:szCs w:val="18"/>
                <w:color w:val="auto"/>
              </w:rPr>
              <w:t>Address:</w:t>
            </w:r>
          </w:p>
        </w:tc>
        <w:tc>
          <w:tcPr>
            <w:tcW w:w="4160" w:type="dxa"/>
            <w:vAlign w:val="bottom"/>
          </w:tcPr>
          <w:p>
            <w:pPr>
              <w:spacing w:after="0"/>
              <w:rPr>
                <w:sz w:val="18"/>
                <w:szCs w:val="18"/>
                <w:color w:val="auto"/>
              </w:rPr>
            </w:pPr>
          </w:p>
        </w:tc>
        <w:tc>
          <w:tcPr>
            <w:tcW w:w="5880" w:type="dxa"/>
            <w:vAlign w:val="bottom"/>
            <w:gridSpan w:val="2"/>
          </w:tcPr>
          <w:p>
            <w:pPr>
              <w:ind w:left="700"/>
              <w:spacing w:after="0"/>
              <w:rPr>
                <w:sz w:val="20"/>
                <w:szCs w:val="20"/>
                <w:color w:val="auto"/>
              </w:rPr>
            </w:pPr>
            <w:r>
              <w:rPr>
                <w:rFonts w:ascii="Arial" w:cs="Arial" w:eastAsia="Arial" w:hAnsi="Arial"/>
                <w:sz w:val="18"/>
                <w:szCs w:val="18"/>
                <w:color w:val="auto"/>
              </w:rPr>
              <w:t>Address:</w:t>
            </w:r>
          </w:p>
        </w:tc>
      </w:tr>
      <w:tr>
        <w:trPr>
          <w:trHeight w:val="210"/>
        </w:trPr>
        <w:tc>
          <w:tcPr>
            <w:tcW w:w="1000" w:type="dxa"/>
            <w:vAlign w:val="bottom"/>
          </w:tcPr>
          <w:p>
            <w:pPr>
              <w:spacing w:after="0"/>
              <w:rPr>
                <w:sz w:val="18"/>
                <w:szCs w:val="18"/>
                <w:color w:val="auto"/>
              </w:rPr>
            </w:pPr>
          </w:p>
        </w:tc>
        <w:tc>
          <w:tcPr>
            <w:tcW w:w="4160" w:type="dxa"/>
            <w:vAlign w:val="bottom"/>
            <w:tcBorders>
              <w:top w:val="single" w:sz="8" w:color="auto"/>
              <w:bottom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4180" w:type="dxa"/>
            <w:vAlign w:val="bottom"/>
            <w:tcBorders>
              <w:top w:val="single" w:sz="8" w:color="auto"/>
              <w:bottom w:val="single" w:sz="8" w:color="auto"/>
            </w:tcBorders>
          </w:tcPr>
          <w:p>
            <w:pPr>
              <w:spacing w:after="0"/>
              <w:rPr>
                <w:sz w:val="18"/>
                <w:szCs w:val="18"/>
                <w:color w:val="auto"/>
              </w:rPr>
            </w:pPr>
          </w:p>
        </w:tc>
      </w:tr>
    </w:tbl>
    <w:p>
      <w:pPr>
        <w:sectPr>
          <w:pgSz w:w="11900" w:h="16838" w:orient="portrait"/>
          <w:cols w:equalWidth="0" w:num="1">
            <w:col w:w="11040"/>
          </w:cols>
          <w:pgMar w:left="440" w:top="121" w:right="419" w:bottom="1440" w:gutter="0" w:footer="0" w:header="0"/>
        </w:sectPr>
      </w:pPr>
    </w:p>
    <w:bookmarkStart w:id="437" w:name="page438"/>
    <w:bookmarkEnd w:id="43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STOCK OPTION GRANT NOTICE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AGREEMENT</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Pursuant to the Stock Option Grant Notice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to which this Stock Option Agreement (this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attached, Revolution Medicines,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has granted to the Participant an Option under the Company’s 2020 Incentive Award Plan, as may be amended from time to time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to purchase the number of Shares indicated in the Grant Notice.</w:t>
      </w:r>
    </w:p>
    <w:p>
      <w:pPr>
        <w:spacing w:after="0" w:line="378"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not specifically defined herein shall have the meanings specified in the Plan and the Grant Notice.</w:t>
      </w:r>
    </w:p>
    <w:p>
      <w:pPr>
        <w:spacing w:after="0" w:line="23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Option is subject to the terms and conditions of the Plan which are incorporated herein by reference. In the event of any inconsistency between the Plan and this Agreement, the terms of the Plan shall control.</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GRANT OF OPTION</w:t>
      </w:r>
    </w:p>
    <w:p>
      <w:pPr>
        <w:spacing w:after="0" w:line="229"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Grant of Option</w:t>
      </w:r>
      <w:r>
        <w:rPr>
          <w:rFonts w:ascii="Arial" w:cs="Arial" w:eastAsia="Arial" w:hAnsi="Arial"/>
          <w:sz w:val="16"/>
          <w:szCs w:val="16"/>
          <w:color w:val="auto"/>
        </w:rPr>
        <w:t>. In consideration of the Participant’s past or continued employment with or service to the Company or any Subsidiary and for other good and valuable consideration, effective as of the Grant Date set forth in the Grant Notice (the “</w:t>
      </w:r>
      <w:r>
        <w:rPr>
          <w:rFonts w:ascii="Arial" w:cs="Arial" w:eastAsia="Arial" w:hAnsi="Arial"/>
          <w:sz w:val="16"/>
          <w:szCs w:val="16"/>
          <w:b w:val="1"/>
          <w:bCs w:val="1"/>
          <w:i w:val="1"/>
          <w:iCs w:val="1"/>
          <w:color w:val="auto"/>
        </w:rPr>
        <w:t>Grant Date</w:t>
      </w:r>
      <w:r>
        <w:rPr>
          <w:rFonts w:ascii="Arial" w:cs="Arial" w:eastAsia="Arial" w:hAnsi="Arial"/>
          <w:sz w:val="16"/>
          <w:szCs w:val="16"/>
          <w:color w:val="auto"/>
        </w:rPr>
        <w:t>”), the Company irrevocably grants to the Participant the Option to purchase any part or all of an aggregate of the number of Shares set forth in the Grant Notice, upon the terms and conditions set forth in the Plan and this Agreement, subject to adjustments as provided in Article IX of the Plan. Unless designated as a Nonqualified Stock Option in the Grant Notice, the Option shall be an Incentive Stock Option to the maximum extent permitted by law.</w:t>
      </w:r>
    </w:p>
    <w:p>
      <w:pPr>
        <w:spacing w:after="0" w:line="15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Exercise Price</w:t>
      </w:r>
      <w:r>
        <w:rPr>
          <w:rFonts w:ascii="Arial" w:cs="Arial" w:eastAsia="Arial" w:hAnsi="Arial"/>
          <w:sz w:val="18"/>
          <w:szCs w:val="18"/>
          <w:color w:val="auto"/>
        </w:rPr>
        <w:t xml:space="preserve">. The exercise price of the Shares subject to the Option shall be as set forth in the Grant Notice, without commission or other charge;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price per share of the Shares subject to the Option shall not be less than 100% of the Fair Market Value of a Share on the Grant Date. Notwithstanding the foregoing, if this Option is designated as an Incentive Stock Option and the Participant is a Greater Than 10% Stockholder as of the Grant Date, the exercise price per share of the Shares subject to the Option shall not be less than 110% of the Fair Market Value of a Share on the Grant Date.</w:t>
      </w:r>
    </w:p>
    <w:p>
      <w:pPr>
        <w:spacing w:after="0" w:line="188"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Consideration to the Company</w:t>
      </w:r>
      <w:r>
        <w:rPr>
          <w:rFonts w:ascii="Arial" w:cs="Arial" w:eastAsia="Arial" w:hAnsi="Arial"/>
          <w:sz w:val="16"/>
          <w:szCs w:val="16"/>
          <w:color w:val="auto"/>
        </w:rPr>
        <w:t>. In consideration of the grant of the Option by the Company, the Participant agrees to render faithful and efficient services to the Company or any Subsidiary. Nothing in the Plan or this Agreement shall confer upon the Participant any right to continue in the employ or service of the Company or any Subsidiary or shall interfere with or restrict in any way the rights of the Company and its Subsidiaries, which rights are hereby expressly reserved, to discharge or terminate the services of the Participant at any time for any reason whatsoever, with or without cause, except to the extent expressly provided otherwise in a written agreement between the Company or a Subsidiary and the Participant.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438" w:name="page439"/>
    <w:bookmarkEnd w:id="43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PERIOD OF EXERCISABILITY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Commencement of Exercisability</w:t>
      </w:r>
      <w:r>
        <w:rPr>
          <w:rFonts w:ascii="Arial" w:cs="Arial" w:eastAsia="Arial" w:hAnsi="Arial"/>
          <w:sz w:val="18"/>
          <w:szCs w:val="18"/>
          <w:color w:val="auto"/>
        </w:rPr>
        <w:t>.</w:t>
      </w:r>
    </w:p>
    <w:p>
      <w:pPr>
        <w:spacing w:after="0" w:line="117" w:lineRule="exact"/>
        <w:rPr>
          <w:sz w:val="20"/>
          <w:szCs w:val="20"/>
          <w:color w:val="auto"/>
        </w:rPr>
      </w:pPr>
    </w:p>
    <w:p>
      <w:pPr>
        <w:ind w:right="40" w:firstLine="996"/>
        <w:spacing w:after="0" w:line="277" w:lineRule="auto"/>
        <w:tabs>
          <w:tab w:leader="none" w:pos="123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Subject to Sections 3.2, 3.3, 5.11 and 5.17 hereof, the Option shall become vested and exercisable in such amounts and at such times as are set forth in the Grant Notice.</w:t>
      </w:r>
    </w:p>
    <w:p>
      <w:pPr>
        <w:spacing w:after="0" w:line="170" w:lineRule="exact"/>
        <w:rPr>
          <w:rFonts w:ascii="Arial" w:cs="Arial" w:eastAsia="Arial" w:hAnsi="Arial"/>
          <w:sz w:val="18"/>
          <w:szCs w:val="18"/>
          <w:color w:val="auto"/>
        </w:rPr>
      </w:pPr>
    </w:p>
    <w:p>
      <w:pPr>
        <w:ind w:right="160" w:firstLine="996"/>
        <w:spacing w:after="0" w:line="264" w:lineRule="auto"/>
        <w:tabs>
          <w:tab w:leader="none" w:pos="124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 portion of the Option which has not become vested and exercisable at the date of the Participant’s Termination of Service shall thereafter become vested and exercisable, except as may be otherwise provided by the Administrator or as set forth in a written agreement between the Company and the Participant.</w:t>
      </w:r>
    </w:p>
    <w:p>
      <w:pPr>
        <w:spacing w:after="0" w:line="181" w:lineRule="exact"/>
        <w:rPr>
          <w:rFonts w:ascii="Arial" w:cs="Arial" w:eastAsia="Arial" w:hAnsi="Arial"/>
          <w:sz w:val="18"/>
          <w:szCs w:val="18"/>
          <w:color w:val="auto"/>
        </w:rPr>
      </w:pPr>
    </w:p>
    <w:p>
      <w:pPr>
        <w:ind w:right="220" w:firstLine="996"/>
        <w:spacing w:after="0" w:line="277" w:lineRule="auto"/>
        <w:tabs>
          <w:tab w:leader="none" w:pos="1237"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Notwithstanding Section 3.1(a) hereof and the Grant Notice, but subject to Section 3.1(b) hereof, in the event of a Change in Control the Option shall be treated pursuant to Sections 9.2 and 9.3 of the Plan.</w:t>
      </w:r>
    </w:p>
    <w:p>
      <w:pPr>
        <w:spacing w:after="0" w:line="170" w:lineRule="exact"/>
        <w:rPr>
          <w:sz w:val="20"/>
          <w:szCs w:val="20"/>
          <w:color w:val="auto"/>
        </w:rPr>
      </w:pPr>
    </w:p>
    <w:p>
      <w:pPr>
        <w:ind w:firstLine="992"/>
        <w:spacing w:after="0" w:line="264"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Duration of Exercisability</w:t>
      </w:r>
      <w:r>
        <w:rPr>
          <w:rFonts w:ascii="Arial" w:cs="Arial" w:eastAsia="Arial" w:hAnsi="Arial"/>
          <w:sz w:val="18"/>
          <w:szCs w:val="18"/>
          <w:color w:val="auto"/>
        </w:rPr>
        <w:t>. The installments provided for in the vesting schedule set forth in the Grant Notice are cumulative. Each such installment which becomes vested and exercisable pursuant to the vesting schedule set forth in the Grant Notice shall remain vested and exercisable until it becomes unexercisable under Section 3.3 hereof.</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Expiration of Option</w:t>
      </w:r>
      <w:r>
        <w:rPr>
          <w:rFonts w:ascii="Arial" w:cs="Arial" w:eastAsia="Arial" w:hAnsi="Arial"/>
          <w:sz w:val="17"/>
          <w:szCs w:val="17"/>
          <w:color w:val="auto"/>
        </w:rPr>
        <w:t>. The Option may not be exercised to any extent by anyone after the first to occur of the following events:</w:t>
      </w:r>
    </w:p>
    <w:p>
      <w:pPr>
        <w:spacing w:after="0" w:line="129" w:lineRule="exact"/>
        <w:rPr>
          <w:sz w:val="20"/>
          <w:szCs w:val="20"/>
          <w:color w:val="auto"/>
        </w:rPr>
      </w:pPr>
    </w:p>
    <w:p>
      <w:pPr>
        <w:ind w:left="1240" w:hanging="244"/>
        <w:spacing w:after="0"/>
        <w:tabs>
          <w:tab w:leader="none" w:pos="124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Expiration Date set forth in the Grant Notice, which shall in no event be more than ten years from the Grant Date;</w:t>
      </w:r>
    </w:p>
    <w:p>
      <w:pPr>
        <w:spacing w:after="0" w:line="225" w:lineRule="exact"/>
        <w:rPr>
          <w:rFonts w:ascii="Arial" w:cs="Arial" w:eastAsia="Arial" w:hAnsi="Arial"/>
          <w:sz w:val="18"/>
          <w:szCs w:val="18"/>
          <w:color w:val="auto"/>
        </w:rPr>
      </w:pPr>
    </w:p>
    <w:p>
      <w:pPr>
        <w:ind w:right="240" w:firstLine="996"/>
        <w:spacing w:after="0" w:line="277" w:lineRule="auto"/>
        <w:tabs>
          <w:tab w:leader="none" w:pos="124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this Option is designated as an Incentive Stock Option and the Participant, at the time the Option was granted, was a Greater Than 10% Stockholder, the expiration of five years from the Grant Date;</w:t>
      </w:r>
    </w:p>
    <w:p>
      <w:pPr>
        <w:spacing w:after="0" w:line="170" w:lineRule="exact"/>
        <w:rPr>
          <w:rFonts w:ascii="Arial" w:cs="Arial" w:eastAsia="Arial" w:hAnsi="Arial"/>
          <w:sz w:val="18"/>
          <w:szCs w:val="18"/>
          <w:color w:val="auto"/>
        </w:rPr>
      </w:pPr>
    </w:p>
    <w:p>
      <w:pPr>
        <w:ind w:right="200" w:firstLine="996"/>
        <w:spacing w:after="0" w:line="277" w:lineRule="auto"/>
        <w:tabs>
          <w:tab w:leader="none" w:pos="123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expiration of three months from the date of the Participant’s Termination of Service, unless such termination occurs by reason of the Participant’s death or Disability; or</w:t>
      </w:r>
    </w:p>
    <w:p>
      <w:pPr>
        <w:spacing w:after="0" w:line="170" w:lineRule="exact"/>
        <w:rPr>
          <w:rFonts w:ascii="Arial" w:cs="Arial" w:eastAsia="Arial" w:hAnsi="Arial"/>
          <w:sz w:val="18"/>
          <w:szCs w:val="18"/>
          <w:color w:val="auto"/>
        </w:rPr>
      </w:pPr>
    </w:p>
    <w:p>
      <w:pPr>
        <w:ind w:left="1260" w:hanging="264"/>
        <w:spacing w:after="0"/>
        <w:tabs>
          <w:tab w:leader="none" w:pos="1260" w:val="left"/>
        </w:tabs>
        <w:numPr>
          <w:ilvl w:val="0"/>
          <w:numId w:val="239"/>
        </w:numPr>
        <w:rPr>
          <w:rFonts w:ascii="Arial" w:cs="Arial" w:eastAsia="Arial" w:hAnsi="Arial"/>
          <w:sz w:val="16"/>
          <w:szCs w:val="16"/>
          <w:color w:val="auto"/>
        </w:rPr>
      </w:pPr>
      <w:r>
        <w:rPr>
          <w:rFonts w:ascii="Arial" w:cs="Arial" w:eastAsia="Arial" w:hAnsi="Arial"/>
          <w:sz w:val="16"/>
          <w:szCs w:val="16"/>
          <w:color w:val="auto"/>
        </w:rPr>
        <w:t>The expiration of one year from the date of the Participant’s Termination of Service by reason of the Participant’s death or Disability.</w:t>
      </w:r>
    </w:p>
    <w:p>
      <w:pPr>
        <w:spacing w:after="0" w:line="248" w:lineRule="exact"/>
        <w:rPr>
          <w:sz w:val="20"/>
          <w:szCs w:val="20"/>
          <w:color w:val="auto"/>
        </w:rPr>
      </w:pPr>
    </w:p>
    <w:p>
      <w:pPr>
        <w:ind w:right="40" w:firstLine="441"/>
        <w:spacing w:after="0" w:line="25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Special Tax Consequences</w:t>
      </w:r>
      <w:r>
        <w:rPr>
          <w:rFonts w:ascii="Arial" w:cs="Arial" w:eastAsia="Arial" w:hAnsi="Arial"/>
          <w:sz w:val="18"/>
          <w:szCs w:val="18"/>
          <w:color w:val="auto"/>
        </w:rPr>
        <w:t>. The Participant acknowledges that, to the extent that the aggregate Fair Market Value (determined as of the time the Option is granted) of all Shares with respect to which Incentive Stock Options, including the Option (if applicable), are exercisable for the first time by the Participant in any calendar year exceeds $100,000, the Option and such other options shall be Nonqualified Stock Options to the extent necessary to comply with the limitations imposed by Section 422(d) of the Code. The Participant further acknowledges that the rule set forth in the preceding sentence shall be applied by taking the Option and other “incentive stock options” into account in the order in which they were granted, as determined under Section 422(d) of the Code and the Treasury Regulations thereunder. The Participant also acknowledges that an Incentive Stock Option exercised more than three months after the Participant’s Termination of Employment, other than by reason of death or Disability, will be taxed as a Nonqualified Stock Option.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20"/>
          </w:cols>
          <w:pgMar w:left="440" w:top="270" w:right="439" w:bottom="1440" w:gutter="0" w:footer="0" w:header="0"/>
        </w:sectPr>
      </w:pPr>
    </w:p>
    <w:bookmarkStart w:id="439" w:name="page440"/>
    <w:bookmarkEnd w:id="4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3.5 </w:t>
      </w:r>
      <w:r>
        <w:rPr>
          <w:rFonts w:ascii="Arial" w:cs="Arial" w:eastAsia="Arial" w:hAnsi="Arial"/>
          <w:sz w:val="18"/>
          <w:szCs w:val="18"/>
          <w:u w:val="single" w:color="auto"/>
          <w:color w:val="auto"/>
        </w:rPr>
        <w:t>Tax Indemnity</w:t>
      </w:r>
      <w:r>
        <w:rPr>
          <w:rFonts w:ascii="Arial" w:cs="Arial" w:eastAsia="Arial" w:hAnsi="Arial"/>
          <w:sz w:val="18"/>
          <w:szCs w:val="18"/>
          <w:color w:val="auto"/>
        </w:rPr>
        <w:t>.</w:t>
      </w:r>
    </w:p>
    <w:p>
      <w:pPr>
        <w:spacing w:after="0" w:line="117" w:lineRule="exact"/>
        <w:rPr>
          <w:sz w:val="20"/>
          <w:szCs w:val="20"/>
          <w:color w:val="auto"/>
        </w:rPr>
      </w:pPr>
    </w:p>
    <w:p>
      <w:pPr>
        <w:ind w:right="160" w:firstLine="996"/>
        <w:spacing w:after="0" w:line="257" w:lineRule="auto"/>
        <w:tabs>
          <w:tab w:leader="none" w:pos="123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Participant agrees to indemnify and keep indemnified the Company, any Subsidiary and the Participant’s employing company, if different, from and against any liability for or obligation to pay any Tax Liability (a “</w:t>
      </w:r>
      <w:r>
        <w:rPr>
          <w:rFonts w:ascii="Arial" w:cs="Arial" w:eastAsia="Arial" w:hAnsi="Arial"/>
          <w:sz w:val="18"/>
          <w:szCs w:val="18"/>
          <w:b w:val="1"/>
          <w:bCs w:val="1"/>
          <w:i w:val="1"/>
          <w:iCs w:val="1"/>
          <w:color w:val="auto"/>
        </w:rPr>
        <w:t>Tax Liability</w:t>
      </w:r>
      <w:r>
        <w:rPr>
          <w:rFonts w:ascii="Arial" w:cs="Arial" w:eastAsia="Arial" w:hAnsi="Arial"/>
          <w:sz w:val="18"/>
          <w:szCs w:val="18"/>
          <w:color w:val="auto"/>
        </w:rPr>
        <w:t>” being any liability for income tax, withholding tax and any other employment related taxes or social security contributions in any jurisdiction) that is attributable to (1) the grant or exercise of, or any benefit derived by the Participant from, the Option, (2) the acquisition by the Participant of the Shares on exercise of the Option or (3) the disposal of any Shares.</w:t>
      </w:r>
    </w:p>
    <w:p>
      <w:pPr>
        <w:spacing w:after="0" w:line="188" w:lineRule="exact"/>
        <w:rPr>
          <w:rFonts w:ascii="Arial" w:cs="Arial" w:eastAsia="Arial" w:hAnsi="Arial"/>
          <w:sz w:val="18"/>
          <w:szCs w:val="18"/>
          <w:color w:val="auto"/>
        </w:rPr>
      </w:pPr>
    </w:p>
    <w:p>
      <w:pPr>
        <w:ind w:right="20" w:firstLine="996"/>
        <w:spacing w:after="0" w:line="264" w:lineRule="auto"/>
        <w:tabs>
          <w:tab w:leader="none" w:pos="1247"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Option cannot be exercised until the Participant has made such arrangements as the Company may require for the satisfaction of any Tax Liability that may arise in connection with the exercise of the Option or the acquisition of the Shares by the Participant. The Company shall not be required to issue, allot or transfer Shares until the Participant has satisfied this obligation.</w:t>
      </w:r>
    </w:p>
    <w:p>
      <w:pPr>
        <w:spacing w:after="0" w:line="181" w:lineRule="exact"/>
        <w:rPr>
          <w:rFonts w:ascii="Arial" w:cs="Arial" w:eastAsia="Arial" w:hAnsi="Arial"/>
          <w:sz w:val="18"/>
          <w:szCs w:val="18"/>
          <w:color w:val="auto"/>
        </w:rPr>
      </w:pPr>
    </w:p>
    <w:p>
      <w:pPr>
        <w:jc w:val="both"/>
        <w:ind w:right="180" w:firstLine="996"/>
        <w:spacing w:after="0" w:line="288" w:lineRule="auto"/>
        <w:tabs>
          <w:tab w:leader="none" w:pos="1237" w:val="left"/>
        </w:tabs>
        <w:numPr>
          <w:ilvl w:val="0"/>
          <w:numId w:val="240"/>
        </w:numPr>
        <w:rPr>
          <w:rFonts w:ascii="Arial" w:cs="Arial" w:eastAsia="Arial" w:hAnsi="Arial"/>
          <w:sz w:val="16"/>
          <w:szCs w:val="16"/>
          <w:color w:val="auto"/>
        </w:rPr>
      </w:pPr>
      <w:r>
        <w:rPr>
          <w:rFonts w:ascii="Arial" w:cs="Arial" w:eastAsia="Arial" w:hAnsi="Arial"/>
          <w:sz w:val="16"/>
          <w:szCs w:val="16"/>
          <w:color w:val="auto"/>
        </w:rPr>
        <w:t>The Participant hereby acknowledges that the Company (i) makes no representations or undertakings regarding the treatment of any Tax Liabilities in connection with any aspect of the Option and (ii) does not commit to and is under no obligation to structure the terms of the grant or any aspect of any Award, including the Option, to reduce or eliminate the Participant’s liability for Tax Liabilities or achieve any particular tax result.</w:t>
      </w:r>
    </w:p>
    <w:p>
      <w:pPr>
        <w:spacing w:after="0" w:line="255" w:lineRule="auto"/>
        <w:rPr>
          <w:rFonts w:ascii="Arial" w:cs="Arial" w:eastAsia="Arial" w:hAnsi="Arial"/>
          <w:sz w:val="16"/>
          <w:szCs w:val="16"/>
          <w:color w:val="auto"/>
        </w:rPr>
      </w:pPr>
      <w:r>
        <w:rPr>
          <w:rFonts w:ascii="Arial" w:cs="Arial" w:eastAsia="Arial" w:hAnsi="Arial"/>
          <w:sz w:val="18"/>
          <w:szCs w:val="18"/>
          <w:color w:val="auto"/>
        </w:rPr>
        <w:t>Furthermore, if the Participant becomes subject to tax in more than one jurisdiction between the date of grant of an Award, including the Option, and the date of any relevant taxable event, the Participant acknowledges that the Company may be required to withhold or account for Tax Liabilities in more than one jurisdiction.</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EXERCISE OF OPTION</w:t>
      </w:r>
    </w:p>
    <w:p>
      <w:pPr>
        <w:spacing w:after="0" w:line="229"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Person Eligible to Exercise</w:t>
      </w:r>
      <w:r>
        <w:rPr>
          <w:rFonts w:ascii="Arial" w:cs="Arial" w:eastAsia="Arial" w:hAnsi="Arial"/>
          <w:sz w:val="16"/>
          <w:szCs w:val="16"/>
          <w:color w:val="auto"/>
        </w:rPr>
        <w:t>. Except as provided in Section 5.3 hereof, during the lifetime of the Participant, only the Participant may exercise the Option or any portion thereof, unless it has been disposed of pursuant to a DRO. After the death of the Participant, any exercisable portion of the Option may, prior to the time when the Option becomes unexercisable under Section 3.3 hereof, be exercised by the deceased Participant’s personal representative or by any person empowered to do so under the deceased Participant’s will or under the then applicable laws of descent and distribution.</w:t>
      </w:r>
    </w:p>
    <w:p>
      <w:pPr>
        <w:spacing w:after="0" w:line="154"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Partial Exercise</w:t>
      </w:r>
      <w:r>
        <w:rPr>
          <w:rFonts w:ascii="Arial" w:cs="Arial" w:eastAsia="Arial" w:hAnsi="Arial"/>
          <w:sz w:val="18"/>
          <w:szCs w:val="18"/>
          <w:color w:val="auto"/>
        </w:rPr>
        <w:t>. Any exercisable portion of the Option or the entire Option, if then wholly exercisable, may be exercised in whole or in part at any time prior to the time when the Option or portion thereof becomes unexercisable under Section 3.3 hereof. However, the Option shall not be exercisable with respect to fractional Shares.</w:t>
      </w:r>
    </w:p>
    <w:p>
      <w:pPr>
        <w:spacing w:after="0" w:line="18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Manner of Exercise</w:t>
      </w:r>
      <w:r>
        <w:rPr>
          <w:rFonts w:ascii="Arial" w:cs="Arial" w:eastAsia="Arial" w:hAnsi="Arial"/>
          <w:sz w:val="18"/>
          <w:szCs w:val="18"/>
          <w:color w:val="auto"/>
        </w:rPr>
        <w:t>. The Option, or any exercisable portion thereof, may be exercised solely by delivery to the Secretary of the Company (or any third party administrator or other person or entity designated by the Company; for the avoidance of doubt, delivery shall include electronic delivery), during regular business hours, of all of the following prior to the time when the Option or such portion thereof becomes unexercisable under Section 3.3 hereof:</w:t>
      </w:r>
    </w:p>
    <w:p>
      <w:pPr>
        <w:spacing w:after="0" w:line="79" w:lineRule="exact"/>
        <w:rPr>
          <w:sz w:val="20"/>
          <w:szCs w:val="20"/>
          <w:color w:val="auto"/>
        </w:rPr>
      </w:pPr>
    </w:p>
    <w:p>
      <w:pPr>
        <w:ind w:right="80" w:firstLine="996"/>
        <w:spacing w:after="0" w:line="264" w:lineRule="auto"/>
        <w:tabs>
          <w:tab w:leader="none" w:pos="1237"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An exercise notice in a form specified by the Administrator, stating that the Option or portion thereof is thereby exercised, such notice complying with all applicable rules established by the Administrator. The notice shall be signed by the Participant or other person then entitled to exercise the Option or such portion of the Option;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80"/>
          </w:cols>
          <w:pgMar w:left="440" w:top="274" w:right="479" w:bottom="1440" w:gutter="0" w:footer="0" w:header="0"/>
        </w:sectPr>
      </w:pPr>
    </w:p>
    <w:bookmarkStart w:id="440" w:name="page441"/>
    <w:bookmarkEnd w:id="440"/>
    <w:p>
      <w:pPr>
        <w:jc w:val="both"/>
        <w:ind w:right="80" w:firstLine="996"/>
        <w:spacing w:after="0" w:line="264" w:lineRule="auto"/>
        <w:tabs>
          <w:tab w:leader="none" w:pos="1247" w:val="left"/>
        </w:tabs>
        <w:numPr>
          <w:ilvl w:val="0"/>
          <w:numId w:val="2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receipt by the Company of full payment for the Shares with respect to which the Option or portion thereof is exercised, including payment of any applicable withholding tax, which shall be made by deduction from other compensation payable to the Participant or in such other form of consideration permitted under Section 4.4 hereof that is acceptable to the Company;</w:t>
      </w:r>
    </w:p>
    <w:p>
      <w:pPr>
        <w:spacing w:after="0" w:line="181" w:lineRule="exact"/>
        <w:rPr>
          <w:rFonts w:ascii="Arial" w:cs="Arial" w:eastAsia="Arial" w:hAnsi="Arial"/>
          <w:sz w:val="18"/>
          <w:szCs w:val="18"/>
          <w:color w:val="auto"/>
        </w:rPr>
      </w:pPr>
    </w:p>
    <w:p>
      <w:pPr>
        <w:ind w:right="120" w:firstLine="996"/>
        <w:spacing w:after="0" w:line="277" w:lineRule="auto"/>
        <w:tabs>
          <w:tab w:leader="none" w:pos="123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 other written representations or documents as may be required in the Administrator’s sole discretion to evidence compliance with the Securities Act, the Exchange Act or any other applicable law, rule or regulation; and</w:t>
      </w:r>
    </w:p>
    <w:p>
      <w:pPr>
        <w:spacing w:after="0" w:line="170" w:lineRule="exact"/>
        <w:rPr>
          <w:rFonts w:ascii="Arial" w:cs="Arial" w:eastAsia="Arial" w:hAnsi="Arial"/>
          <w:sz w:val="18"/>
          <w:szCs w:val="18"/>
          <w:color w:val="auto"/>
        </w:rPr>
      </w:pPr>
    </w:p>
    <w:p>
      <w:pPr>
        <w:ind w:right="380" w:firstLine="996"/>
        <w:spacing w:after="0" w:line="277" w:lineRule="auto"/>
        <w:tabs>
          <w:tab w:leader="none" w:pos="1247"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the event the Option or portion thereof shall be exercised pursuant to Section 4.1 hereof by any person or persons other than the Participant, appropriate proof of the right of such person or persons to exercise the Option.</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Notwithstanding any of the foregoing, the Company shall have the right to specify all conditions of the manner of exercise, which conditions may vary by country and which may be subject to change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Method of Payment</w:t>
      </w:r>
      <w:r>
        <w:rPr>
          <w:rFonts w:ascii="Arial" w:cs="Arial" w:eastAsia="Arial" w:hAnsi="Arial"/>
          <w:sz w:val="16"/>
          <w:szCs w:val="16"/>
          <w:color w:val="auto"/>
        </w:rPr>
        <w:t>. Payment of the exercise price shall be by any of the following, or a combination thereof, at the election of the Participant:</w:t>
      </w:r>
    </w:p>
    <w:p>
      <w:pPr>
        <w:spacing w:after="0" w:line="140" w:lineRule="exact"/>
        <w:rPr>
          <w:sz w:val="20"/>
          <w:szCs w:val="20"/>
          <w:color w:val="auto"/>
        </w:rPr>
      </w:pPr>
    </w:p>
    <w:p>
      <w:pPr>
        <w:ind w:left="1240" w:hanging="244"/>
        <w:spacing w:after="0"/>
        <w:tabs>
          <w:tab w:leader="none" w:pos="124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25" w:lineRule="exact"/>
        <w:rPr>
          <w:rFonts w:ascii="Arial" w:cs="Arial" w:eastAsia="Arial" w:hAnsi="Arial"/>
          <w:sz w:val="18"/>
          <w:szCs w:val="18"/>
          <w:color w:val="auto"/>
        </w:rPr>
      </w:pPr>
    </w:p>
    <w:p>
      <w:pPr>
        <w:jc w:val="both"/>
        <w:ind w:right="180" w:firstLine="996"/>
        <w:spacing w:after="0" w:line="286" w:lineRule="auto"/>
        <w:tabs>
          <w:tab w:leader="none" w:pos="124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With the consent of the Administrator, surrender of Shares (including, without limitation, Shares otherwise issuable upon exercise of the Option) held for such period of time as may be required by the Administrator in order to avoid adverse accounting consequences and having a Fair Market Value on the date of delivery equal to the aggregate exercise price of the Option or exercised portion thereof; or</w:t>
      </w:r>
    </w:p>
    <w:p>
      <w:pPr>
        <w:spacing w:after="0" w:line="165" w:lineRule="exact"/>
        <w:rPr>
          <w:rFonts w:ascii="Arial" w:cs="Arial" w:eastAsia="Arial" w:hAnsi="Arial"/>
          <w:sz w:val="17"/>
          <w:szCs w:val="17"/>
          <w:color w:val="auto"/>
        </w:rPr>
      </w:pPr>
    </w:p>
    <w:p>
      <w:pPr>
        <w:ind w:right="20" w:firstLine="996"/>
        <w:spacing w:after="0" w:line="302" w:lineRule="auto"/>
        <w:tabs>
          <w:tab w:leader="none" w:pos="1237" w:val="left"/>
        </w:tabs>
        <w:numPr>
          <w:ilvl w:val="0"/>
          <w:numId w:val="243"/>
        </w:numPr>
        <w:rPr>
          <w:rFonts w:ascii="Arial" w:cs="Arial" w:eastAsia="Arial" w:hAnsi="Arial"/>
          <w:sz w:val="16"/>
          <w:szCs w:val="16"/>
          <w:color w:val="auto"/>
        </w:rPr>
      </w:pPr>
      <w:r>
        <w:rPr>
          <w:rFonts w:ascii="Arial" w:cs="Arial" w:eastAsia="Arial" w:hAnsi="Arial"/>
          <w:sz w:val="16"/>
          <w:szCs w:val="16"/>
          <w:color w:val="auto"/>
        </w:rPr>
        <w:t xml:space="preserve">Other legal consideration acceptable to the Administrator (including, without limitation, through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payment of such proceeds is then made to the Company at such time as may be required by the Company, but in any event not later than the settlement of such sale).</w:t>
      </w:r>
    </w:p>
    <w:p>
      <w:pPr>
        <w:spacing w:after="0" w:line="154"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 The Shares deliverable upon the exercise of the Option, or any portion thereof, may be either previously authorized but unissued Shares or issued Shares which have then been reacquired by the Company. Such Shares shall be fully paid and nonassessable. The Company shall not be required to issue or deliver any Shares purchased upon the exercise of the Option or portion thereof prior to fulfillment of all of the conditions in Section 10.7 of the Plan and following conditions:</w:t>
      </w:r>
    </w:p>
    <w:p>
      <w:pPr>
        <w:spacing w:after="0" w:line="79" w:lineRule="exact"/>
        <w:rPr>
          <w:sz w:val="20"/>
          <w:szCs w:val="20"/>
          <w:color w:val="auto"/>
        </w:rPr>
      </w:pPr>
    </w:p>
    <w:p>
      <w:pPr>
        <w:ind w:left="1240" w:hanging="244"/>
        <w:spacing w:after="0"/>
        <w:tabs>
          <w:tab w:leader="none" w:pos="12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admission of such Shares to listing on all stock exchanges on which such Shares are then listed;</w:t>
      </w:r>
    </w:p>
    <w:p>
      <w:pPr>
        <w:spacing w:after="0" w:line="225" w:lineRule="exact"/>
        <w:rPr>
          <w:rFonts w:ascii="Arial" w:cs="Arial" w:eastAsia="Arial" w:hAnsi="Arial"/>
          <w:sz w:val="18"/>
          <w:szCs w:val="18"/>
          <w:color w:val="auto"/>
        </w:rPr>
      </w:pPr>
    </w:p>
    <w:p>
      <w:pPr>
        <w:ind w:firstLine="996"/>
        <w:spacing w:after="0" w:line="264" w:lineRule="auto"/>
        <w:tabs>
          <w:tab w:leader="none" w:pos="1247"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completion of any registration or other qualification of such Shares under any state or federal law or under rulings or regulations of the Securities and Exchange Commission or of any other governmental regulatory body, which the Administrator shall, in its absolute discretion, deem necessary or advisable;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20"/>
          </w:cols>
          <w:pgMar w:left="440" w:top="273" w:right="439" w:bottom="1440" w:gutter="0" w:footer="0" w:header="0"/>
        </w:sectPr>
      </w:pPr>
    </w:p>
    <w:bookmarkStart w:id="441" w:name="page442"/>
    <w:bookmarkEnd w:id="441"/>
    <w:p>
      <w:pPr>
        <w:ind w:right="220" w:firstLine="996"/>
        <w:spacing w:after="0" w:line="277" w:lineRule="auto"/>
        <w:tabs>
          <w:tab w:leader="none" w:pos="1237" w:val="left"/>
        </w:tabs>
        <w:numPr>
          <w:ilvl w:val="0"/>
          <w:numId w:val="2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obtaining of any approval or other clearance from any state or federal governmental agency which the Administrator shall, in its absolute discretion, determine to be necessary or advisable;</w:t>
      </w:r>
    </w:p>
    <w:p>
      <w:pPr>
        <w:spacing w:after="0" w:line="170" w:lineRule="exact"/>
        <w:rPr>
          <w:rFonts w:ascii="Arial" w:cs="Arial" w:eastAsia="Arial" w:hAnsi="Arial"/>
          <w:sz w:val="18"/>
          <w:szCs w:val="18"/>
          <w:color w:val="auto"/>
        </w:rPr>
      </w:pPr>
    </w:p>
    <w:p>
      <w:pPr>
        <w:ind w:right="220" w:firstLine="996"/>
        <w:spacing w:after="0" w:line="277" w:lineRule="auto"/>
        <w:tabs>
          <w:tab w:leader="none" w:pos="124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receipt by the Company of full payment for such Shares, including payment of any applicable withholding tax, which may be in one or more of the forms of consideration permitted under Section 4.4 hereof; and</w:t>
      </w:r>
    </w:p>
    <w:p>
      <w:pPr>
        <w:spacing w:after="0" w:line="170" w:lineRule="exact"/>
        <w:rPr>
          <w:rFonts w:ascii="Arial" w:cs="Arial" w:eastAsia="Arial" w:hAnsi="Arial"/>
          <w:sz w:val="18"/>
          <w:szCs w:val="18"/>
          <w:color w:val="auto"/>
        </w:rPr>
      </w:pPr>
    </w:p>
    <w:p>
      <w:pPr>
        <w:ind w:right="140" w:firstLine="996"/>
        <w:spacing w:after="0" w:line="277" w:lineRule="auto"/>
        <w:tabs>
          <w:tab w:leader="none" w:pos="1237"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lapse of such reasonable period of time following the exercise of the Option as the Administrator may from time to time establish for reasons of administrative convenience.</w:t>
      </w:r>
    </w:p>
    <w:p>
      <w:pPr>
        <w:spacing w:after="0" w:line="170" w:lineRule="exact"/>
        <w:rPr>
          <w:sz w:val="20"/>
          <w:szCs w:val="20"/>
          <w:color w:val="auto"/>
        </w:rPr>
      </w:pPr>
    </w:p>
    <w:p>
      <w:pPr>
        <w:ind w:right="220" w:firstLine="441"/>
        <w:spacing w:after="0" w:line="276"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Rights as Stockholder</w:t>
      </w:r>
      <w:r>
        <w:rPr>
          <w:rFonts w:ascii="Arial" w:cs="Arial" w:eastAsia="Arial" w:hAnsi="Arial"/>
          <w:sz w:val="17"/>
          <w:szCs w:val="17"/>
          <w:color w:val="auto"/>
        </w:rPr>
        <w:t>. The holder of the Option shall not be, nor have any of the rights or privileges of, a stockholder of the Company, including, without limitation, voting rights and rights to dividends, in respect of any Shares purchasable upon the exercise of any part of the Option unless and until such Shares shall have been issued by the Company and held of record by such holder (as evidenced by the appropriate entry on the books of the Company or of a duly authorized transfer agent of the Company). No adjustment will be made for a dividend or other right for which the record date is prior to the date the Shares are issued, except as provided in Article IX of the Plan.</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Committee or the Board shall be personally liable for any action, determination or interpretation made in good faith with respect to the Plan, this Agreement or the Option.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Whole Shares</w:t>
      </w:r>
      <w:r>
        <w:rPr>
          <w:rFonts w:ascii="Arial" w:cs="Arial" w:eastAsia="Arial" w:hAnsi="Arial"/>
          <w:sz w:val="18"/>
          <w:szCs w:val="18"/>
          <w:color w:val="auto"/>
        </w:rPr>
        <w:t>. The Option may only be exercised for whole Shares.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Transferability</w:t>
      </w:r>
      <w:r>
        <w:rPr>
          <w:rFonts w:ascii="Arial" w:cs="Arial" w:eastAsia="Arial" w:hAnsi="Arial"/>
          <w:sz w:val="18"/>
          <w:szCs w:val="18"/>
          <w:color w:val="auto"/>
        </w:rPr>
        <w:t>.</w:t>
      </w:r>
    </w:p>
    <w:p>
      <w:pPr>
        <w:spacing w:after="0" w:line="117" w:lineRule="exact"/>
        <w:rPr>
          <w:sz w:val="20"/>
          <w:szCs w:val="20"/>
          <w:color w:val="auto"/>
        </w:rPr>
      </w:pPr>
    </w:p>
    <w:p>
      <w:pPr>
        <w:ind w:right="20" w:firstLine="996"/>
        <w:spacing w:after="0" w:line="271" w:lineRule="auto"/>
        <w:tabs>
          <w:tab w:leader="none" w:pos="1237" w:val="left"/>
        </w:tabs>
        <w:numPr>
          <w:ilvl w:val="0"/>
          <w:numId w:val="246"/>
        </w:numPr>
        <w:rPr>
          <w:rFonts w:ascii="Arial" w:cs="Arial" w:eastAsia="Arial" w:hAnsi="Arial"/>
          <w:sz w:val="17"/>
          <w:szCs w:val="17"/>
          <w:color w:val="auto"/>
        </w:rPr>
      </w:pPr>
      <w:r>
        <w:rPr>
          <w:rFonts w:ascii="Arial" w:cs="Arial" w:eastAsia="Arial" w:hAnsi="Arial"/>
          <w:sz w:val="17"/>
          <w:szCs w:val="17"/>
          <w:color w:val="auto"/>
        </w:rPr>
        <w:t>Subject to Section 4.1 hereof, the Option may not be sold, pledged, assigned or transferred in any manner other than by will or the laws of descent and distribution or, subject to the consent of the Administrator, pursuant to a DRO, unless and until the Option has been exercised and the Shares underlying the Option have been issued, and all restrictions applicable to such Shares have lapsed. Neither the Option nor any interest or right therein shall be liable for the debts, contracts or engagements of the Participant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unless and until the Option has been exercised, and any attempted disposition thereof prior to exercise shall be null and void and of no effect, except to the extent that such disposition is permitted by the preceding sentence.</w:t>
      </w:r>
    </w:p>
    <w:p>
      <w:pPr>
        <w:spacing w:after="0" w:line="178" w:lineRule="exact"/>
        <w:rPr>
          <w:rFonts w:ascii="Arial" w:cs="Arial" w:eastAsia="Arial" w:hAnsi="Arial"/>
          <w:sz w:val="17"/>
          <w:szCs w:val="17"/>
          <w:color w:val="auto"/>
        </w:rPr>
      </w:pPr>
    </w:p>
    <w:p>
      <w:pPr>
        <w:ind w:firstLine="996"/>
        <w:spacing w:after="0" w:line="259" w:lineRule="auto"/>
        <w:tabs>
          <w:tab w:leader="none" w:pos="1247" w:val="left"/>
        </w:tabs>
        <w:numPr>
          <w:ilvl w:val="0"/>
          <w:numId w:val="246"/>
        </w:numPr>
        <w:rPr>
          <w:rFonts w:ascii="Arial" w:cs="Arial" w:eastAsia="Arial" w:hAnsi="Arial"/>
          <w:sz w:val="18"/>
          <w:szCs w:val="18"/>
          <w:color w:val="auto"/>
        </w:rPr>
      </w:pPr>
      <w:r>
        <w:rPr>
          <w:rFonts w:ascii="Arial" w:cs="Arial" w:eastAsia="Arial" w:hAnsi="Arial"/>
          <w:sz w:val="18"/>
          <w:szCs w:val="18"/>
          <w:color w:val="auto"/>
        </w:rPr>
        <w:t>During the lifetime of the Participant, only the Participant may exercise the Option (or any portion thereof), unless it has been disposed of pursuant to a DRO; after the death of the Participant, any exercisable portion of the Option may, prior to the time when such portion becomes unexercisable under the Plan or this Agreement, be exercised by the Participant’s personal representative or by any person empowered to do so under the deceased Participant’s will or under the then-applicable laws of descent and distribution.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020"/>
          </w:cols>
          <w:pgMar w:left="440" w:top="273" w:right="439" w:bottom="1440" w:gutter="0" w:footer="0" w:header="0"/>
        </w:sectPr>
      </w:pPr>
    </w:p>
    <w:bookmarkStart w:id="442" w:name="page443"/>
    <w:bookmarkEnd w:id="442"/>
    <w:p>
      <w:pPr>
        <w:ind w:firstLine="996"/>
        <w:spacing w:after="0" w:line="288" w:lineRule="auto"/>
        <w:tabs>
          <w:tab w:leader="none" w:pos="1237" w:val="left"/>
        </w:tabs>
        <w:numPr>
          <w:ilvl w:val="0"/>
          <w:numId w:val="2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other provision in this Agreement, the Participant may, in the manner determined by the Administrator, designate a beneficiary to exercise the rights of the Participant and to receive any distribution with respect to the Option upon the Participant’s death. A beneficiary, legal guardian, legal representative, or other person claiming any rights pursuant to the Plan is subject to all terms and conditions of the Plan and this Agreement, except to the extent the Plan and this Agreement otherwise provide, and to any additional restrictions deemed necessary or appropriate by the Administrator. If the Participant is married or a domestic partner in a domestic partnership qualified under Applicable Law and resides in a community property state, a designation of a person other than the Participant’s spouse or domestic partner, as applicable, as his or her beneficiary with respect to more than 50% of the Participant’s interest in the Option shall not be effective without the prior written consent of the Participant’s spouse or domestic partner. If no beneficiary has been designated or survives the Participant, payment shall be made to the person entitled thereto pursuant to the Participant’s will or the laws of descent and distribution. Subject to the foregoing, a beneficiary designation may be changed or revoked by the Participant at any time provided the change or revocation is filed with the Administrator prior to the Participant’s death.</w:t>
      </w:r>
    </w:p>
    <w:p>
      <w:pPr>
        <w:spacing w:after="0" w:line="169"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Tax Consultation</w:t>
      </w:r>
      <w:r>
        <w:rPr>
          <w:rFonts w:ascii="Arial" w:cs="Arial" w:eastAsia="Arial" w:hAnsi="Arial"/>
          <w:sz w:val="18"/>
          <w:szCs w:val="18"/>
          <w:color w:val="auto"/>
        </w:rPr>
        <w:t>. The Participant understands that the Participant may suffer adverse tax consequences as a result of the grant, vesting or exercise of the Option, or with the purchase or disposition of the Shares subject to the Option. The Participant represents that the Participant has consulted with any tax consultants the Participant deems advisable in connection with the purchase or disposition of such Shares and that the Participant is not relying on the Company for any tax advice.</w:t>
      </w:r>
    </w:p>
    <w:p>
      <w:pPr>
        <w:spacing w:after="0" w:line="187"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the Option contained herein, this Agreement will be binding upon and inure to the benefit of the heirs, legatees, legal representatives, successors and assigns of the parties hereto.</w:t>
      </w:r>
    </w:p>
    <w:p>
      <w:pPr>
        <w:spacing w:after="0" w:line="17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Adjustments Upon Specified Events</w:t>
      </w:r>
      <w:r>
        <w:rPr>
          <w:rFonts w:ascii="Arial" w:cs="Arial" w:eastAsia="Arial" w:hAnsi="Arial"/>
          <w:sz w:val="18"/>
          <w:szCs w:val="18"/>
          <w:color w:val="auto"/>
        </w:rPr>
        <w:t>. The Administrator may accelerate the vesting of the Option in such circumstances as it, in its sole discretion, may determine. In addition, upon the occurrence of certain events relating to the Shares contemplated by Article IX of the Plan (including, without limitation, an extraordinary cash dividend on such Shares), the Administrator shall make such adjustments the Administrator deems appropriate in the number of Shares subject to the Option, the exercise price of the Option and the kind of securities that may be issued upon exercise of the Option. The Participant acknowledges that the Option is subject to adjustment, modification and termination in certain events as provided in this Agreement and Article IX of the Plan.</w:t>
      </w:r>
    </w:p>
    <w:p>
      <w:pPr>
        <w:spacing w:after="0" w:line="193" w:lineRule="exact"/>
        <w:rPr>
          <w:sz w:val="20"/>
          <w:szCs w:val="20"/>
          <w:color w:val="auto"/>
        </w:rPr>
      </w:pPr>
    </w:p>
    <w:p>
      <w:pPr>
        <w:ind w:right="40" w:firstLine="441"/>
        <w:spacing w:after="0" w:line="272" w:lineRule="auto"/>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u w:val="single" w:color="auto"/>
          <w:color w:val="auto"/>
        </w:rPr>
        <w:t>Notices</w:t>
      </w:r>
      <w:r>
        <w:rPr>
          <w:rFonts w:ascii="Arial" w:cs="Arial" w:eastAsia="Arial" w:hAnsi="Arial"/>
          <w:sz w:val="17"/>
          <w:szCs w:val="17"/>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5.7, either party may hereafter designate a different address for notices to be given to that party. Any notice which is required to be given to the Participant shall, if the Participant is then deceased, be given to the person entitled to exercise his or her Option pursuant to Section 4.1 hereof by written notice under this Section 5.7.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78" w:lineRule="exact"/>
        <w:rPr>
          <w:sz w:val="20"/>
          <w:szCs w:val="20"/>
          <w:color w:val="auto"/>
        </w:rPr>
      </w:pPr>
    </w:p>
    <w:p>
      <w:pPr>
        <w:jc w:val="center"/>
        <w:ind w:left="460" w:right="420"/>
        <w:spacing w:after="0" w:line="44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Titles</w:t>
      </w:r>
      <w:r>
        <w:rPr>
          <w:rFonts w:ascii="Arial" w:cs="Arial" w:eastAsia="Arial" w:hAnsi="Arial"/>
          <w:sz w:val="18"/>
          <w:szCs w:val="18"/>
          <w:color w:val="auto"/>
        </w:rPr>
        <w:t>. Titles are provided herein for convenience only and are not to serve as a basis for interpretation or construction of this Agreement. A-6</w:t>
      </w:r>
    </w:p>
    <w:p>
      <w:pPr>
        <w:sectPr>
          <w:pgSz w:w="11900" w:h="16838" w:orient="portrait"/>
          <w:cols w:equalWidth="0" w:num="1">
            <w:col w:w="11000"/>
          </w:cols>
          <w:pgMar w:left="440" w:top="274" w:right="459" w:bottom="1440" w:gutter="0" w:footer="0" w:header="0"/>
        </w:sectPr>
      </w:pPr>
    </w:p>
    <w:bookmarkStart w:id="443" w:name="page444"/>
    <w:bookmarkEnd w:id="443"/>
    <w:p>
      <w:pPr>
        <w:ind w:right="180"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5.9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0" w:lineRule="exact"/>
        <w:rPr>
          <w:sz w:val="20"/>
          <w:szCs w:val="20"/>
          <w:color w:val="auto"/>
        </w:rPr>
      </w:pPr>
    </w:p>
    <w:p>
      <w:pPr>
        <w:ind w:right="100" w:firstLine="441"/>
        <w:spacing w:after="0" w:line="297"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The Participant acknowledges that the Plan and this Agreement are intended to conform to the extent necessary with all provisions of the Securities Act and the Exchange Act and any and all Applicable Law and regulations and rules promulgated by the Securities and Exchange Commission thereunder, and state securities laws and regulations. Notwithstanding anything herein to the contrary, the Plan shall be administered, and the Option is granted and may be exercised, only in such a manner as to conform to such Applicable Law. To the extent permitted by applicable law, the Plan and this Agreement shall be deemed amended to the extent necessary to conform to such Applicable Law.</w:t>
      </w:r>
    </w:p>
    <w:p>
      <w:pPr>
        <w:spacing w:after="0" w:line="158"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xml:space="preserve">. To the extent permitted by the Plan, this Agreement may be wholly or partially amended or otherwise modified, suspended or terminated at any time or from time to time by the Administrator or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Option in any material way without the prior written consent of the Participant.</w:t>
      </w:r>
    </w:p>
    <w:p>
      <w:pPr>
        <w:spacing w:after="0" w:line="187" w:lineRule="exact"/>
        <w:rPr>
          <w:sz w:val="20"/>
          <w:szCs w:val="20"/>
          <w:color w:val="auto"/>
        </w:rPr>
      </w:pPr>
    </w:p>
    <w:p>
      <w:pPr>
        <w:ind w:right="20" w:firstLine="441"/>
        <w:spacing w:after="0" w:line="286"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Agreement to single or multiple assignees, and this Agreement shall inure to the benefit of the successors and assigns of the Company. Subject to the restrictions on transfer herein set forth in Section 5.3 hereof, this Agreement shall be binding upon the Participant and his or her heirs, executors, administrators, successors and assigns.</w:t>
      </w:r>
    </w:p>
    <w:p>
      <w:pPr>
        <w:spacing w:after="0" w:line="166" w:lineRule="exact"/>
        <w:rPr>
          <w:sz w:val="20"/>
          <w:szCs w:val="20"/>
          <w:color w:val="auto"/>
        </w:rPr>
      </w:pPr>
    </w:p>
    <w:p>
      <w:pPr>
        <w:ind w:right="140" w:firstLine="441"/>
        <w:spacing w:after="0" w:line="257"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Notification of Disposition</w:t>
      </w:r>
      <w:r>
        <w:rPr>
          <w:rFonts w:ascii="Arial" w:cs="Arial" w:eastAsia="Arial" w:hAnsi="Arial"/>
          <w:sz w:val="18"/>
          <w:szCs w:val="18"/>
          <w:color w:val="auto"/>
        </w:rPr>
        <w:t>. If this Option is designated as an Incentive Stock Option, the Participant shall give prompt notice to the Company of any disposition or other transfer of any Shares acquired under this Agreement if such disposition or transfer is made (a) within two years from the Grant Date with respect to such Shares or (b) within one year after the transfer of such Shares to the Participant. Such notice shall specify the date of such disposition or other transfer and the amount realized, in cash, other property, assumption of indebtedness or other consideration, by the Participant in such disposition or other transfer.</w:t>
      </w:r>
    </w:p>
    <w:p>
      <w:pPr>
        <w:spacing w:after="0" w:line="188"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the Participant is subject to Section 16 of the Exchange Act, the Plan, the Option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8"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Not a Contract of Service Relationship</w:t>
      </w:r>
      <w:r>
        <w:rPr>
          <w:rFonts w:ascii="Arial" w:cs="Arial" w:eastAsia="Arial" w:hAnsi="Arial"/>
          <w:sz w:val="18"/>
          <w:szCs w:val="18"/>
          <w:color w:val="auto"/>
        </w:rPr>
        <w:t>. Nothing in this Agreement or in the Plan shall confer upon the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Participant’s at any time.</w:t>
      </w:r>
    </w:p>
    <w:p>
      <w:pPr>
        <w:spacing w:after="0" w:line="187"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5.16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Plan, the Grant Notice and this Agreement constitute the entire agreement of the parties and supersede in their entirety all prior undertakings and agreements of the Company and the Participant with respect to the subject matter hereof, provided that the Option shall be subject to any accelerated vesting provisions in any written agreement between the Participant and the Company or a Company plan pursuant to which the Participant participates, in each case, in accordance with the terms therein.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0980"/>
          </w:cols>
          <w:pgMar w:left="440" w:top="274" w:right="479" w:bottom="1440" w:gutter="0" w:footer="0" w:header="0"/>
        </w:sectPr>
      </w:pPr>
    </w:p>
    <w:bookmarkStart w:id="444" w:name="page445"/>
    <w:bookmarkEnd w:id="444"/>
    <w:p>
      <w:pPr>
        <w:ind w:firstLine="44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5.17 </w:t>
      </w:r>
      <w:r>
        <w:rPr>
          <w:rFonts w:ascii="Arial" w:cs="Arial" w:eastAsia="Arial" w:hAnsi="Arial"/>
          <w:sz w:val="16"/>
          <w:szCs w:val="16"/>
          <w:u w:val="single" w:color="auto"/>
          <w:color w:val="auto"/>
        </w:rPr>
        <w:t>Section 409A</w:t>
      </w:r>
      <w:r>
        <w:rPr>
          <w:rFonts w:ascii="Arial" w:cs="Arial" w:eastAsia="Arial" w:hAnsi="Arial"/>
          <w:sz w:val="16"/>
          <w:szCs w:val="16"/>
          <w:color w:val="auto"/>
        </w:rPr>
        <w:t>. This Option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However, notwithstanding any other provision of the Plan, the Grant Notice or this Agreement, if at any time the Administrator determines that the Option (or any portion thereof) may be subject to Section 409A, the Administrator shall have the right in its sole discretion (without any obligation to do so or to indemnify the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either for the Option to be exempt from the application of Section 409A or to comply with the requirements of Section 409A.</w:t>
      </w:r>
    </w:p>
    <w:p>
      <w:pPr>
        <w:spacing w:after="0" w:line="166" w:lineRule="exact"/>
        <w:rPr>
          <w:sz w:val="20"/>
          <w:szCs w:val="20"/>
          <w:color w:val="auto"/>
        </w:rPr>
      </w:pPr>
    </w:p>
    <w:p>
      <w:pPr>
        <w:jc w:val="both"/>
        <w:ind w:right="140" w:firstLine="441"/>
        <w:spacing w:after="0" w:line="297" w:lineRule="auto"/>
        <w:rPr>
          <w:sz w:val="20"/>
          <w:szCs w:val="20"/>
          <w:color w:val="auto"/>
        </w:rPr>
      </w:pPr>
      <w:r>
        <w:rPr>
          <w:rFonts w:ascii="Arial" w:cs="Arial" w:eastAsia="Arial" w:hAnsi="Arial"/>
          <w:sz w:val="16"/>
          <w:szCs w:val="16"/>
          <w:color w:val="auto"/>
        </w:rPr>
        <w:t xml:space="preserve">5.18 </w:t>
      </w:r>
      <w:r>
        <w:rPr>
          <w:rFonts w:ascii="Arial" w:cs="Arial" w:eastAsia="Arial" w:hAnsi="Arial"/>
          <w:sz w:val="16"/>
          <w:szCs w:val="16"/>
          <w:u w:val="single" w:color="auto"/>
          <w:color w:val="auto"/>
        </w:rPr>
        <w:t>Limitation on the Participant’s Rights</w:t>
      </w:r>
      <w:r>
        <w:rPr>
          <w:rFonts w:ascii="Arial" w:cs="Arial" w:eastAsia="Arial" w:hAnsi="Arial"/>
          <w:sz w:val="16"/>
          <w:szCs w:val="16"/>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with respect to amounts credited and benefits payable, if any, with respect to the Option, and rights no greater than the right to receive the Shares as a general unsecured creditor with respect to options, as and when exercised pursuant to the terms hereof.</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0980"/>
          </w:cols>
          <w:pgMar w:left="440" w:top="274" w:right="479" w:bottom="1440" w:gutter="0" w:footer="0" w:header="0"/>
        </w:sectPr>
      </w:pPr>
    </w:p>
    <w:bookmarkStart w:id="445" w:name="page446"/>
    <w:bookmarkEnd w:id="445"/>
    <w:p>
      <w:pPr>
        <w:jc w:val="right"/>
        <w:spacing w:after="0"/>
        <w:rPr>
          <w:sz w:val="20"/>
          <w:szCs w:val="20"/>
          <w:color w:val="auto"/>
        </w:rPr>
      </w:pPr>
      <w:r>
        <w:rPr>
          <w:rFonts w:ascii="Arial" w:cs="Arial" w:eastAsia="Arial" w:hAnsi="Arial"/>
          <w:sz w:val="18"/>
          <w:szCs w:val="18"/>
          <w:b w:val="1"/>
          <w:bCs w:val="1"/>
          <w:color w:val="auto"/>
        </w:rPr>
        <w:t>Exhibit 10.7(c)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INCENTIVE AWARD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GRANT NOTICE</w:t>
      </w:r>
    </w:p>
    <w:p>
      <w:pPr>
        <w:spacing w:after="0" w:line="21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Revolution Medicines,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pursuant to its 2020 Incentive Award Plan, as amended from time 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hereby grants to the holder listed below (the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the number of shares of the Company’s Common Stock set forth below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xml:space="preserve">”) subject to all of the terms and conditions as set forth herein and in the Restricted Stock Award Agreement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(including without limitation the Restrictions on the Shares set forth in the Agreement) and the Plan, each of which is incorporated herein by reference. Unless otherwise defined herein, the terms defined in the Plan shall have the same defined meanings in this Restricted Stock Award Grant Notice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and the Agreement.</w:t>
      </w:r>
    </w:p>
    <w:p>
      <w:pPr>
        <w:sectPr>
          <w:pgSz w:w="11900" w:h="16838" w:orient="portrait"/>
          <w:cols w:equalWidth="0" w:num="1">
            <w:col w:w="11020"/>
          </w:cols>
          <w:pgMar w:left="440" w:top="121" w:right="439" w:bottom="1440" w:gutter="0" w:footer="0" w:header="0"/>
        </w:sect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36"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w:t>
      </w:r>
    </w:p>
    <w:p>
      <w:pPr>
        <w:spacing w:after="0" w:line="136"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Total Number of Shares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135"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w:t>
      </w:r>
    </w:p>
    <w:p>
      <w:pPr>
        <w:spacing w:after="0" w:line="136"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w:t>
      </w:r>
    </w:p>
    <w:p>
      <w:pPr>
        <w:spacing w:after="0" w:line="136"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Termination:</w:t>
      </w:r>
    </w:p>
    <w:p>
      <w:pPr>
        <w:spacing w:after="0" w:line="20" w:lineRule="exact"/>
        <w:rPr>
          <w:sz w:val="20"/>
          <w:szCs w:val="20"/>
          <w:color w:val="auto"/>
        </w:rPr>
      </w:pPr>
      <w:r>
        <w:rPr>
          <w:sz w:val="20"/>
          <w:szCs w:val="20"/>
          <w:color w:val="auto"/>
        </w:rPr>
        <w:br w:type="column"/>
      </w:r>
    </w:p>
    <w:p>
      <w:pPr>
        <w:jc w:val="both"/>
        <w:ind w:right="120"/>
        <w:spacing w:after="0" w:line="264" w:lineRule="auto"/>
        <w:rPr>
          <w:sz w:val="20"/>
          <w:szCs w:val="20"/>
          <w:color w:val="auto"/>
        </w:rPr>
      </w:pPr>
      <w:r>
        <w:rPr>
          <w:rFonts w:ascii="Arial" w:cs="Arial" w:eastAsia="Arial" w:hAnsi="Arial"/>
          <w:sz w:val="18"/>
          <w:szCs w:val="18"/>
          <w:color w:val="auto"/>
        </w:rPr>
        <w:t>If the Participant experiences a Termination of Service, any Shares that have not become vested on or prior to the date of such Termination of Service will thereupon be automatically forfeited by the Participant, and the Participant’s rights in such Shares shall thereupon lapse and expire.</w:t>
      </w:r>
    </w:p>
    <w:p>
      <w:pPr>
        <w:spacing w:after="0" w:line="181"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ind w:firstLine="441"/>
        <w:spacing w:after="0" w:line="290" w:lineRule="auto"/>
        <w:rPr>
          <w:sz w:val="20"/>
          <w:szCs w:val="20"/>
          <w:color w:val="auto"/>
        </w:rPr>
      </w:pPr>
      <w:r>
        <w:rPr>
          <w:rFonts w:ascii="Arial" w:cs="Arial" w:eastAsia="Arial" w:hAnsi="Arial"/>
          <w:sz w:val="16"/>
          <w:szCs w:val="16"/>
          <w:color w:val="auto"/>
        </w:rPr>
        <w:t>By his or her signature and the Company’s signature below, the Participant agrees to be bound by the terms and conditions of the Plan, the Agreement and this Grant Notice. The Participant has reviewed the Plan, the Agreement and this Grant Notice in their entirety, has had an opportunity to obtain the advice of counsel prior to executing this Grant Notice and fully understands all provisions of the Plan, Agreement and this Grant Notice. The Participant hereby agrees to accept as binding, conclusive and final all decisions or interpretations of the Administrator upon any questions arising under the Plan, the Agreement or this Grant Notice. In addition, by signing below, the Participant also agrees that the Company, in its sole discretion, may satisfy any withholding obligations in accordance with Section 2.2(c) of the Agreement by (i) withholding shares of Common Stock otherwise issuable to the Participant upon vesting of the Shares, (ii) instructing a broker on the Participant’s behalf to sell Shares upon vesting and submit the proceeds of such sale to the Company, or (iii) using any other method permitted by Section 2.2(c) of the Agreement or the Plan.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60" w:type="dxa"/>
            <w:vAlign w:val="bottom"/>
            <w:gridSpan w:val="2"/>
          </w:tcPr>
          <w:p>
            <w:pPr>
              <w:spacing w:after="0"/>
              <w:rPr>
                <w:sz w:val="20"/>
                <w:szCs w:val="20"/>
                <w:color w:val="auto"/>
              </w:rPr>
            </w:pPr>
            <w:r>
              <w:rPr>
                <w:rFonts w:ascii="Arial" w:cs="Arial" w:eastAsia="Arial" w:hAnsi="Arial"/>
                <w:sz w:val="20"/>
                <w:szCs w:val="20"/>
                <w:b w:val="1"/>
                <w:bCs w:val="1"/>
                <w:color w:val="auto"/>
              </w:rPr>
              <w:t>REVOLUTION MEDICINES, INC.:</w:t>
            </w:r>
          </w:p>
        </w:tc>
        <w:tc>
          <w:tcPr>
            <w:tcW w:w="5540" w:type="dxa"/>
            <w:vAlign w:val="bottom"/>
            <w:gridSpan w:val="2"/>
          </w:tcPr>
          <w:p>
            <w:pPr>
              <w:ind w:left="1260"/>
              <w:spacing w:after="0"/>
              <w:rPr>
                <w:sz w:val="20"/>
                <w:szCs w:val="20"/>
                <w:color w:val="auto"/>
              </w:rPr>
            </w:pPr>
            <w:r>
              <w:rPr>
                <w:rFonts w:ascii="Arial" w:cs="Arial" w:eastAsia="Arial" w:hAnsi="Arial"/>
                <w:sz w:val="18"/>
                <w:szCs w:val="18"/>
                <w:b w:val="1"/>
                <w:bCs w:val="1"/>
                <w:color w:val="auto"/>
              </w:rPr>
              <w:t>PARTICIPANT:</w:t>
            </w:r>
          </w:p>
        </w:tc>
        <w:tc>
          <w:tcPr>
            <w:tcW w:w="0" w:type="dxa"/>
            <w:vAlign w:val="bottom"/>
          </w:tcPr>
          <w:p>
            <w:pPr>
              <w:spacing w:after="0"/>
              <w:rPr>
                <w:sz w:val="1"/>
                <w:szCs w:val="1"/>
                <w:color w:val="auto"/>
              </w:rPr>
            </w:pPr>
          </w:p>
        </w:tc>
      </w:tr>
      <w:tr>
        <w:trPr>
          <w:trHeight w:val="428"/>
        </w:trPr>
        <w:tc>
          <w:tcPr>
            <w:tcW w:w="5060" w:type="dxa"/>
            <w:vAlign w:val="bottom"/>
            <w:gridSpan w:val="2"/>
          </w:tcPr>
          <w:p>
            <w:pPr>
              <w:spacing w:after="0"/>
              <w:rPr>
                <w:sz w:val="20"/>
                <w:szCs w:val="20"/>
                <w:color w:val="auto"/>
              </w:rPr>
            </w:pPr>
            <w:r>
              <w:rPr>
                <w:rFonts w:ascii="Arial" w:cs="Arial" w:eastAsia="Arial" w:hAnsi="Arial"/>
                <w:sz w:val="18"/>
                <w:szCs w:val="18"/>
                <w:color w:val="auto"/>
              </w:rPr>
              <w:t>By:</w:t>
            </w:r>
          </w:p>
        </w:tc>
        <w:tc>
          <w:tcPr>
            <w:tcW w:w="5540" w:type="dxa"/>
            <w:vAlign w:val="bottom"/>
            <w:gridSpan w:val="2"/>
          </w:tcPr>
          <w:p>
            <w:pPr>
              <w:ind w:left="126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Print Name:</w:t>
            </w:r>
          </w:p>
        </w:tc>
        <w:tc>
          <w:tcPr>
            <w:tcW w:w="3960" w:type="dxa"/>
            <w:vAlign w:val="bottom"/>
            <w:tcBorders>
              <w:top w:val="single" w:sz="8" w:color="auto"/>
              <w:bottom w:val="single" w:sz="8" w:color="auto"/>
            </w:tcBorders>
          </w:tcPr>
          <w:p>
            <w:pPr>
              <w:spacing w:after="0"/>
              <w:rPr>
                <w:sz w:val="18"/>
                <w:szCs w:val="18"/>
                <w:color w:val="auto"/>
              </w:rPr>
            </w:pPr>
          </w:p>
        </w:tc>
        <w:tc>
          <w:tcPr>
            <w:tcW w:w="2140" w:type="dxa"/>
            <w:vAlign w:val="bottom"/>
          </w:tcPr>
          <w:p>
            <w:pPr>
              <w:ind w:left="1260"/>
              <w:spacing w:after="0"/>
              <w:rPr>
                <w:sz w:val="20"/>
                <w:szCs w:val="20"/>
                <w:color w:val="auto"/>
              </w:rPr>
            </w:pPr>
            <w:r>
              <w:rPr>
                <w:rFonts w:ascii="Arial" w:cs="Arial" w:eastAsia="Arial" w:hAnsi="Arial"/>
                <w:sz w:val="18"/>
                <w:szCs w:val="18"/>
                <w:color w:val="auto"/>
                <w:w w:val="90"/>
              </w:rPr>
              <w:t>Print Name:</w:t>
            </w:r>
          </w:p>
        </w:tc>
        <w:tc>
          <w:tcPr>
            <w:tcW w:w="34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Borders>
              <w:bottom w:val="single" w:sz="8" w:color="auto"/>
            </w:tcBorders>
          </w:tcPr>
          <w:p>
            <w:pPr>
              <w:spacing w:after="0"/>
              <w:rPr>
                <w:sz w:val="18"/>
                <w:szCs w:val="18"/>
                <w:color w:val="auto"/>
              </w:rPr>
            </w:pPr>
          </w:p>
        </w:tc>
        <w:tc>
          <w:tcPr>
            <w:tcW w:w="2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00" w:type="dxa"/>
            <w:vAlign w:val="bottom"/>
          </w:tcPr>
          <w:p>
            <w:pPr>
              <w:spacing w:after="0"/>
              <w:rPr>
                <w:sz w:val="20"/>
                <w:szCs w:val="20"/>
                <w:color w:val="auto"/>
              </w:rPr>
            </w:pPr>
            <w:r>
              <w:rPr>
                <w:rFonts w:ascii="Arial" w:cs="Arial" w:eastAsia="Arial" w:hAnsi="Arial"/>
                <w:sz w:val="18"/>
                <w:szCs w:val="18"/>
                <w:color w:val="auto"/>
              </w:rPr>
              <w:t>Address:</w:t>
            </w:r>
          </w:p>
        </w:tc>
        <w:tc>
          <w:tcPr>
            <w:tcW w:w="3960" w:type="dxa"/>
            <w:vAlign w:val="bottom"/>
          </w:tcPr>
          <w:p>
            <w:pPr>
              <w:spacing w:after="0"/>
              <w:rPr>
                <w:sz w:val="18"/>
                <w:szCs w:val="18"/>
                <w:color w:val="auto"/>
              </w:rPr>
            </w:pPr>
          </w:p>
        </w:tc>
        <w:tc>
          <w:tcPr>
            <w:tcW w:w="5540" w:type="dxa"/>
            <w:vAlign w:val="bottom"/>
            <w:gridSpan w:val="2"/>
          </w:tcPr>
          <w:p>
            <w:pPr>
              <w:ind w:left="126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3960" w:type="dxa"/>
            <w:vAlign w:val="bottom"/>
            <w:tcBorders>
              <w:top w:val="single" w:sz="8" w:color="auto"/>
              <w:bottom w:val="single" w:sz="8" w:color="auto"/>
            </w:tcBorders>
          </w:tcPr>
          <w:p>
            <w:pPr>
              <w:spacing w:after="0"/>
              <w:rPr>
                <w:sz w:val="18"/>
                <w:szCs w:val="18"/>
                <w:color w:val="auto"/>
              </w:rPr>
            </w:pPr>
          </w:p>
        </w:tc>
        <w:tc>
          <w:tcPr>
            <w:tcW w:w="2140" w:type="dxa"/>
            <w:vAlign w:val="bottom"/>
            <w:vMerge w:val="restart"/>
          </w:tcPr>
          <w:p>
            <w:pPr>
              <w:ind w:left="400"/>
              <w:spacing w:after="0"/>
              <w:rPr>
                <w:sz w:val="20"/>
                <w:szCs w:val="20"/>
                <w:color w:val="auto"/>
              </w:rPr>
            </w:pPr>
            <w:r>
              <w:rPr>
                <w:rFonts w:ascii="Arial" w:cs="Arial" w:eastAsia="Arial" w:hAnsi="Arial"/>
                <w:sz w:val="18"/>
                <w:szCs w:val="18"/>
                <w:color w:val="auto"/>
              </w:rPr>
              <w:t>1</w:t>
            </w:r>
          </w:p>
        </w:tc>
        <w:tc>
          <w:tcPr>
            <w:tcW w:w="340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11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type w:val="continuous"/>
        </w:sectPr>
      </w:pPr>
    </w:p>
    <w:bookmarkStart w:id="446" w:name="page447"/>
    <w:bookmarkEnd w:id="4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RESTRICTED STOCK AWARD GRANT NOTICE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STOCK AWARD AGREEMENT</w:t>
      </w:r>
    </w:p>
    <w:p>
      <w:pPr>
        <w:spacing w:after="0" w:line="229" w:lineRule="exact"/>
        <w:rPr>
          <w:sz w:val="20"/>
          <w:szCs w:val="20"/>
          <w:color w:val="auto"/>
        </w:rPr>
      </w:pPr>
    </w:p>
    <w:p>
      <w:pPr>
        <w:jc w:val="both"/>
        <w:ind w:right="20" w:firstLine="441"/>
        <w:spacing w:after="0" w:line="312" w:lineRule="auto"/>
        <w:rPr>
          <w:sz w:val="20"/>
          <w:szCs w:val="20"/>
          <w:color w:val="auto"/>
        </w:rPr>
      </w:pPr>
      <w:r>
        <w:rPr>
          <w:rFonts w:ascii="Arial" w:cs="Arial" w:eastAsia="Arial" w:hAnsi="Arial"/>
          <w:sz w:val="16"/>
          <w:szCs w:val="16"/>
          <w:color w:val="auto"/>
        </w:rPr>
        <w:t>Pursuant to the Restricted Stock Award Grant Notice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to which this Restricted Stock Award Agreement (this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attached, Revolution Medicines,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to the Participant the number of shares of Restricted Stock (the “</w:t>
      </w:r>
      <w:r>
        <w:rPr>
          <w:rFonts w:ascii="Arial" w:cs="Arial" w:eastAsia="Arial" w:hAnsi="Arial"/>
          <w:sz w:val="16"/>
          <w:szCs w:val="16"/>
          <w:b w:val="1"/>
          <w:bCs w:val="1"/>
          <w:i w:val="1"/>
          <w:iCs w:val="1"/>
          <w:color w:val="auto"/>
        </w:rPr>
        <w:t>Shares</w:t>
      </w:r>
      <w:r>
        <w:rPr>
          <w:rFonts w:ascii="Arial" w:cs="Arial" w:eastAsia="Arial" w:hAnsi="Arial"/>
          <w:sz w:val="16"/>
          <w:szCs w:val="16"/>
          <w:color w:val="auto"/>
        </w:rPr>
        <w:t>”) under the Company’s 2020 Incentive Award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as set forth in the Grant Notice.</w:t>
      </w:r>
    </w:p>
    <w:p>
      <w:pPr>
        <w:spacing w:after="0" w:line="359"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not specifically defined herein shall have the meanings specified in the Plan and the Grant Notice.</w:t>
      </w:r>
    </w:p>
    <w:p>
      <w:pPr>
        <w:spacing w:after="0" w:line="237" w:lineRule="exact"/>
        <w:rPr>
          <w:sz w:val="20"/>
          <w:szCs w:val="20"/>
          <w:color w:val="auto"/>
        </w:rPr>
      </w:pPr>
    </w:p>
    <w:p>
      <w:pPr>
        <w:jc w:val="both"/>
        <w:ind w:firstLine="441"/>
        <w:spacing w:after="0" w:line="308"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Incorporation of Terms of Plan</w:t>
      </w:r>
      <w:r>
        <w:rPr>
          <w:rFonts w:ascii="Arial" w:cs="Arial" w:eastAsia="Arial" w:hAnsi="Arial"/>
          <w:sz w:val="17"/>
          <w:szCs w:val="17"/>
          <w:color w:val="auto"/>
        </w:rPr>
        <w:t>. The Award (as defined below) is subject to the terms and conditions of the Plan, which are incorporated herein by reference. In the event of any inconsistency between the Plan and this Agreement, the terms of the Plan shall control.</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OF RESTRICTED STOCK</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Award of Restricted Stock</w:t>
      </w:r>
      <w:r>
        <w:rPr>
          <w:rFonts w:ascii="Arial" w:cs="Arial" w:eastAsia="Arial" w:hAnsi="Arial"/>
          <w:sz w:val="18"/>
          <w:szCs w:val="18"/>
          <w:color w:val="auto"/>
        </w:rPr>
        <w:t>.</w:t>
      </w:r>
    </w:p>
    <w:p>
      <w:pPr>
        <w:spacing w:after="0" w:line="225" w:lineRule="exact"/>
        <w:rPr>
          <w:sz w:val="20"/>
          <w:szCs w:val="20"/>
          <w:color w:val="auto"/>
        </w:rPr>
      </w:pPr>
    </w:p>
    <w:p>
      <w:pPr>
        <w:ind w:right="340" w:firstLine="996"/>
        <w:spacing w:after="0" w:line="279" w:lineRule="auto"/>
        <w:tabs>
          <w:tab w:leader="none" w:pos="1236"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Award</w:t>
      </w:r>
      <w:r>
        <w:rPr>
          <w:rFonts w:ascii="Arial" w:cs="Arial" w:eastAsia="Arial" w:hAnsi="Arial"/>
          <w:sz w:val="17"/>
          <w:szCs w:val="17"/>
          <w:color w:val="auto"/>
        </w:rPr>
        <w:t>. Pursuant to the Grant Notice and upon the terms and conditions set forth in the Plan and this Agreement, effective as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Date set forth in the Grant Notice, the Company has granted to the Participant an award of Restricted Stock (the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under the Plan in consideration of the Participant’s past or continued employment with or service to the Company or any Subsidiary, and for other good and valuable consideration. The number of Shares subject to the Award is set forth in the Grant Notice.</w:t>
      </w:r>
    </w:p>
    <w:p>
      <w:pPr>
        <w:spacing w:after="0" w:line="171" w:lineRule="exact"/>
        <w:rPr>
          <w:rFonts w:ascii="Arial" w:cs="Arial" w:eastAsia="Arial" w:hAnsi="Arial"/>
          <w:sz w:val="17"/>
          <w:szCs w:val="17"/>
          <w:color w:val="auto"/>
        </w:rPr>
      </w:pPr>
    </w:p>
    <w:p>
      <w:pPr>
        <w:jc w:val="both"/>
        <w:ind w:firstLine="996"/>
        <w:spacing w:after="0" w:line="302" w:lineRule="auto"/>
        <w:tabs>
          <w:tab w:leader="none" w:pos="1247" w:val="left"/>
        </w:tabs>
        <w:numPr>
          <w:ilvl w:val="0"/>
          <w:numId w:val="248"/>
        </w:numPr>
        <w:rPr>
          <w:rFonts w:ascii="Arial" w:cs="Arial" w:eastAsia="Arial" w:hAnsi="Arial"/>
          <w:sz w:val="16"/>
          <w:szCs w:val="16"/>
          <w:color w:val="auto"/>
        </w:rPr>
      </w:pPr>
      <w:r>
        <w:rPr>
          <w:rFonts w:ascii="Arial" w:cs="Arial" w:eastAsia="Arial" w:hAnsi="Arial"/>
          <w:sz w:val="16"/>
          <w:szCs w:val="16"/>
          <w:i w:val="1"/>
          <w:iCs w:val="1"/>
          <w:color w:val="auto"/>
        </w:rPr>
        <w:t>Escrow</w:t>
      </w:r>
      <w:r>
        <w:rPr>
          <w:rFonts w:ascii="Arial" w:cs="Arial" w:eastAsia="Arial" w:hAnsi="Arial"/>
          <w:sz w:val="16"/>
          <w:szCs w:val="16"/>
          <w:color w:val="auto"/>
        </w:rPr>
        <w:t>. The Participant, by acceptance of the Award, shall be deemed to appoint, and does so appoint, the Secretary of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or such other escrow holder as the Administrator may appoint to hold the Shares in escrow as the Participant’s attorney(s)-in-fact to effect any transfer of unvested forfeited Shares (or Shares otherwise reacquired by the Company hereunder) to the Company as may be required pursuant to the Plan or this Agreement and to execute such documents as the Company or such representatives deem necessary or advisable in connection with any such transfer.</w:t>
      </w:r>
    </w:p>
    <w:p>
      <w:pPr>
        <w:spacing w:after="0" w:line="154" w:lineRule="exact"/>
        <w:rPr>
          <w:rFonts w:ascii="Arial" w:cs="Arial" w:eastAsia="Arial" w:hAnsi="Arial"/>
          <w:sz w:val="16"/>
          <w:szCs w:val="16"/>
          <w:color w:val="auto"/>
        </w:rPr>
      </w:pPr>
    </w:p>
    <w:p>
      <w:pPr>
        <w:ind w:left="1240" w:hanging="244"/>
        <w:spacing w:after="0"/>
        <w:tabs>
          <w:tab w:leader="none" w:pos="1240" w:val="left"/>
        </w:tabs>
        <w:numPr>
          <w:ilvl w:val="0"/>
          <w:numId w:val="248"/>
        </w:numPr>
        <w:rPr>
          <w:rFonts w:ascii="Arial" w:cs="Arial" w:eastAsia="Arial" w:hAnsi="Arial"/>
          <w:sz w:val="17"/>
          <w:szCs w:val="17"/>
          <w:color w:val="auto"/>
        </w:rPr>
      </w:pPr>
      <w:r>
        <w:rPr>
          <w:rFonts w:ascii="Arial" w:cs="Arial" w:eastAsia="Arial" w:hAnsi="Arial"/>
          <w:sz w:val="17"/>
          <w:szCs w:val="17"/>
          <w:i w:val="1"/>
          <w:iCs w:val="1"/>
          <w:color w:val="auto"/>
        </w:rPr>
        <w:t>Removal of Notations</w:t>
      </w:r>
      <w:r>
        <w:rPr>
          <w:rFonts w:ascii="Arial" w:cs="Arial" w:eastAsia="Arial" w:hAnsi="Arial"/>
          <w:sz w:val="17"/>
          <w:szCs w:val="17"/>
          <w:color w:val="auto"/>
        </w:rPr>
        <w:t>. As soon as administratively practicable after the vesting of any Shares subject to the Award pursuant to</w:t>
      </w:r>
    </w:p>
    <w:p>
      <w:pPr>
        <w:spacing w:after="0" w:line="3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Section 2.2(b) hereof, the Company shall remove the notations on any Shares subject to the Award which have vested (or such lesser number of Shares as may be permitted pursuant to Section 10.7 of the Plan). The Participant (or the beneficiary or personal representative of the Participant in the event of the Participant’s death or incapacity, as the case may be) shall deliver to the Company any representations or other documents or assurances required by the Company.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00"/>
          </w:cols>
          <w:pgMar w:left="440" w:top="270" w:right="459" w:bottom="1440" w:gutter="0" w:footer="0" w:header="0"/>
        </w:sectPr>
      </w:pPr>
    </w:p>
    <w:bookmarkStart w:id="447" w:name="page448"/>
    <w:bookmarkEnd w:id="4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2.2 </w:t>
      </w:r>
      <w:r>
        <w:rPr>
          <w:rFonts w:ascii="Arial" w:cs="Arial" w:eastAsia="Arial" w:hAnsi="Arial"/>
          <w:sz w:val="18"/>
          <w:szCs w:val="18"/>
          <w:u w:val="single" w:color="auto"/>
          <w:color w:val="auto"/>
        </w:rPr>
        <w:t>Restrictions</w:t>
      </w:r>
      <w:r>
        <w:rPr>
          <w:rFonts w:ascii="Arial" w:cs="Arial" w:eastAsia="Arial" w:hAnsi="Arial"/>
          <w:sz w:val="18"/>
          <w:szCs w:val="18"/>
          <w:color w:val="auto"/>
        </w:rPr>
        <w:t>.</w:t>
      </w:r>
    </w:p>
    <w:p>
      <w:pPr>
        <w:spacing w:after="0" w:line="225" w:lineRule="exact"/>
        <w:rPr>
          <w:sz w:val="20"/>
          <w:szCs w:val="20"/>
          <w:color w:val="auto"/>
        </w:rPr>
      </w:pPr>
    </w:p>
    <w:p>
      <w:pPr>
        <w:ind w:firstLine="996"/>
        <w:spacing w:after="0" w:line="259" w:lineRule="auto"/>
        <w:tabs>
          <w:tab w:leader="none" w:pos="1236"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Forfeiture</w:t>
      </w:r>
      <w:r>
        <w:rPr>
          <w:rFonts w:ascii="Arial" w:cs="Arial" w:eastAsia="Arial" w:hAnsi="Arial"/>
          <w:sz w:val="18"/>
          <w:szCs w:val="18"/>
          <w:color w:val="auto"/>
        </w:rPr>
        <w:t>. Notwithstanding any contrary provision of this Agreement, except as may otherwise be provided by the Administrator or as</w:t>
      </w:r>
      <w:r>
        <w:rPr>
          <w:rFonts w:ascii="Arial" w:cs="Arial" w:eastAsia="Arial" w:hAnsi="Arial"/>
          <w:sz w:val="18"/>
          <w:szCs w:val="18"/>
          <w:i w:val="1"/>
          <w:iCs w:val="1"/>
          <w:color w:val="auto"/>
        </w:rPr>
        <w:t xml:space="preserve"> </w:t>
      </w:r>
      <w:r>
        <w:rPr>
          <w:rFonts w:ascii="Arial" w:cs="Arial" w:eastAsia="Arial" w:hAnsi="Arial"/>
          <w:sz w:val="18"/>
          <w:szCs w:val="18"/>
          <w:color w:val="auto"/>
        </w:rPr>
        <w:t>set forth in a written agreement between the Company and the Participant, upon the Participant’s Termination of Service for any or no reason, any Shares subject to Restrictions shall thereupon be forfeited immediately and without any further action by the Company, and the Participant’s rights in such Shares shall thereupon lapse and expire.</w:t>
      </w:r>
    </w:p>
    <w:p>
      <w:pPr>
        <w:spacing w:after="0" w:line="186" w:lineRule="exact"/>
        <w:rPr>
          <w:rFonts w:ascii="Arial" w:cs="Arial" w:eastAsia="Arial" w:hAnsi="Arial"/>
          <w:sz w:val="18"/>
          <w:szCs w:val="18"/>
          <w:color w:val="auto"/>
        </w:rPr>
      </w:pPr>
    </w:p>
    <w:p>
      <w:pPr>
        <w:ind w:right="80" w:firstLine="996"/>
        <w:spacing w:after="0" w:line="259" w:lineRule="auto"/>
        <w:tabs>
          <w:tab w:leader="none" w:pos="1247"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Vesting and Lapse of Restrictions</w:t>
      </w:r>
      <w:r>
        <w:rPr>
          <w:rFonts w:ascii="Arial" w:cs="Arial" w:eastAsia="Arial" w:hAnsi="Arial"/>
          <w:sz w:val="18"/>
          <w:szCs w:val="18"/>
          <w:color w:val="auto"/>
        </w:rPr>
        <w:t>. As of the Grant Date, 100% of the Shares shall be subject to the risk of forfeiture set forth in</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2.2(a) hereof and the transfer restrictions set forth in Section 3.3 hereof (collectively, such risk of forfeiture and such transfer restrictions, the “</w:t>
      </w:r>
      <w:r>
        <w:rPr>
          <w:rFonts w:ascii="Arial" w:cs="Arial" w:eastAsia="Arial" w:hAnsi="Arial"/>
          <w:sz w:val="18"/>
          <w:szCs w:val="18"/>
          <w:b w:val="1"/>
          <w:bCs w:val="1"/>
          <w:i w:val="1"/>
          <w:iCs w:val="1"/>
          <w:color w:val="auto"/>
        </w:rPr>
        <w:t>Restrictions</w:t>
      </w:r>
      <w:r>
        <w:rPr>
          <w:rFonts w:ascii="Arial" w:cs="Arial" w:eastAsia="Arial" w:hAnsi="Arial"/>
          <w:sz w:val="18"/>
          <w:szCs w:val="18"/>
          <w:color w:val="auto"/>
        </w:rPr>
        <w:t>”). The Award shall vest and Restrictions shall lapse in accordance with the vesting schedule set forth in the Grant Notice (rounding down to the nearest whole Share).</w:t>
      </w:r>
    </w:p>
    <w:p>
      <w:pPr>
        <w:spacing w:after="0" w:line="186" w:lineRule="exact"/>
        <w:rPr>
          <w:rFonts w:ascii="Arial" w:cs="Arial" w:eastAsia="Arial" w:hAnsi="Arial"/>
          <w:sz w:val="18"/>
          <w:szCs w:val="18"/>
          <w:color w:val="auto"/>
        </w:rPr>
      </w:pPr>
    </w:p>
    <w:p>
      <w:pPr>
        <w:ind w:right="100" w:firstLine="996"/>
        <w:spacing w:after="0" w:line="255" w:lineRule="auto"/>
        <w:tabs>
          <w:tab w:leader="none" w:pos="1236" w:val="left"/>
        </w:tabs>
        <w:numPr>
          <w:ilvl w:val="0"/>
          <w:numId w:val="249"/>
        </w:numPr>
        <w:rPr>
          <w:rFonts w:ascii="Arial" w:cs="Arial" w:eastAsia="Arial" w:hAnsi="Arial"/>
          <w:sz w:val="18"/>
          <w:szCs w:val="18"/>
          <w:color w:val="auto"/>
        </w:rPr>
      </w:pPr>
      <w:r>
        <w:rPr>
          <w:rFonts w:ascii="Arial" w:cs="Arial" w:eastAsia="Arial" w:hAnsi="Arial"/>
          <w:sz w:val="18"/>
          <w:szCs w:val="18"/>
          <w:i w:val="1"/>
          <w:iCs w:val="1"/>
          <w:color w:val="auto"/>
        </w:rPr>
        <w:t>Tax Withholding</w:t>
      </w:r>
      <w:r>
        <w:rPr>
          <w:rFonts w:ascii="Arial" w:cs="Arial" w:eastAsia="Arial" w:hAnsi="Arial"/>
          <w:sz w:val="18"/>
          <w:szCs w:val="18"/>
          <w:color w:val="auto"/>
        </w:rPr>
        <w:t>. As set forth in Section 10.5 of the Plan, the Company shall have the authority and the right to deduct or withhold, or</w:t>
      </w:r>
      <w:r>
        <w:rPr>
          <w:rFonts w:ascii="Arial" w:cs="Arial" w:eastAsia="Arial" w:hAnsi="Arial"/>
          <w:sz w:val="18"/>
          <w:szCs w:val="18"/>
          <w:i w:val="1"/>
          <w:iCs w:val="1"/>
          <w:color w:val="auto"/>
        </w:rPr>
        <w:t xml:space="preserve"> </w:t>
      </w:r>
      <w:r>
        <w:rPr>
          <w:rFonts w:ascii="Arial" w:cs="Arial" w:eastAsia="Arial" w:hAnsi="Arial"/>
          <w:sz w:val="18"/>
          <w:szCs w:val="18"/>
          <w:color w:val="auto"/>
        </w:rPr>
        <w:t>to require the Participant to remit to the Company, an amount sufficient to satisfy all applicable federal, state and local taxes required by law to be withheld with respect to any taxable event arising in connection with the Award. The Company shall not be obligated to transfer Shares held in escrow to the Participant or the Participant’s legal representative until the Participant or the Participant’s legal representative shall have paid or otherwise satisfied in full the amount of all federal, state and local taxes applicable to the taxable income of the Participant resulting from the grant or vesting of the Award or the issuance of Shares.</w:t>
      </w:r>
    </w:p>
    <w:p>
      <w:pPr>
        <w:spacing w:after="0" w:line="193" w:lineRule="exact"/>
        <w:rPr>
          <w:rFonts w:ascii="Arial" w:cs="Arial" w:eastAsia="Arial" w:hAnsi="Arial"/>
          <w:sz w:val="18"/>
          <w:szCs w:val="18"/>
          <w:color w:val="auto"/>
        </w:rPr>
      </w:pPr>
    </w:p>
    <w:p>
      <w:pPr>
        <w:ind w:right="200" w:firstLine="996"/>
        <w:spacing w:after="0" w:line="286" w:lineRule="auto"/>
        <w:tabs>
          <w:tab w:leader="none" w:pos="1247" w:val="left"/>
        </w:tabs>
        <w:numPr>
          <w:ilvl w:val="0"/>
          <w:numId w:val="249"/>
        </w:numPr>
        <w:rPr>
          <w:rFonts w:ascii="Arial" w:cs="Arial" w:eastAsia="Arial" w:hAnsi="Arial"/>
          <w:sz w:val="17"/>
          <w:szCs w:val="17"/>
          <w:color w:val="auto"/>
        </w:rPr>
      </w:pPr>
      <w:r>
        <w:rPr>
          <w:rFonts w:ascii="Arial" w:cs="Arial" w:eastAsia="Arial" w:hAnsi="Arial"/>
          <w:sz w:val="17"/>
          <w:szCs w:val="17"/>
          <w:i w:val="1"/>
          <w:iCs w:val="1"/>
          <w:color w:val="auto"/>
        </w:rPr>
        <w:t>Stop Transfer Instructions</w:t>
      </w:r>
      <w:r>
        <w:rPr>
          <w:rFonts w:ascii="Arial" w:cs="Arial" w:eastAsia="Arial" w:hAnsi="Arial"/>
          <w:sz w:val="17"/>
          <w:szCs w:val="17"/>
          <w:color w:val="auto"/>
        </w:rPr>
        <w:t>. To ensure compliance with the Restrictions, the provisions of the charter documents of the Company and</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Law, and for other proper purposes, the Company may issue appropriate “stop transfer” and other instructions to its transfer agent with respect to the Restricted Stock. The Company shall notify the transfer agent as and when the Restrictions lapse.</w:t>
      </w:r>
    </w:p>
    <w:p>
      <w:pPr>
        <w:spacing w:after="0" w:line="166"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Consideration to the Company</w:t>
      </w:r>
      <w:r>
        <w:rPr>
          <w:rFonts w:ascii="Arial" w:cs="Arial" w:eastAsia="Arial" w:hAnsi="Arial"/>
          <w:sz w:val="18"/>
          <w:szCs w:val="18"/>
          <w:color w:val="auto"/>
        </w:rPr>
        <w:t>. In consideration of the grant of the Award pursuant hereto, the Participant agrees to render faithful and efficient services to the Company or any Subsidiary.</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right="20" w:firstLine="441"/>
        <w:spacing w:after="0" w:line="29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Section 83(b) Election</w:t>
      </w:r>
      <w:r>
        <w:rPr>
          <w:rFonts w:ascii="Arial" w:cs="Arial" w:eastAsia="Arial" w:hAnsi="Arial"/>
          <w:sz w:val="16"/>
          <w:szCs w:val="16"/>
          <w:color w:val="auto"/>
        </w:rPr>
        <w:t>. If the Participant makes an election under Section 83(b) of the Code to be taxed with respect to the Restricted Stock as of the date of transfer of the Restricted Stock rather than as of the date or dates upon which the Participant would otherwise be taxable under</w:t>
      </w:r>
    </w:p>
    <w:p>
      <w:pPr>
        <w:ind w:right="180"/>
        <w:spacing w:after="0" w:line="261" w:lineRule="auto"/>
        <w:rPr>
          <w:sz w:val="20"/>
          <w:szCs w:val="20"/>
          <w:color w:val="auto"/>
        </w:rPr>
      </w:pPr>
      <w:r>
        <w:rPr>
          <w:rFonts w:ascii="Arial" w:cs="Arial" w:eastAsia="Arial" w:hAnsi="Arial"/>
          <w:sz w:val="18"/>
          <w:szCs w:val="18"/>
          <w:color w:val="auto"/>
        </w:rPr>
        <w:t>Section 83(a) of the Code, the Participant hereby agrees to deliver a copy of such election to the Company promptly after filing such election with the Internal Revenue Service.</w:t>
      </w:r>
    </w:p>
    <w:p>
      <w:pPr>
        <w:spacing w:after="0" w:line="184"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Administration</w:t>
      </w:r>
      <w:r>
        <w:rPr>
          <w:rFonts w:ascii="Arial" w:cs="Arial" w:eastAsia="Arial" w:hAnsi="Arial"/>
          <w:sz w:val="18"/>
          <w:szCs w:val="18"/>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Award.</w:t>
      </w:r>
    </w:p>
    <w:p>
      <w:pPr>
        <w:spacing w:after="0" w:line="188" w:lineRule="exact"/>
        <w:rPr>
          <w:sz w:val="20"/>
          <w:szCs w:val="20"/>
          <w:color w:val="auto"/>
        </w:rPr>
      </w:pPr>
    </w:p>
    <w:p>
      <w:pPr>
        <w:ind w:right="320" w:firstLine="441"/>
        <w:spacing w:after="0" w:line="312"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Transferability</w:t>
      </w:r>
      <w:r>
        <w:rPr>
          <w:rFonts w:ascii="Arial" w:cs="Arial" w:eastAsia="Arial" w:hAnsi="Arial"/>
          <w:sz w:val="16"/>
          <w:szCs w:val="16"/>
          <w:color w:val="auto"/>
        </w:rPr>
        <w:t>. Until the Restrictions hereunder lapse or expire pursuant to this Agreement and the Shares vest, the Restricted Stock (including any Shares or other securities or property received by the Participant with respect to Restricted Stock as a result of stock dividends, stock splits or any other form of recapitalization) shall be subject to the restrictions on transferability set forth in Section 10.1 of the Plan.</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980"/>
          </w:cols>
          <w:pgMar w:left="440" w:top="274" w:right="479" w:bottom="1440" w:gutter="0" w:footer="0" w:header="0"/>
        </w:sectPr>
      </w:pPr>
    </w:p>
    <w:bookmarkStart w:id="448" w:name="page449"/>
    <w:bookmarkEnd w:id="448"/>
    <w:p>
      <w:pPr>
        <w:jc w:val="both"/>
        <w:ind w:right="18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3.4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herein, upon the Grant Date, the Participant shall have all the rights of a stockholder of the Company with respect to the Shares, subject to the Restrictions, including, without limitation, voting rights and rights to receive any cash or stock dividends, in respect of the Shares subject to the Award and deliverable hereunder.</w:t>
      </w:r>
    </w:p>
    <w:p>
      <w:pPr>
        <w:spacing w:after="0" w:line="18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Tax Consultation</w:t>
      </w:r>
      <w:r>
        <w:rPr>
          <w:rFonts w:ascii="Arial" w:cs="Arial" w:eastAsia="Arial" w:hAnsi="Arial"/>
          <w:sz w:val="18"/>
          <w:szCs w:val="18"/>
          <w:color w:val="auto"/>
        </w:rPr>
        <w:t>. The Participant understands that the Participant may suffer adverse tax consequences in connection with the Restricted Stock granted pursuant to this Agreement (and the Shares issuable with respect thereto). The Participant represents that the Participant has consulted with any tax consultants the Participant deems advisable in connection with the Restricted Stock and that the Participant is not relying on the Company for any tax advice.</w:t>
      </w:r>
    </w:p>
    <w:p>
      <w:pPr>
        <w:spacing w:after="0" w:line="187"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Adjustments Upon Specified Events</w:t>
      </w:r>
      <w:r>
        <w:rPr>
          <w:rFonts w:ascii="Arial" w:cs="Arial" w:eastAsia="Arial" w:hAnsi="Arial"/>
          <w:sz w:val="18"/>
          <w:szCs w:val="18"/>
          <w:color w:val="auto"/>
        </w:rPr>
        <w:t>. The Administrator may accelerate the vesting of the Restricted Stock in such circumstances as it, in its sole discretion, may determine. The Participant acknowledges that the Restricted Stock is subject to adjustment, modification and termination in certain events as provided in this Agreement and Article IX of the Plan.</w:t>
      </w:r>
    </w:p>
    <w:p>
      <w:pPr>
        <w:spacing w:after="0" w:line="181" w:lineRule="exact"/>
        <w:rPr>
          <w:sz w:val="20"/>
          <w:szCs w:val="20"/>
          <w:color w:val="auto"/>
        </w:rPr>
      </w:pPr>
    </w:p>
    <w:p>
      <w:pPr>
        <w:ind w:right="20" w:firstLine="441"/>
        <w:spacing w:after="0" w:line="297"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Notices</w:t>
      </w:r>
      <w:r>
        <w:rPr>
          <w:rFonts w:ascii="Arial" w:cs="Arial" w:eastAsia="Arial" w:hAnsi="Arial"/>
          <w:sz w:val="16"/>
          <w:szCs w:val="16"/>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3.7,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58" w:lineRule="exact"/>
        <w:rPr>
          <w:sz w:val="20"/>
          <w:szCs w:val="20"/>
          <w:color w:val="auto"/>
        </w:rPr>
      </w:pPr>
    </w:p>
    <w:p>
      <w:pPr>
        <w:jc w:val="both"/>
        <w:ind w:right="160" w:firstLine="441"/>
        <w:spacing w:after="0" w:line="286"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Participant’s Representations</w:t>
      </w:r>
      <w:r>
        <w:rPr>
          <w:rFonts w:ascii="Arial" w:cs="Arial" w:eastAsia="Arial" w:hAnsi="Arial"/>
          <w:sz w:val="17"/>
          <w:szCs w:val="17"/>
          <w:color w:val="auto"/>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or its counsel.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3.9 </w:t>
      </w:r>
      <w:r>
        <w:rPr>
          <w:rFonts w:ascii="Arial" w:cs="Arial" w:eastAsia="Arial" w:hAnsi="Arial"/>
          <w:sz w:val="16"/>
          <w:szCs w:val="16"/>
          <w:u w:val="single" w:color="auto"/>
          <w:color w:val="auto"/>
        </w:rPr>
        <w:t>Titles</w:t>
      </w:r>
      <w:r>
        <w:rPr>
          <w:rFonts w:ascii="Arial" w:cs="Arial" w:eastAsia="Arial" w:hAnsi="Arial"/>
          <w:sz w:val="16"/>
          <w:szCs w:val="16"/>
          <w:color w:val="auto"/>
        </w:rPr>
        <w:t>. Titles are provided herein for convenience only and are not to serve as a basis for interpretation or construction of this Agreement.</w:t>
      </w:r>
    </w:p>
    <w:p>
      <w:pPr>
        <w:spacing w:after="0" w:line="248"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0"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Conformity to Securities Laws</w:t>
      </w:r>
      <w:r>
        <w:rPr>
          <w:rFonts w:ascii="Arial" w:cs="Arial" w:eastAsia="Arial" w:hAnsi="Arial"/>
          <w:sz w:val="17"/>
          <w:szCs w:val="17"/>
          <w:color w:val="auto"/>
        </w:rPr>
        <w:t>. The Participant acknowledges that the Plan and this Agreement are intended to conform to the extent necessary with all provisions of the Securities Act and the Exchange Act, and any and all Applicable Law. Notwithstanding anything herein to the contrary, the Plan shall be administered, and the Award is granted, only in such a manner as to conform to such Applicable Law. To the extent permitted by Applicable Law, the Plan and this Agreement shall be deemed amended to the extent necessary to conform to such Applicable Law.</w:t>
      </w:r>
    </w:p>
    <w:p>
      <w:pPr>
        <w:spacing w:after="0" w:line="17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xml:space="preserve">. To the extent permitted by the Plan, this Agreement may be wholly or partially amended or otherwise modified, suspended or terminated at any time or from time to time by the Administrator or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except as may otherwise be provided by the Plan, no amendment, modification, suspension or termination of this Agreement shall adversely affect the Award in any material way without the prior written consent of the Participant.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80"/>
          </w:cols>
          <w:pgMar w:left="440" w:top="274" w:right="479" w:bottom="1440" w:gutter="0" w:footer="0" w:header="0"/>
        </w:sectPr>
      </w:pPr>
    </w:p>
    <w:bookmarkStart w:id="449" w:name="page450"/>
    <w:bookmarkEnd w:id="449"/>
    <w:p>
      <w:pPr>
        <w:ind w:firstLine="441"/>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3.13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or any Subsidiary may assign any of its rights under this Agreement to single or multiple assignees, and this Agreement shall inure to the benefit of the successors and assigns of the Company and its Subsidiaries. Subject to the restrictions on transfer set forth in Section 3.3 hereof, this Agreement shall be binding upon the Participant and his or her heirs, executors, administrators, successors and assigns.</w:t>
      </w:r>
    </w:p>
    <w:p>
      <w:pPr>
        <w:spacing w:after="0" w:line="147"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the Participant is subject to Section 16 of the Exchange Act, then the Plan, the Award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8" w:lineRule="exact"/>
        <w:rPr>
          <w:sz w:val="20"/>
          <w:szCs w:val="20"/>
          <w:color w:val="auto"/>
        </w:rPr>
      </w:pPr>
    </w:p>
    <w:p>
      <w:pPr>
        <w:ind w:right="200" w:firstLine="441"/>
        <w:spacing w:after="0" w:line="257" w:lineRule="auto"/>
        <w:rPr>
          <w:sz w:val="20"/>
          <w:szCs w:val="20"/>
          <w:color w:val="auto"/>
        </w:rPr>
      </w:pPr>
      <w:r>
        <w:rPr>
          <w:rFonts w:ascii="Arial" w:cs="Arial" w:eastAsia="Arial" w:hAnsi="Arial"/>
          <w:sz w:val="18"/>
          <w:szCs w:val="18"/>
          <w:color w:val="auto"/>
        </w:rPr>
        <w:t xml:space="preserve">3.15 </w:t>
      </w:r>
      <w:r>
        <w:rPr>
          <w:rFonts w:ascii="Arial" w:cs="Arial" w:eastAsia="Arial" w:hAnsi="Arial"/>
          <w:sz w:val="18"/>
          <w:szCs w:val="18"/>
          <w:u w:val="single" w:color="auto"/>
          <w:color w:val="auto"/>
        </w:rPr>
        <w:t>Not a Contract of Service Relationship</w:t>
      </w:r>
      <w:r>
        <w:rPr>
          <w:rFonts w:ascii="Arial" w:cs="Arial" w:eastAsia="Arial" w:hAnsi="Arial"/>
          <w:sz w:val="18"/>
          <w:szCs w:val="18"/>
          <w:color w:val="auto"/>
        </w:rPr>
        <w:t>. Nothing in this Agreement or in the Plan shall confer upon the Participant any right to continue to serve as an Employee or other service provider of the Company or any of its Subsidiaries or shall interfere with or restrict in any way the rights of the Company and its Subsidiaries, which rights are hereby expressly reserved, to discharge or terminate the services of the Participant at any time for any reason whatsoever, with or without cause, except to the extent expressly provided otherwise in a written agreement between the Company or a Subsidiary and the Participant.</w:t>
      </w:r>
    </w:p>
    <w:p>
      <w:pPr>
        <w:spacing w:after="0" w:line="188"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 xml:space="preserve">3.16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(including all Exhibits thereto, if any) constitute the entire agreement of the parties and supersede in their entirety all prior undertakings and agreements of the Company and its Subsidiaries and the Participant with respect to the subject matter hereof, provided that the Shares shall be subject to any accelerated vesting provisions in any written agreement between the Participant and the Company or a Company plan pursuant to which the Participant participates, in each case, in accordance with the terms therein.</w:t>
      </w:r>
    </w:p>
    <w:p>
      <w:pPr>
        <w:spacing w:after="0" w:line="154" w:lineRule="exact"/>
        <w:rPr>
          <w:sz w:val="20"/>
          <w:szCs w:val="20"/>
          <w:color w:val="auto"/>
        </w:rPr>
      </w:pPr>
    </w:p>
    <w:p>
      <w:pPr>
        <w:jc w:val="both"/>
        <w:ind w:right="140" w:firstLine="441"/>
        <w:spacing w:after="0" w:line="302" w:lineRule="auto"/>
        <w:rPr>
          <w:sz w:val="20"/>
          <w:szCs w:val="20"/>
          <w:color w:val="auto"/>
        </w:rPr>
      </w:pPr>
      <w:r>
        <w:rPr>
          <w:rFonts w:ascii="Arial" w:cs="Arial" w:eastAsia="Arial" w:hAnsi="Arial"/>
          <w:sz w:val="16"/>
          <w:szCs w:val="16"/>
          <w:color w:val="auto"/>
        </w:rPr>
        <w:t xml:space="preserve">3.17 </w:t>
      </w:r>
      <w:r>
        <w:rPr>
          <w:rFonts w:ascii="Arial" w:cs="Arial" w:eastAsia="Arial" w:hAnsi="Arial"/>
          <w:sz w:val="16"/>
          <w:szCs w:val="16"/>
          <w:u w:val="single" w:color="auto"/>
          <w:color w:val="auto"/>
        </w:rPr>
        <w:t>Limitation on the Participant’s Rights</w:t>
      </w:r>
      <w:r>
        <w:rPr>
          <w:rFonts w:ascii="Arial" w:cs="Arial" w:eastAsia="Arial" w:hAnsi="Arial"/>
          <w:sz w:val="16"/>
          <w:szCs w:val="16"/>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Shares issuable hereunder.</w:t>
      </w:r>
    </w:p>
    <w:p>
      <w:pPr>
        <w:spacing w:after="0" w:line="154" w:lineRule="exact"/>
        <w:rPr>
          <w:sz w:val="20"/>
          <w:szCs w:val="20"/>
          <w:color w:val="auto"/>
        </w:rPr>
      </w:pPr>
    </w:p>
    <w:p>
      <w:pPr>
        <w:jc w:val="center"/>
        <w:ind w:right="-39"/>
        <w:spacing w:after="0"/>
        <w:tabs>
          <w:tab w:leader="none" w:pos="220" w:val="left"/>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980"/>
          </w:cols>
          <w:pgMar w:left="440" w:top="274" w:right="479" w:bottom="1440" w:gutter="0" w:footer="0" w:header="0"/>
        </w:sectPr>
      </w:pPr>
    </w:p>
    <w:bookmarkStart w:id="450" w:name="page451"/>
    <w:bookmarkEnd w:id="450"/>
    <w:p>
      <w:pPr>
        <w:jc w:val="right"/>
        <w:spacing w:after="0"/>
        <w:rPr>
          <w:sz w:val="20"/>
          <w:szCs w:val="20"/>
          <w:color w:val="auto"/>
        </w:rPr>
      </w:pPr>
      <w:r>
        <w:rPr>
          <w:rFonts w:ascii="Arial" w:cs="Arial" w:eastAsia="Arial" w:hAnsi="Arial"/>
          <w:sz w:val="18"/>
          <w:szCs w:val="18"/>
          <w:b w:val="1"/>
          <w:bCs w:val="1"/>
          <w:color w:val="auto"/>
        </w:rPr>
        <w:t>Exhibit 10.7(d)</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REVOLUTION MEDICINES, INC.</w:t>
      </w:r>
    </w:p>
    <w:p>
      <w:pPr>
        <w:spacing w:after="0" w:line="2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2020 INCENTIVE AWARD PLAN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GRANT NOTICE</w:t>
      </w:r>
    </w:p>
    <w:p>
      <w:pPr>
        <w:spacing w:after="0" w:line="229" w:lineRule="exact"/>
        <w:rPr>
          <w:sz w:val="20"/>
          <w:szCs w:val="20"/>
          <w:color w:val="auto"/>
        </w:rPr>
      </w:pPr>
    </w:p>
    <w:p>
      <w:pPr>
        <w:ind w:right="60" w:firstLine="441"/>
        <w:spacing w:after="0" w:line="293" w:lineRule="auto"/>
        <w:rPr>
          <w:sz w:val="20"/>
          <w:szCs w:val="20"/>
          <w:color w:val="auto"/>
        </w:rPr>
      </w:pPr>
      <w:r>
        <w:rPr>
          <w:rFonts w:ascii="Arial" w:cs="Arial" w:eastAsia="Arial" w:hAnsi="Arial"/>
          <w:sz w:val="16"/>
          <w:szCs w:val="16"/>
          <w:color w:val="auto"/>
        </w:rPr>
        <w:t>Revolution Medicines,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pursuant to its 2020 Incentive Award Plan, as amended from time to time (the “</w:t>
      </w:r>
      <w:r>
        <w:rPr>
          <w:rFonts w:ascii="Arial" w:cs="Arial" w:eastAsia="Arial" w:hAnsi="Arial"/>
          <w:sz w:val="16"/>
          <w:szCs w:val="16"/>
          <w:b w:val="1"/>
          <w:bCs w:val="1"/>
          <w:i w:val="1"/>
          <w:iCs w:val="1"/>
          <w:color w:val="auto"/>
        </w:rPr>
        <w:t>Plan</w:t>
      </w:r>
      <w:r>
        <w:rPr>
          <w:rFonts w:ascii="Arial" w:cs="Arial" w:eastAsia="Arial" w:hAnsi="Arial"/>
          <w:sz w:val="16"/>
          <w:szCs w:val="16"/>
          <w:color w:val="auto"/>
        </w:rPr>
        <w:t>”), hereby grants to the holder listed below (the “</w:t>
      </w:r>
      <w:r>
        <w:rPr>
          <w:rFonts w:ascii="Arial" w:cs="Arial" w:eastAsia="Arial" w:hAnsi="Arial"/>
          <w:sz w:val="16"/>
          <w:szCs w:val="16"/>
          <w:b w:val="1"/>
          <w:bCs w:val="1"/>
          <w:i w:val="1"/>
          <w:iCs w:val="1"/>
          <w:color w:val="auto"/>
        </w:rPr>
        <w:t>Participant</w:t>
      </w:r>
      <w:r>
        <w:rPr>
          <w:rFonts w:ascii="Arial" w:cs="Arial" w:eastAsia="Arial" w:hAnsi="Arial"/>
          <w:sz w:val="16"/>
          <w:szCs w:val="16"/>
          <w:color w:val="auto"/>
        </w:rPr>
        <w:t>”), an award of restricted stock units (“</w:t>
      </w:r>
      <w:r>
        <w:rPr>
          <w:rFonts w:ascii="Arial" w:cs="Arial" w:eastAsia="Arial" w:hAnsi="Arial"/>
          <w:sz w:val="16"/>
          <w:szCs w:val="16"/>
          <w:b w:val="1"/>
          <w:bCs w:val="1"/>
          <w:i w:val="1"/>
          <w:iCs w:val="1"/>
          <w:color w:val="auto"/>
        </w:rPr>
        <w:t>Restricted Stock Units</w:t>
      </w:r>
      <w:r>
        <w:rPr>
          <w:rFonts w:ascii="Arial" w:cs="Arial" w:eastAsia="Arial" w:hAnsi="Arial"/>
          <w:sz w:val="16"/>
          <w:szCs w:val="16"/>
          <w:color w:val="auto"/>
        </w:rPr>
        <w:t>” or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xml:space="preserve">”). Each vested Restricted Stock Unit represents the right to receive, in accordance with the Restricted Stock Unit Award Agreement attached hereto as </w:t>
      </w:r>
      <w:r>
        <w:rPr>
          <w:rFonts w:ascii="Arial" w:cs="Arial" w:eastAsia="Arial" w:hAnsi="Arial"/>
          <w:sz w:val="16"/>
          <w:szCs w:val="16"/>
          <w:b w:val="1"/>
          <w:bCs w:val="1"/>
          <w:color w:val="auto"/>
        </w:rPr>
        <w:t>Exhibit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 </w:t>
      </w:r>
      <w:r>
        <w:rPr>
          <w:rFonts w:ascii="Arial" w:cs="Arial" w:eastAsia="Arial" w:hAnsi="Arial"/>
          <w:sz w:val="16"/>
          <w:szCs w:val="16"/>
          <w:color w:val="auto"/>
        </w:rPr>
        <w:t>(the “</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one share of Common Stock (“</w:t>
      </w:r>
      <w:r>
        <w:rPr>
          <w:rFonts w:ascii="Arial" w:cs="Arial" w:eastAsia="Arial" w:hAnsi="Arial"/>
          <w:sz w:val="16"/>
          <w:szCs w:val="16"/>
          <w:b w:val="1"/>
          <w:bCs w:val="1"/>
          <w:i w:val="1"/>
          <w:iCs w:val="1"/>
          <w:color w:val="auto"/>
        </w:rPr>
        <w:t>Share</w:t>
      </w:r>
      <w:r>
        <w:rPr>
          <w:rFonts w:ascii="Arial" w:cs="Arial" w:eastAsia="Arial" w:hAnsi="Arial"/>
          <w:sz w:val="16"/>
          <w:szCs w:val="16"/>
          <w:color w:val="auto"/>
        </w:rPr>
        <w:t>”). This award of Restricted Stock Units is subject to all of the terms and conditions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herein and in the Agreement and the Plan, each of which are incorporated herein by reference. Unless otherwise defined herein, the terms defined in the Plan shall have the same defined meanings in this Restricted Stock Unit Award Grant Notice (the “</w:t>
      </w:r>
      <w:r>
        <w:rPr>
          <w:rFonts w:ascii="Arial" w:cs="Arial" w:eastAsia="Arial" w:hAnsi="Arial"/>
          <w:sz w:val="16"/>
          <w:szCs w:val="16"/>
          <w:b w:val="1"/>
          <w:bCs w:val="1"/>
          <w:i w:val="1"/>
          <w:iCs w:val="1"/>
          <w:color w:val="auto"/>
        </w:rPr>
        <w:t>Grant Notice</w:t>
      </w:r>
      <w:r>
        <w:rPr>
          <w:rFonts w:ascii="Arial" w:cs="Arial" w:eastAsia="Arial" w:hAnsi="Arial"/>
          <w:sz w:val="16"/>
          <w:szCs w:val="16"/>
          <w:color w:val="auto"/>
        </w:rPr>
        <w:t>”) and the Agreement.</w:t>
      </w:r>
    </w:p>
    <w:p>
      <w:pPr>
        <w:sectPr>
          <w:pgSz w:w="11900" w:h="16838" w:orient="portrait"/>
          <w:cols w:equalWidth="0" w:num="1">
            <w:col w:w="11020"/>
          </w:cols>
          <w:pgMar w:left="440" w:top="121" w:right="43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Participant: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w:t>
      </w:r>
    </w:p>
    <w:p>
      <w:pPr>
        <w:spacing w:after="0" w:line="136"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Grant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[__________________________]</w:t>
      </w:r>
    </w:p>
    <w:p>
      <w:pPr>
        <w:spacing w:after="0" w:line="136"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Total Number of RSUs: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w:t>
      </w:r>
    </w:p>
    <w:p>
      <w:pPr>
        <w:spacing w:after="0" w:line="136"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w:t>
      </w:r>
    </w:p>
    <w:p>
      <w:pPr>
        <w:spacing w:after="0" w:line="136"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Vesting Schedule: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[_____________]</w:t>
      </w:r>
    </w:p>
    <w:p>
      <w:pPr>
        <w:spacing w:after="0" w:line="136"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Termination:</w:t>
      </w:r>
    </w:p>
    <w:p>
      <w:pPr>
        <w:spacing w:after="0" w:line="20" w:lineRule="exact"/>
        <w:rPr>
          <w:sz w:val="20"/>
          <w:szCs w:val="20"/>
          <w:color w:val="auto"/>
        </w:rPr>
      </w:pPr>
      <w:r>
        <w:rPr>
          <w:sz w:val="20"/>
          <w:szCs w:val="20"/>
          <w:color w:val="auto"/>
        </w:rPr>
        <w:br w:type="column"/>
      </w:r>
    </w:p>
    <w:p>
      <w:pPr>
        <w:jc w:val="both"/>
        <w:ind w:right="60"/>
        <w:spacing w:after="0" w:line="264" w:lineRule="auto"/>
        <w:rPr>
          <w:sz w:val="20"/>
          <w:szCs w:val="20"/>
          <w:color w:val="auto"/>
        </w:rPr>
      </w:pPr>
      <w:r>
        <w:rPr>
          <w:rFonts w:ascii="Arial" w:cs="Arial" w:eastAsia="Arial" w:hAnsi="Arial"/>
          <w:sz w:val="18"/>
          <w:szCs w:val="18"/>
          <w:color w:val="auto"/>
        </w:rPr>
        <w:t>If the Participant experiences a Termination of Service, all RSUs that have not become vested on or prior to the date of such Termination of Service will thereupon be automatically forfeited by the Participant without payment of any consideration therefor.</w:t>
      </w:r>
    </w:p>
    <w:p>
      <w:pPr>
        <w:spacing w:after="0" w:line="181"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ind w:firstLine="441"/>
        <w:spacing w:after="0" w:line="270" w:lineRule="auto"/>
        <w:rPr>
          <w:sz w:val="20"/>
          <w:szCs w:val="20"/>
          <w:color w:val="auto"/>
        </w:rPr>
      </w:pPr>
      <w:r>
        <w:rPr>
          <w:rFonts w:ascii="Arial" w:cs="Arial" w:eastAsia="Arial" w:hAnsi="Arial"/>
          <w:sz w:val="17"/>
          <w:szCs w:val="17"/>
          <w:color w:val="auto"/>
        </w:rPr>
        <w:t>By his or her signature and the Company’s signature below, the Participant agrees to be bound by the terms and conditions of the Plan, the Agreement and this Grant Notice. The Participant has reviewed the Plan, the Agreement and this Grant Notice in their entirety, has had an opportunity to obtain the advice of counsel prior to executing this Grant Notice and fully understands all provisions of the Plan, the Agreement and this Grant Notice. The Participant hereby agrees to accept as binding, conclusive and final all decisions or interpretations of the Administrator upon any questions arising under the Plan, the Agreement or this Grant Notice. In addition, by signing below, the Participant also agrees that the Company, in its sole discretion, may satisfy any withholding obligations in accordance with Section 2.6(b) of the Agreement by (i) withholding shares of Common Stock otherwise issuable to the Participant upon vesting of the RSUs, (ii) instructing a broker on the Participant’s behalf to sell shares of Common Stock otherwise issuable to the Participant upon vesting of the RSUs and submit the proceeds of such sale to the Company, or (iii) using any other method permitted by Section 2.6(b) of the Agreement or the Plan.</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REVOLUTION MEDICINES, INC.:</w:t>
            </w:r>
          </w:p>
        </w:tc>
        <w:tc>
          <w:tcPr>
            <w:tcW w:w="5500" w:type="dxa"/>
            <w:vAlign w:val="bottom"/>
            <w:gridSpan w:val="2"/>
          </w:tcPr>
          <w:p>
            <w:pPr>
              <w:ind w:left="880"/>
              <w:spacing w:after="0"/>
              <w:rPr>
                <w:sz w:val="20"/>
                <w:szCs w:val="20"/>
                <w:color w:val="auto"/>
              </w:rPr>
            </w:pPr>
            <w:r>
              <w:rPr>
                <w:rFonts w:ascii="Arial" w:cs="Arial" w:eastAsia="Arial" w:hAnsi="Arial"/>
                <w:sz w:val="18"/>
                <w:szCs w:val="18"/>
                <w:b w:val="1"/>
                <w:bCs w:val="1"/>
                <w:color w:val="auto"/>
              </w:rPr>
              <w:t>PARTICIPANT:</w:t>
            </w:r>
          </w:p>
        </w:tc>
      </w:tr>
      <w:tr>
        <w:trPr>
          <w:trHeight w:val="432"/>
        </w:trPr>
        <w:tc>
          <w:tcPr>
            <w:tcW w:w="4780" w:type="dxa"/>
            <w:vAlign w:val="bottom"/>
            <w:gridSpan w:val="2"/>
          </w:tcPr>
          <w:p>
            <w:pPr>
              <w:spacing w:after="0"/>
              <w:rPr>
                <w:sz w:val="20"/>
                <w:szCs w:val="20"/>
                <w:color w:val="auto"/>
              </w:rPr>
            </w:pPr>
            <w:r>
              <w:rPr>
                <w:rFonts w:ascii="Arial" w:cs="Arial" w:eastAsia="Arial" w:hAnsi="Arial"/>
                <w:sz w:val="18"/>
                <w:szCs w:val="18"/>
                <w:color w:val="auto"/>
              </w:rPr>
              <w:t>By:</w:t>
            </w:r>
          </w:p>
        </w:tc>
        <w:tc>
          <w:tcPr>
            <w:tcW w:w="5500" w:type="dxa"/>
            <w:vAlign w:val="bottom"/>
            <w:gridSpan w:val="2"/>
          </w:tcPr>
          <w:p>
            <w:pPr>
              <w:ind w:left="880"/>
              <w:spacing w:after="0"/>
              <w:rPr>
                <w:sz w:val="20"/>
                <w:szCs w:val="20"/>
                <w:color w:val="auto"/>
              </w:rPr>
            </w:pPr>
            <w:r>
              <w:rPr>
                <w:rFonts w:ascii="Arial" w:cs="Arial" w:eastAsia="Arial" w:hAnsi="Arial"/>
                <w:sz w:val="18"/>
                <w:szCs w:val="18"/>
                <w:color w:val="auto"/>
              </w:rPr>
              <w:t>By:</w:t>
            </w: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Print Name:</w:t>
            </w:r>
          </w:p>
        </w:tc>
        <w:tc>
          <w:tcPr>
            <w:tcW w:w="3660" w:type="dxa"/>
            <w:vAlign w:val="bottom"/>
            <w:tcBorders>
              <w:top w:val="single" w:sz="8" w:color="auto"/>
              <w:bottom w:val="single" w:sz="8" w:color="auto"/>
            </w:tcBorders>
          </w:tcPr>
          <w:p>
            <w:pPr>
              <w:spacing w:after="0"/>
              <w:rPr>
                <w:sz w:val="18"/>
                <w:szCs w:val="18"/>
                <w:color w:val="auto"/>
              </w:rPr>
            </w:pPr>
          </w:p>
        </w:tc>
        <w:tc>
          <w:tcPr>
            <w:tcW w:w="1980" w:type="dxa"/>
            <w:vAlign w:val="bottom"/>
          </w:tcPr>
          <w:p>
            <w:pPr>
              <w:ind w:left="880"/>
              <w:spacing w:after="0"/>
              <w:rPr>
                <w:sz w:val="20"/>
                <w:szCs w:val="20"/>
                <w:color w:val="auto"/>
              </w:rPr>
            </w:pPr>
            <w:r>
              <w:rPr>
                <w:rFonts w:ascii="Arial" w:cs="Arial" w:eastAsia="Arial" w:hAnsi="Arial"/>
                <w:sz w:val="18"/>
                <w:szCs w:val="18"/>
                <w:color w:val="auto"/>
              </w:rPr>
              <w:t>Print Name:</w:t>
            </w:r>
          </w:p>
        </w:tc>
        <w:tc>
          <w:tcPr>
            <w:tcW w:w="3520" w:type="dxa"/>
            <w:vAlign w:val="bottom"/>
            <w:tcBorders>
              <w:top w:val="single" w:sz="8" w:color="auto"/>
              <w:bottom w:val="single" w:sz="8" w:color="auto"/>
            </w:tcBorders>
          </w:tcPr>
          <w:p>
            <w:pPr>
              <w:spacing w:after="0"/>
              <w:rPr>
                <w:sz w:val="18"/>
                <w:szCs w:val="18"/>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3660" w:type="dxa"/>
            <w:vAlign w:val="bottom"/>
            <w:tcBorders>
              <w:bottom w:val="single" w:sz="8" w:color="auto"/>
            </w:tcBorders>
          </w:tcPr>
          <w:p>
            <w:pPr>
              <w:spacing w:after="0"/>
              <w:rPr>
                <w:sz w:val="18"/>
                <w:szCs w:val="18"/>
                <w:color w:val="auto"/>
              </w:rPr>
            </w:pPr>
          </w:p>
        </w:tc>
        <w:tc>
          <w:tcPr>
            <w:tcW w:w="198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10"/>
        </w:trPr>
        <w:tc>
          <w:tcPr>
            <w:tcW w:w="1120" w:type="dxa"/>
            <w:vAlign w:val="bottom"/>
          </w:tcPr>
          <w:p>
            <w:pPr>
              <w:spacing w:after="0"/>
              <w:rPr>
                <w:sz w:val="20"/>
                <w:szCs w:val="20"/>
                <w:color w:val="auto"/>
              </w:rPr>
            </w:pPr>
            <w:r>
              <w:rPr>
                <w:rFonts w:ascii="Arial" w:cs="Arial" w:eastAsia="Arial" w:hAnsi="Arial"/>
                <w:sz w:val="18"/>
                <w:szCs w:val="18"/>
                <w:color w:val="auto"/>
              </w:rPr>
              <w:t>Address:</w:t>
            </w:r>
          </w:p>
        </w:tc>
        <w:tc>
          <w:tcPr>
            <w:tcW w:w="3660" w:type="dxa"/>
            <w:vAlign w:val="bottom"/>
            <w:tcBorders>
              <w:bottom w:val="single" w:sz="8" w:color="auto"/>
            </w:tcBorders>
          </w:tcPr>
          <w:p>
            <w:pPr>
              <w:spacing w:after="0"/>
              <w:rPr>
                <w:sz w:val="18"/>
                <w:szCs w:val="18"/>
                <w:color w:val="auto"/>
              </w:rPr>
            </w:pPr>
          </w:p>
        </w:tc>
        <w:tc>
          <w:tcPr>
            <w:tcW w:w="1980" w:type="dxa"/>
            <w:vAlign w:val="bottom"/>
          </w:tcPr>
          <w:p>
            <w:pPr>
              <w:ind w:left="880"/>
              <w:spacing w:after="0"/>
              <w:rPr>
                <w:sz w:val="20"/>
                <w:szCs w:val="20"/>
                <w:color w:val="auto"/>
              </w:rPr>
            </w:pPr>
            <w:r>
              <w:rPr>
                <w:rFonts w:ascii="Arial" w:cs="Arial" w:eastAsia="Arial" w:hAnsi="Arial"/>
                <w:sz w:val="18"/>
                <w:szCs w:val="18"/>
                <w:color w:val="auto"/>
              </w:rPr>
              <w:t>Address:</w:t>
            </w:r>
          </w:p>
        </w:tc>
        <w:tc>
          <w:tcPr>
            <w:tcW w:w="3520" w:type="dxa"/>
            <w:vAlign w:val="bottom"/>
            <w:tcBorders>
              <w:bottom w:val="single" w:sz="8" w:color="auto"/>
            </w:tcBorders>
          </w:tcPr>
          <w:p>
            <w:pPr>
              <w:spacing w:after="0"/>
              <w:rPr>
                <w:sz w:val="18"/>
                <w:szCs w:val="18"/>
                <w:color w:val="auto"/>
              </w:rPr>
            </w:pPr>
          </w:p>
        </w:tc>
      </w:tr>
    </w:tbl>
    <w:p>
      <w:pPr>
        <w:sectPr>
          <w:pgSz w:w="11900" w:h="16838" w:orient="portrait"/>
          <w:cols w:equalWidth="0" w:num="1">
            <w:col w:w="11020"/>
          </w:cols>
          <w:pgMar w:left="440" w:top="121" w:right="439" w:bottom="1440" w:gutter="0" w:footer="0" w:header="0"/>
          <w:type w:val="continuous"/>
        </w:sectPr>
      </w:pPr>
    </w:p>
    <w:bookmarkStart w:id="451" w:name="page452"/>
    <w:bookmarkEnd w:id="45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RESTRICTED STOCK UNIT AWARD GRANT NOTICE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Pursuant to the Restricted Stock Unit Award Grant Notice (the “</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to which this Restricted Stock Unit Award Agreement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Agreement</w:t>
      </w:r>
      <w:r>
        <w:rPr>
          <w:rFonts w:ascii="Arial" w:cs="Arial" w:eastAsia="Arial" w:hAnsi="Arial"/>
          <w:sz w:val="16"/>
          <w:szCs w:val="16"/>
          <w:color w:val="auto"/>
        </w:rPr>
        <w:t>”) is attached, Revolution Medicines, Inc., a Delaware corporation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has granted to the Participant the number of restricted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units (“</w:t>
      </w:r>
      <w:r>
        <w:rPr>
          <w:rFonts w:ascii="Arial" w:cs="Arial" w:eastAsia="Arial" w:hAnsi="Arial"/>
          <w:sz w:val="16"/>
          <w:szCs w:val="16"/>
          <w:b w:val="1"/>
          <w:bCs w:val="1"/>
          <w:i w:val="1"/>
          <w:iCs w:val="1"/>
          <w:color w:val="auto"/>
        </w:rPr>
        <w:t>Restricted Stock Units</w:t>
      </w:r>
      <w:r>
        <w:rPr>
          <w:rFonts w:ascii="Arial" w:cs="Arial" w:eastAsia="Arial" w:hAnsi="Arial"/>
          <w:sz w:val="16"/>
          <w:szCs w:val="16"/>
          <w:color w:val="auto"/>
        </w:rPr>
        <w:t>” or “</w:t>
      </w:r>
      <w:r>
        <w:rPr>
          <w:rFonts w:ascii="Arial" w:cs="Arial" w:eastAsia="Arial" w:hAnsi="Arial"/>
          <w:sz w:val="16"/>
          <w:szCs w:val="16"/>
          <w:b w:val="1"/>
          <w:bCs w:val="1"/>
          <w:i w:val="1"/>
          <w:iCs w:val="1"/>
          <w:color w:val="auto"/>
        </w:rPr>
        <w:t>RSUs</w:t>
      </w:r>
      <w:r>
        <w:rPr>
          <w:rFonts w:ascii="Arial" w:cs="Arial" w:eastAsia="Arial" w:hAnsi="Arial"/>
          <w:sz w:val="16"/>
          <w:szCs w:val="16"/>
          <w:color w:val="auto"/>
        </w:rPr>
        <w:t>”) set forth in the Grant Notice under the Company’s 2020 Incentive Award Plan, as amended from time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time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Each Restricted Stock Unit represents the right to receive one share of Common Stock (a “</w:t>
      </w:r>
      <w:r>
        <w:rPr>
          <w:rFonts w:ascii="Arial" w:cs="Arial" w:eastAsia="Arial" w:hAnsi="Arial"/>
          <w:sz w:val="18"/>
          <w:szCs w:val="18"/>
          <w:b w:val="1"/>
          <w:bCs w:val="1"/>
          <w:i w:val="1"/>
          <w:iCs w:val="1"/>
          <w:color w:val="auto"/>
        </w:rPr>
        <w:t>Share</w:t>
      </w:r>
      <w:r>
        <w:rPr>
          <w:rFonts w:ascii="Arial" w:cs="Arial" w:eastAsia="Arial" w:hAnsi="Arial"/>
          <w:sz w:val="18"/>
          <w:szCs w:val="18"/>
          <w:color w:val="auto"/>
        </w:rPr>
        <w:t>”) upon vesting.</w:t>
      </w:r>
    </w:p>
    <w:p>
      <w:pPr>
        <w:spacing w:after="0" w:line="200" w:lineRule="exact"/>
        <w:rPr>
          <w:sz w:val="20"/>
          <w:szCs w:val="20"/>
          <w:color w:val="auto"/>
        </w:rPr>
      </w:pPr>
    </w:p>
    <w:p>
      <w:pPr>
        <w:spacing w:after="0" w:line="223"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not specifically defined herein shall have the meanings specified in the Plan and the Grant Notice.</w:t>
      </w:r>
    </w:p>
    <w:p>
      <w:pPr>
        <w:spacing w:after="0" w:line="23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RSUs are subject to the terms and conditions of the Plan, which are incorporated herein by reference. In the event of any inconsistency between the Plan and this Agreement, the terms of the Plan shall control.</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RESTRICTED STOCK UNITS</w:t>
      </w:r>
    </w:p>
    <w:p>
      <w:pPr>
        <w:spacing w:after="0" w:line="229" w:lineRule="exact"/>
        <w:rPr>
          <w:sz w:val="20"/>
          <w:szCs w:val="20"/>
          <w:color w:val="auto"/>
        </w:rPr>
      </w:pPr>
    </w:p>
    <w:p>
      <w:pPr>
        <w:ind w:right="280" w:firstLine="441"/>
        <w:spacing w:after="0" w:line="312"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Grant of RSUs</w:t>
      </w:r>
      <w:r>
        <w:rPr>
          <w:rFonts w:ascii="Arial" w:cs="Arial" w:eastAsia="Arial" w:hAnsi="Arial"/>
          <w:sz w:val="16"/>
          <w:szCs w:val="16"/>
          <w:color w:val="auto"/>
        </w:rPr>
        <w:t>. Pursuant to the Grant Notice and upon the terms and conditions set forth in the Plan and this Agreement, effective as of the Grant Date set forth in the Grant Notice, the Company hereby grants to the Participant an award of RSUs under the Plan in consideration of the Participant’s past or continued employment with or service to the Company or any Subsidiaries and for other good and valuable consideration.</w:t>
      </w:r>
    </w:p>
    <w:p>
      <w:pPr>
        <w:spacing w:after="0" w:line="147"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Unsecured Obligation to RSUs</w:t>
      </w:r>
      <w:r>
        <w:rPr>
          <w:rFonts w:ascii="Arial" w:cs="Arial" w:eastAsia="Arial" w:hAnsi="Arial"/>
          <w:sz w:val="18"/>
          <w:szCs w:val="18"/>
          <w:color w:val="auto"/>
        </w:rPr>
        <w:t>. Unless and until the RSUs have vested in the manner set forth in Article 2 hereof, the Participant will have no right to receive Common Stock under any such RSUs. Prior to actual payment of any vested RSUs, such RSUs will represent an unsecured obligation of the Company, payable (if at all) only from the general assets of the Company.</w:t>
      </w:r>
    </w:p>
    <w:p>
      <w:pPr>
        <w:spacing w:after="0" w:line="181"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Vesting Schedule</w:t>
      </w:r>
      <w:r>
        <w:rPr>
          <w:rFonts w:ascii="Arial" w:cs="Arial" w:eastAsia="Arial" w:hAnsi="Arial"/>
          <w:sz w:val="18"/>
          <w:szCs w:val="18"/>
          <w:color w:val="auto"/>
        </w:rPr>
        <w:t>. Subject to Section 2.5 hereof, the RSUs shall vest and become nonforfeitable with respect to the applicable portion thereof according to the vesting schedule set forth in the Grant Notice (rounding down to the nearest whole Share).</w:t>
      </w:r>
    </w:p>
    <w:p>
      <w:pPr>
        <w:spacing w:after="0" w:line="170"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Consideration to the Company</w:t>
      </w:r>
      <w:r>
        <w:rPr>
          <w:rFonts w:ascii="Arial" w:cs="Arial" w:eastAsia="Arial" w:hAnsi="Arial"/>
          <w:sz w:val="18"/>
          <w:szCs w:val="18"/>
          <w:color w:val="auto"/>
        </w:rPr>
        <w:t>. In consideration of the grant of the award of RSUs pursuant hereto, the Participant agrees to render faithful and efficient services to the Company or any Subsidiary.</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Forfeiture, Termination and Cancellation upon Termination of Service</w:t>
      </w:r>
      <w:r>
        <w:rPr>
          <w:rFonts w:ascii="Arial" w:cs="Arial" w:eastAsia="Arial" w:hAnsi="Arial"/>
          <w:sz w:val="18"/>
          <w:szCs w:val="18"/>
          <w:color w:val="auto"/>
        </w:rPr>
        <w:t>. Notwithstanding any contrary provision of this Agreement or the Plan, upon the Participant’s Termination of Service for any or no reason, all Restricted Stock Units which have not vested prior to or in connection with such Termination of Service shall thereupon automatically be forfeited, terminated and cancelled as of the applicable termination date without payment of any consideration by the Company, and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020"/>
          </w:cols>
          <w:pgMar w:left="440" w:top="270" w:right="439" w:bottom="1440" w:gutter="0" w:footer="0" w:header="0"/>
        </w:sectPr>
      </w:pPr>
    </w:p>
    <w:bookmarkStart w:id="452" w:name="page453"/>
    <w:bookmarkEnd w:id="452"/>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 or the Participant’s beneficiary or personal representative, as the case may be, shall have no further rights hereunder. No portion of the RSUs which has not become vested as of the date on which the Participant incurs a Termination of Service shall thereafter become vested, except as may otherwise be provided by the Administrator or as set forth in a written agreement between the Company and the Participant.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Issuance of Common Stock upon Vesting</w:t>
      </w:r>
      <w:r>
        <w:rPr>
          <w:rFonts w:ascii="Arial" w:cs="Arial" w:eastAsia="Arial" w:hAnsi="Arial"/>
          <w:sz w:val="18"/>
          <w:szCs w:val="18"/>
          <w:color w:val="auto"/>
        </w:rPr>
        <w:t>.</w:t>
      </w:r>
    </w:p>
    <w:p>
      <w:pPr>
        <w:spacing w:after="0" w:line="225" w:lineRule="exact"/>
        <w:rPr>
          <w:sz w:val="20"/>
          <w:szCs w:val="20"/>
          <w:color w:val="auto"/>
        </w:rPr>
      </w:pPr>
    </w:p>
    <w:p>
      <w:pPr>
        <w:ind w:firstLine="996"/>
        <w:spacing w:after="0" w:line="273" w:lineRule="auto"/>
        <w:tabs>
          <w:tab w:leader="none" w:pos="1237"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As soon as administratively practicable following the vesting of any Restricted Stock Units pursuant to Section 2.3 hereof, but in no event later than 30 days after such vesting date (for the avoidance of doubt, this deadline is intended to comply with the “short term deferral” exemption from Section 409A of the Code), the Company shall deliver to the Participant (or any transferee permitted under Section 3.2 hereof) a number of Shares equal to the number of RSUs subject to this Award that vest on the applicable vesting date. Notwithstanding the foregoing, in the event Shares cannot be issued pursuant to Section 10.7 of the Plan, the Shares shall be issued pursuant to the preceding sentence as soon as administratively practicable after the Administrator determines that Shares can again be issued in accordance with such Section.</w:t>
      </w:r>
    </w:p>
    <w:p>
      <w:pPr>
        <w:spacing w:after="0" w:line="178" w:lineRule="exact"/>
        <w:rPr>
          <w:rFonts w:ascii="Arial" w:cs="Arial" w:eastAsia="Arial" w:hAnsi="Arial"/>
          <w:sz w:val="17"/>
          <w:szCs w:val="17"/>
          <w:color w:val="auto"/>
        </w:rPr>
      </w:pPr>
    </w:p>
    <w:p>
      <w:pPr>
        <w:ind w:right="180" w:firstLine="996"/>
        <w:spacing w:after="0" w:line="255" w:lineRule="auto"/>
        <w:tabs>
          <w:tab w:leader="none" w:pos="1247"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As set forth in Section 10.5 of the Plan, the Company shall have the authority and the right to deduct or withhold, or to require the Participant to remit to the Company, an amount sufficient to satisfy all applicable federal, state and local taxes required by law to be withheld with respect to any taxable event arising in connection with the Restricted Stock Units. The Company shall not be obligated to deliver any Shares to the Participant or the Participant’s legal representative unless and until the Participant or the Participant’s legal representative shall have paid or otherwise satisfied in full the amount of all federal, state and local taxes applicable to the taxable income of the Participant resulting from the grant or vesting of the Restricted Stock Units or the issuance of Shares.</w:t>
      </w:r>
    </w:p>
    <w:p>
      <w:pPr>
        <w:spacing w:after="0" w:line="193"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Conditions to Delivery of Shares</w:t>
      </w:r>
      <w:r>
        <w:rPr>
          <w:rFonts w:ascii="Arial" w:cs="Arial" w:eastAsia="Arial" w:hAnsi="Arial"/>
          <w:sz w:val="17"/>
          <w:szCs w:val="17"/>
          <w:color w:val="auto"/>
        </w:rPr>
        <w:t>. The Shares deliverable hereunder may be either previously authorized but unissued Shares, treasury Shares or issued Shares which have then been reacquired by the Company. Such Shares shall be fully paid and nonassessable. The Company shall not be required to issue Shares deliverable hereunder prior to fulfillment of the conditions set forth in Section 10.7 of the Plan.</w:t>
      </w:r>
    </w:p>
    <w:p>
      <w:pPr>
        <w:spacing w:after="0" w:line="166"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Rights as Stockholder</w:t>
      </w:r>
      <w:r>
        <w:rPr>
          <w:rFonts w:ascii="Arial" w:cs="Arial" w:eastAsia="Arial" w:hAnsi="Arial"/>
          <w:sz w:val="17"/>
          <w:szCs w:val="17"/>
          <w:color w:val="auto"/>
        </w:rPr>
        <w:t>. The holder of the RSUs shall not be, nor have any of the rights or privileges of, a stockholder of the Company, including, without limitation, voting rights and rights to dividends, in respect of the RSUs and any Shares underlying the RSUs and deliverable hereunder unless and until such Shares shall have been issued by the Company and held of record by such holder (as evidenced by the appropriate entry on the books of the Company or of a duly authorized transfer agent of the Company). No adjustment shall be made for a dividend or other right for which the record date is prior to the date the Shares are issued, except as provided in Article IX of the Plan.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Administration</w:t>
      </w:r>
      <w:r>
        <w:rPr>
          <w:rFonts w:ascii="Arial" w:cs="Arial" w:eastAsia="Arial" w:hAnsi="Arial"/>
          <w:sz w:val="18"/>
          <w:szCs w:val="18"/>
          <w:color w:val="auto"/>
        </w:rPr>
        <w:t>. The Administrator shall have the power to interpret the Plan and this Agreement and to adopt such rules for the administration, interpretation and application of the Plan as are consistent therewith and to interpret, amend or revoke any such rules. All actions taken and all interpretations and determinations made by the Administrator in good faith shall be final and binding upon the Participant, the Company and all other interested persons. No member of the Administrator or the Board shall be personally liable for any action, determination or interpretation made in good faith with respect to the Plan, this Agreement or the RSUs.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000"/>
          </w:cols>
          <w:pgMar w:left="440" w:top="273" w:right="459" w:bottom="1440" w:gutter="0" w:footer="0" w:header="0"/>
        </w:sectPr>
      </w:pPr>
    </w:p>
    <w:bookmarkStart w:id="453" w:name="page454"/>
    <w:bookmarkEnd w:id="45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3.2 </w:t>
      </w:r>
      <w:r>
        <w:rPr>
          <w:rFonts w:ascii="Arial" w:cs="Arial" w:eastAsia="Arial" w:hAnsi="Arial"/>
          <w:sz w:val="18"/>
          <w:szCs w:val="18"/>
          <w:u w:val="single" w:color="auto"/>
          <w:color w:val="auto"/>
        </w:rPr>
        <w:t>Transferability</w:t>
      </w:r>
      <w:r>
        <w:rPr>
          <w:rFonts w:ascii="Arial" w:cs="Arial" w:eastAsia="Arial" w:hAnsi="Arial"/>
          <w:sz w:val="18"/>
          <w:szCs w:val="18"/>
          <w:color w:val="auto"/>
        </w:rPr>
        <w:t>. The RSUs shall be subject to the restrictions on transferability set forth in Section 10.1 of the Plan.</w:t>
      </w:r>
    </w:p>
    <w:p>
      <w:pPr>
        <w:spacing w:after="0" w:line="225"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Tax Consultation</w:t>
      </w:r>
      <w:r>
        <w:rPr>
          <w:rFonts w:ascii="Arial" w:cs="Arial" w:eastAsia="Arial" w:hAnsi="Arial"/>
          <w:sz w:val="18"/>
          <w:szCs w:val="18"/>
          <w:color w:val="auto"/>
        </w:rPr>
        <w:t>. The Participant understands that the Participant may suffer adverse tax consequences in connection with the RSUs granted pursuant to this Agreement (and the Shares issuable with respect thereto). The Participant represents that the Participant has consulted with any tax consultants the Participant deems advisable in connection with the RSUs and the issuance of Shares with respect thereto and that the Participant is not relying on the Company for any tax advice.</w:t>
      </w:r>
    </w:p>
    <w:p>
      <w:pPr>
        <w:spacing w:after="0" w:line="18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Binding Agreement</w:t>
      </w:r>
      <w:r>
        <w:rPr>
          <w:rFonts w:ascii="Arial" w:cs="Arial" w:eastAsia="Arial" w:hAnsi="Arial"/>
          <w:sz w:val="18"/>
          <w:szCs w:val="18"/>
          <w:color w:val="auto"/>
        </w:rPr>
        <w:t>. Subject to the limitation on the transferability of the RSUs contained herein, this Agreement will be binding upon and inure to the benefit of the heirs, legatees, legal representatives, successors and assigns of the parties hereto.</w:t>
      </w:r>
    </w:p>
    <w:p>
      <w:pPr>
        <w:spacing w:after="0" w:line="170" w:lineRule="exact"/>
        <w:rPr>
          <w:sz w:val="20"/>
          <w:szCs w:val="20"/>
          <w:color w:val="auto"/>
        </w:rPr>
      </w:pPr>
    </w:p>
    <w:p>
      <w:pPr>
        <w:ind w:right="320" w:firstLine="441"/>
        <w:spacing w:after="0" w:line="264"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Adjustments Upon Specified Events</w:t>
      </w:r>
      <w:r>
        <w:rPr>
          <w:rFonts w:ascii="Arial" w:cs="Arial" w:eastAsia="Arial" w:hAnsi="Arial"/>
          <w:sz w:val="18"/>
          <w:szCs w:val="18"/>
          <w:color w:val="auto"/>
        </w:rPr>
        <w:t>. The Administrator may accelerate the vesting of the RSUs in such circumstances as it, in its sole discretion, may determine. The Participant acknowledges that the RSUs are subject to adjustment, modification and termination in certain events as provided in this Agreement and Article IX of the Plan.</w:t>
      </w:r>
    </w:p>
    <w:p>
      <w:pPr>
        <w:spacing w:after="0" w:line="181"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Notices</w:t>
      </w:r>
      <w:r>
        <w:rPr>
          <w:rFonts w:ascii="Arial" w:cs="Arial" w:eastAsia="Arial" w:hAnsi="Arial"/>
          <w:sz w:val="16"/>
          <w:szCs w:val="16"/>
          <w:color w:val="auto"/>
        </w:rPr>
        <w:t>. Any notice to be given under the terms of this Agreement to the Company shall be addressed to the Company in care of the Secretary of the Company at the Company’s principal office, and any notice to be given to the Participant shall be addressed to the Participant at the Participant’s last address reflected on the Company’s records. By a notice given pursuant to this Section 3.6,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158" w:lineRule="exact"/>
        <w:rPr>
          <w:sz w:val="20"/>
          <w:szCs w:val="20"/>
          <w:color w:val="auto"/>
        </w:rPr>
      </w:pPr>
    </w:p>
    <w:p>
      <w:pPr>
        <w:jc w:val="both"/>
        <w:ind w:right="140" w:firstLine="441"/>
        <w:spacing w:after="0" w:line="286"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Participant’s Representations</w:t>
      </w:r>
      <w:r>
        <w:rPr>
          <w:rFonts w:ascii="Arial" w:cs="Arial" w:eastAsia="Arial" w:hAnsi="Arial"/>
          <w:sz w:val="17"/>
          <w:szCs w:val="17"/>
          <w:color w:val="auto"/>
        </w:rPr>
        <w:t>. If the Shares issuable hereunder have not been registered under the Securities Act or any applicable state laws on an effective registration statement at the time of such issuance, the Participant shall, if required by the Company, concurrently with such issuance, make such written representations as are deemed necessary or appropriate by the Company or its counsel.</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3.8 </w:t>
      </w:r>
      <w:r>
        <w:rPr>
          <w:rFonts w:ascii="Arial" w:cs="Arial" w:eastAsia="Arial" w:hAnsi="Arial"/>
          <w:sz w:val="16"/>
          <w:szCs w:val="16"/>
          <w:u w:val="single" w:color="auto"/>
          <w:color w:val="auto"/>
        </w:rPr>
        <w:t>Titles</w:t>
      </w:r>
      <w:r>
        <w:rPr>
          <w:rFonts w:ascii="Arial" w:cs="Arial" w:eastAsia="Arial" w:hAnsi="Arial"/>
          <w:sz w:val="16"/>
          <w:szCs w:val="16"/>
          <w:color w:val="auto"/>
        </w:rPr>
        <w:t>. Titles are provided herein for convenience only and are not to serve as a basis for interpretation or construction of this Agreement.</w:t>
      </w:r>
    </w:p>
    <w:p>
      <w:pPr>
        <w:spacing w:after="0" w:line="248" w:lineRule="exact"/>
        <w:rPr>
          <w:sz w:val="20"/>
          <w:szCs w:val="20"/>
          <w:color w:val="auto"/>
        </w:rPr>
      </w:pPr>
    </w:p>
    <w:p>
      <w:pPr>
        <w:jc w:val="both"/>
        <w:ind w:right="160" w:firstLine="441"/>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Governing Law</w:t>
      </w:r>
      <w:r>
        <w:rPr>
          <w:rFonts w:ascii="Arial" w:cs="Arial" w:eastAsia="Arial" w:hAnsi="Arial"/>
          <w:sz w:val="18"/>
          <w:szCs w:val="18"/>
          <w:color w:val="auto"/>
        </w:rPr>
        <w:t>. The laws of the State of Delaware shall govern the interpretation, validity, administration, enforcement and performance of the terms of this Agreement regardless of the law that might be applied under principles of conflicts of laws.</w:t>
      </w:r>
    </w:p>
    <w:p>
      <w:pPr>
        <w:spacing w:after="0" w:line="170" w:lineRule="exact"/>
        <w:rPr>
          <w:sz w:val="20"/>
          <w:szCs w:val="20"/>
          <w:color w:val="auto"/>
        </w:rPr>
      </w:pPr>
    </w:p>
    <w:p>
      <w:pPr>
        <w:ind w:right="120" w:firstLine="441"/>
        <w:spacing w:after="0" w:line="302"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The Participant acknowledges that the Plan and this Agreement are intended to conform to the extent necessary with all provisions of the Securities Act and the Exchange Act and any other Applicable Law. Notwithstanding anything herein to the contrary, the Plan shall be administered, and the RSUs are granted, only in such a manner as to conform to Applicable Law. To the extent permitted by Applicable Law, the Plan and this Agreement shall be deemed amended to the extent necessary to conform to such Applicable Law.</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960"/>
          </w:cols>
          <w:pgMar w:left="440" w:top="274" w:right="499" w:bottom="1440" w:gutter="0" w:footer="0" w:header="0"/>
        </w:sectPr>
      </w:pPr>
    </w:p>
    <w:bookmarkStart w:id="454" w:name="page455"/>
    <w:bookmarkEnd w:id="454"/>
    <w:p>
      <w:pPr>
        <w:ind w:right="6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3.11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xml:space="preserve">. To the extent permitted by the Plan, this Agreement may be wholly or partially amended or otherwise modified, suspended or terminated at any time or from time to time by the Administrator or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RSUs in any material way without the prior written consent of the Participant.</w:t>
      </w:r>
    </w:p>
    <w:p>
      <w:pPr>
        <w:spacing w:after="0" w:line="187" w:lineRule="exact"/>
        <w:rPr>
          <w:sz w:val="20"/>
          <w:szCs w:val="20"/>
          <w:color w:val="auto"/>
        </w:rPr>
      </w:pPr>
    </w:p>
    <w:p>
      <w:pPr>
        <w:ind w:right="60" w:firstLine="441"/>
        <w:spacing w:after="0" w:line="286"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The Company may assign any of its rights under this Agreement to single or multiple assignees, and this Agreement shall inure to the benefit of the successors and assigns of the Company. Subject to the restrictions on transfer herein set forth in Section 3.2 hereof, this Agreement shall be binding upon the Participant and his or her heirs, executors, administrators, successors and assigns.</w:t>
      </w:r>
    </w:p>
    <w:p>
      <w:pPr>
        <w:spacing w:after="0" w:line="166" w:lineRule="exact"/>
        <w:rPr>
          <w:sz w:val="20"/>
          <w:szCs w:val="20"/>
          <w:color w:val="auto"/>
        </w:rPr>
      </w:pPr>
    </w:p>
    <w:p>
      <w:pPr>
        <w:ind w:right="40" w:firstLine="441"/>
        <w:spacing w:after="0" w:line="257" w:lineRule="auto"/>
        <w:rPr>
          <w:sz w:val="20"/>
          <w:szCs w:val="20"/>
          <w:color w:val="auto"/>
        </w:rPr>
      </w:pPr>
      <w:r>
        <w:rPr>
          <w:rFonts w:ascii="Arial" w:cs="Arial" w:eastAsia="Arial" w:hAnsi="Arial"/>
          <w:sz w:val="18"/>
          <w:szCs w:val="18"/>
          <w:color w:val="auto"/>
        </w:rPr>
        <w:t xml:space="preserve">3.13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the Participant is subject to Section 16 of the Exchange Act, then the Plan, the RSUs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8" w:lineRule="exact"/>
        <w:rPr>
          <w:sz w:val="20"/>
          <w:szCs w:val="20"/>
          <w:color w:val="auto"/>
        </w:rPr>
      </w:pPr>
    </w:p>
    <w:p>
      <w:pPr>
        <w:jc w:val="both"/>
        <w:ind w:right="40" w:firstLine="441"/>
        <w:spacing w:after="0" w:line="259"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Not a Contract of Service Relationship</w:t>
      </w:r>
      <w:r>
        <w:rPr>
          <w:rFonts w:ascii="Arial" w:cs="Arial" w:eastAsia="Arial" w:hAnsi="Arial"/>
          <w:sz w:val="18"/>
          <w:szCs w:val="18"/>
          <w:color w:val="auto"/>
        </w:rPr>
        <w:t>. Nothing in this Agreement or in the Plan shall confer upon Participant any right to continue to serve as an employee or other service provider of the Company or any of its Subsidiaries or interfere with or restrict in any way with the right of the Company or any of its Subsidiaries, which rights are hereby expressly reserved, to discharge or to terminate for any reason whatsoever, with or without cause, the services of the Participant at any time.</w:t>
      </w:r>
    </w:p>
    <w:p>
      <w:pPr>
        <w:spacing w:after="0" w:line="187" w:lineRule="exact"/>
        <w:rPr>
          <w:sz w:val="20"/>
          <w:szCs w:val="20"/>
          <w:color w:val="auto"/>
        </w:rPr>
      </w:pPr>
    </w:p>
    <w:p>
      <w:pPr>
        <w:ind w:right="40" w:firstLine="441"/>
        <w:spacing w:after="0" w:line="279" w:lineRule="auto"/>
        <w:rPr>
          <w:sz w:val="20"/>
          <w:szCs w:val="20"/>
          <w:color w:val="auto"/>
        </w:rPr>
      </w:pPr>
      <w:r>
        <w:rPr>
          <w:rFonts w:ascii="Arial" w:cs="Arial" w:eastAsia="Arial" w:hAnsi="Arial"/>
          <w:sz w:val="17"/>
          <w:szCs w:val="17"/>
          <w:color w:val="auto"/>
        </w:rPr>
        <w:t xml:space="preserve">3.15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the Grant Notice and this Agreement (including all Exhibits thereto, if any) constitute the entire agreement of the parties and supersede in their entirety all prior undertakings and agreements of the Company and the Participant with respect to the subject matter hereof, provided that the RSUs shall be subject to any accelerated vesting provisions in any written agreement between the Participant and the Company or a Company plan pursuant to which the Participant participates, in each case, in accordance with the terms therein.</w:t>
      </w:r>
    </w:p>
    <w:p>
      <w:pPr>
        <w:spacing w:after="0" w:line="171"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3.16 </w:t>
      </w:r>
      <w:r>
        <w:rPr>
          <w:rFonts w:ascii="Arial" w:cs="Arial" w:eastAsia="Arial" w:hAnsi="Arial"/>
          <w:sz w:val="17"/>
          <w:szCs w:val="17"/>
          <w:u w:val="single" w:color="auto"/>
          <w:color w:val="auto"/>
        </w:rPr>
        <w:t>Section 409A</w:t>
      </w:r>
      <w:r>
        <w:rPr>
          <w:rFonts w:ascii="Arial" w:cs="Arial" w:eastAsia="Arial" w:hAnsi="Arial"/>
          <w:sz w:val="17"/>
          <w:szCs w:val="17"/>
          <w:color w:val="auto"/>
        </w:rPr>
        <w:t>. This Award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However, notwithstanding any other provision of the Plan, the Grant Notice or this Agreement, if at any time the Administrator determines that this Award (or any portion thereof) may be subject to Section 409A, the Administrator shall have the right in its sole discretion (without any obligation to do so or to indemnify Participant or any other person for failure to do so) to adopt such amendments to the Plan, the Grant Notice or this Agreement, or adopt other policies and procedures (including amendments, policies and procedures with retroactive effect), or take any other actions, as the Administrator determines are necessary or appropriate for this Award either to be exempt from the application of Section 409A or to comply with the requirements of Section 409A.</w:t>
      </w:r>
    </w:p>
    <w:p>
      <w:pPr>
        <w:spacing w:after="0" w:line="179" w:lineRule="exact"/>
        <w:rPr>
          <w:sz w:val="20"/>
          <w:szCs w:val="20"/>
          <w:color w:val="auto"/>
        </w:rPr>
      </w:pPr>
    </w:p>
    <w:p>
      <w:pPr>
        <w:ind w:firstLine="441"/>
        <w:spacing w:after="0" w:line="276" w:lineRule="auto"/>
        <w:rPr>
          <w:sz w:val="20"/>
          <w:szCs w:val="20"/>
          <w:color w:val="auto"/>
        </w:rPr>
      </w:pPr>
      <w:r>
        <w:rPr>
          <w:rFonts w:ascii="Arial" w:cs="Arial" w:eastAsia="Arial" w:hAnsi="Arial"/>
          <w:sz w:val="17"/>
          <w:szCs w:val="17"/>
          <w:color w:val="auto"/>
        </w:rPr>
        <w:t xml:space="preserve">3.17 </w:t>
      </w:r>
      <w:r>
        <w:rPr>
          <w:rFonts w:ascii="Arial" w:cs="Arial" w:eastAsia="Arial" w:hAnsi="Arial"/>
          <w:sz w:val="17"/>
          <w:szCs w:val="17"/>
          <w:u w:val="single" w:color="auto"/>
          <w:color w:val="auto"/>
        </w:rPr>
        <w:t>Limitation on Participant’s Rights</w:t>
      </w:r>
      <w:r>
        <w:rPr>
          <w:rFonts w:ascii="Arial" w:cs="Arial" w:eastAsia="Arial" w:hAnsi="Arial"/>
          <w:sz w:val="17"/>
          <w:szCs w:val="17"/>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The Participant shall have only the rights of a general unsecured creditor of the Company and its Subsidiaries with respect to amounts credited and benefits payable, if any, with respect to the RSUs, and rights no greater than the right to receive the Common Stock as a general unsecured creditor with respect to RSUs, as and when payable hereunder.</w:t>
      </w:r>
    </w:p>
    <w:p>
      <w:pPr>
        <w:spacing w:after="0" w:line="173" w:lineRule="exact"/>
        <w:rPr>
          <w:sz w:val="20"/>
          <w:szCs w:val="20"/>
          <w:color w:val="auto"/>
        </w:rPr>
      </w:pPr>
    </w:p>
    <w:p>
      <w:pPr>
        <w:jc w:val="center"/>
        <w:spacing w:after="0"/>
        <w:tabs>
          <w:tab w:leader="none" w:pos="220" w:val="left"/>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20"/>
          </w:cols>
          <w:pgMar w:left="440" w:top="274" w:right="439" w:bottom="1440" w:gutter="0" w:footer="0" w:header="0"/>
        </w:sectPr>
      </w:pPr>
    </w:p>
    <w:bookmarkStart w:id="455" w:name="page456"/>
    <w:bookmarkEnd w:id="455"/>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REVOLUTION MEDICINES, INC.</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2020 EMPLOYEE STOCK PURCHASE PLAN</w:t>
      </w:r>
    </w:p>
    <w:p>
      <w:pPr>
        <w:spacing w:after="0" w:line="20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PURPOSE</w:t>
      </w:r>
    </w:p>
    <w:p>
      <w:pPr>
        <w:spacing w:after="0" w:line="21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Plan’s purpose is to assist employees of the Company and its Designated Subsidiaries in acquiring a stock ownership interest in the Company, and to help such employees provide for their future security and to encourage them to remain in the employment of the Company and its Subsidiaries.</w:t>
      </w:r>
    </w:p>
    <w:p>
      <w:pPr>
        <w:spacing w:after="0" w:line="12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Plan consists of two components: the Section 423 Component and the Non-Section 423 Component. The Section 423 Component is intended to qualify as an “employee stock purchase plan” under Section 423 of the Code and shall be administered, interpreted and construed in a manner consistent with the requirements of Section 423 of the Code. In addition, this Plan authorizes the grant of Options under the Non-Section 423 Component, which need not qualify as Options granted pursuant to an “employee stock purchase plan” under Section 423 of the Code; such Options granted under the Non-Section 423 Component shall be granted pursuant to separate Offerings containing such sub-plans, appendices, rules or procedures as may be adopted by the Administrator and designed to achieve tax, securities laws or other objectives for Eligible Employees and the Designated Subsidiaries in locations outside of the United States. Except as otherwise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8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purposes of this Plan, the Administrator may designate separate Offerings under the Plan, the terms of which need not be identical, in which Eligible Employees will participate, even if the dates of the applicable Offering Period(s) in each such Offering is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words and phrases have the meanings specified below, unless the context clearly indicates otherwise: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2.1 “</w:t>
      </w:r>
      <w:r>
        <w:rPr>
          <w:rFonts w:ascii="Arial" w:cs="Arial" w:eastAsia="Arial" w:hAnsi="Arial"/>
          <w:sz w:val="16"/>
          <w:szCs w:val="16"/>
          <w:b w:val="1"/>
          <w:bCs w:val="1"/>
          <w:i w:val="1"/>
          <w:iCs w:val="1"/>
          <w:color w:val="auto"/>
        </w:rPr>
        <w:t>Administrator</w:t>
      </w:r>
      <w:r>
        <w:rPr>
          <w:rFonts w:ascii="Arial" w:cs="Arial" w:eastAsia="Arial" w:hAnsi="Arial"/>
          <w:sz w:val="16"/>
          <w:szCs w:val="16"/>
          <w:color w:val="auto"/>
        </w:rPr>
        <w:t>” means the Committee, or such individuals to which authority to administer the Plan has been delegated under Section 7.1 hereof.</w:t>
      </w:r>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 means the brokerage firm, bank or other financial institution, entity or person(s), if any, engaged, retained, appointed or authorized to act as the agent of the Company or an Employee with regard to the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U.S. Internal Revenue Code of 1986, as amended, and all regulations, guidance, compliance programs and other interpretative authority issued thereunder.</w:t>
      </w:r>
    </w:p>
    <w:p>
      <w:pPr>
        <w:sectPr>
          <w:pgSz w:w="11900" w:h="16838" w:orient="portrait"/>
          <w:cols w:equalWidth="0" w:num="1">
            <w:col w:w="11020"/>
          </w:cols>
          <w:pgMar w:left="440" w:top="121" w:right="439" w:bottom="1440" w:gutter="0" w:footer="0" w:header="0"/>
        </w:sectPr>
      </w:pPr>
    </w:p>
    <w:bookmarkStart w:id="456" w:name="page457"/>
    <w:bookmarkEnd w:id="45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2.5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of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2.7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Revolution Medicines, Inc., a Delaware corporation, or any successor.</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2.8 “</w:t>
      </w:r>
      <w:r>
        <w:rPr>
          <w:rFonts w:ascii="Arial" w:cs="Arial" w:eastAsia="Arial" w:hAnsi="Arial"/>
          <w:sz w:val="16"/>
          <w:szCs w:val="16"/>
          <w:b w:val="1"/>
          <w:bCs w:val="1"/>
          <w:i w:val="1"/>
          <w:iCs w:val="1"/>
          <w:color w:val="auto"/>
        </w:rPr>
        <w:t>Compensation</w:t>
      </w:r>
      <w:r>
        <w:rPr>
          <w:rFonts w:ascii="Arial" w:cs="Arial" w:eastAsia="Arial" w:hAnsi="Arial"/>
          <w:sz w:val="16"/>
          <w:szCs w:val="16"/>
          <w:color w:val="auto"/>
        </w:rPr>
        <w:t>” of an Employee means the regular earnings or base salary, bonuses and commissions paid to the Employee from the Company on each Payday as compensation for services to the Company or any Designated Subsidiary, before deduction for any salary deferral contributions made by the Employee to any tax-qualified or nonqualified deferred compensation plan, including overtime, shift differentials, vacation pay, salaried production schedule premiums, holiday pay, jury duty pay, funeral leave pay, paid time off, military pay, prior week adjustments and weekly bonus, but excluding education or tuition reimbursements, imputed income arising under any group insurance or benefit program, travel expenses, business and moving reimbursements, including tax gross ups and taxable mileage allowance, income received in connection with any stock options, restricted stock, restricted stock units or other compensatory equity awards and all contributions made by the Company or any Designated Subsidiary for the Employee’s benefit under any employee benefit plan now or hereafter established. Such Compensation shall be calculated before deduction of any income or employment tax withholdings, but shall be withheld from the Employee’s net income.</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2.9 “</w:t>
      </w:r>
      <w:r>
        <w:rPr>
          <w:rFonts w:ascii="Arial" w:cs="Arial" w:eastAsia="Arial" w:hAnsi="Arial"/>
          <w:sz w:val="16"/>
          <w:szCs w:val="16"/>
          <w:b w:val="1"/>
          <w:bCs w:val="1"/>
          <w:i w:val="1"/>
          <w:iCs w:val="1"/>
          <w:color w:val="auto"/>
        </w:rPr>
        <w:t>Designated Subsidiary</w:t>
      </w:r>
      <w:r>
        <w:rPr>
          <w:rFonts w:ascii="Arial" w:cs="Arial" w:eastAsia="Arial" w:hAnsi="Arial"/>
          <w:sz w:val="16"/>
          <w:szCs w:val="16"/>
          <w:color w:val="auto"/>
        </w:rPr>
        <w:t>” means each Subsidiary, including any Subsidiary in existence on the Effective Date and any Subsidiary formed or acquired following the Effective Date, that has been designated by the Board or Committee from time to time in its sole discretion as eligible to participate in the Plan, in accordance with Section 7.2 hereof, such designation to specify whether such participation is in the Section 423 Component or Non-Section 423 Component. A Designated Subsidiary may participate in either the Section 423 Component or Non-Section 423 Component, but not both.</w:t>
      </w:r>
    </w:p>
    <w:p>
      <w:pPr>
        <w:spacing w:after="0" w:line="15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2.10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xml:space="preserve">” means the date immediately prior to the date the Company’s registration statement relating to its initial public offering becomes effective,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Board has adopted the Plan prior to or on such date, subject to approval of the Plan by the Company’s stockholders.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means an Employee:</w:t>
      </w:r>
    </w:p>
    <w:p>
      <w:pPr>
        <w:spacing w:after="0" w:line="117" w:lineRule="exact"/>
        <w:rPr>
          <w:sz w:val="20"/>
          <w:szCs w:val="20"/>
          <w:color w:val="auto"/>
        </w:rPr>
      </w:pPr>
    </w:p>
    <w:p>
      <w:pPr>
        <w:ind w:left="680" w:hanging="236"/>
        <w:spacing w:after="0"/>
        <w:tabs>
          <w:tab w:leader="none" w:pos="68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who is customarily scheduled to work at least 20 hours per week;</w:t>
      </w:r>
    </w:p>
    <w:p>
      <w:pPr>
        <w:spacing w:after="0" w:line="225" w:lineRule="exact"/>
        <w:rPr>
          <w:rFonts w:ascii="Arial" w:cs="Arial" w:eastAsia="Arial" w:hAnsi="Arial"/>
          <w:sz w:val="18"/>
          <w:szCs w:val="18"/>
          <w:color w:val="auto"/>
        </w:rPr>
      </w:pPr>
    </w:p>
    <w:p>
      <w:pPr>
        <w:ind w:left="700" w:hanging="256"/>
        <w:spacing w:after="0"/>
        <w:tabs>
          <w:tab w:leader="none" w:pos="7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whose customary employment is more than five months in a calendar year; and</w:t>
      </w:r>
    </w:p>
    <w:p>
      <w:pPr>
        <w:spacing w:after="0" w:line="225" w:lineRule="exact"/>
        <w:rPr>
          <w:rFonts w:ascii="Arial" w:cs="Arial" w:eastAsia="Arial" w:hAnsi="Arial"/>
          <w:sz w:val="18"/>
          <w:szCs w:val="18"/>
          <w:color w:val="auto"/>
        </w:rPr>
      </w:pPr>
    </w:p>
    <w:p>
      <w:pPr>
        <w:ind w:right="200" w:firstLine="444"/>
        <w:spacing w:after="0" w:line="277" w:lineRule="auto"/>
        <w:tabs>
          <w:tab w:leader="none" w:pos="68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who, after the granting of the Option, would not be deemed for purposes of Section 423(b)(3) of the Code to possess 5% or more of the total combined voting power or value of all classes of stock of the Company or any Subsidiary.</w:t>
      </w:r>
    </w:p>
    <w:p>
      <w:pPr>
        <w:spacing w:after="0" w:line="17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For purposes of clause (c),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Notwithstanding the foregoing, the Administrator may exclude from participation in the Section 423 Component as an Eligible Employee:</w:t>
      </w:r>
    </w:p>
    <w:p>
      <w:pPr>
        <w:spacing w:after="0" w:line="117" w:lineRule="exact"/>
        <w:rPr>
          <w:sz w:val="20"/>
          <w:szCs w:val="20"/>
          <w:color w:val="auto"/>
        </w:rPr>
      </w:pPr>
    </w:p>
    <w:p>
      <w:pPr>
        <w:jc w:val="both"/>
        <w:ind w:right="200" w:firstLine="1436"/>
        <w:spacing w:after="0" w:line="291" w:lineRule="auto"/>
        <w:tabs>
          <w:tab w:leader="none" w:pos="1688" w:val="left"/>
        </w:tabs>
        <w:numPr>
          <w:ilvl w:val="1"/>
          <w:numId w:val="252"/>
        </w:numPr>
        <w:rPr>
          <w:rFonts w:ascii="Arial" w:cs="Arial" w:eastAsia="Arial" w:hAnsi="Arial"/>
          <w:sz w:val="16"/>
          <w:szCs w:val="16"/>
          <w:color w:val="auto"/>
        </w:rPr>
      </w:pPr>
      <w:r>
        <w:rPr>
          <w:rFonts w:ascii="Arial" w:cs="Arial" w:eastAsia="Arial" w:hAnsi="Arial"/>
          <w:sz w:val="16"/>
          <w:szCs w:val="16"/>
          <w:color w:val="auto"/>
        </w:rPr>
        <w:t>any Employee that is a “highly compensated employee” of the Company or any Designated Subsidiary (within the meaning of Section 414(q) of the Code), or that is such a “highly compensated employee” (A) with compensation above a specified level, (B) who is an officer or</w:t>
      </w:r>
    </w:p>
    <w:p>
      <w:pPr>
        <w:ind w:left="280" w:hanging="276"/>
        <w:spacing w:after="0"/>
        <w:tabs>
          <w:tab w:leader="none" w:pos="28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who is subject to the disclosure requirements of Section 16(a) of the Exchange Act; or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57" w:name="page458"/>
    <w:bookmarkEnd w:id="457"/>
    <w:p>
      <w:pPr>
        <w:ind w:firstLine="1436"/>
        <w:spacing w:after="0" w:line="279" w:lineRule="auto"/>
        <w:tabs>
          <w:tab w:leader="none" w:pos="1688" w:val="left"/>
        </w:tabs>
        <w:numPr>
          <w:ilvl w:val="0"/>
          <w:numId w:val="25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Employee who is a citizen or resident of a foreign jurisdiction (without regard to whether they are also a citizen of the United States or a resident alien (within the meaning of Section 7701(b)(1)(A) of the Code)) if either (A) the grant of the Option is prohibited under the laws of the jurisdiction governing such Employee, or (B) compliance with the laws of the foreign jurisdiction would cause the Section 423 Component, any Offering thereunder or an Option granted thereunder to violate the requirements of Section 423 of the Code;</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any exclusion in clauses (x) or (y) shall be applied in an identical manner under each Offering to all Employees of the Company and all</w:t>
      </w:r>
      <w:r>
        <w:rPr>
          <w:rFonts w:ascii="Arial" w:cs="Arial" w:eastAsia="Arial" w:hAnsi="Arial"/>
          <w:sz w:val="18"/>
          <w:szCs w:val="18"/>
          <w:i w:val="1"/>
          <w:iCs w:val="1"/>
          <w:color w:val="auto"/>
        </w:rPr>
        <w:t xml:space="preserve"> </w:t>
      </w:r>
      <w:r>
        <w:rPr>
          <w:rFonts w:ascii="Arial" w:cs="Arial" w:eastAsia="Arial" w:hAnsi="Arial"/>
          <w:sz w:val="18"/>
          <w:szCs w:val="18"/>
          <w:color w:val="auto"/>
        </w:rPr>
        <w:t>Designated Subsidiaries, in accordance with Treas. Reg. § 1.423-2(e). Further notwithstanding the foregoing, with respect to the Non-Section 423 Component, the first sentence in this definition shall apply in determining who is an “Eligible Employee,” except (a) the Administrator may limit eligibility further within the Company or a Designated Subsidiary so as to only designate some Employees of the Company or a Designated Subsidiary as Eligible Employees, and (b) to the extent the restrictions in the first sentence in this definition are not consistent with applicable local laws, the applicable local laws shall control.</w:t>
      </w:r>
    </w:p>
    <w:p>
      <w:pPr>
        <w:spacing w:after="0" w:line="19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2.12 “</w:t>
      </w:r>
      <w:r>
        <w:rPr>
          <w:rFonts w:ascii="Arial" w:cs="Arial" w:eastAsia="Arial" w:hAnsi="Arial"/>
          <w:sz w:val="17"/>
          <w:szCs w:val="17"/>
          <w:b w:val="1"/>
          <w:bCs w:val="1"/>
          <w:i w:val="1"/>
          <w:iCs w:val="1"/>
          <w:color w:val="auto"/>
        </w:rPr>
        <w:t>Employee</w:t>
      </w:r>
      <w:r>
        <w:rPr>
          <w:rFonts w:ascii="Arial" w:cs="Arial" w:eastAsia="Arial" w:hAnsi="Arial"/>
          <w:sz w:val="17"/>
          <w:szCs w:val="17"/>
          <w:color w:val="auto"/>
        </w:rPr>
        <w:t>” means any person who renders services to the Company or a Designated Subsidiary in the status of an employee within the meaning of Section 3401(c) of the Code. “Employee” shall not include any director of the Company or a Designated Subsidiary who does not render services to the Company or a Designated Subsidiary in the status of an employee within the meaning of Section 3401(c) of the Code. For purposes of the Plan, the employment relationship shall be treated as continuing intact while the individual is on military leave, sick leave or other leave of absence approved by the Company or a Designated Subsidiary and meeting the requirements of Treas. Reg. § 1.421-1(h)(2). Where the period of leave exceeds three months, or such other period specified in Treas. Reg. § 1.421-1(h)(2), and the individual’s right to reemployment is not guaranteed either by statute or by contract, the employment relationship shall be deemed to have terminated on the first day immediately following such three-month period, or such other period specified in Treas. Reg. § 1.421-1(h)(2).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i w:val="1"/>
          <w:iCs w:val="1"/>
          <w:color w:val="auto"/>
        </w:rPr>
        <w:t>Enrollment Date</w:t>
      </w:r>
      <w:r>
        <w:rPr>
          <w:rFonts w:ascii="Arial" w:cs="Arial" w:eastAsia="Arial" w:hAnsi="Arial"/>
          <w:sz w:val="18"/>
          <w:szCs w:val="18"/>
          <w:color w:val="auto"/>
        </w:rPr>
        <w:t>” means the first date of each Offering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i w:val="1"/>
          <w:iCs w:val="1"/>
          <w:color w:val="auto"/>
        </w:rPr>
        <w:t>Exercise Date</w:t>
      </w:r>
      <w:r>
        <w:rPr>
          <w:rFonts w:ascii="Arial" w:cs="Arial" w:eastAsia="Arial" w:hAnsi="Arial"/>
          <w:sz w:val="18"/>
          <w:szCs w:val="18"/>
          <w:color w:val="auto"/>
        </w:rPr>
        <w:t>” means the last day of each Purchase Period, except as provided in Section 5.2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Common Stock determined as follows:</w:t>
      </w:r>
    </w:p>
    <w:p>
      <w:pPr>
        <w:spacing w:after="0" w:line="117" w:lineRule="exact"/>
        <w:rPr>
          <w:sz w:val="20"/>
          <w:szCs w:val="20"/>
          <w:color w:val="auto"/>
        </w:rPr>
      </w:pPr>
    </w:p>
    <w:p>
      <w:pPr>
        <w:ind w:firstLine="444"/>
        <w:spacing w:after="0" w:line="276" w:lineRule="auto"/>
        <w:tabs>
          <w:tab w:leader="none" w:pos="68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If the Common Stock is (i) listed on any established securities exchange (such as the New York Stock Exchange or Nasdaq Stock Market), (ii) listed on any national market system or (iii) listed, quoted or traded on any automated quotation system, its Fair Market Value shall be the closing sales price for a share of Common Stock as quoted on such exchange or system for such date or, if there is no closing sales price for a share of Common Stock on the date in question, the closing sales price for a share of Common Stock on the last preceding date for which such quotation exists, as reported in </w:t>
      </w:r>
      <w:r>
        <w:rPr>
          <w:rFonts w:ascii="Arial" w:cs="Arial" w:eastAsia="Arial" w:hAnsi="Arial"/>
          <w:sz w:val="17"/>
          <w:szCs w:val="17"/>
          <w:i w:val="1"/>
          <w:iCs w:val="1"/>
          <w:color w:val="auto"/>
        </w:rPr>
        <w:t xml:space="preserve">The Wall Street Journal </w:t>
      </w:r>
      <w:r>
        <w:rPr>
          <w:rFonts w:ascii="Arial" w:cs="Arial" w:eastAsia="Arial" w:hAnsi="Arial"/>
          <w:sz w:val="17"/>
          <w:szCs w:val="17"/>
          <w:color w:val="auto"/>
        </w:rPr>
        <w:t>or such other source as the Administrator deems reliable;</w:t>
      </w:r>
    </w:p>
    <w:p>
      <w:pPr>
        <w:spacing w:after="0" w:line="172" w:lineRule="exact"/>
        <w:rPr>
          <w:rFonts w:ascii="Arial" w:cs="Arial" w:eastAsia="Arial" w:hAnsi="Arial"/>
          <w:sz w:val="17"/>
          <w:szCs w:val="17"/>
          <w:color w:val="auto"/>
        </w:rPr>
      </w:pPr>
    </w:p>
    <w:p>
      <w:pPr>
        <w:ind w:right="300" w:firstLine="444"/>
        <w:spacing w:after="0" w:line="264" w:lineRule="auto"/>
        <w:tabs>
          <w:tab w:leader="none" w:pos="696" w:val="left"/>
        </w:tabs>
        <w:numPr>
          <w:ilvl w:val="0"/>
          <w:numId w:val="255"/>
        </w:numPr>
        <w:rPr>
          <w:rFonts w:ascii="Arial" w:cs="Arial" w:eastAsia="Arial" w:hAnsi="Arial"/>
          <w:sz w:val="18"/>
          <w:szCs w:val="18"/>
          <w:color w:val="auto"/>
        </w:rPr>
      </w:pPr>
      <w:r>
        <w:rPr>
          <w:rFonts w:ascii="Arial" w:cs="Arial" w:eastAsia="Arial" w:hAnsi="Arial"/>
          <w:sz w:val="18"/>
          <w:szCs w:val="18"/>
          <w:color w:val="auto"/>
        </w:rPr>
        <w:t>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3" w:right="439" w:bottom="1440" w:gutter="0" w:footer="0" w:header="0"/>
        </w:sectPr>
      </w:pPr>
    </w:p>
    <w:bookmarkStart w:id="458" w:name="page459"/>
    <w:bookmarkEnd w:id="458"/>
    <w:p>
      <w:pPr>
        <w:ind w:right="6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date or, if there are no high bid and low asked prices for a share of Common Stock on such date, the high bid and low asked prices for a share of Common Stock on the last preceding date for which such information exists,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81" w:lineRule="exact"/>
        <w:rPr>
          <w:sz w:val="20"/>
          <w:szCs w:val="20"/>
          <w:color w:val="auto"/>
        </w:rPr>
      </w:pPr>
    </w:p>
    <w:p>
      <w:pPr>
        <w:ind w:right="580" w:firstLine="444"/>
        <w:spacing w:after="0" w:line="308" w:lineRule="auto"/>
        <w:tabs>
          <w:tab w:leader="none" w:pos="685"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i w:val="1"/>
          <w:iCs w:val="1"/>
          <w:color w:val="auto"/>
        </w:rPr>
        <w:t>Grant Date</w:t>
      </w:r>
      <w:r>
        <w:rPr>
          <w:rFonts w:ascii="Arial" w:cs="Arial" w:eastAsia="Arial" w:hAnsi="Arial"/>
          <w:sz w:val="18"/>
          <w:szCs w:val="18"/>
          <w:color w:val="auto"/>
        </w:rPr>
        <w:t>” means the first day of an Offering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i w:val="1"/>
          <w:iCs w:val="1"/>
          <w:color w:val="auto"/>
        </w:rPr>
        <w:t>New Exercise Date</w:t>
      </w:r>
      <w:r>
        <w:rPr>
          <w:rFonts w:ascii="Arial" w:cs="Arial" w:eastAsia="Arial" w:hAnsi="Arial"/>
          <w:sz w:val="18"/>
          <w:szCs w:val="18"/>
          <w:color w:val="auto"/>
        </w:rPr>
        <w:t>” has the meaning set forth in Section 5.2(b) hereof.</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2.19 “</w:t>
      </w:r>
      <w:r>
        <w:rPr>
          <w:rFonts w:ascii="Arial" w:cs="Arial" w:eastAsia="Arial" w:hAnsi="Arial"/>
          <w:sz w:val="16"/>
          <w:szCs w:val="16"/>
          <w:b w:val="1"/>
          <w:bCs w:val="1"/>
          <w:i w:val="1"/>
          <w:iCs w:val="1"/>
          <w:color w:val="auto"/>
        </w:rPr>
        <w:t>Non-Section 423 Component</w:t>
      </w:r>
      <w:r>
        <w:rPr>
          <w:rFonts w:ascii="Arial" w:cs="Arial" w:eastAsia="Arial" w:hAnsi="Arial"/>
          <w:sz w:val="16"/>
          <w:szCs w:val="16"/>
          <w:color w:val="auto"/>
        </w:rPr>
        <w:t>” means those Offerings under the Plan, together with the sub-plans, appendices, rules or procedures, if any, adopted by the Administrator as a part of this Plan, in each case, pursuant to which Options may be granted to non-U.S. Eligible Employees that need not satisfy the requirements for Options granted pursuant to an “employee stock purchase plan” that are set forth under Section 423 of the Code.</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an offer under the Plan of an Option that may be exercised during an Offering Period as further described in Section 4 hereof. Unless otherwise specified by the Administrator, each Offering to the Eligible Employees of the Company or a Designated Subsidiary shall be deemed a separate Offering, even if the dates and other terms of the applicable Exercise Periods of each such Offering are identical and the provisions of the Plan will separately apply to each Offering. To the extent permitted by Treas. Reg. § 1.423-2(a)(1), the terms of each separate Offering under the Section 423 Component need not be identical, provided that the terms of the Section 423 Component and an Offering thereunder together satisfy Treas. Reg. § 1.423-2(a)(2) and (a)(3).</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2.21 “</w:t>
      </w:r>
      <w:r>
        <w:rPr>
          <w:rFonts w:ascii="Arial" w:cs="Arial" w:eastAsia="Arial" w:hAnsi="Arial"/>
          <w:sz w:val="18"/>
          <w:szCs w:val="18"/>
          <w:b w:val="1"/>
          <w:bCs w:val="1"/>
          <w:i w:val="1"/>
          <w:iCs w:val="1"/>
          <w:color w:val="auto"/>
        </w:rPr>
        <w:t>Offering Period</w:t>
      </w:r>
      <w:r>
        <w:rPr>
          <w:rFonts w:ascii="Arial" w:cs="Arial" w:eastAsia="Arial" w:hAnsi="Arial"/>
          <w:sz w:val="18"/>
          <w:szCs w:val="18"/>
          <w:color w:val="auto"/>
        </w:rPr>
        <w:t>” means each consecutive, overlapping twenty-four (24) month period commencing on such date(s) as determined by the Board or Committee, in its sole discretion, and with respect to which Options shall be granted to Participants. The duration and timing of Offering Periods may be established or changed by the Board or Committee at any time, in its sole discretion. Notwithstanding the foregoing, in no event may an Offering Period exceed 27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means the right to purchase shares of Common Stock pursuant to the Plan during each Offering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i w:val="1"/>
          <w:iCs w:val="1"/>
          <w:color w:val="auto"/>
        </w:rPr>
        <w:t>Option Price</w:t>
      </w:r>
      <w:r>
        <w:rPr>
          <w:rFonts w:ascii="Arial" w:cs="Arial" w:eastAsia="Arial" w:hAnsi="Arial"/>
          <w:sz w:val="18"/>
          <w:szCs w:val="18"/>
          <w:color w:val="auto"/>
        </w:rPr>
        <w:t>” means the purchase price of a share of Common Stock hereunder as provided in Section 4.2 hereof.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2.24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means any entity that is a parent corporation of the Company within the meaning of Section 424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2.25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any Eligible Employee who elects to participate in the Plan.</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2.26 “</w:t>
      </w:r>
      <w:r>
        <w:rPr>
          <w:rFonts w:ascii="Arial" w:cs="Arial" w:eastAsia="Arial" w:hAnsi="Arial"/>
          <w:sz w:val="18"/>
          <w:szCs w:val="18"/>
          <w:b w:val="1"/>
          <w:bCs w:val="1"/>
          <w:i w:val="1"/>
          <w:iCs w:val="1"/>
          <w:color w:val="auto"/>
        </w:rPr>
        <w:t>Payday</w:t>
      </w:r>
      <w:r>
        <w:rPr>
          <w:rFonts w:ascii="Arial" w:cs="Arial" w:eastAsia="Arial" w:hAnsi="Arial"/>
          <w:sz w:val="18"/>
          <w:szCs w:val="18"/>
          <w:color w:val="auto"/>
        </w:rPr>
        <w:t>” means the regular and recurring established day for payment of Compensation to an Employee of the Company or any Designated Subsidiary.</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2020 Employee Stock Purchase Plan, including both the Section 423 Component and Non-Section 423 Component and any other sub-plans or appendices hereto, as amended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59" w:name="page460"/>
    <w:bookmarkEnd w:id="4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2.28 “</w:t>
      </w:r>
      <w:r>
        <w:rPr>
          <w:rFonts w:ascii="Arial" w:cs="Arial" w:eastAsia="Arial" w:hAnsi="Arial"/>
          <w:sz w:val="18"/>
          <w:szCs w:val="18"/>
          <w:b w:val="1"/>
          <w:bCs w:val="1"/>
          <w:i w:val="1"/>
          <w:iCs w:val="1"/>
          <w:color w:val="auto"/>
        </w:rPr>
        <w:t>Plan Account</w:t>
      </w:r>
      <w:r>
        <w:rPr>
          <w:rFonts w:ascii="Arial" w:cs="Arial" w:eastAsia="Arial" w:hAnsi="Arial"/>
          <w:sz w:val="18"/>
          <w:szCs w:val="18"/>
          <w:color w:val="auto"/>
        </w:rPr>
        <w:t>” means a bookkeeping account established and maintained by the Company in the name of each Participant.</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2.29 “</w:t>
      </w:r>
      <w:r>
        <w:rPr>
          <w:rFonts w:ascii="Arial" w:cs="Arial" w:eastAsia="Arial" w:hAnsi="Arial"/>
          <w:sz w:val="16"/>
          <w:szCs w:val="16"/>
          <w:b w:val="1"/>
          <w:bCs w:val="1"/>
          <w:i w:val="1"/>
          <w:iCs w:val="1"/>
          <w:color w:val="auto"/>
        </w:rPr>
        <w:t>Purchase Period</w:t>
      </w:r>
      <w:r>
        <w:rPr>
          <w:rFonts w:ascii="Arial" w:cs="Arial" w:eastAsia="Arial" w:hAnsi="Arial"/>
          <w:sz w:val="16"/>
          <w:szCs w:val="16"/>
          <w:color w:val="auto"/>
        </w:rPr>
        <w:t>” means each consecutive six (6) month period commencing on such date(s) as determined by the Board or Committee, in its sole discretion, within each Offering Period. The first Purchase Period of each Offering Period shall commence on the Grant Date and end with the next Exercise Date. The duration and timing of Purchase Periods may be established or changed by the Board or Committee at any time, in its sole discretion. Notwithstanding the foregoing, in no event may a Purchase Period exceed the duration of the Offering Period under which it is established.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2.31 “</w:t>
      </w:r>
      <w:r>
        <w:rPr>
          <w:rFonts w:ascii="Arial" w:cs="Arial" w:eastAsia="Arial" w:hAnsi="Arial"/>
          <w:sz w:val="16"/>
          <w:szCs w:val="16"/>
          <w:b w:val="1"/>
          <w:bCs w:val="1"/>
          <w:i w:val="1"/>
          <w:iCs w:val="1"/>
          <w:color w:val="auto"/>
        </w:rPr>
        <w:t>Section 423 Component</w:t>
      </w:r>
      <w:r>
        <w:rPr>
          <w:rFonts w:ascii="Arial" w:cs="Arial" w:eastAsia="Arial" w:hAnsi="Arial"/>
          <w:sz w:val="16"/>
          <w:szCs w:val="16"/>
          <w:color w:val="auto"/>
        </w:rPr>
        <w:t>” means those Offerings under the Plan that are intended to meet the requirements under Section 423(b) of the Code.</w:t>
      </w:r>
    </w:p>
    <w:p>
      <w:pPr>
        <w:spacing w:after="0" w:line="24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entity that is a subsidiary corporation of the Company within the meaning of Section 424 of the Code. In addition, with respect to the Non-Section 423 Component, Subsidiary shall include any corporate or noncorporate entity in which the Company has a direct or indirect equity interest or significant business relationship.</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2.33 “</w:t>
      </w:r>
      <w:r>
        <w:rPr>
          <w:rFonts w:ascii="Arial" w:cs="Arial" w:eastAsia="Arial" w:hAnsi="Arial"/>
          <w:sz w:val="18"/>
          <w:szCs w:val="18"/>
          <w:b w:val="1"/>
          <w:bCs w:val="1"/>
          <w:i w:val="1"/>
          <w:iCs w:val="1"/>
          <w:color w:val="auto"/>
        </w:rPr>
        <w:t>Treas. Reg.</w:t>
      </w:r>
      <w:r>
        <w:rPr>
          <w:rFonts w:ascii="Arial" w:cs="Arial" w:eastAsia="Arial" w:hAnsi="Arial"/>
          <w:sz w:val="18"/>
          <w:szCs w:val="18"/>
          <w:color w:val="auto"/>
        </w:rPr>
        <w:t>” means U.S. Department of the Treasury regulations.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2.34 “</w:t>
      </w:r>
      <w:r>
        <w:rPr>
          <w:rFonts w:ascii="Arial" w:cs="Arial" w:eastAsia="Arial" w:hAnsi="Arial"/>
          <w:sz w:val="18"/>
          <w:szCs w:val="18"/>
          <w:b w:val="1"/>
          <w:bCs w:val="1"/>
          <w:i w:val="1"/>
          <w:iCs w:val="1"/>
          <w:color w:val="auto"/>
        </w:rPr>
        <w:t>Withdrawal Election</w:t>
      </w:r>
      <w:r>
        <w:rPr>
          <w:rFonts w:ascii="Arial" w:cs="Arial" w:eastAsia="Arial" w:hAnsi="Arial"/>
          <w:sz w:val="18"/>
          <w:szCs w:val="18"/>
          <w:color w:val="auto"/>
        </w:rPr>
        <w:t>” has the meaning set forth in Section 6.1(a) hereof.</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PARTICIPATION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225" w:lineRule="exact"/>
        <w:rPr>
          <w:sz w:val="20"/>
          <w:szCs w:val="20"/>
          <w:color w:val="auto"/>
        </w:rPr>
      </w:pPr>
    </w:p>
    <w:p>
      <w:pPr>
        <w:ind w:right="60" w:firstLine="444"/>
        <w:spacing w:after="0" w:line="264" w:lineRule="auto"/>
        <w:tabs>
          <w:tab w:leader="none" w:pos="68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Eligible Employee who is employed by the Company or a Designated Subsidiary on a given Enrollment Date for an Offering Period shall be eligible to participate in the Plan during such Offering Period, subject to the requirements of Articles 4 and 5 hereof, and, for the Section 423 Component, the limitations imposed by Section 423(b) of the Code.</w:t>
      </w:r>
    </w:p>
    <w:p>
      <w:pPr>
        <w:spacing w:after="0" w:line="181" w:lineRule="exact"/>
        <w:rPr>
          <w:rFonts w:ascii="Arial" w:cs="Arial" w:eastAsia="Arial" w:hAnsi="Arial"/>
          <w:sz w:val="18"/>
          <w:szCs w:val="18"/>
          <w:color w:val="auto"/>
        </w:rPr>
      </w:pPr>
    </w:p>
    <w:p>
      <w:pPr>
        <w:ind w:right="140" w:firstLine="444"/>
        <w:spacing w:after="0" w:line="257" w:lineRule="auto"/>
        <w:tabs>
          <w:tab w:leader="none" w:pos="69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 Eligible Employee shall be granted an Option under the Section 423 Component which permits the Participant’s rights to purchase shares of Common Stock under the Plan, and to purchase stock under all other employee stock purchase plans of the Company, any Parent or any Subsidiary subject to Section 423 of the Code, to accrue at a rate which exceeds $25,000 of fair market value of such stock (determined at the time such Option is granted) for each calendar year in which such Option is outstanding at any time. The limitation under this Section 3.1(b) shall be applied in accordance with Section 423(b)(8) of the Code.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Election to Participate; Payroll Deductions</w:t>
      </w:r>
    </w:p>
    <w:p>
      <w:pPr>
        <w:spacing w:after="0" w:line="117" w:lineRule="exact"/>
        <w:rPr>
          <w:sz w:val="20"/>
          <w:szCs w:val="20"/>
          <w:color w:val="auto"/>
        </w:rPr>
      </w:pPr>
    </w:p>
    <w:p>
      <w:pPr>
        <w:ind w:right="40" w:firstLine="444"/>
        <w:spacing w:after="0" w:line="259" w:lineRule="auto"/>
        <w:tabs>
          <w:tab w:leader="none" w:pos="685" w:val="left"/>
        </w:tabs>
        <w:numPr>
          <w:ilvl w:val="0"/>
          <w:numId w:val="258"/>
        </w:numPr>
        <w:rPr>
          <w:rFonts w:ascii="Arial" w:cs="Arial" w:eastAsia="Arial" w:hAnsi="Arial"/>
          <w:sz w:val="18"/>
          <w:szCs w:val="18"/>
          <w:color w:val="auto"/>
        </w:rPr>
      </w:pPr>
      <w:r>
        <w:rPr>
          <w:rFonts w:ascii="Arial" w:cs="Arial" w:eastAsia="Arial" w:hAnsi="Arial"/>
          <w:sz w:val="18"/>
          <w:szCs w:val="18"/>
          <w:color w:val="auto"/>
        </w:rPr>
        <w:t>Except as provided in Sections 3.2(e) and 3.3 hereof, an Eligible Employee may become a Participant in the Plan only by means of payroll deduction. Each individual who is an Eligible Employee as of an Offering Period’s Enrollment Date may elect to participate in such Offering Period and the Plan by delivering to the Company a payroll deduction authorization no later than the period of time prior to the applicable Enrollment Date that is determined by the Administrator, in its sole discretion.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60" w:name="page461"/>
    <w:bookmarkEnd w:id="460"/>
    <w:p>
      <w:pPr>
        <w:ind w:firstLine="444"/>
        <w:spacing w:after="0" w:line="293" w:lineRule="auto"/>
        <w:tabs>
          <w:tab w:leader="none" w:pos="696" w:val="left"/>
        </w:tabs>
        <w:numPr>
          <w:ilvl w:val="0"/>
          <w:numId w:val="25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Section 3.1(b) hereof and except as may otherwise be determined by the Administrator, payroll deductions (i) shall equal at least 1% of the Participant’s Compensation as of each Payday of the Offering Period following the Enrollment Date, but not more than 15% of the Participant’s Compensation as of each Payday of the Offering Period following the Enrollment Date; and (ii) may be expressed either as (A) a whole number percentage, or (B) a fixed dollar amount. Amounts deducted from a Participant’s Compensation with respect to an Offering Period pursuant to this Section 3.2 shall be deducted each Payday through payroll deduction and credited to the Participant’s Plan Account; provided that for the first Offering Period under this Plan, payroll deductions shall not begin until such date determined by the Board or Committee, in its sole discretion.</w:t>
      </w:r>
    </w:p>
    <w:p>
      <w:pPr>
        <w:spacing w:after="0" w:line="164" w:lineRule="exact"/>
        <w:rPr>
          <w:rFonts w:ascii="Arial" w:cs="Arial" w:eastAsia="Arial" w:hAnsi="Arial"/>
          <w:sz w:val="16"/>
          <w:szCs w:val="16"/>
          <w:color w:val="auto"/>
        </w:rPr>
      </w:pPr>
    </w:p>
    <w:p>
      <w:pPr>
        <w:ind w:right="340" w:firstLine="444"/>
        <w:spacing w:after="0" w:line="264" w:lineRule="auto"/>
        <w:tabs>
          <w:tab w:leader="none" w:pos="68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Following at least one payroll deduction, a Participant may decrease (to as low as zero) the amount deducted from such Participant’s Compensation only once during an Offering Period upon ten calendar days’ prior written notice to the Company. A Participant may not increase the amount deducted from such Participant’s Compensation during an Offering Period.</w:t>
      </w:r>
    </w:p>
    <w:p>
      <w:pPr>
        <w:spacing w:after="0" w:line="181" w:lineRule="exact"/>
        <w:rPr>
          <w:rFonts w:ascii="Arial" w:cs="Arial" w:eastAsia="Arial" w:hAnsi="Arial"/>
          <w:sz w:val="18"/>
          <w:szCs w:val="18"/>
          <w:color w:val="auto"/>
        </w:rPr>
      </w:pPr>
    </w:p>
    <w:p>
      <w:pPr>
        <w:ind w:right="120" w:firstLine="444"/>
        <w:spacing w:after="0" w:line="259" w:lineRule="auto"/>
        <w:tabs>
          <w:tab w:leader="none" w:pos="696" w:val="left"/>
        </w:tabs>
        <w:numPr>
          <w:ilvl w:val="0"/>
          <w:numId w:val="259"/>
        </w:numPr>
        <w:rPr>
          <w:rFonts w:ascii="Arial" w:cs="Arial" w:eastAsia="Arial" w:hAnsi="Arial"/>
          <w:sz w:val="18"/>
          <w:szCs w:val="18"/>
          <w:color w:val="auto"/>
        </w:rPr>
      </w:pPr>
      <w:r>
        <w:rPr>
          <w:rFonts w:ascii="Arial" w:cs="Arial" w:eastAsia="Arial" w:hAnsi="Arial"/>
          <w:sz w:val="18"/>
          <w:szCs w:val="18"/>
          <w:color w:val="auto"/>
        </w:rPr>
        <w:t>Upon the completion of an Offering Period, each Participant in such Offering Period shall automatically participate in the immediately following Offering Period at the same payroll deduction percentage or fixed amount as in effect at the termination of such Offering Period, unless such Participant delivers to the Company a different election with respect to the successive Offering Period in accordance with Section 3.2(a) hereof, or unless such Participant becomes ineligible for participation in the Plan.</w:t>
      </w:r>
    </w:p>
    <w:p>
      <w:pPr>
        <w:spacing w:after="0" w:line="186" w:lineRule="exact"/>
        <w:rPr>
          <w:rFonts w:ascii="Arial" w:cs="Arial" w:eastAsia="Arial" w:hAnsi="Arial"/>
          <w:sz w:val="18"/>
          <w:szCs w:val="18"/>
          <w:color w:val="auto"/>
        </w:rPr>
      </w:pPr>
    </w:p>
    <w:p>
      <w:pPr>
        <w:ind w:firstLine="444"/>
        <w:spacing w:after="0" w:line="257" w:lineRule="auto"/>
        <w:tabs>
          <w:tab w:leader="none" w:pos="68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must determine that any alternative method of contribution is applied on an equal and uniform basis to all Eligible Employees in the Offering.</w:t>
      </w:r>
    </w:p>
    <w:p>
      <w:pPr>
        <w:spacing w:after="0" w:line="188"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Leave of Absence</w:t>
      </w:r>
      <w:r>
        <w:rPr>
          <w:rFonts w:ascii="Arial" w:cs="Arial" w:eastAsia="Arial" w:hAnsi="Arial"/>
          <w:sz w:val="18"/>
          <w:szCs w:val="18"/>
          <w:color w:val="auto"/>
        </w:rPr>
        <w:t>. During leaves of absence approved by the Company meeting the requirements of Treas. Reg. § 1.421-1(h)(2), a Participant may continue participation in the Plan by making cash payments to the Company on the Participant’s normal payday equal to the Participant’s authorized payroll deduction.</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PURCHASE OF SHARES</w:t>
      </w:r>
    </w:p>
    <w:p>
      <w:pPr>
        <w:spacing w:after="0" w:line="21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Grant of Option</w:t>
      </w:r>
      <w:r>
        <w:rPr>
          <w:rFonts w:ascii="Arial" w:cs="Arial" w:eastAsia="Arial" w:hAnsi="Arial"/>
          <w:sz w:val="17"/>
          <w:szCs w:val="17"/>
          <w:color w:val="auto"/>
        </w:rPr>
        <w:t xml:space="preserve">. The Company may make one or more Offerings under the Plan, which may be successive or overlapping with one another, until the earlier of: (i) the date on which the Shares available under the Plan have been sold or (ii) the date on which the Plan is suspended or terminates. The Administrator shall designate the terms and conditions of each Offering in writing, including without limitation, the Offering Period and the Purchase Periods. Each Participant shall be granted an Option with respect to an Offering Period on the applicable Grant Date. Subject to the limitations of Section 3.1(b) hereof, the number of shares of Common Stock subject to a Participant’s Option shall be determined by dividing (a) such Participant’s payroll deductions accumulated prior to an Exercise Date and retained in the Participant’s Plan Account on such Exercise Date by (b) the applicable Option Price;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a Participant be permitted to purchase during each Offering Period more than 100,000 shares of Common Stock (subject to any adjustment pursuant to Section 5.2 hereof). The Administrator may, for future Offering Periods, increase or decrease, in its absolute discretion, the maximum number of shares of Common Stock that a Participant may purchase during such future Offering Periods. Each Option shall expire on the last Exercise Date for the applicable Offering Period immediately after the automatic exercise of the Option in accordance with Section 4.3 hereof, unless such Option terminates earlier in accordance with Article 6 hereof.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461" w:name="page462"/>
    <w:bookmarkEnd w:id="461"/>
    <w:p>
      <w:pPr>
        <w:ind w:right="2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4.2 </w:t>
      </w:r>
      <w:r>
        <w:rPr>
          <w:rFonts w:ascii="Arial" w:cs="Arial" w:eastAsia="Arial" w:hAnsi="Arial"/>
          <w:sz w:val="16"/>
          <w:szCs w:val="16"/>
          <w:u w:val="single" w:color="auto"/>
          <w:color w:val="auto"/>
        </w:rPr>
        <w:t>Option Price</w:t>
      </w:r>
      <w:r>
        <w:rPr>
          <w:rFonts w:ascii="Arial" w:cs="Arial" w:eastAsia="Arial" w:hAnsi="Arial"/>
          <w:sz w:val="16"/>
          <w:szCs w:val="16"/>
          <w:color w:val="auto"/>
        </w:rPr>
        <w:t>. The “</w:t>
      </w:r>
      <w:r>
        <w:rPr>
          <w:rFonts w:ascii="Arial" w:cs="Arial" w:eastAsia="Arial" w:hAnsi="Arial"/>
          <w:sz w:val="16"/>
          <w:szCs w:val="16"/>
          <w:b w:val="1"/>
          <w:bCs w:val="1"/>
          <w:i w:val="1"/>
          <w:iCs w:val="1"/>
          <w:color w:val="auto"/>
        </w:rPr>
        <w:t>Option Price</w:t>
      </w:r>
      <w:r>
        <w:rPr>
          <w:rFonts w:ascii="Arial" w:cs="Arial" w:eastAsia="Arial" w:hAnsi="Arial"/>
          <w:sz w:val="16"/>
          <w:szCs w:val="16"/>
          <w:color w:val="auto"/>
        </w:rPr>
        <w:t>” per share of Common Stock to be paid by a Participant upon exercise of the Participant’s Option on an Exercise Date for an Offering Period shall equal 85% of the lesser of the Fair Market Value of a share of Common Stock on (a) the applicable Grant Date and</w:t>
      </w:r>
    </w:p>
    <w:p>
      <w:pPr>
        <w:ind w:right="520" w:firstLine="4"/>
        <w:spacing w:after="0" w:line="261" w:lineRule="auto"/>
        <w:tabs>
          <w:tab w:leader="none" w:pos="25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the applicable Exercise Date, or such other price designated by the Administrator;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Option Price per share of Common Stock be less than the par value per share of the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Purchase of Shares</w:t>
      </w:r>
      <w:r>
        <w:rPr>
          <w:rFonts w:ascii="Arial" w:cs="Arial" w:eastAsia="Arial" w:hAnsi="Arial"/>
          <w:sz w:val="18"/>
          <w:szCs w:val="18"/>
          <w:color w:val="auto"/>
        </w:rPr>
        <w:t>.</w:t>
      </w:r>
    </w:p>
    <w:p>
      <w:pPr>
        <w:spacing w:after="0" w:line="225" w:lineRule="exact"/>
        <w:rPr>
          <w:sz w:val="20"/>
          <w:szCs w:val="20"/>
          <w:color w:val="auto"/>
        </w:rPr>
      </w:pPr>
    </w:p>
    <w:p>
      <w:pPr>
        <w:ind w:firstLine="444"/>
        <w:spacing w:after="0" w:line="271" w:lineRule="auto"/>
        <w:tabs>
          <w:tab w:leader="none" w:pos="685" w:val="left"/>
        </w:tabs>
        <w:numPr>
          <w:ilvl w:val="1"/>
          <w:numId w:val="261"/>
        </w:numPr>
        <w:rPr>
          <w:rFonts w:ascii="Arial" w:cs="Arial" w:eastAsia="Arial" w:hAnsi="Arial"/>
          <w:sz w:val="17"/>
          <w:szCs w:val="17"/>
          <w:color w:val="auto"/>
        </w:rPr>
      </w:pPr>
      <w:r>
        <w:rPr>
          <w:rFonts w:ascii="Arial" w:cs="Arial" w:eastAsia="Arial" w:hAnsi="Arial"/>
          <w:sz w:val="17"/>
          <w:szCs w:val="17"/>
          <w:color w:val="auto"/>
        </w:rPr>
        <w:t>On each Exercise Date for an Offering Period, each Participant shall automatically and without any action on such Participant’s part be deemed to have exercised the Participant’s Option to purchase at the applicable per share Option Price the largest number of whole shares of Common Stock which can be purchased with the amount in the Participant’s Plan Account. Any balance less than the per share Option Price that is remaining in the Participant’s Plan Account (after exercise of such Participant’s Option) as of the Exercise Date shall be carried forward to the next Purchase Period or Offering Period, unless the Participant has elected to withdraw from the Plan pursuant to Section 6.1 hereof or, pursuant to Section 6.2 hereof, such Participant has ceased to be an Eligible Employee. Any balance not carried forward to the next Purchase Period or Offering Period in accordance with the prior sentence promptly shall be refunded to the applicable Participant. In no event shall an amount greater than or equal to the per share Option Price as of an Exercise Date be carried forward to the next Purchase Period or Offering Period.</w:t>
      </w:r>
    </w:p>
    <w:p>
      <w:pPr>
        <w:spacing w:after="0" w:line="178" w:lineRule="exact"/>
        <w:rPr>
          <w:rFonts w:ascii="Arial" w:cs="Arial" w:eastAsia="Arial" w:hAnsi="Arial"/>
          <w:sz w:val="17"/>
          <w:szCs w:val="17"/>
          <w:color w:val="auto"/>
        </w:rPr>
      </w:pPr>
    </w:p>
    <w:p>
      <w:pPr>
        <w:ind w:right="200" w:firstLine="444"/>
        <w:spacing w:after="0" w:line="291" w:lineRule="auto"/>
        <w:tabs>
          <w:tab w:leader="none" w:pos="696" w:val="left"/>
        </w:tabs>
        <w:numPr>
          <w:ilvl w:val="1"/>
          <w:numId w:val="261"/>
        </w:numPr>
        <w:rPr>
          <w:rFonts w:ascii="Arial" w:cs="Arial" w:eastAsia="Arial" w:hAnsi="Arial"/>
          <w:sz w:val="16"/>
          <w:szCs w:val="16"/>
          <w:color w:val="auto"/>
        </w:rPr>
      </w:pPr>
      <w:r>
        <w:rPr>
          <w:rFonts w:ascii="Arial" w:cs="Arial" w:eastAsia="Arial" w:hAnsi="Arial"/>
          <w:sz w:val="16"/>
          <w:szCs w:val="16"/>
          <w:color w:val="auto"/>
        </w:rPr>
        <w:t>As soon as practicable following each Exercise Date, the number of shares of Common Stock purchased by such Participant pursuant to Section 4.3(a) hereof shall be delivered (either in share certificate or book entry form), in the Company’s sole discretion, to either (i) the Participant or</w:t>
      </w:r>
    </w:p>
    <w:p>
      <w:pPr>
        <w:ind w:right="120" w:firstLine="4"/>
        <w:spacing w:after="0" w:line="253" w:lineRule="auto"/>
        <w:tabs>
          <w:tab w:leader="none" w:pos="26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 account established in the Participant’s name at a stock brokerage or other financial services firm designated by the Company. If the Company is required to obtain from any commission or agency authority to issue any such shares of Common Stock, the Company shall seek to obtain such authority. Inability of the Company to obtain from any such commission or agency authority which counsel for the Company deems necessary for the lawful issuance of any such shares shall relieve the Company from liability to any Participant except to refund to the Participant such Participant’s Plan Account balance, without interest thereon.</w:t>
      </w:r>
    </w:p>
    <w:p>
      <w:pPr>
        <w:spacing w:after="0" w:line="19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Automatic Termination of Offering Period</w:t>
      </w:r>
      <w:r>
        <w:rPr>
          <w:rFonts w:ascii="Arial" w:cs="Arial" w:eastAsia="Arial" w:hAnsi="Arial"/>
          <w:sz w:val="17"/>
          <w:szCs w:val="17"/>
          <w:color w:val="auto"/>
        </w:rPr>
        <w:t>. If the Fair Market Value of a share of Common Stock on any Exercise Date (except the final scheduled Exercise Date of any Offering Period) is lower than the Fair Market Value of a share of Common Stock on the Grant Date for an Offering Period, then such Offering Period shall terminate on such Exercise Date after the automatic exercise of the Option in accordance with Section 4.3 hereof, and each Participant shall automatically be enrolled in the Offering Period that commences immediately following such Exercise Date and such Participant’s payroll deduction authorization shall remain in effect for such Offering Period.</w:t>
      </w:r>
    </w:p>
    <w:p>
      <w:pPr>
        <w:spacing w:after="0" w:line="17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Transferability of Rights</w:t>
      </w:r>
      <w:r>
        <w:rPr>
          <w:rFonts w:ascii="Arial" w:cs="Arial" w:eastAsia="Arial" w:hAnsi="Arial"/>
          <w:sz w:val="18"/>
          <w:szCs w:val="18"/>
          <w:color w:val="auto"/>
        </w:rPr>
        <w:t>. An Option granted under the Plan shall not be transferable, other than by will or the applicable laws of descent and distribution, and is exercisable during the Participant’s lifetime only by the Participant. No option or interest or right to the Option shall be available to pay off any debts, contracts or engagements of the Participant or the Participant’s successors in interest or shall be subject to disposition by pledge, encumbrance, assignment or any other means whether such disposition be voluntary or involuntary or by operation of law by judgment, levy, attachment, garnishment or any other legal or equitable proceedings (including bankruptcy), and any attempt at disposition of the Option shall have no effect.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462" w:name="page463"/>
    <w:bookmarkEnd w:id="4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5</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PROVISIONS RELATING TO COMMON STOCK</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Common Stock Reserved</w:t>
      </w:r>
      <w:r>
        <w:rPr>
          <w:rFonts w:ascii="Arial" w:cs="Arial" w:eastAsia="Arial" w:hAnsi="Arial"/>
          <w:sz w:val="18"/>
          <w:szCs w:val="18"/>
          <w:color w:val="auto"/>
        </w:rPr>
        <w:t xml:space="preserve">. Subject to adjustment as provided in Section 5.2 hereof, the maximum number of shares of Common Stock that shall be made available for sale under the Plan shall be the sum of (a) 528,959 shares and (b) an annual increase on the first day of each year beginning in 2021 and ending in 2030 equal to the lesser of (i) 1% of the shares outstanding (on an as converted basis) on the last day of the immediately preceding fiscal year and (ii) such number of shares as may be determined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no more than 7,564,123 shares may be issued under the Plan. Shares made available for sale under the Plan may be authorized but unissued shares, treasury shares of Common Stock, or reacquired shares reserved for issuance under the Plan.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Adjustments Upon Changes in Capitalization, Dissolution, Liquidation, Merger or Asset Sale</w:t>
      </w:r>
      <w:r>
        <w:rPr>
          <w:rFonts w:ascii="Arial" w:cs="Arial" w:eastAsia="Arial" w:hAnsi="Arial"/>
          <w:sz w:val="18"/>
          <w:szCs w:val="18"/>
          <w:color w:val="auto"/>
        </w:rPr>
        <w:t>.</w:t>
      </w:r>
    </w:p>
    <w:p>
      <w:pPr>
        <w:spacing w:after="0" w:line="225" w:lineRule="exact"/>
        <w:rPr>
          <w:sz w:val="20"/>
          <w:szCs w:val="20"/>
          <w:color w:val="auto"/>
        </w:rPr>
      </w:pPr>
    </w:p>
    <w:p>
      <w:pPr>
        <w:ind w:firstLine="444"/>
        <w:spacing w:after="0" w:line="289" w:lineRule="auto"/>
        <w:tabs>
          <w:tab w:leader="none" w:pos="685" w:val="left"/>
        </w:tabs>
        <w:numPr>
          <w:ilvl w:val="0"/>
          <w:numId w:val="263"/>
        </w:numPr>
        <w:rPr>
          <w:rFonts w:ascii="Arial" w:cs="Arial" w:eastAsia="Arial" w:hAnsi="Arial"/>
          <w:sz w:val="16"/>
          <w:szCs w:val="16"/>
          <w:color w:val="auto"/>
        </w:rPr>
      </w:pPr>
      <w:r>
        <w:rPr>
          <w:rFonts w:ascii="Arial" w:cs="Arial" w:eastAsia="Arial" w:hAnsi="Arial"/>
          <w:sz w:val="16"/>
          <w:szCs w:val="16"/>
          <w:u w:val="single" w:color="auto"/>
          <w:color w:val="auto"/>
        </w:rPr>
        <w:t>Changes in Capitalization</w:t>
      </w:r>
      <w:r>
        <w:rPr>
          <w:rFonts w:ascii="Arial" w:cs="Arial" w:eastAsia="Arial" w:hAnsi="Arial"/>
          <w:sz w:val="16"/>
          <w:szCs w:val="16"/>
          <w:color w:val="auto"/>
        </w:rPr>
        <w:t xml:space="preserve">. Subject to any required action by the stockholders of the Company, the number of shares of Common Stock which have been authorized for issuance under the Plan but not yet placed under Option, as well as the price per share and the number of shares of Common Stock covered by each Option under the Plan which has not yet been exercised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conversion of any convertible securities of the Company shall not be deemed to have been “effected without receipt of</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Such adjustment shall be made by the Administrator, whose determination in that respect shall be final, binding and conclusive. Except as expressly provided herein, no issuance by the Company of shares of stock of any class, or securities convertible into shares of stock of any class, shall affect, and no adjustment by reason thereof shall be made with respect to, the number or price of shares of Common Stock subject to an Option.</w:t>
      </w:r>
    </w:p>
    <w:p>
      <w:pPr>
        <w:spacing w:after="0" w:line="166" w:lineRule="exact"/>
        <w:rPr>
          <w:rFonts w:ascii="Arial" w:cs="Arial" w:eastAsia="Arial" w:hAnsi="Arial"/>
          <w:sz w:val="16"/>
          <w:szCs w:val="16"/>
          <w:color w:val="auto"/>
        </w:rPr>
      </w:pPr>
    </w:p>
    <w:p>
      <w:pPr>
        <w:ind w:right="60" w:firstLine="444"/>
        <w:spacing w:after="0" w:line="272" w:lineRule="auto"/>
        <w:tabs>
          <w:tab w:leader="none" w:pos="695"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Dissolution or Liquidation</w:t>
      </w:r>
      <w:r>
        <w:rPr>
          <w:rFonts w:ascii="Arial" w:cs="Arial" w:eastAsia="Arial" w:hAnsi="Arial"/>
          <w:sz w:val="17"/>
          <w:szCs w:val="17"/>
          <w:color w:val="auto"/>
        </w:rPr>
        <w:t>. In the event of the proposed dissolution or liquidation of the Company, the Offering Periods then in progress shall be shortened by setting a new Exercise Date (the “</w:t>
      </w:r>
      <w:r>
        <w:rPr>
          <w:rFonts w:ascii="Arial" w:cs="Arial" w:eastAsia="Arial" w:hAnsi="Arial"/>
          <w:sz w:val="17"/>
          <w:szCs w:val="17"/>
          <w:b w:val="1"/>
          <w:bCs w:val="1"/>
          <w:i w:val="1"/>
          <w:iCs w:val="1"/>
          <w:color w:val="auto"/>
        </w:rPr>
        <w:t>New Exercise Date</w:t>
      </w:r>
      <w:r>
        <w:rPr>
          <w:rFonts w:ascii="Arial" w:cs="Arial" w:eastAsia="Arial" w:hAnsi="Arial"/>
          <w:sz w:val="17"/>
          <w:szCs w:val="17"/>
          <w:color w:val="auto"/>
        </w:rPr>
        <w:t>”), and shall terminate immediately prior to the consummation of such proposed dissolution or liquidation, unless provided otherwise by the Administrator. The New Exercise Date shall be before the date of the Company’s proposed dissolution or liquidation. The Administrator shall notify each Participant in writing, at least ten business days prior to the New Exercise Date, that the Exercise Date for 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77" w:lineRule="exact"/>
        <w:rPr>
          <w:rFonts w:ascii="Arial" w:cs="Arial" w:eastAsia="Arial" w:hAnsi="Arial"/>
          <w:sz w:val="17"/>
          <w:szCs w:val="17"/>
          <w:color w:val="auto"/>
        </w:rPr>
      </w:pPr>
    </w:p>
    <w:p>
      <w:pPr>
        <w:ind w:right="80" w:firstLine="444"/>
        <w:spacing w:after="0" w:line="273" w:lineRule="auto"/>
        <w:tabs>
          <w:tab w:leader="none" w:pos="685" w:val="left"/>
        </w:tabs>
        <w:numPr>
          <w:ilvl w:val="0"/>
          <w:numId w:val="263"/>
        </w:numPr>
        <w:rPr>
          <w:rFonts w:ascii="Arial" w:cs="Arial" w:eastAsia="Arial" w:hAnsi="Arial"/>
          <w:sz w:val="17"/>
          <w:szCs w:val="17"/>
          <w:color w:val="auto"/>
        </w:rPr>
      </w:pPr>
      <w:r>
        <w:rPr>
          <w:rFonts w:ascii="Arial" w:cs="Arial" w:eastAsia="Arial" w:hAnsi="Arial"/>
          <w:sz w:val="17"/>
          <w:szCs w:val="17"/>
          <w:u w:val="single" w:color="auto"/>
          <w:color w:val="auto"/>
        </w:rPr>
        <w:t>Merger or Asset Sale</w:t>
      </w:r>
      <w:r>
        <w:rPr>
          <w:rFonts w:ascii="Arial" w:cs="Arial" w:eastAsia="Arial" w:hAnsi="Arial"/>
          <w:sz w:val="17"/>
          <w:szCs w:val="17"/>
          <w:color w:val="auto"/>
        </w:rPr>
        <w:t>. In the event of a proposed sale of all or substantially all of the assets of the Company, or the merger of the Company with or into another corporation, each outstanding Option shall be assumed or an equivalent Option substituted by the successor corporation or a Parent or Subsidiary of the successor corporation. If the successor corporation refuses to assume or substitute for the Option, any Offering Periods then in progress shall be shortened by setting a New Exercise Date and any Offering Periods then in progress shall end on the New Exercise Date. The New Exercise Date shall be before the date of the Company’s proposed sale or merger. The Administrator shall notify each Participant in writing, at least ten business days prior to the New Exercise Date, that the Exercise Date for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69" w:right="459" w:bottom="1440" w:gutter="0" w:footer="0" w:header="0"/>
        </w:sectPr>
      </w:pPr>
    </w:p>
    <w:bookmarkStart w:id="463" w:name="page464"/>
    <w:bookmarkEnd w:id="463"/>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Participant’s Option has been changed to the New Exercise Date and that the Participant’s Option shall be exercised automatically on the New Exercise Date, unless prior to such date the Participant has withdrawn from the Offering Period as provided in Section 6.1 hereof or the Participant has ceased to be an Eligible Employee as provided in Section 6.2 hereof.</w:t>
      </w:r>
    </w:p>
    <w:p>
      <w:pPr>
        <w:spacing w:after="0" w:line="18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Insufficient Shares</w:t>
      </w:r>
      <w:r>
        <w:rPr>
          <w:rFonts w:ascii="Arial" w:cs="Arial" w:eastAsia="Arial" w:hAnsi="Arial"/>
          <w:sz w:val="17"/>
          <w:szCs w:val="17"/>
          <w:color w:val="auto"/>
        </w:rPr>
        <w:t>. If the Administrator determines that, on a given Exercise Date, the number of shares of Common Stock with respect to which Options are to be exercised may exceed the number of shares of Common Stock remaining available for sale under the Plan on such Exercise Date, the Administrator shall make a pro rata allocation of the shares of Common Stock available for issuance on such Exercise Date in as uniform a manner as shall be practicable and as it shall determine in its sole discretion to be equitable among all Participants exercising Options to purchase Common Stock on such Exercise Date, and unless additional shares are authorized for issuance under the Plan, no further Offering Periods shall take place and the Plan shall terminate pursuant to Section 7.5 hereof. If an Offering Period is so terminated, then the balance of the amount credited to the Participant’s Plan Account which has not been applied to the purchase of shares of Common Stock shall be paid to such Participant in one lump sum in cash within 30 days after such Exercise Date, without any interest thereon.</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Rights as Stockholders</w:t>
      </w:r>
      <w:r>
        <w:rPr>
          <w:rFonts w:ascii="Arial" w:cs="Arial" w:eastAsia="Arial" w:hAnsi="Arial"/>
          <w:sz w:val="18"/>
          <w:szCs w:val="18"/>
          <w:color w:val="auto"/>
        </w:rPr>
        <w:t>. With respect to shares of Common Stock subject to an Option, a Participant shall not be deemed to be a stockholder of the Company and shall not have any of the rights or privileges of a stockholder. A Participant shall have the rights and privileges of a stockholder of the Company when, but not until, shares of Common Stock have been deposited in the designated brokerage account following exercise of the Participant’s Option.</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TERMINATION OF PARTICIPATION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Cessation of Contributions; Voluntary Withdrawal</w:t>
      </w:r>
      <w:r>
        <w:rPr>
          <w:rFonts w:ascii="Arial" w:cs="Arial" w:eastAsia="Arial" w:hAnsi="Arial"/>
          <w:sz w:val="18"/>
          <w:szCs w:val="18"/>
          <w:color w:val="auto"/>
        </w:rPr>
        <w:t>.</w:t>
      </w:r>
    </w:p>
    <w:p>
      <w:pPr>
        <w:spacing w:after="0" w:line="225" w:lineRule="exact"/>
        <w:rPr>
          <w:sz w:val="20"/>
          <w:szCs w:val="20"/>
          <w:color w:val="auto"/>
        </w:rPr>
      </w:pPr>
    </w:p>
    <w:p>
      <w:pPr>
        <w:ind w:right="20" w:firstLine="444"/>
        <w:spacing w:after="0" w:line="284" w:lineRule="auto"/>
        <w:tabs>
          <w:tab w:leader="none" w:pos="685" w:val="left"/>
        </w:tabs>
        <w:numPr>
          <w:ilvl w:val="1"/>
          <w:numId w:val="264"/>
        </w:numPr>
        <w:rPr>
          <w:rFonts w:ascii="Arial" w:cs="Arial" w:eastAsia="Arial" w:hAnsi="Arial"/>
          <w:sz w:val="16"/>
          <w:szCs w:val="16"/>
          <w:color w:val="auto"/>
        </w:rPr>
      </w:pPr>
      <w:r>
        <w:rPr>
          <w:rFonts w:ascii="Arial" w:cs="Arial" w:eastAsia="Arial" w:hAnsi="Arial"/>
          <w:sz w:val="16"/>
          <w:szCs w:val="16"/>
          <w:color w:val="auto"/>
        </w:rPr>
        <w:t>A Participant may cease payroll deductions during an Offering Period and elect to withdraw from the Plan by delivering written notice of such election to the Company in such form and at such time prior to the Exercise Date for such Offering Period as may be established by the Administrator (a “</w:t>
      </w:r>
      <w:r>
        <w:rPr>
          <w:rFonts w:ascii="Arial" w:cs="Arial" w:eastAsia="Arial" w:hAnsi="Arial"/>
          <w:sz w:val="16"/>
          <w:szCs w:val="16"/>
          <w:b w:val="1"/>
          <w:bCs w:val="1"/>
          <w:i w:val="1"/>
          <w:iCs w:val="1"/>
          <w:color w:val="auto"/>
        </w:rPr>
        <w:t>Withdrawal Election</w:t>
      </w:r>
      <w:r>
        <w:rPr>
          <w:rFonts w:ascii="Arial" w:cs="Arial" w:eastAsia="Arial" w:hAnsi="Arial"/>
          <w:sz w:val="16"/>
          <w:szCs w:val="16"/>
          <w:color w:val="auto"/>
        </w:rPr>
        <w:t>”). A Participant electing to withdraw from the Plan may elect to either (i) withdraw all of the funds then credited to the Participant’s Plan Account as of the date on which the Withdrawal Election is received by the Company, in which case amounts credited to such Plan Account shall be returned to the Participant in one lump-sum payment in cash within 30 days after such election is received by the Company, without any interest thereon, and the Participant shall cease to participate in the Plan and the Participant’s Option for such Offering Period shall terminate; or</w:t>
      </w:r>
    </w:p>
    <w:p>
      <w:pPr>
        <w:spacing w:after="0" w:line="4" w:lineRule="exact"/>
        <w:rPr>
          <w:rFonts w:ascii="Arial" w:cs="Arial" w:eastAsia="Arial" w:hAnsi="Arial"/>
          <w:sz w:val="16"/>
          <w:szCs w:val="16"/>
          <w:color w:val="auto"/>
        </w:rPr>
      </w:pPr>
    </w:p>
    <w:p>
      <w:pPr>
        <w:ind w:right="120" w:firstLine="4"/>
        <w:spacing w:after="0" w:line="254" w:lineRule="auto"/>
        <w:tabs>
          <w:tab w:leader="none" w:pos="26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exercise the Option for the maximum number of whole shares of Common Stock on the applicable Exercise Date with any remaining Plan Account balance returned to the Participant in one lump-sum payment in cash within 30 days after such Exercise Date, without any interest thereon, and after such exercise cease to participate in the Plan. Upon receipt of a Withdrawal Election, the Participant’s payroll deduction authorization and the Participant’s Option shall terminate.</w:t>
      </w:r>
    </w:p>
    <w:p>
      <w:pPr>
        <w:spacing w:after="0" w:line="189" w:lineRule="exact"/>
        <w:rPr>
          <w:rFonts w:ascii="Arial" w:cs="Arial" w:eastAsia="Arial" w:hAnsi="Arial"/>
          <w:sz w:val="18"/>
          <w:szCs w:val="18"/>
          <w:color w:val="auto"/>
        </w:rPr>
      </w:pPr>
    </w:p>
    <w:p>
      <w:pPr>
        <w:ind w:right="120" w:firstLine="444"/>
        <w:spacing w:after="0" w:line="264" w:lineRule="auto"/>
        <w:tabs>
          <w:tab w:leader="none" w:pos="696"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 Participant’s withdrawal from the Plan shall not have any effect upon the Participant’s eligibility to participate in any similar plan which may hereafter be adopted by the Company or in succeeding Offering Periods which commence after the termination of the Offering Period from which the Participant withdraws.</w:t>
      </w:r>
    </w:p>
    <w:p>
      <w:pPr>
        <w:spacing w:after="0" w:line="181" w:lineRule="exact"/>
        <w:rPr>
          <w:rFonts w:ascii="Arial" w:cs="Arial" w:eastAsia="Arial" w:hAnsi="Arial"/>
          <w:sz w:val="18"/>
          <w:szCs w:val="18"/>
          <w:color w:val="auto"/>
        </w:rPr>
      </w:pPr>
    </w:p>
    <w:p>
      <w:pPr>
        <w:ind w:firstLine="444"/>
        <w:spacing w:after="0" w:line="277" w:lineRule="auto"/>
        <w:tabs>
          <w:tab w:leader="none" w:pos="685"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 Participant who ceases contributions to the Plan during any Offering Period shall not be permitted to resume contributions to the Plan during that Offering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3" w:right="459" w:bottom="1440" w:gutter="0" w:footer="0" w:header="0"/>
        </w:sectPr>
      </w:pPr>
    </w:p>
    <w:bookmarkStart w:id="464" w:name="page465"/>
    <w:bookmarkEnd w:id="46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6.2 </w:t>
      </w:r>
      <w:r>
        <w:rPr>
          <w:rFonts w:ascii="Arial" w:cs="Arial" w:eastAsia="Arial" w:hAnsi="Arial"/>
          <w:sz w:val="17"/>
          <w:szCs w:val="17"/>
          <w:u w:val="single" w:color="auto"/>
          <w:color w:val="auto"/>
        </w:rPr>
        <w:t>Termination of Eligibility</w:t>
      </w:r>
      <w:r>
        <w:rPr>
          <w:rFonts w:ascii="Arial" w:cs="Arial" w:eastAsia="Arial" w:hAnsi="Arial"/>
          <w:sz w:val="17"/>
          <w:szCs w:val="17"/>
          <w:color w:val="auto"/>
        </w:rPr>
        <w:t>. Upon a Participant’s ceasing to be an Eligible Employee, for any reason, such Participant’s Option for the applicable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Offering Period shall automatically terminate, the Participant shall be deemed to have elected to withdraw from the Plan, and such Participant’s Plan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 shall be paid to such Participant or, in the case of the Participant’s death, to the person or persons entitled thereto pursuant to applicable law,</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within 30 days after such cessation of being an Eligible Employee, without any interest thereon. If a Participant transfers employment from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or any Designated Subsidiary participating in the Section 423 Component to any Designated Subsidiary participating in the Non-Section 423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Component, such transfer shall not be treated as a termination of employment, but the Participant shall immediately cease to participate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423 Component; however, any contributions made for the Offering Period in which such transfer occurs shall be transferred to the Non-Section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423 Component, and such Participant shall immediately join the then-current Offering under the Non-Section 423 Component upon the same terms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conditions in effect for the Participant’s participation in the Section 423 Component, except for such modifications otherwise applicable for Participants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such Offering. A Participant who transfers employment from any Designated Subsidiary participating in the Non-Section 423 Component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or any Designated Subsidiary participating in the Section 423 Component shall not be treated as terminating the Participant’s employment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remain a Participant in the Non-Section 423 Component until the earlier of (i) the end of the current Offering Period under the Non-Section 423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Component, or (ii) the Enrollment Date of the first Offering Period in which the Participant is eligible to participate following such transfer.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Notwithstanding the foregoing, the Administrator may establish different rules to govern transfers of employment between companies participating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Section 423 Component and the Non-Section 423 Component, consistent with the applicable requirements of Section 423 of the Code.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Administration</w:t>
      </w:r>
      <w:r>
        <w:rPr>
          <w:rFonts w:ascii="Arial" w:cs="Arial" w:eastAsia="Arial" w:hAnsi="Arial"/>
          <w:sz w:val="18"/>
          <w:szCs w:val="18"/>
          <w:color w:val="auto"/>
        </w:rPr>
        <w:t>.</w:t>
      </w:r>
    </w:p>
    <w:p>
      <w:pPr>
        <w:spacing w:after="0" w:line="225" w:lineRule="exact"/>
        <w:rPr>
          <w:sz w:val="20"/>
          <w:szCs w:val="20"/>
          <w:color w:val="auto"/>
        </w:rPr>
      </w:pPr>
    </w:p>
    <w:p>
      <w:pPr>
        <w:ind w:right="500" w:firstLine="444"/>
        <w:spacing w:after="0" w:line="264" w:lineRule="auto"/>
        <w:tabs>
          <w:tab w:leader="none" w:pos="685"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Plan shall be administered by the Committee, which shall be composed of members of the Board. The Committee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81" w:lineRule="exact"/>
        <w:rPr>
          <w:rFonts w:ascii="Arial" w:cs="Arial" w:eastAsia="Arial" w:hAnsi="Arial"/>
          <w:sz w:val="18"/>
          <w:szCs w:val="18"/>
          <w:color w:val="auto"/>
        </w:rPr>
      </w:pPr>
    </w:p>
    <w:p>
      <w:pPr>
        <w:ind w:right="240" w:firstLine="444"/>
        <w:spacing w:after="0" w:line="277" w:lineRule="auto"/>
        <w:tabs>
          <w:tab w:leader="none" w:pos="696"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It shall be the duty of the Administrator to conduct the general administration of the Plan in accordance with the provisions of the Plan. The Administrator shall have the power, subject to, and within the limitations of, the express provisions of the Plan:</w:t>
      </w:r>
    </w:p>
    <w:p>
      <w:pPr>
        <w:spacing w:after="0" w:line="62" w:lineRule="exact"/>
        <w:rPr>
          <w:rFonts w:ascii="Arial" w:cs="Arial" w:eastAsia="Arial" w:hAnsi="Arial"/>
          <w:sz w:val="18"/>
          <w:szCs w:val="18"/>
          <w:color w:val="auto"/>
        </w:rPr>
      </w:pPr>
    </w:p>
    <w:p>
      <w:pPr>
        <w:ind w:left="2200" w:hanging="213"/>
        <w:spacing w:after="0"/>
        <w:tabs>
          <w:tab w:leader="none" w:pos="22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To establish and terminate Offerings;</w:t>
      </w:r>
    </w:p>
    <w:p>
      <w:pPr>
        <w:spacing w:after="0" w:line="225" w:lineRule="exact"/>
        <w:rPr>
          <w:rFonts w:ascii="Arial" w:cs="Arial" w:eastAsia="Arial" w:hAnsi="Arial"/>
          <w:sz w:val="18"/>
          <w:szCs w:val="18"/>
          <w:color w:val="auto"/>
        </w:rPr>
      </w:pPr>
    </w:p>
    <w:p>
      <w:pPr>
        <w:ind w:left="2260" w:hanging="273"/>
        <w:spacing w:after="0"/>
        <w:tabs>
          <w:tab w:leader="none" w:pos="2260"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To determine when and how Options shall be granted and the provisions and terms of each Offering (which need not be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identical);</w:t>
      </w:r>
    </w:p>
    <w:p>
      <w:pPr>
        <w:spacing w:after="0" w:line="210" w:lineRule="exact"/>
        <w:rPr>
          <w:rFonts w:ascii="Arial" w:cs="Arial" w:eastAsia="Arial" w:hAnsi="Arial"/>
          <w:sz w:val="16"/>
          <w:szCs w:val="16"/>
          <w:color w:val="auto"/>
        </w:rPr>
      </w:pPr>
    </w:p>
    <w:p>
      <w:pPr>
        <w:ind w:left="2300" w:hanging="313"/>
        <w:spacing w:after="0"/>
        <w:tabs>
          <w:tab w:leader="none" w:pos="2300" w:val="left"/>
        </w:tabs>
        <w:numPr>
          <w:ilvl w:val="1"/>
          <w:numId w:val="266"/>
        </w:numPr>
        <w:rPr>
          <w:rFonts w:ascii="Arial" w:cs="Arial" w:eastAsia="Arial" w:hAnsi="Arial"/>
          <w:sz w:val="18"/>
          <w:szCs w:val="18"/>
          <w:color w:val="auto"/>
        </w:rPr>
      </w:pPr>
      <w:r>
        <w:rPr>
          <w:rFonts w:ascii="Arial" w:cs="Arial" w:eastAsia="Arial" w:hAnsi="Arial"/>
          <w:sz w:val="18"/>
          <w:szCs w:val="18"/>
          <w:color w:val="auto"/>
        </w:rPr>
        <w:t>To select Designated Subsidiaries in accordance with Section 7.2 hereof; and</w:t>
      </w:r>
    </w:p>
    <w:p>
      <w:pPr>
        <w:spacing w:after="0" w:line="225" w:lineRule="exact"/>
        <w:rPr>
          <w:rFonts w:ascii="Arial" w:cs="Arial" w:eastAsia="Arial" w:hAnsi="Arial"/>
          <w:sz w:val="18"/>
          <w:szCs w:val="18"/>
          <w:color w:val="auto"/>
        </w:rPr>
      </w:pPr>
    </w:p>
    <w:p>
      <w:pPr>
        <w:ind w:right="40" w:firstLine="1987"/>
        <w:spacing w:after="0" w:line="302" w:lineRule="auto"/>
        <w:tabs>
          <w:tab w:leader="none" w:pos="2289" w:val="left"/>
        </w:tabs>
        <w:numPr>
          <w:ilvl w:val="1"/>
          <w:numId w:val="266"/>
        </w:numPr>
        <w:rPr>
          <w:rFonts w:ascii="Arial" w:cs="Arial" w:eastAsia="Arial" w:hAnsi="Arial"/>
          <w:sz w:val="16"/>
          <w:szCs w:val="16"/>
          <w:color w:val="auto"/>
        </w:rPr>
      </w:pPr>
      <w:r>
        <w:rPr>
          <w:rFonts w:ascii="Arial" w:cs="Arial" w:eastAsia="Arial" w:hAnsi="Arial"/>
          <w:sz w:val="16"/>
          <w:szCs w:val="16"/>
          <w:color w:val="auto"/>
        </w:rPr>
        <w:t>To construe and interpret the Plan, the terms of any Offering and the terms of the Options and to adopt such rules for the administration, interpretation, and application of the Plan as are consistent therewith and to interpret, amend or revoke any such rules. The Administrator, in the exercise of this power, may correct any defect, omission or inconsistency in the Plan, any Offering or any Option, in a manner and to the extent it shall deem necessary or expedient to administer the Plan, subject to Section 423 of the Code for the Section 423 Component.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65" w:name="page466"/>
    <w:bookmarkEnd w:id="465"/>
    <w:p>
      <w:pPr>
        <w:ind w:firstLine="444"/>
        <w:spacing w:after="0" w:line="276" w:lineRule="auto"/>
        <w:tabs>
          <w:tab w:leader="none" w:pos="685" w:val="left"/>
        </w:tabs>
        <w:numPr>
          <w:ilvl w:val="0"/>
          <w:numId w:val="26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Administrator may adopt rules or procedures relating to the operation and administration of the Plan to accommodate the specific requirements of local laws and procedures. Without limiting the generality of the foregoing, the Administrator is specifically authorized to adopt rules and procedures regarding handling of participation elections, payroll deductions, payment of interest, conversion of local currency, payroll tax, withholding procedures and handling of stock certificates which vary with local requirements. In its absolute discretion, the Board may at any time and from time to time exercise any and all rights and duties of the Administrator under the Plan.</w:t>
      </w:r>
    </w:p>
    <w:p>
      <w:pPr>
        <w:spacing w:after="0" w:line="172" w:lineRule="exact"/>
        <w:rPr>
          <w:rFonts w:ascii="Arial" w:cs="Arial" w:eastAsia="Arial" w:hAnsi="Arial"/>
          <w:sz w:val="17"/>
          <w:szCs w:val="17"/>
          <w:color w:val="auto"/>
        </w:rPr>
      </w:pPr>
    </w:p>
    <w:p>
      <w:pPr>
        <w:jc w:val="both"/>
        <w:ind w:firstLine="444"/>
        <w:spacing w:after="0" w:line="259" w:lineRule="auto"/>
        <w:tabs>
          <w:tab w:leader="none" w:pos="696"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5.1 hereof, but unless otherwise superseded by the terms of such sub-plan, the provisions of this Plan shall govern the operation of such sub-plan.</w:t>
      </w:r>
    </w:p>
    <w:p>
      <w:pPr>
        <w:spacing w:after="0" w:line="186" w:lineRule="exact"/>
        <w:rPr>
          <w:rFonts w:ascii="Arial" w:cs="Arial" w:eastAsia="Arial" w:hAnsi="Arial"/>
          <w:sz w:val="18"/>
          <w:szCs w:val="18"/>
          <w:color w:val="auto"/>
        </w:rPr>
      </w:pPr>
    </w:p>
    <w:p>
      <w:pPr>
        <w:ind w:right="100" w:firstLine="444"/>
        <w:spacing w:after="0" w:line="272" w:lineRule="auto"/>
        <w:tabs>
          <w:tab w:leader="none" w:pos="685" w:val="left"/>
        </w:tabs>
        <w:numPr>
          <w:ilvl w:val="0"/>
          <w:numId w:val="267"/>
        </w:numPr>
        <w:rPr>
          <w:rFonts w:ascii="Arial" w:cs="Arial" w:eastAsia="Arial" w:hAnsi="Arial"/>
          <w:sz w:val="17"/>
          <w:szCs w:val="17"/>
          <w:color w:val="auto"/>
        </w:rPr>
      </w:pPr>
      <w:r>
        <w:rPr>
          <w:rFonts w:ascii="Arial" w:cs="Arial" w:eastAsia="Arial" w:hAnsi="Arial"/>
          <w:sz w:val="17"/>
          <w:szCs w:val="17"/>
          <w:color w:val="auto"/>
        </w:rPr>
        <w:t>All expenses and liabilities incurred by the Administrator in connection with the administration of the Plan shall be borne by the Company. The Administrator may, with the approval of the Committee, employ attorneys, consultants, accountants, appraisers, brokers or other persons. The Administrator, the Company and its officers and directors shall be entitled to rely upon the advice, opinions or valuations of any such persons. All actions taken and all interpretations and determinations made by the Administrator in good faith shall be final and binding upon all Participants, the Company and all other interested persons. No member of the Board or Administrator shall be personally liable for any action, determination or interpretation made in good faith with respect to the Plan or the options, and all members of the Board or Administrator shall be fully protected by the Company in respect to any such action, determination, or interpretation.</w:t>
      </w:r>
    </w:p>
    <w:p>
      <w:pPr>
        <w:spacing w:after="0" w:line="178"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Designation of Subsidiary Corporations</w:t>
      </w:r>
      <w:r>
        <w:rPr>
          <w:rFonts w:ascii="Arial" w:cs="Arial" w:eastAsia="Arial" w:hAnsi="Arial"/>
          <w:sz w:val="18"/>
          <w:szCs w:val="18"/>
          <w:color w:val="auto"/>
        </w:rPr>
        <w:t>. The Board or Administrator shall designate from time to time the Subsidiaries that shall constitute Designated Subsidiaries, and determine whether such Designated Subsidiaries shall participate in the Section 423 Component or Non-Section 423 Component. The Board or Administrator may designate a Subsidiary, or terminate the designation of a Subsidiary, without the approval of the stockholders of the Company.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Reports</w:t>
      </w:r>
      <w:r>
        <w:rPr>
          <w:rFonts w:ascii="Arial" w:cs="Arial" w:eastAsia="Arial" w:hAnsi="Arial"/>
          <w:sz w:val="18"/>
          <w:szCs w:val="18"/>
          <w:color w:val="auto"/>
        </w:rPr>
        <w:t>. Individual accounts shall be maintained for each Participant in the Plan. Statements of Plan Accounts shall be given to Participants at least annually, which statements shall set forth the amounts of payroll deductions, the Option Price, the number of shares purchased and the remaining cash balance, if any.</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No Right to Employment</w:t>
      </w:r>
      <w:r>
        <w:rPr>
          <w:rFonts w:ascii="Arial" w:cs="Arial" w:eastAsia="Arial" w:hAnsi="Arial"/>
          <w:sz w:val="18"/>
          <w:szCs w:val="18"/>
          <w:color w:val="auto"/>
        </w:rPr>
        <w:t>. Nothing in the Plan shall be construed to give any person (including any Participant) the right to remain in the employ of the Company, a Parent or a Subsidiary or to affect the right of the Company, any Parent or any Subsidiary to terminate the employment of any person (including any Participant) at any time, with or without cause, which right is expressly reserved.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u w:val="single" w:color="auto"/>
          <w:color w:val="auto"/>
        </w:rPr>
        <w:t>Amendment and Termination of the Plan</w:t>
      </w:r>
      <w:r>
        <w:rPr>
          <w:rFonts w:ascii="Arial" w:cs="Arial" w:eastAsia="Arial" w:hAnsi="Arial"/>
          <w:sz w:val="18"/>
          <w:szCs w:val="18"/>
          <w:color w:val="auto"/>
        </w:rPr>
        <w:t>.</w:t>
      </w:r>
    </w:p>
    <w:p>
      <w:pPr>
        <w:spacing w:after="0" w:line="225" w:lineRule="exact"/>
        <w:rPr>
          <w:sz w:val="20"/>
          <w:szCs w:val="20"/>
          <w:color w:val="auto"/>
        </w:rPr>
      </w:pPr>
    </w:p>
    <w:p>
      <w:pPr>
        <w:jc w:val="both"/>
        <w:ind w:right="160" w:firstLine="444"/>
        <w:spacing w:after="0" w:line="259" w:lineRule="auto"/>
        <w:tabs>
          <w:tab w:leader="none" w:pos="68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The Board may, in its sole discretion, amend, suspend or terminate the Plan at any time and from time to time. To the extent necessary to comply with Section 423 of the Code (or any successor rule or provision), with respect to the Section 423 Component, or any other applicable law, regulation or stock exchange rule, the Company shall obtain stockholder approval of any such amendment to the Plan in such a manner and to such a degree as required by Section 423 of the Code or such other law, regulation or rule.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440" w:top="274" w:right="559" w:bottom="1440" w:gutter="0" w:footer="0" w:header="0"/>
        </w:sectPr>
      </w:pPr>
    </w:p>
    <w:bookmarkStart w:id="466" w:name="page467"/>
    <w:bookmarkEnd w:id="466"/>
    <w:p>
      <w:pPr>
        <w:ind w:right="500" w:firstLine="444"/>
        <w:spacing w:after="0" w:line="342" w:lineRule="auto"/>
        <w:tabs>
          <w:tab w:leader="none" w:pos="696" w:val="left"/>
        </w:tabs>
        <w:numPr>
          <w:ilvl w:val="0"/>
          <w:numId w:val="2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Administrator determines that the ongoing operation of the Plan may result in unfavorable financial accounting consequences, the Administrator may in its discretion modify or amend the Plan to reduce or eliminate such accounting consequence including, but not limited to:</w:t>
      </w:r>
    </w:p>
    <w:p>
      <w:pPr>
        <w:spacing w:after="0" w:line="15" w:lineRule="exact"/>
        <w:rPr>
          <w:rFonts w:ascii="Arial" w:cs="Arial" w:eastAsia="Arial" w:hAnsi="Arial"/>
          <w:sz w:val="16"/>
          <w:szCs w:val="16"/>
          <w:color w:val="auto"/>
        </w:rPr>
      </w:pPr>
    </w:p>
    <w:p>
      <w:pPr>
        <w:ind w:left="2200" w:hanging="213"/>
        <w:spacing w:after="0"/>
        <w:tabs>
          <w:tab w:leader="none" w:pos="2200" w:val="left"/>
        </w:tabs>
        <w:numPr>
          <w:ilvl w:val="2"/>
          <w:numId w:val="269"/>
        </w:numPr>
        <w:rPr>
          <w:rFonts w:ascii="Arial" w:cs="Arial" w:eastAsia="Arial" w:hAnsi="Arial"/>
          <w:sz w:val="17"/>
          <w:szCs w:val="17"/>
          <w:color w:val="auto"/>
        </w:rPr>
      </w:pPr>
      <w:r>
        <w:rPr>
          <w:rFonts w:ascii="Arial" w:cs="Arial" w:eastAsia="Arial" w:hAnsi="Arial"/>
          <w:sz w:val="17"/>
          <w:szCs w:val="17"/>
          <w:color w:val="auto"/>
        </w:rPr>
        <w:t>altering the Option Price for any Offering Period including an Offering Period underway at the time of the change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Option Price;</w:t>
      </w:r>
    </w:p>
    <w:p>
      <w:pPr>
        <w:spacing w:after="0" w:line="210" w:lineRule="exact"/>
        <w:rPr>
          <w:rFonts w:ascii="Arial" w:cs="Arial" w:eastAsia="Arial" w:hAnsi="Arial"/>
          <w:sz w:val="17"/>
          <w:szCs w:val="17"/>
          <w:color w:val="auto"/>
        </w:rPr>
      </w:pPr>
    </w:p>
    <w:p>
      <w:pPr>
        <w:ind w:right="240" w:firstLine="1987"/>
        <w:spacing w:after="0" w:line="277" w:lineRule="auto"/>
        <w:tabs>
          <w:tab w:leader="none" w:pos="2249" w:val="left"/>
        </w:tabs>
        <w:numPr>
          <w:ilvl w:val="2"/>
          <w:numId w:val="269"/>
        </w:numPr>
        <w:rPr>
          <w:rFonts w:ascii="Arial" w:cs="Arial" w:eastAsia="Arial" w:hAnsi="Arial"/>
          <w:sz w:val="18"/>
          <w:szCs w:val="18"/>
          <w:color w:val="auto"/>
        </w:rPr>
      </w:pPr>
      <w:r>
        <w:rPr>
          <w:rFonts w:ascii="Arial" w:cs="Arial" w:eastAsia="Arial" w:hAnsi="Arial"/>
          <w:sz w:val="18"/>
          <w:szCs w:val="18"/>
          <w:color w:val="auto"/>
        </w:rPr>
        <w:t>shortening any Offering Period so that the Offering Period ends on a new Exercise Date, including an Offering Period underway at the time of the Administrator action; and</w:t>
      </w:r>
    </w:p>
    <w:p>
      <w:pPr>
        <w:spacing w:after="0" w:line="170" w:lineRule="exact"/>
        <w:rPr>
          <w:rFonts w:ascii="Arial" w:cs="Arial" w:eastAsia="Arial" w:hAnsi="Arial"/>
          <w:sz w:val="18"/>
          <w:szCs w:val="18"/>
          <w:color w:val="auto"/>
        </w:rPr>
      </w:pPr>
    </w:p>
    <w:p>
      <w:pPr>
        <w:ind w:left="2140" w:hanging="320"/>
        <w:spacing w:after="0"/>
        <w:tabs>
          <w:tab w:leader="none" w:pos="214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allocating shares of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Such modifications or amendments shall not require stockholder approval or the consent of any Participant.</w:t>
      </w:r>
    </w:p>
    <w:p>
      <w:pPr>
        <w:spacing w:after="0" w:line="225" w:lineRule="exact"/>
        <w:rPr>
          <w:sz w:val="20"/>
          <w:szCs w:val="20"/>
          <w:color w:val="auto"/>
        </w:rPr>
      </w:pPr>
    </w:p>
    <w:p>
      <w:pPr>
        <w:ind w:right="200" w:firstLine="444"/>
        <w:spacing w:after="0" w:line="277" w:lineRule="auto"/>
        <w:tabs>
          <w:tab w:leader="none" w:pos="68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Upon termination of the Plan, the balance in each Participant’s Plan Account shall be refunded as soon as practicable after such termination, without any interest thereon.</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u w:val="single" w:color="auto"/>
          <w:color w:val="auto"/>
        </w:rPr>
        <w:t>Use of Funds; No Interest Paid</w:t>
      </w:r>
      <w:r>
        <w:rPr>
          <w:rFonts w:ascii="Arial" w:cs="Arial" w:eastAsia="Arial" w:hAnsi="Arial"/>
          <w:sz w:val="18"/>
          <w:szCs w:val="18"/>
          <w:color w:val="auto"/>
        </w:rPr>
        <w:t>. All funds received by the Company by reason of purchase of shares of Common Stock under the Plan shall be included in the general funds of the Company free of any trust or other restriction and may be used for any corporate purpose. No interest shall be paid to any Participant or credited under the Plan.</w:t>
      </w:r>
    </w:p>
    <w:p>
      <w:pPr>
        <w:spacing w:after="0" w:line="181"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7.7 </w:t>
      </w:r>
      <w:r>
        <w:rPr>
          <w:rFonts w:ascii="Arial" w:cs="Arial" w:eastAsia="Arial" w:hAnsi="Arial"/>
          <w:sz w:val="17"/>
          <w:szCs w:val="17"/>
          <w:u w:val="single" w:color="auto"/>
          <w:color w:val="auto"/>
        </w:rPr>
        <w:t>Term; Approval by Stockholders</w:t>
      </w:r>
      <w:r>
        <w:rPr>
          <w:rFonts w:ascii="Arial" w:cs="Arial" w:eastAsia="Arial" w:hAnsi="Arial"/>
          <w:sz w:val="17"/>
          <w:szCs w:val="17"/>
          <w:color w:val="auto"/>
        </w:rPr>
        <w:t xml:space="preserve">. No Option may be granted during any period of suspension of the Plan or after termination of the Plan. The Plan shall be submitted for the approval of the Company’s stockholders within 12 months after the date of the Board’s initial adoption of the Plan. Options may be granted prior to such stockholder approval;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Options shall not be exercisable prior to the time when the Plan is approved by the stockholders;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if such approval has not been obtained by the end of the 12-month period, all Options previously granted under the Plan shall thereupon terminate and be canceled and become null and void without being exercised.</w:t>
      </w:r>
    </w:p>
    <w:p>
      <w:pPr>
        <w:spacing w:after="0" w:line="173"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7.8 </w:t>
      </w:r>
      <w:r>
        <w:rPr>
          <w:rFonts w:ascii="Arial" w:cs="Arial" w:eastAsia="Arial" w:hAnsi="Arial"/>
          <w:sz w:val="16"/>
          <w:szCs w:val="16"/>
          <w:u w:val="single" w:color="auto"/>
          <w:color w:val="auto"/>
        </w:rPr>
        <w:t>Effect Upon Other Plans</w:t>
      </w:r>
      <w:r>
        <w:rPr>
          <w:rFonts w:ascii="Arial" w:cs="Arial" w:eastAsia="Arial" w:hAnsi="Arial"/>
          <w:sz w:val="16"/>
          <w:szCs w:val="16"/>
          <w:color w:val="auto"/>
        </w:rPr>
        <w:t>. The adoption of the Plan shall not affect any other compensation or incentive plans in effect for the Company, any Parent or any Subsidiary. Nothing in the Plan shall be construed to limit the right of the Company, any Parent or any Subsidiary (a) to establish any other forms of incentives or compensation for Employees of the Company or any Parent or any Subsidiary, or (b) to grant or assume Options otherwise than under the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5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Notwithstanding any other provision of the Plan, the Plan and the participation in the Plan by any individual who is then subject to Section 16 of the Exchange Act shall be subject to any additional limitations set forth in any applicable exemption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54" w:lineRule="exact"/>
        <w:rPr>
          <w:sz w:val="20"/>
          <w:szCs w:val="20"/>
          <w:color w:val="auto"/>
        </w:rPr>
      </w:pPr>
    </w:p>
    <w:p>
      <w:pPr>
        <w:ind w:right="540"/>
        <w:spacing w:after="0" w:line="291"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u w:val="single" w:color="auto"/>
          <w:color w:val="auto"/>
        </w:rPr>
        <w:t>Notice of Disposition of Shares</w:t>
      </w:r>
      <w:r>
        <w:rPr>
          <w:rFonts w:ascii="Arial" w:cs="Arial" w:eastAsia="Arial" w:hAnsi="Arial"/>
          <w:sz w:val="16"/>
          <w:szCs w:val="16"/>
          <w:color w:val="auto"/>
        </w:rPr>
        <w:t>. Each Participant shall give the Company prompt notice of any disposition or other transfer of any shares of Common Stock, acquired pursuant to the exercise of an Option granted under the Section 423 Component, if such disposition or transfer is made</w:t>
      </w:r>
    </w:p>
    <w:p>
      <w:pPr>
        <w:ind w:right="200" w:firstLine="4"/>
        <w:spacing w:after="0" w:line="323" w:lineRule="auto"/>
        <w:tabs>
          <w:tab w:leader="none" w:pos="245" w:val="left"/>
        </w:tabs>
        <w:numPr>
          <w:ilvl w:val="0"/>
          <w:numId w:val="271"/>
        </w:numPr>
        <w:rPr>
          <w:rFonts w:ascii="Arial" w:cs="Arial" w:eastAsia="Arial" w:hAnsi="Arial"/>
          <w:sz w:val="16"/>
          <w:szCs w:val="16"/>
          <w:color w:val="auto"/>
        </w:rPr>
      </w:pPr>
      <w:r>
        <w:rPr>
          <w:rFonts w:ascii="Arial" w:cs="Arial" w:eastAsia="Arial" w:hAnsi="Arial"/>
          <w:sz w:val="16"/>
          <w:szCs w:val="16"/>
          <w:color w:val="auto"/>
        </w:rPr>
        <w:t>within two years after the applicable Grant Date or (b) within one year after the transfer of such shares of Common Stock to such Participant upon exercise of such Option. The Company may direct that any certificates evidencing shares acquired pursuant to the Plan refer to such requirement.</w:t>
      </w:r>
    </w:p>
    <w:p>
      <w:pPr>
        <w:spacing w:after="0" w:line="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467" w:name="page468"/>
    <w:bookmarkEnd w:id="467"/>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7.11 </w:t>
      </w: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or any Parent or any Subsidiary shall be entitled to require payment in cash or deduction from other compensation payable to each Participant of any sums required by federal, state or local tax law to be withheld with respect to any purchase of shares of Common Stock under the Plan or any sale of such shares.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7.12 </w:t>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rights and obligations thereunder shall be construed and enforced in accordance with the laws of the State of Delaware, without regard to the conflict of law rules thereof or of any other jurisdiction.</w:t>
      </w:r>
    </w:p>
    <w:p>
      <w:pPr>
        <w:spacing w:after="0" w:line="170"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7.14 </w:t>
      </w:r>
      <w:r>
        <w:rPr>
          <w:rFonts w:ascii="Arial" w:cs="Arial" w:eastAsia="Arial" w:hAnsi="Arial"/>
          <w:sz w:val="18"/>
          <w:szCs w:val="18"/>
          <w:u w:val="single" w:color="auto"/>
          <w:color w:val="auto"/>
        </w:rPr>
        <w:t>Conditions To Issuance of Shares</w:t>
      </w:r>
      <w:r>
        <w:rPr>
          <w:rFonts w:ascii="Arial" w:cs="Arial" w:eastAsia="Arial" w:hAnsi="Arial"/>
          <w:sz w:val="18"/>
          <w:szCs w:val="18"/>
          <w:color w:val="auto"/>
        </w:rPr>
        <w:t>.</w:t>
      </w:r>
    </w:p>
    <w:p>
      <w:pPr>
        <w:spacing w:after="0" w:line="225" w:lineRule="exact"/>
        <w:rPr>
          <w:sz w:val="20"/>
          <w:szCs w:val="20"/>
          <w:color w:val="auto"/>
        </w:rPr>
      </w:pPr>
    </w:p>
    <w:p>
      <w:pPr>
        <w:ind w:firstLine="444"/>
        <w:spacing w:after="0" w:line="254" w:lineRule="auto"/>
        <w:tabs>
          <w:tab w:leader="none" w:pos="68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Company shall not be required to issue or deliver any certificates or make any book entries evidencing shares of Common Stock pursuant to the exercise of an Option by a Participant, unless and until the Board or the Committee has determined, with advice of counsel, that the issuance of such shares of Common Stock is in compliance with all applicable laws, regulations of governmental authorities and, if applicable, the requirements of any securities exchange or automated quotation system on which the shares of Common Stock are listed or traded, and the shares of Common Stock are covered by an effective registration statement or applicable exemption from registration. In addition to the terms and conditions provided herein, the Board or the Committee may require that a Participant make such reasonable covenants, agreements, and representations as the Board or the Committee, in its discretion, deems advisable in order to comply with any such laws, regulations, or requirements.</w:t>
      </w:r>
    </w:p>
    <w:p>
      <w:pPr>
        <w:spacing w:after="0" w:line="192" w:lineRule="exact"/>
        <w:rPr>
          <w:rFonts w:ascii="Arial" w:cs="Arial" w:eastAsia="Arial" w:hAnsi="Arial"/>
          <w:sz w:val="18"/>
          <w:szCs w:val="18"/>
          <w:color w:val="auto"/>
        </w:rPr>
      </w:pPr>
    </w:p>
    <w:p>
      <w:pPr>
        <w:ind w:right="40" w:firstLine="444"/>
        <w:spacing w:after="0" w:line="257" w:lineRule="auto"/>
        <w:tabs>
          <w:tab w:leader="none" w:pos="696"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All certificates for shares of Common Stock delivered pursuant to the Plan and all shares of Common Stock issued pursuant to book entry procedures are subject to any stop-transfer orders and other restrictions as the Committee deems necessary or advisable to comply with federal, state, or foreign securities or other laws, rules and regulations and the rules of any securities exchange or automated quotation system on which the shares of Common Stock are listed, quoted, or traded. The Committee may place legends on any certificate or book entry evidencing shares of Common Stock to reference restrictions applicable to the shares of Common Stock.</w:t>
      </w:r>
    </w:p>
    <w:p>
      <w:pPr>
        <w:spacing w:after="0" w:line="188" w:lineRule="exact"/>
        <w:rPr>
          <w:rFonts w:ascii="Arial" w:cs="Arial" w:eastAsia="Arial" w:hAnsi="Arial"/>
          <w:sz w:val="18"/>
          <w:szCs w:val="18"/>
          <w:color w:val="auto"/>
        </w:rPr>
      </w:pPr>
    </w:p>
    <w:p>
      <w:pPr>
        <w:ind w:right="260" w:firstLine="444"/>
        <w:spacing w:after="0" w:line="342" w:lineRule="auto"/>
        <w:tabs>
          <w:tab w:leader="none" w:pos="68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Committee shall have the right to require any Participant to comply with any timing or other restrictions with respect to the settlement, distribution or exercise of any Option, including a window-period limitation, as may be imposed in the sole discretion of the Committee.</w:t>
      </w:r>
    </w:p>
    <w:p>
      <w:pPr>
        <w:spacing w:after="0" w:line="123" w:lineRule="exact"/>
        <w:rPr>
          <w:rFonts w:ascii="Arial" w:cs="Arial" w:eastAsia="Arial" w:hAnsi="Arial"/>
          <w:sz w:val="16"/>
          <w:szCs w:val="16"/>
          <w:color w:val="auto"/>
        </w:rPr>
      </w:pPr>
    </w:p>
    <w:p>
      <w:pPr>
        <w:jc w:val="both"/>
        <w:ind w:right="180" w:firstLine="444"/>
        <w:spacing w:after="0" w:line="312" w:lineRule="auto"/>
        <w:tabs>
          <w:tab w:leader="none" w:pos="696" w:val="left"/>
        </w:tabs>
        <w:numPr>
          <w:ilvl w:val="0"/>
          <w:numId w:val="272"/>
        </w:numPr>
        <w:rPr>
          <w:rFonts w:ascii="Arial" w:cs="Arial" w:eastAsia="Arial" w:hAnsi="Arial"/>
          <w:sz w:val="16"/>
          <w:szCs w:val="16"/>
          <w:color w:val="auto"/>
        </w:rPr>
      </w:pPr>
      <w:r>
        <w:rPr>
          <w:rFonts w:ascii="Arial" w:cs="Arial" w:eastAsia="Arial" w:hAnsi="Arial"/>
          <w:sz w:val="16"/>
          <w:szCs w:val="16"/>
          <w:color w:val="auto"/>
        </w:rPr>
        <w:t>Notwithstanding any other provision of the Plan, unless otherwise determined by the Committee or required by any applicable law, rule or regulation, the Company may, in lieu of delivering to any Participant certificates evidencing shares of Common Stock issued in connection with any Option, record the issuance of shares of Common Stock in the books of the Company (or, as applicable, its transfer agent or stock plan administrator).</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3" w:right="479" w:bottom="1440" w:gutter="0" w:footer="0" w:header="0"/>
        </w:sectPr>
      </w:pPr>
    </w:p>
    <w:bookmarkStart w:id="468" w:name="page469"/>
    <w:bookmarkEnd w:id="468"/>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7.15 </w:t>
      </w:r>
      <w:r>
        <w:rPr>
          <w:rFonts w:ascii="Arial" w:cs="Arial" w:eastAsia="Arial" w:hAnsi="Arial"/>
          <w:sz w:val="16"/>
          <w:szCs w:val="16"/>
          <w:u w:val="single" w:color="auto"/>
          <w:color w:val="auto"/>
        </w:rPr>
        <w:t>Equal Rights and Privileges</w:t>
      </w:r>
      <w:r>
        <w:rPr>
          <w:rFonts w:ascii="Arial" w:cs="Arial" w:eastAsia="Arial" w:hAnsi="Arial"/>
          <w:sz w:val="16"/>
          <w:szCs w:val="16"/>
          <w:color w:val="auto"/>
        </w:rPr>
        <w:t>. All Eligible Employees of the Company (or of any Designated Subsidiary) granted Options pursuant to an Offering under the Section 423 Component shall have equal rights and privileges under this Plan to the extent required under Section 423 of the Code so that the Section 423 Component qualifies as an “employee stock purchase plan” within the meaning of Section 423 of the Code. Any provision of the Section 423 Component that is inconsistent with Section 423 of the Code shall, without further act or amendment by the Company or the Board, be reformed to comply with the equal rights and privileges requirement of Section 423 of the Code. Eligible Employees participating in the Non-Section 423 Component need not have the same rights and privileges as Eligible Employees participating in the Section 423 Component.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7.16 </w:t>
      </w:r>
      <w:r>
        <w:rPr>
          <w:rFonts w:ascii="Arial" w:cs="Arial" w:eastAsia="Arial" w:hAnsi="Arial"/>
          <w:sz w:val="17"/>
          <w:szCs w:val="17"/>
          <w:u w:val="single" w:color="auto"/>
          <w:color w:val="auto"/>
        </w:rPr>
        <w:t>Rules Particular to Specific Countries</w:t>
      </w:r>
      <w:r>
        <w:rPr>
          <w:rFonts w:ascii="Arial" w:cs="Arial" w:eastAsia="Arial" w:hAnsi="Arial"/>
          <w:sz w:val="17"/>
          <w:szCs w:val="17"/>
          <w:color w:val="auto"/>
        </w:rPr>
        <w:t>. Notwithstanding anything herein to the contrary, the terms and conditions of the Plan with respect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Participants who are tax residents of a particular non-U.S. country or who are foreign nationals or employed in non-U.S. jurisdictions may be subject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 addendum to the Plan in the form of an appendix or sub-plan (which appendix or sub-plan may be designed to govern Offerings under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423 Component or the Non-Section 423 Component, as determined by the Administrator). To the extent that the terms and conditions set forth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an appendix or sub-plan conflict with any provisions of the Plan, the provisions of the appendix or sub-plan shall govern. The adoption of any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appendix or sub-plan shall be pursuant to Section 7.1 above. Without limiting the foregoing, the Administrator is specifically authorized to adopt rules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procedures, with respect to Participants who are foreign nationals or employed in non-U.S. jurisdictions, regarding the exclusion of particular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Subsidiaries from participation in the Plan, eligibility to participate, the definition of Compensation, handling of payroll deductions or other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contributions by Participants, payment of interest, conversion of local currency, data privacy security, payroll tax, withholding procedures, establishment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bank or trust accounts to hold payroll deductions or contributions.</w:t>
      </w:r>
    </w:p>
    <w:p>
      <w:pPr>
        <w:spacing w:after="0" w:line="21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 xml:space="preserve">7.17 </w:t>
      </w:r>
      <w:r>
        <w:rPr>
          <w:rFonts w:ascii="Arial" w:cs="Arial" w:eastAsia="Arial" w:hAnsi="Arial"/>
          <w:sz w:val="17"/>
          <w:szCs w:val="17"/>
          <w:u w:val="single" w:color="auto"/>
          <w:color w:val="auto"/>
        </w:rPr>
        <w:t>Section 409A</w:t>
      </w:r>
      <w:r>
        <w:rPr>
          <w:rFonts w:ascii="Arial" w:cs="Arial" w:eastAsia="Arial" w:hAnsi="Arial"/>
          <w:sz w:val="17"/>
          <w:szCs w:val="17"/>
          <w:color w:val="auto"/>
        </w:rPr>
        <w:t>. The Section 423 Component of the Plan and the Options granted pursuant to Offerings thereunder are intended to be exempt from the application of Section 409A. Neither the Non-Section 423 Component nor any Option granted pursuant to an Offering thereunder is intended to constitute or provide for “nonqualified deferred compensation” within the meaning of Section 409A. Notwithstanding any provision of the Plan to the contrary, if the Administrator determines that any Option granted under the Plan may be or become subject to Section 409A or that any provision of the Plan may cause an Option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179" w:lineRule="exact"/>
        <w:rPr>
          <w:sz w:val="20"/>
          <w:szCs w:val="20"/>
          <w:color w:val="auto"/>
        </w:rPr>
      </w:pPr>
    </w:p>
    <w:p>
      <w:pPr>
        <w:jc w:val="center"/>
        <w:ind w:right="-19"/>
        <w:spacing w:after="0"/>
        <w:tabs>
          <w:tab w:leader="none" w:pos="220" w:val="left"/>
          <w:tab w:leader="none" w:pos="200" w:val="left"/>
          <w:tab w:leader="none" w:pos="200" w:val="left"/>
          <w:tab w:leader="none" w:pos="200" w:val="left"/>
        </w:tabs>
        <w:rPr>
          <w:sz w:val="20"/>
          <w:szCs w:val="20"/>
          <w:color w:val="auto"/>
        </w:rPr>
      </w:pPr>
      <w:r>
        <w:rPr>
          <w:rFonts w:ascii="Arial" w:cs="Arial" w:eastAsia="Arial" w:hAnsi="Arial"/>
          <w:sz w:val="18"/>
          <w:szCs w:val="18"/>
          <w:color w:val="auto"/>
        </w:rPr>
        <w:t>*</w:t>
        <w:tab/>
        <w:t>*</w:t>
        <w:tab/>
        <w:t>*</w:t>
        <w:tab/>
        <w:t>*</w:t>
        <w:tab/>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3" w:right="459" w:bottom="1440" w:gutter="0" w:footer="0" w:header="0"/>
        </w:sectPr>
      </w:pPr>
    </w:p>
    <w:bookmarkStart w:id="469" w:name="page470"/>
    <w:bookmarkEnd w:id="469"/>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COMPENSATION PROGRAM</w:t>
      </w:r>
    </w:p>
    <w:p>
      <w:pPr>
        <w:spacing w:after="0" w:line="21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This Revolution Medicines,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Non-Employee Director Compensation Program (this “</w:t>
      </w:r>
      <w:r>
        <w:rPr>
          <w:rFonts w:ascii="Arial" w:cs="Arial" w:eastAsia="Arial" w:hAnsi="Arial"/>
          <w:sz w:val="18"/>
          <w:szCs w:val="18"/>
          <w:b w:val="1"/>
          <w:bCs w:val="1"/>
          <w:i w:val="1"/>
          <w:iCs w:val="1"/>
          <w:color w:val="auto"/>
        </w:rPr>
        <w:t>Program</w:t>
      </w:r>
      <w:r>
        <w:rPr>
          <w:rFonts w:ascii="Arial" w:cs="Arial" w:eastAsia="Arial" w:hAnsi="Arial"/>
          <w:sz w:val="18"/>
          <w:szCs w:val="18"/>
          <w:color w:val="auto"/>
        </w:rPr>
        <w:t>”) has been adopted under the Company’s 2020 Incentive Award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and shall be effective upon the closing of the Company’s initial public offering of its common stock (the “</w:t>
      </w:r>
      <w:r>
        <w:rPr>
          <w:rFonts w:ascii="Arial" w:cs="Arial" w:eastAsia="Arial" w:hAnsi="Arial"/>
          <w:sz w:val="18"/>
          <w:szCs w:val="18"/>
          <w:b w:val="1"/>
          <w:bCs w:val="1"/>
          <w:i w:val="1"/>
          <w:iCs w:val="1"/>
          <w:color w:val="auto"/>
        </w:rPr>
        <w:t>IPO</w:t>
      </w:r>
      <w:r>
        <w:rPr>
          <w:rFonts w:ascii="Arial" w:cs="Arial" w:eastAsia="Arial" w:hAnsi="Arial"/>
          <w:sz w:val="18"/>
          <w:szCs w:val="18"/>
          <w:color w:val="auto"/>
        </w:rPr>
        <w:t>”). Capitalized terms not otherwise defined herein shall have the meaning ascribed in the Plan.</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Effective upon the IPO, annual retainers will be paid in the following amounts to Non-Employee Directors:</w:t>
      </w:r>
    </w:p>
    <w:p>
      <w:pPr>
        <w:spacing w:after="0" w:line="267" w:lineRule="exact"/>
        <w:rPr>
          <w:sz w:val="20"/>
          <w:szCs w:val="20"/>
          <w:color w:val="auto"/>
        </w:rPr>
      </w:pPr>
    </w:p>
    <w:tbl>
      <w:tblPr>
        <w:tblLayout w:type="fixed"/>
        <w:tblInd w:w="178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Non-Employee Director: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36,000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Lead Independent Director</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25,000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Non-Executive Chair: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Audit Committee Chair:</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15,000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Nominating and Corporate Governance Committee Chair:</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Member (non-Chair):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Compensation Committee Member (non-Chair):</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 (non-Chair):</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All annual retainers will be paid in cash quarterly in arrears promptly following the end of the applicable calendar quarter, but in no event more than 30 days after the end of such quarter. In the event a Non-Employee Director does not serve as a Non-Employee Director, or in the applicable positions described above, for an entire calendar quarter, the retainer paid to such Non-Employee Director shall be prorated for the portion of such calendar quarter actually served as a Non-Employee Director, or in such position, as applicable.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Compensation</w:t>
      </w:r>
    </w:p>
    <w:p>
      <w:pPr>
        <w:sectPr>
          <w:pgSz w:w="11900" w:h="16838" w:orient="portrait"/>
          <w:cols w:equalWidth="0" w:num="1">
            <w:col w:w="11020"/>
          </w:cols>
          <w:pgMar w:left="440" w:top="121" w:right="439" w:bottom="1440" w:gutter="0" w:footer="0" w:header="0"/>
        </w:sectPr>
      </w:pP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Initial Stock Option Grant: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Each Non-Employee Director who is initially elected or appointed to serve on the Board after the IPO shall be granted an Option under the Plan or any other applicable Company equity incentive plan then-maintained by the Company to purchase 36,168 shares of Common Stock (the “</w:t>
      </w:r>
      <w:r>
        <w:rPr>
          <w:rFonts w:ascii="Arial" w:cs="Arial" w:eastAsia="Arial" w:hAnsi="Arial"/>
          <w:sz w:val="18"/>
          <w:szCs w:val="18"/>
          <w:b w:val="1"/>
          <w:bCs w:val="1"/>
          <w:i w:val="1"/>
          <w:iCs w:val="1"/>
          <w:color w:val="auto"/>
        </w:rPr>
        <w:t>Initial Option</w:t>
      </w:r>
      <w:r>
        <w:rPr>
          <w:rFonts w:ascii="Arial" w:cs="Arial" w:eastAsia="Arial" w:hAnsi="Arial"/>
          <w:sz w:val="18"/>
          <w:szCs w:val="18"/>
          <w:color w:val="auto"/>
        </w:rPr>
        <w:t>”).</w:t>
      </w:r>
    </w:p>
    <w:p>
      <w:pPr>
        <w:spacing w:after="0" w:line="87" w:lineRule="exact"/>
        <w:rPr>
          <w:sz w:val="20"/>
          <w:szCs w:val="20"/>
          <w:color w:val="auto"/>
        </w:rPr>
      </w:pPr>
    </w:p>
    <w:p>
      <w:pPr>
        <w:sectPr>
          <w:pgSz w:w="11900" w:h="16838" w:orient="portrait"/>
          <w:cols w:equalWidth="0" w:num="2">
            <w:col w:w="2040" w:space="720"/>
            <w:col w:w="8260"/>
          </w:cols>
          <w:pgMar w:left="440" w:top="121" w:right="439" w:bottom="1440" w:gutter="0" w:footer="0" w:header="0"/>
          <w:type w:val="continuous"/>
        </w:sectPr>
      </w:pPr>
    </w:p>
    <w:p>
      <w:pPr>
        <w:jc w:val="both"/>
        <w:ind w:left="2760" w:right="140"/>
        <w:spacing w:after="0" w:line="257" w:lineRule="auto"/>
        <w:rPr>
          <w:sz w:val="20"/>
          <w:szCs w:val="20"/>
          <w:color w:val="auto"/>
        </w:rPr>
      </w:pPr>
      <w:r>
        <w:rPr>
          <w:rFonts w:ascii="Arial" w:cs="Arial" w:eastAsia="Arial" w:hAnsi="Arial"/>
          <w:sz w:val="18"/>
          <w:szCs w:val="18"/>
          <w:color w:val="auto"/>
        </w:rPr>
        <w:t>The Initial Option will be automatically granted on the date on which such Non-Employee Director commences service on the Board, and will vest as to 1/36</w:t>
      </w:r>
      <w:r>
        <w:rPr>
          <w:rFonts w:ascii="Arial" w:cs="Arial" w:eastAsia="Arial" w:hAnsi="Arial"/>
          <w:sz w:val="15"/>
          <w:szCs w:val="15"/>
          <w:color w:val="auto"/>
        </w:rPr>
        <w:t>th</w:t>
      </w:r>
      <w:r>
        <w:rPr>
          <w:rFonts w:ascii="Arial" w:cs="Arial" w:eastAsia="Arial" w:hAnsi="Arial"/>
          <w:sz w:val="18"/>
          <w:szCs w:val="18"/>
          <w:color w:val="auto"/>
        </w:rPr>
        <w:t xml:space="preserve"> of the shares subject thereto on each monthly anniversary of the applicable date of grant such that the shares subject to the Initial Option are fully vested on the third anniversary of the grant, subject to the Non-Employee Director continuing in service on the Board through each such vesting date.</w:t>
      </w:r>
    </w:p>
    <w:p>
      <w:pPr>
        <w:sectPr>
          <w:pgSz w:w="11900" w:h="16838" w:orient="portrait"/>
          <w:cols w:equalWidth="0" w:num="1">
            <w:col w:w="11020"/>
          </w:cols>
          <w:pgMar w:left="440" w:top="121" w:right="439" w:bottom="1440" w:gutter="0" w:footer="0" w:header="0"/>
          <w:type w:val="continuous"/>
        </w:sectPr>
      </w:pPr>
    </w:p>
    <w:bookmarkStart w:id="470" w:name="page471"/>
    <w:bookmarkEnd w:id="470"/>
    <w:p>
      <w:pPr>
        <w:spacing w:after="0"/>
        <w:rPr>
          <w:sz w:val="20"/>
          <w:szCs w:val="20"/>
          <w:color w:val="auto"/>
        </w:rPr>
      </w:pPr>
      <w:r>
        <w:rPr>
          <w:rFonts w:ascii="Arial" w:cs="Arial" w:eastAsia="Arial" w:hAnsi="Arial"/>
          <w:sz w:val="16"/>
          <w:szCs w:val="16"/>
          <w:color w:val="auto"/>
        </w:rPr>
        <w:t>Annual Stock Option Grant:</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Each Non-Employee Director who (i) has been serving on the Board for at least four months as of each meeting of the Company’s stockholders after the IPO (each, an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and (ii) will continue to serve as a Non-Employee Director immediately following such meeting, shall be granted an Option under the Plan or any other applicable Company equity incentive plan then-maintained by the Company to purchase 18,084 shares of Common Stock (the “</w:t>
      </w:r>
      <w:r>
        <w:rPr>
          <w:rFonts w:ascii="Arial" w:cs="Arial" w:eastAsia="Arial" w:hAnsi="Arial"/>
          <w:sz w:val="18"/>
          <w:szCs w:val="18"/>
          <w:b w:val="1"/>
          <w:bCs w:val="1"/>
          <w:i w:val="1"/>
          <w:iCs w:val="1"/>
          <w:color w:val="auto"/>
        </w:rPr>
        <w:t>Annual Option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-788035</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2040" w:space="720"/>
            <w:col w:w="8240"/>
          </w:cols>
          <w:pgMar w:left="440" w:top="274" w:right="459" w:bottom="1440" w:gutter="0" w:footer="0" w:header="0"/>
        </w:sectPr>
      </w:pPr>
    </w:p>
    <w:p>
      <w:pPr>
        <w:ind w:left="2760" w:right="100"/>
        <w:spacing w:after="0" w:line="259" w:lineRule="auto"/>
        <w:rPr>
          <w:sz w:val="20"/>
          <w:szCs w:val="20"/>
          <w:color w:val="auto"/>
        </w:rPr>
      </w:pPr>
      <w:r>
        <w:rPr>
          <w:rFonts w:ascii="Arial" w:cs="Arial" w:eastAsia="Arial" w:hAnsi="Arial"/>
          <w:sz w:val="18"/>
          <w:szCs w:val="18"/>
          <w:color w:val="auto"/>
        </w:rPr>
        <w:t>The Annual Option will be automatically granted on the date of the applicable Annual Meeting, and will vest in full on the earlier of (i) the first anniversary of the date of grant and (ii) immediately prior to the Annual Meeting following the date of grant, subject to the Non-Employee Director continuing in service on the Board through such vesting date.</w:t>
      </w:r>
    </w:p>
    <w:p>
      <w:pPr>
        <w:sectPr>
          <w:pgSz w:w="11900" w:h="16838" w:orient="portrait"/>
          <w:cols w:equalWidth="0" w:num="1">
            <w:col w:w="11000"/>
          </w:cols>
          <w:pgMar w:left="440" w:top="274" w:right="459" w:bottom="1440" w:gutter="0" w:footer="0" w:header="0"/>
          <w:type w:val="continuous"/>
        </w:sectPr>
      </w:pPr>
    </w:p>
    <w:p>
      <w:pPr>
        <w:spacing w:after="0" w:line="2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per share exercise price of each Option granted to a Non-Employee Director shall equal the Fair Market Value of a share of Common Stock on the date the Option is granted.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term of each Option granted to a Non-Employee Director shall be ten years from the date the Option is granted.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 portion of an Initial Option or Annual Option which is unvested or unexercisable at the time of a Non-Employee Director’s termination of service on the Board shall become vested and exercisable thereafter.</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Members of the Board who are employees of the Company or any parent or subsidiary of the Company who subsequently terminate their service with the Company and any parent or subsidiary of the Company and remain on the Board will not receive an Initial Option, but to the extent that they are otherwise eligible, will be eligible to receive, after termination from service with the Company and any parent or subsidiary of the Company, Annual Options as described above.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Upon a Change in Control of the Company, all outstanding equity awards granted under the Plan and any other equity incentive plan maintained by the Company that are held by a Non-Employee Director shall become fully vested and/or exercisable, irrespective of any other provisions of the Non-Employee Director’s Award Agreement.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type w:val="continuous"/>
        </w:sectPr>
      </w:pPr>
    </w:p>
    <w:bookmarkStart w:id="471" w:name="page472"/>
    <w:bookmarkEnd w:id="47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Reimbursements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shall reimburse each Non-Employee Director for all reasonable, documented, out-of-pocket travel and other business expenses incurred by such Non-Employee Director in the performance of his or her duties to the Company in accordance with the Company’s applicable expense reimbursement policies and procedures as in effect from time to time.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other provisions of the Plan shall apply to the Options granted automatically pursuant to this Program, except to the extent such other provisions are inconsistent with this Program. All applicable terms of the Plan apply to this Program as if fully set forth herein, and all grants of Options hereby are subject in all respects to the terms of the Plan. The grant of any Option under this Program shall be made solely by and subject to the terms set forth in a written agreement in a form to be approved by the Board and duly executed by an executive officer of the Company.</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 *</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472" w:name="page473"/>
    <w:bookmarkEnd w:id="472"/>
    <w:p>
      <w:pPr>
        <w:jc w:val="right"/>
        <w:spacing w:after="0"/>
        <w:rPr>
          <w:sz w:val="20"/>
          <w:szCs w:val="20"/>
          <w:color w:val="auto"/>
        </w:rPr>
      </w:pPr>
      <w:r>
        <w:rPr>
          <w:rFonts w:ascii="Arial" w:cs="Arial" w:eastAsia="Arial" w:hAnsi="Arial"/>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Indemnification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effective as of _______ by and between Revolution Medicines, Inc., a Delaware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__________ (“</w:t>
      </w:r>
      <w:r>
        <w:rPr>
          <w:rFonts w:ascii="Arial" w:cs="Arial" w:eastAsia="Arial" w:hAnsi="Arial"/>
          <w:sz w:val="16"/>
          <w:szCs w:val="16"/>
          <w:u w:val="single" w:color="auto"/>
          <w:color w:val="auto"/>
        </w:rPr>
        <w:t>Indemnitee</w:t>
      </w:r>
      <w:r>
        <w:rPr>
          <w:rFonts w:ascii="Arial" w:cs="Arial" w:eastAsia="Arial" w:hAnsi="Arial"/>
          <w:sz w:val="16"/>
          <w:szCs w:val="16"/>
          <w:color w:val="auto"/>
        </w:rPr>
        <w:t>”). This Agreement supersedes and replaces any and all previous agreements between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and the Indemnitee covering indemnification.</w:t>
      </w:r>
    </w:p>
    <w:p>
      <w:pPr>
        <w:spacing w:after="0" w:line="211" w:lineRule="exact"/>
        <w:rPr>
          <w:sz w:val="20"/>
          <w:szCs w:val="20"/>
          <w:color w:val="auto"/>
        </w:rPr>
      </w:pPr>
    </w:p>
    <w:p>
      <w:pPr>
        <w:jc w:val="both"/>
        <w:ind w:right="20" w:firstLine="441"/>
        <w:spacing w:after="0" w:line="308" w:lineRule="auto"/>
        <w:rPr>
          <w:sz w:val="20"/>
          <w:szCs w:val="20"/>
          <w:color w:val="auto"/>
        </w:rPr>
      </w:pPr>
      <w:r>
        <w:rPr>
          <w:rFonts w:ascii="Arial" w:cs="Arial" w:eastAsia="Arial" w:hAnsi="Arial"/>
          <w:sz w:val="17"/>
          <w:szCs w:val="17"/>
          <w:color w:val="auto"/>
        </w:rPr>
        <w:t>A. The Company recognizes the difficulty in obtaining liability insurance for its directors, officers, employees, controlling persons, fiduciaries and other agents and affiliates, the significant cost of such insurance and the general limitations in the coverage of such insurance.</w:t>
      </w:r>
    </w:p>
    <w:p>
      <w:pPr>
        <w:spacing w:after="0" w:line="147"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B. The Company further recognizes the substantial increase in corporate litigation in general, subjecting directors, officers, employees, controlling persons, fiduciaries and other agents and affiliates to expensive litigation risks at the same time as the availability and coverage of liability insurance has been severely limited.</w:t>
      </w:r>
    </w:p>
    <w:p>
      <w:pPr>
        <w:spacing w:after="0" w:line="181"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C. The current protection available to directors, officers, employees, controlling persons, fiduciaries and other agents and affiliates of the Company may not be adequate under the present circumstances, and directors, officers, employees, controlling persons, fiduciaries and other agents and affiliates of the Company (or persons who may be alleged or deemed to be the same), including the Indemnitee, may not be willing to serve or continue to serve or be associated with the Company in such capacities without additional protection.</w:t>
      </w:r>
    </w:p>
    <w:p>
      <w:pPr>
        <w:spacing w:after="0" w:line="171"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D. The Company (a) desires to attract and retain the involvement of highly qualified persons, such as Indemnitee, to serve and be associated with the Company, and (b) accordingly, wishes to provide for the indemnification and advancement of expenses to the Indemnitee to the maximum extent permitted by law.</w:t>
      </w:r>
    </w:p>
    <w:p>
      <w:pPr>
        <w:spacing w:after="0" w:line="181"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E. In view of the considerations set forth above, the Company desires that Indemnitee shall be indemnified and advanced expenses by the Company as set forth 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In consideration of the mutual promises and covenants contained herein, the receipt and sufficiency of which are hereby acknowledged, the parties hereto agree as follows:</w:t>
      </w:r>
    </w:p>
    <w:p>
      <w:pPr>
        <w:spacing w:after="0" w:line="58" w:lineRule="exact"/>
        <w:rPr>
          <w:sz w:val="20"/>
          <w:szCs w:val="20"/>
          <w:color w:val="auto"/>
        </w:rPr>
      </w:pPr>
    </w:p>
    <w:p>
      <w:pPr>
        <w:ind w:left="620" w:hanging="176"/>
        <w:spacing w:after="0"/>
        <w:tabs>
          <w:tab w:leader="none" w:pos="62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Certain Definitions.</w:t>
      </w:r>
    </w:p>
    <w:p>
      <w:pPr>
        <w:spacing w:after="0" w:line="229" w:lineRule="exact"/>
        <w:rPr>
          <w:rFonts w:ascii="Arial" w:cs="Arial" w:eastAsia="Arial" w:hAnsi="Arial"/>
          <w:sz w:val="18"/>
          <w:szCs w:val="18"/>
          <w:b w:val="1"/>
          <w:bCs w:val="1"/>
          <w:color w:val="auto"/>
        </w:rPr>
      </w:pPr>
    </w:p>
    <w:p>
      <w:pPr>
        <w:ind w:right="80" w:firstLine="996"/>
        <w:spacing w:after="0" w:line="279" w:lineRule="auto"/>
        <w:tabs>
          <w:tab w:leader="none" w:pos="1237" w:val="left"/>
        </w:tabs>
        <w:numPr>
          <w:ilvl w:val="1"/>
          <w:numId w:val="2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Change in Control</w:t>
      </w:r>
      <w:r>
        <w:rPr>
          <w:rFonts w:ascii="Arial" w:cs="Arial" w:eastAsia="Arial" w:hAnsi="Arial"/>
          <w:sz w:val="17"/>
          <w:szCs w:val="17"/>
          <w:color w:val="auto"/>
        </w:rPr>
        <w:t>” shall be deemed to have occurred if, on or after the date of this Agreement, (i) any “person” (as such term is used in Sections 13(d) and 14(d) of the Securities Exchange Act of 1934, as amended), other than a trustee or other fiduciary holding securities under an employee benefit plan of the Company acting in such capacity or a corporation owned directly or indirectly by the stockholders of the Company in substantially the same proportions as their ownership of stock of the Company, becomes the “beneficial owner”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73" w:name="page474"/>
    <w:bookmarkEnd w:id="473"/>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defined in Rule 13d-3 under said Act), directly or indirectly, of securities of the Company representing more than fifty percent (50%) of the total voting power represented by the Company’s then outstanding Voting Securities, (ii) during any period of two (2) consecutive years, individuals who at the beginning of such period constitute the Board of Directors of the Company and any new director whose election by the Board of Directors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(iii) the stockholders of the Company approve a merger or consolidation of the Company with any other corporation other than a merger or consolidation which would result in the Voting Securities of the Company outstanding immediately prior thereto continuing to represent (either by remaining outstanding or by being converted into Voting Securities of the surviving entity) at least eighty percent (80%) of the total voting power represented by the Voting Securities of the Company or such surviving entity outstanding immediately after such merger or consolidation or</w:t>
      </w:r>
    </w:p>
    <w:p>
      <w:pPr>
        <w:spacing w:after="0" w:line="7" w:lineRule="exact"/>
        <w:rPr>
          <w:sz w:val="20"/>
          <w:szCs w:val="20"/>
          <w:color w:val="auto"/>
        </w:rPr>
      </w:pPr>
    </w:p>
    <w:p>
      <w:pPr>
        <w:ind w:right="680" w:firstLine="4"/>
        <w:spacing w:after="0" w:line="290" w:lineRule="auto"/>
        <w:tabs>
          <w:tab w:leader="none" w:pos="305" w:val="left"/>
        </w:tabs>
        <w:numPr>
          <w:ilvl w:val="0"/>
          <w:numId w:val="274"/>
        </w:numPr>
        <w:rPr>
          <w:rFonts w:ascii="Arial" w:cs="Arial" w:eastAsia="Arial" w:hAnsi="Arial"/>
          <w:sz w:val="17"/>
          <w:szCs w:val="17"/>
          <w:color w:val="auto"/>
        </w:rPr>
      </w:pPr>
      <w:r>
        <w:rPr>
          <w:rFonts w:ascii="Arial" w:cs="Arial" w:eastAsia="Arial" w:hAnsi="Arial"/>
          <w:sz w:val="17"/>
          <w:szCs w:val="17"/>
          <w:color w:val="auto"/>
        </w:rPr>
        <w:t>the stockholders of the Company approve a plan of complete liquidation of the Company or an agreement for the sale or disposition by the Company of (in one transaction or a series of related transactions) all or substantially all of the Company’s assets.</w:t>
      </w:r>
    </w:p>
    <w:p>
      <w:pPr>
        <w:spacing w:after="0" w:line="161" w:lineRule="exact"/>
        <w:rPr>
          <w:rFonts w:ascii="Arial" w:cs="Arial" w:eastAsia="Arial" w:hAnsi="Arial"/>
          <w:sz w:val="17"/>
          <w:szCs w:val="17"/>
          <w:color w:val="auto"/>
        </w:rPr>
      </w:pPr>
    </w:p>
    <w:p>
      <w:pPr>
        <w:ind w:right="120" w:firstLine="996"/>
        <w:spacing w:after="0" w:line="257" w:lineRule="auto"/>
        <w:tabs>
          <w:tab w:leader="none" w:pos="1247"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w:t>
      </w:r>
      <w:r>
        <w:rPr>
          <w:rFonts w:ascii="Arial" w:cs="Arial" w:eastAsia="Arial" w:hAnsi="Arial"/>
          <w:sz w:val="18"/>
          <w:szCs w:val="18"/>
          <w:color w:val="auto"/>
        </w:rPr>
        <w:t>” shall mean with respect to a Covered Event: any threatened, asserted, pending or completed action, suit, proceeding or alternative dispute resolution mechanism, or any hearing, inquiry or investigation (formal or informal) that Indemnitee [(or in the case of a Fund Indemnitor (as defined in Section 18 below) seeking to be indemnified, a Fund Indemnitor)]</w:t>
      </w:r>
      <w:r>
        <w:rPr>
          <w:rFonts w:ascii="Arial" w:cs="Arial" w:eastAsia="Arial" w:hAnsi="Arial"/>
          <w:sz w:val="15"/>
          <w:szCs w:val="15"/>
          <w:color w:val="auto"/>
        </w:rPr>
        <w:t>1</w:t>
      </w:r>
      <w:r>
        <w:rPr>
          <w:rFonts w:ascii="Arial" w:cs="Arial" w:eastAsia="Arial" w:hAnsi="Arial"/>
          <w:sz w:val="18"/>
          <w:szCs w:val="18"/>
          <w:color w:val="auto"/>
        </w:rPr>
        <w:t xml:space="preserve"> in good faith believes might lead to the institution of any such action, suit, proceeding or alternative dispute resolution mechanism, whether civil, criminal, administrative, investigative or other, including any appeal therefrom.</w:t>
      </w:r>
    </w:p>
    <w:p>
      <w:pPr>
        <w:spacing w:after="0" w:line="188" w:lineRule="exact"/>
        <w:rPr>
          <w:rFonts w:ascii="Arial" w:cs="Arial" w:eastAsia="Arial" w:hAnsi="Arial"/>
          <w:sz w:val="18"/>
          <w:szCs w:val="18"/>
          <w:color w:val="auto"/>
        </w:rPr>
      </w:pPr>
    </w:p>
    <w:p>
      <w:pPr>
        <w:ind w:right="40" w:firstLine="996"/>
        <w:spacing w:after="0" w:line="291" w:lineRule="auto"/>
        <w:tabs>
          <w:tab w:leader="none" w:pos="1237" w:val="left"/>
        </w:tabs>
        <w:numPr>
          <w:ilvl w:val="1"/>
          <w:numId w:val="274"/>
        </w:numPr>
        <w:rPr>
          <w:rFonts w:ascii="Arial" w:cs="Arial" w:eastAsia="Arial" w:hAnsi="Arial"/>
          <w:sz w:val="16"/>
          <w:szCs w:val="16"/>
          <w:color w:val="auto"/>
        </w:rPr>
      </w:pPr>
      <w:r>
        <w:rPr>
          <w:rFonts w:ascii="Arial" w:cs="Arial" w:eastAsia="Arial" w:hAnsi="Arial"/>
          <w:sz w:val="16"/>
          <w:szCs w:val="16"/>
          <w:color w:val="auto"/>
        </w:rPr>
        <w:t>References to the “</w:t>
      </w:r>
      <w:r>
        <w:rPr>
          <w:rFonts w:ascii="Arial" w:cs="Arial" w:eastAsia="Arial" w:hAnsi="Arial"/>
          <w:sz w:val="16"/>
          <w:szCs w:val="16"/>
          <w:i w:val="1"/>
          <w:iCs w:val="1"/>
          <w:color w:val="auto"/>
        </w:rPr>
        <w:t>Company</w:t>
      </w:r>
      <w:r>
        <w:rPr>
          <w:rFonts w:ascii="Arial" w:cs="Arial" w:eastAsia="Arial" w:hAnsi="Arial"/>
          <w:sz w:val="16"/>
          <w:szCs w:val="16"/>
          <w:color w:val="auto"/>
        </w:rPr>
        <w:t>” shall include, in addition to Revolution Medicines, Inc., any constituent corporation (including any constituent of a constituent) absorbed in a consolidation or merger to which Revolution Medicines, Inc. (or any of its wholly owned subsidiaries) is a party, which, if its separate existence had continued, would have had power and authority to indemnify its directors, officers, employees, agents or fiduciaries, so that if Indemnitee is or was a director, officer, employee, agent or fiduciary of such constituent corporation, or is or was serving at the request of such constituent corporation as a director, officer, employee, agent or fiduciary of another corporation, partnership, joint venture, employee benefit plan, trust or other enterprise, Indemnitee shall stand in the same position under the provisions of this Agreement with respect to the resulting or surviving corporation as Indemnitee would have with respect to such constituent corporation if its separate existence had continued.</w:t>
      </w:r>
    </w:p>
    <w:p>
      <w:pPr>
        <w:spacing w:after="0" w:line="167" w:lineRule="exact"/>
        <w:rPr>
          <w:rFonts w:ascii="Arial" w:cs="Arial" w:eastAsia="Arial" w:hAnsi="Arial"/>
          <w:sz w:val="16"/>
          <w:szCs w:val="16"/>
          <w:color w:val="auto"/>
        </w:rPr>
      </w:pPr>
    </w:p>
    <w:p>
      <w:pPr>
        <w:ind w:firstLine="996"/>
        <w:spacing w:after="0" w:line="257" w:lineRule="auto"/>
        <w:tabs>
          <w:tab w:leader="none" w:pos="1247" w:val="left"/>
        </w:tabs>
        <w:numPr>
          <w:ilvl w:val="1"/>
          <w:numId w:val="2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Event</w:t>
      </w:r>
      <w:r>
        <w:rPr>
          <w:rFonts w:ascii="Arial" w:cs="Arial" w:eastAsia="Arial" w:hAnsi="Arial"/>
          <w:sz w:val="18"/>
          <w:szCs w:val="18"/>
          <w:color w:val="auto"/>
        </w:rPr>
        <w:t>” shall mean any event or occurrence by reason of the fact that Indemnitee is or was a director, officer, employee, agent or fiduciary of the Company, or any subsidiary of the Company, direct or indirect, whether before or after the date of this Agreement, or is or was serving at the request of the Company as a director, officer, employee, agent or fiduciary of another corporation, partnership, joint venture, trust or other enterprise, or by reason of any action or inaction on the part of Indemnitee while serving in such capacity, whether before or after the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wp:posOffset>
            </wp:positionV>
            <wp:extent cx="76327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37" w:lineRule="exact"/>
        <w:rPr>
          <w:sz w:val="20"/>
          <w:szCs w:val="20"/>
          <w:color w:val="auto"/>
        </w:rPr>
      </w:pPr>
    </w:p>
    <w:p>
      <w:pPr>
        <w:ind w:left="440" w:hanging="436"/>
        <w:spacing w:after="0"/>
        <w:tabs>
          <w:tab w:leader="none" w:pos="440" w:val="left"/>
        </w:tabs>
        <w:numPr>
          <w:ilvl w:val="0"/>
          <w:numId w:val="275"/>
        </w:numPr>
        <w:rPr>
          <w:rFonts w:ascii="Arial" w:cs="Arial" w:eastAsia="Arial" w:hAnsi="Arial"/>
          <w:sz w:val="15"/>
          <w:szCs w:val="15"/>
          <w:color w:val="auto"/>
        </w:rPr>
      </w:pPr>
      <w:r>
        <w:rPr>
          <w:rFonts w:ascii="Arial" w:cs="Arial" w:eastAsia="Arial" w:hAnsi="Arial"/>
          <w:sz w:val="18"/>
          <w:szCs w:val="18"/>
          <w:b w:val="1"/>
          <w:bCs w:val="1"/>
          <w:color w:val="auto"/>
        </w:rPr>
        <w:t>Note to Form</w:t>
      </w:r>
      <w:r>
        <w:rPr>
          <w:rFonts w:ascii="Arial" w:cs="Arial" w:eastAsia="Arial" w:hAnsi="Arial"/>
          <w:sz w:val="18"/>
          <w:szCs w:val="18"/>
          <w:color w:val="auto"/>
        </w:rPr>
        <w:t>: To be included when applicable.</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3" w:right="479" w:bottom="1440" w:gutter="0" w:footer="0" w:header="0"/>
        </w:sectPr>
      </w:pPr>
    </w:p>
    <w:bookmarkStart w:id="474" w:name="page475"/>
    <w:bookmarkEnd w:id="474"/>
    <w:p>
      <w:pPr>
        <w:jc w:val="both"/>
        <w:ind w:left="-60" w:right="100" w:firstLine="996"/>
        <w:spacing w:after="0" w:line="342" w:lineRule="auto"/>
        <w:tabs>
          <w:tab w:leader="none" w:pos="1177" w:val="left"/>
        </w:tabs>
        <w:numPr>
          <w:ilvl w:val="0"/>
          <w:numId w:val="2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i w:val="1"/>
          <w:iCs w:val="1"/>
          <w:color w:val="auto"/>
        </w:rPr>
        <w:t>Expense Advance</w:t>
      </w:r>
      <w:r>
        <w:rPr>
          <w:rFonts w:ascii="Arial" w:cs="Arial" w:eastAsia="Arial" w:hAnsi="Arial"/>
          <w:sz w:val="16"/>
          <w:szCs w:val="16"/>
          <w:color w:val="auto"/>
        </w:rPr>
        <w:t>” shall mean a payment to Indemnitee for Expenses pursuant to Section 3 hereof, in advance of the settlement of or final judgment in any action, suit, proceeding or alternative dispute resolution mechanism, hearing, inquiry or investigation, which constitutes a Claim.</w:t>
      </w:r>
    </w:p>
    <w:p>
      <w:pPr>
        <w:spacing w:after="0" w:line="123" w:lineRule="exact"/>
        <w:rPr>
          <w:rFonts w:ascii="Arial" w:cs="Arial" w:eastAsia="Arial" w:hAnsi="Arial"/>
          <w:sz w:val="16"/>
          <w:szCs w:val="16"/>
          <w:color w:val="auto"/>
        </w:rPr>
      </w:pPr>
    </w:p>
    <w:p>
      <w:pPr>
        <w:ind w:left="-60" w:right="80" w:firstLine="996"/>
        <w:spacing w:after="0" w:line="255" w:lineRule="auto"/>
        <w:tabs>
          <w:tab w:leader="none" w:pos="1157"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Expenses</w:t>
      </w:r>
      <w:r>
        <w:rPr>
          <w:rFonts w:ascii="Arial" w:cs="Arial" w:eastAsia="Arial" w:hAnsi="Arial"/>
          <w:sz w:val="18"/>
          <w:szCs w:val="18"/>
          <w:color w:val="auto"/>
        </w:rPr>
        <w:t>” shall mean any and all direct and indirect costs, losses, claims, damages, fees, expenses and liabilities, joint or several (including reasonable attorneys’ fees and all other costs, expenses and obligations reasonably incurred in connection with investigating, defending, being a witness in or participating in (including on appeal), or preparing to defend, to be a witness in or to participate in, any action, suit, proceeding, alternative dispute resolution mechanism, hearing, inquiry or investigation), judgments, fines, penalties and amounts paid in settlement (if such settlement is approved in advance by the Company, which approval shall not be unreasonably withheld) actually and reasonably incurred, of any Claim and any federal, state, local or foreign taxes imposed on the Indemnitee as a result of the actual or deemed receipt of any payments under this Agreement, ERISA excise taxes and penalties.</w:t>
      </w:r>
    </w:p>
    <w:p>
      <w:pPr>
        <w:spacing w:after="0" w:line="189" w:lineRule="exact"/>
        <w:rPr>
          <w:rFonts w:ascii="Arial" w:cs="Arial" w:eastAsia="Arial" w:hAnsi="Arial"/>
          <w:sz w:val="18"/>
          <w:szCs w:val="18"/>
          <w:color w:val="auto"/>
        </w:rPr>
      </w:pPr>
    </w:p>
    <w:p>
      <w:pPr>
        <w:ind w:left="-60" w:right="120" w:firstLine="996"/>
        <w:spacing w:after="0" w:line="293" w:lineRule="auto"/>
        <w:tabs>
          <w:tab w:leader="none" w:pos="1187" w:val="left"/>
        </w:tabs>
        <w:numPr>
          <w:ilvl w:val="0"/>
          <w:numId w:val="2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Independent Legal Counsel</w:t>
      </w:r>
      <w:r>
        <w:rPr>
          <w:rFonts w:ascii="Arial" w:cs="Arial" w:eastAsia="Arial" w:hAnsi="Arial"/>
          <w:sz w:val="16"/>
          <w:szCs w:val="16"/>
          <w:color w:val="auto"/>
        </w:rPr>
        <w:t>” shall mean an attorney or firm of attorneys, selected in accordance with the provisions of Section 2(d) hereof, who shall not have otherwise performed services for (i) the Company or Indemnitee in any matter material to either such party (other than with respect to matters concerning the rights of Indemnitee under this Agreement, or of other indemnitees under similar indemnity agreements) or (ii) any other party to the Claim giving rise to a claim for indemnification hereunder, within the last three (3) years. Notwithstanding the foregoing, the term “Independent Legal Counsel”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color w:val="auto"/>
        </w:rPr>
      </w:pPr>
    </w:p>
    <w:p>
      <w:pPr>
        <w:ind w:left="-60" w:firstLine="996"/>
        <w:spacing w:after="0" w:line="273" w:lineRule="auto"/>
        <w:tabs>
          <w:tab w:leader="none" w:pos="1187" w:val="left"/>
        </w:tabs>
        <w:numPr>
          <w:ilvl w:val="0"/>
          <w:numId w:val="276"/>
        </w:numPr>
        <w:rPr>
          <w:rFonts w:ascii="Arial" w:cs="Arial" w:eastAsia="Arial" w:hAnsi="Arial"/>
          <w:sz w:val="17"/>
          <w:szCs w:val="17"/>
          <w:color w:val="auto"/>
        </w:rPr>
      </w:pPr>
      <w:r>
        <w:rPr>
          <w:rFonts w:ascii="Arial" w:cs="Arial" w:eastAsia="Arial" w:hAnsi="Arial"/>
          <w:sz w:val="17"/>
          <w:szCs w:val="17"/>
          <w:color w:val="auto"/>
        </w:rPr>
        <w:t>References to “</w:t>
      </w:r>
      <w:r>
        <w:rPr>
          <w:rFonts w:ascii="Arial" w:cs="Arial" w:eastAsia="Arial" w:hAnsi="Arial"/>
          <w:sz w:val="17"/>
          <w:szCs w:val="17"/>
          <w:i w:val="1"/>
          <w:i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i w:val="1"/>
          <w:iCs w:val="1"/>
          <w:color w:val="auto"/>
        </w:rPr>
        <w:t>fines”</w:t>
      </w:r>
      <w:r>
        <w:rPr>
          <w:rFonts w:ascii="Arial" w:cs="Arial" w:eastAsia="Arial" w:hAnsi="Arial"/>
          <w:sz w:val="17"/>
          <w:szCs w:val="17"/>
          <w:color w:val="auto"/>
        </w:rPr>
        <w:t xml:space="preserve"> shall include any excise taxes assessed on Indemnitee with respect to an employee benefit plan; and references to “</w:t>
      </w:r>
      <w:r>
        <w:rPr>
          <w:rFonts w:ascii="Arial" w:cs="Arial" w:eastAsia="Arial" w:hAnsi="Arial"/>
          <w:sz w:val="17"/>
          <w:szCs w:val="17"/>
          <w:i w:val="1"/>
          <w:iCs w:val="1"/>
          <w:color w:val="auto"/>
        </w:rPr>
        <w:t>serving at the request of the Company</w:t>
      </w:r>
      <w:r>
        <w:rPr>
          <w:rFonts w:ascii="Arial" w:cs="Arial" w:eastAsia="Arial" w:hAnsi="Arial"/>
          <w:sz w:val="17"/>
          <w:szCs w:val="17"/>
          <w:color w:val="auto"/>
        </w:rPr>
        <w:t>” shall include any service as a director, officer, employee, agent or fiduciary of the Company which imposes duties on, or involves services by, such director, officer, employee, agent or fiduciary with respect to an employee benefit plan, its participants or its beneficiaries; and if Indemnitee acted in good faith and in a manner Indemnitee reasonably believed to be in the interest of the participants and beneficiaries of an employee benefit plan, Indemnitee shall be deemed to have acted in a manner “</w:t>
      </w:r>
      <w:r>
        <w:rPr>
          <w:rFonts w:ascii="Arial" w:cs="Arial" w:eastAsia="Arial" w:hAnsi="Arial"/>
          <w:sz w:val="17"/>
          <w:szCs w:val="17"/>
          <w:i w:val="1"/>
          <w:iCs w:val="1"/>
          <w:color w:val="auto"/>
        </w:rPr>
        <w:t>not opposed to the best interests of the Company</w:t>
      </w:r>
      <w:r>
        <w:rPr>
          <w:rFonts w:ascii="Arial" w:cs="Arial" w:eastAsia="Arial" w:hAnsi="Arial"/>
          <w:sz w:val="17"/>
          <w:szCs w:val="17"/>
          <w:color w:val="auto"/>
        </w:rPr>
        <w:t>” as referred to in this Agreement.</w:t>
      </w:r>
    </w:p>
    <w:p>
      <w:pPr>
        <w:spacing w:after="0" w:line="178" w:lineRule="exact"/>
        <w:rPr>
          <w:rFonts w:ascii="Arial" w:cs="Arial" w:eastAsia="Arial" w:hAnsi="Arial"/>
          <w:sz w:val="17"/>
          <w:szCs w:val="17"/>
          <w:color w:val="auto"/>
        </w:rPr>
      </w:pPr>
    </w:p>
    <w:p>
      <w:pPr>
        <w:ind w:left="-60" w:right="100" w:firstLine="996"/>
        <w:spacing w:after="0" w:line="297" w:lineRule="auto"/>
        <w:tabs>
          <w:tab w:leader="none" w:pos="1147" w:val="left"/>
        </w:tabs>
        <w:numPr>
          <w:ilvl w:val="0"/>
          <w:numId w:val="27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Reviewing Party</w:t>
      </w:r>
      <w:r>
        <w:rPr>
          <w:rFonts w:ascii="Arial" w:cs="Arial" w:eastAsia="Arial" w:hAnsi="Arial"/>
          <w:sz w:val="16"/>
          <w:szCs w:val="16"/>
          <w:color w:val="auto"/>
        </w:rPr>
        <w:t>” shall mean, subject to the provisions of Section 2(d), any person or body appointed by the Board of Directors in accordance with applicable law to review the Company’s obligations hereunder and under applicable law, which may include a member or members of the Company’s Board of Directors, Independent Legal Counsel or any other person or body not a party to the particular Claim for which Indemnitee is seeking indemnification, exoneration or hold harmless rights. In the absence of the appointment of another Reviewing Party, but subject to the provisions of Section 2(d), the full Board of Directors shall be deemed to be the “Reviewing Party” within the meaning of this Agreement.</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20"/>
          </w:cols>
          <w:pgMar w:left="500" w:top="274" w:right="479" w:bottom="1440" w:gutter="0" w:footer="0" w:header="0"/>
        </w:sectPr>
      </w:pPr>
    </w:p>
    <w:bookmarkStart w:id="475" w:name="page476"/>
    <w:bookmarkEnd w:id="475"/>
    <w:p>
      <w:pPr>
        <w:ind w:left="1200" w:hanging="224"/>
        <w:spacing w:after="0"/>
        <w:tabs>
          <w:tab w:leader="none" w:pos="1200" w:val="left"/>
        </w:tabs>
        <w:numPr>
          <w:ilvl w:val="1"/>
          <w:numId w:val="2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i w:val="1"/>
          <w:iCs w:val="1"/>
          <w:color w:val="auto"/>
        </w:rPr>
        <w:t>Section</w:t>
      </w:r>
      <w:r>
        <w:rPr>
          <w:rFonts w:ascii="Arial" w:cs="Arial" w:eastAsia="Arial" w:hAnsi="Arial"/>
          <w:sz w:val="18"/>
          <w:szCs w:val="18"/>
          <w:color w:val="auto"/>
        </w:rPr>
        <w:t>” refers to a section of this Agreement unless otherwise indicated.</w:t>
      </w:r>
    </w:p>
    <w:p>
      <w:pPr>
        <w:spacing w:after="0" w:line="225" w:lineRule="exact"/>
        <w:rPr>
          <w:rFonts w:ascii="Arial" w:cs="Arial" w:eastAsia="Arial" w:hAnsi="Arial"/>
          <w:sz w:val="18"/>
          <w:szCs w:val="18"/>
          <w:color w:val="auto"/>
        </w:rPr>
      </w:pPr>
    </w:p>
    <w:p>
      <w:pPr>
        <w:ind w:left="1240" w:hanging="264"/>
        <w:spacing w:after="0"/>
        <w:tabs>
          <w:tab w:leader="none" w:pos="1240" w:val="left"/>
        </w:tabs>
        <w:numPr>
          <w:ilvl w:val="1"/>
          <w:numId w:val="2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Securities</w:t>
      </w:r>
      <w:r>
        <w:rPr>
          <w:rFonts w:ascii="Arial" w:cs="Arial" w:eastAsia="Arial" w:hAnsi="Arial"/>
          <w:sz w:val="18"/>
          <w:szCs w:val="18"/>
          <w:color w:val="auto"/>
        </w:rPr>
        <w:t>” shall mean any securities of the Company that vote generally in the election of directors.</w:t>
      </w:r>
    </w:p>
    <w:p>
      <w:pPr>
        <w:spacing w:after="0" w:line="221" w:lineRule="exact"/>
        <w:rPr>
          <w:rFonts w:ascii="Arial" w:cs="Arial" w:eastAsia="Arial" w:hAnsi="Arial"/>
          <w:sz w:val="18"/>
          <w:szCs w:val="18"/>
          <w:color w:val="auto"/>
        </w:rPr>
      </w:pPr>
    </w:p>
    <w:p>
      <w:pPr>
        <w:ind w:left="600" w:hanging="176"/>
        <w:spacing w:after="0"/>
        <w:tabs>
          <w:tab w:leader="none" w:pos="60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20" w:right="60" w:firstLine="996"/>
        <w:spacing w:after="0" w:line="279" w:lineRule="auto"/>
        <w:tabs>
          <w:tab w:leader="none" w:pos="1216" w:val="left"/>
        </w:tabs>
        <w:numPr>
          <w:ilvl w:val="1"/>
          <w:numId w:val="278"/>
        </w:numPr>
        <w:rPr>
          <w:rFonts w:ascii="Arial" w:cs="Arial" w:eastAsia="Arial" w:hAnsi="Arial"/>
          <w:sz w:val="17"/>
          <w:szCs w:val="17"/>
          <w:color w:val="auto"/>
        </w:rPr>
      </w:pPr>
      <w:r>
        <w:rPr>
          <w:rFonts w:ascii="Arial" w:cs="Arial" w:eastAsia="Arial" w:hAnsi="Arial"/>
          <w:sz w:val="17"/>
          <w:szCs w:val="17"/>
          <w:u w:val="single" w:color="auto"/>
          <w:color w:val="auto"/>
        </w:rPr>
        <w:t>Indemnification of Expenses</w:t>
      </w:r>
      <w:r>
        <w:rPr>
          <w:rFonts w:ascii="Arial" w:cs="Arial" w:eastAsia="Arial" w:hAnsi="Arial"/>
          <w:sz w:val="17"/>
          <w:szCs w:val="17"/>
          <w:color w:val="auto"/>
        </w:rPr>
        <w:t>. Subject to the provisions of Section 2(b) below, the Company shall indemnify, exonerate or hold harmless Indemnitee for Expenses to the fullest extent permitted by law if Indemnitee was, is or becomes a party to or witness or other participant in, or is threatened to be made a party to or witness or other participant in, any Claim (whether by reason of or arising in part out of a Covered Event), including all interest, assessments and other charges incurred in connection with or in respect of such Expenses.</w:t>
      </w:r>
    </w:p>
    <w:p>
      <w:pPr>
        <w:spacing w:after="0" w:line="171" w:lineRule="exact"/>
        <w:rPr>
          <w:rFonts w:ascii="Arial" w:cs="Arial" w:eastAsia="Arial" w:hAnsi="Arial"/>
          <w:sz w:val="17"/>
          <w:szCs w:val="17"/>
          <w:color w:val="auto"/>
        </w:rPr>
      </w:pPr>
    </w:p>
    <w:p>
      <w:pPr>
        <w:ind w:left="1240" w:hanging="264"/>
        <w:spacing w:after="0"/>
        <w:tabs>
          <w:tab w:leader="none" w:pos="1240" w:val="left"/>
        </w:tabs>
        <w:numPr>
          <w:ilvl w:val="1"/>
          <w:numId w:val="278"/>
        </w:numPr>
        <w:rPr>
          <w:rFonts w:ascii="Arial" w:cs="Arial" w:eastAsia="Arial" w:hAnsi="Arial"/>
          <w:sz w:val="18"/>
          <w:szCs w:val="18"/>
          <w:color w:val="auto"/>
        </w:rPr>
      </w:pPr>
      <w:r>
        <w:rPr>
          <w:rFonts w:ascii="Arial" w:cs="Arial" w:eastAsia="Arial" w:hAnsi="Arial"/>
          <w:sz w:val="18"/>
          <w:szCs w:val="18"/>
          <w:u w:val="single" w:color="auto"/>
          <w:color w:val="auto"/>
        </w:rPr>
        <w:t>Review of Indemnification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1436"/>
        <w:spacing w:after="0" w:line="287" w:lineRule="auto"/>
        <w:tabs>
          <w:tab w:leader="none" w:pos="1628" w:val="left"/>
        </w:tabs>
        <w:numPr>
          <w:ilvl w:val="2"/>
          <w:numId w:val="278"/>
        </w:numPr>
        <w:rPr>
          <w:rFonts w:ascii="Arial" w:cs="Arial" w:eastAsia="Arial" w:hAnsi="Arial"/>
          <w:sz w:val="16"/>
          <w:szCs w:val="16"/>
          <w:color w:val="auto"/>
        </w:rPr>
      </w:pPr>
      <w:r>
        <w:rPr>
          <w:rFonts w:ascii="Arial" w:cs="Arial" w:eastAsia="Arial" w:hAnsi="Arial"/>
          <w:sz w:val="16"/>
          <w:szCs w:val="16"/>
          <w:color w:val="auto"/>
        </w:rPr>
        <w:t xml:space="preserve">Notwithstanding the foregoing, in the event any Reviewing Party shall have determined (in a written opinion, in any case in which Independent Legal Counsel is the Reviewing Party) that Indemnitee is not entitled to be indemnified, exonerated or held harmless hereunder under applicable law, (A) the Company shall have no further obligation under Section 2(a) to make any payments to Indemnitee not made prior to such determination by such Reviewing Party and (B) the Company shall be entitled to be reimbursed by Indemnitee (who hereby agrees to reimburse the Company) for all Expenses theretofore paid in indemnifying, exonerating or holding harmless Indemnitee (within thirty (30) days after such determination);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Indemnitee has commenced or thereafter commences legal proceedings in a court of competent jurisdiction to secure a determination that Indemnitee is entitled to be indemnified, exonerated or held harmless hereunder under applicable law, any determination made by any Reviewing Party that Indemnitee is not entitled to be indemnified hereunder under applicable law shall not be binding and Indemnitee shall not be required to reimburse the Company for any Expenses theretofore paid in indemnifying, exonerating or holding harmless Indemnitee until a final judicial determination is made with respect thereto (as to which all rights of appeal therefrom have been exhausted or lapsed). Indemnitee’s obligation to reimburse the Company for any Expenses shall be unsecured and no interest shall be charged thereon.</w:t>
      </w:r>
    </w:p>
    <w:p>
      <w:pPr>
        <w:spacing w:after="0" w:line="172" w:lineRule="exact"/>
        <w:rPr>
          <w:rFonts w:ascii="Arial" w:cs="Arial" w:eastAsia="Arial" w:hAnsi="Arial"/>
          <w:sz w:val="16"/>
          <w:szCs w:val="16"/>
          <w:color w:val="auto"/>
        </w:rPr>
      </w:pPr>
    </w:p>
    <w:p>
      <w:pPr>
        <w:ind w:left="-20" w:firstLine="1436"/>
        <w:spacing w:after="0" w:line="291" w:lineRule="auto"/>
        <w:tabs>
          <w:tab w:leader="none" w:pos="1678" w:val="left"/>
        </w:tabs>
        <w:numPr>
          <w:ilvl w:val="2"/>
          <w:numId w:val="278"/>
        </w:numPr>
        <w:rPr>
          <w:rFonts w:ascii="Arial" w:cs="Arial" w:eastAsia="Arial" w:hAnsi="Arial"/>
          <w:sz w:val="16"/>
          <w:szCs w:val="16"/>
          <w:color w:val="auto"/>
        </w:rPr>
      </w:pPr>
      <w:r>
        <w:rPr>
          <w:rFonts w:ascii="Arial" w:cs="Arial" w:eastAsia="Arial" w:hAnsi="Arial"/>
          <w:sz w:val="16"/>
          <w:szCs w:val="16"/>
          <w:color w:val="auto"/>
        </w:rPr>
        <w:t xml:space="preserve">Subject to Section 2(b)(iii) below, if the Reviewing Party shall not have made a determination within forty-five (45) days after receipt by the Company of the request therefor, the requisite determination of entitlement to indemnification shall, to the fullest extent not prohibited by law, be deemed to have been made and Indemnitee shall be entitled to such indemnification, absent (A) a misstatement by Indemnitee of a material fact, or an omission of a material fact necessary to make Indemnitee’s statement not materially misleading, in connection with the request for indemnification or (B) a prohibition of such indemnification under applicable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45-day period may be extended for a reasonable time, not to exceed an additional thirty (30) days, if the person, persons or entity making the determination with respect to entitlement to indemnification in good faith requires such additional time for the obtaining or evaluating of documentation and/or information relating thereto.</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476" w:name="page477"/>
    <w:bookmarkEnd w:id="476"/>
    <w:p>
      <w:pPr>
        <w:ind w:left="-20" w:firstLine="1436"/>
        <w:spacing w:after="0" w:line="277" w:lineRule="auto"/>
        <w:tabs>
          <w:tab w:leader="none" w:pos="1728" w:val="left"/>
        </w:tabs>
        <w:numPr>
          <w:ilvl w:val="1"/>
          <w:numId w:val="2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anything in this Agreement to the contrary, no determination as to entitlement of Indemnitee to indemnification under this Agreement shall be required to be made prior to the final disposition of the Claim.</w:t>
      </w:r>
    </w:p>
    <w:p>
      <w:pPr>
        <w:spacing w:after="0" w:line="170" w:lineRule="exact"/>
        <w:rPr>
          <w:rFonts w:ascii="Arial" w:cs="Arial" w:eastAsia="Arial" w:hAnsi="Arial"/>
          <w:sz w:val="18"/>
          <w:szCs w:val="18"/>
          <w:color w:val="auto"/>
        </w:rPr>
      </w:pPr>
    </w:p>
    <w:p>
      <w:pPr>
        <w:ind w:left="-20" w:right="60" w:firstLine="996"/>
        <w:spacing w:after="0" w:line="255" w:lineRule="auto"/>
        <w:tabs>
          <w:tab w:leader="none" w:pos="1216"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Indemnitee Rights on Unfavorable Determination; Binding Effect</w:t>
      </w:r>
      <w:r>
        <w:rPr>
          <w:rFonts w:ascii="Arial" w:cs="Arial" w:eastAsia="Arial" w:hAnsi="Arial"/>
          <w:sz w:val="18"/>
          <w:szCs w:val="18"/>
          <w:color w:val="auto"/>
        </w:rPr>
        <w:t>. If any Reviewing Party determines that Indemnitee substantively is not entitled to be indemnified, exonerated or held harmless hereunder in whole or in part under applicable law, Indemnitee shall have the right to commence litigation seeking an initial determination by the court or challenging any such determination by such Reviewing Party or any aspect thereof, including the legal or factual bases therefor, and, subject to the provisions of Section 15 hereof, the Company hereby consents to service of process and to appear in any such proceeding. Absent such litigation, any determination by any Reviewing Party shall be conclusive and binding on the Company and Indemnitee.</w:t>
      </w:r>
    </w:p>
    <w:p>
      <w:pPr>
        <w:spacing w:after="0" w:line="193" w:lineRule="exact"/>
        <w:rPr>
          <w:rFonts w:ascii="Arial" w:cs="Arial" w:eastAsia="Arial" w:hAnsi="Arial"/>
          <w:sz w:val="18"/>
          <w:szCs w:val="18"/>
          <w:color w:val="auto"/>
        </w:rPr>
      </w:pPr>
    </w:p>
    <w:p>
      <w:pPr>
        <w:ind w:left="-20" w:firstLine="996"/>
        <w:spacing w:after="0" w:line="286" w:lineRule="auto"/>
        <w:tabs>
          <w:tab w:leader="none" w:pos="1227" w:val="left"/>
        </w:tabs>
        <w:numPr>
          <w:ilvl w:val="0"/>
          <w:numId w:val="280"/>
        </w:numPr>
        <w:rPr>
          <w:rFonts w:ascii="Arial" w:cs="Arial" w:eastAsia="Arial" w:hAnsi="Arial"/>
          <w:sz w:val="16"/>
          <w:szCs w:val="16"/>
          <w:color w:val="auto"/>
        </w:rPr>
      </w:pPr>
      <w:r>
        <w:rPr>
          <w:rFonts w:ascii="Arial" w:cs="Arial" w:eastAsia="Arial" w:hAnsi="Arial"/>
          <w:sz w:val="16"/>
          <w:szCs w:val="16"/>
          <w:u w:val="single" w:color="auto"/>
          <w:color w:val="auto"/>
        </w:rPr>
        <w:t>Selection of Reviewing Party; Change in Control</w:t>
      </w:r>
      <w:r>
        <w:rPr>
          <w:rFonts w:ascii="Arial" w:cs="Arial" w:eastAsia="Arial" w:hAnsi="Arial"/>
          <w:sz w:val="16"/>
          <w:szCs w:val="16"/>
          <w:color w:val="auto"/>
        </w:rPr>
        <w:t>. If there has not been a Change in Control, any Reviewing Party shall be selected by the Board of Directors, which may be the full Board of Directors in the absence of the selection of another Reviewing Party, and if there has been such a Change in Control (other than a Change in Control which has been approved by a majority of the Company’s Board of Directors who were directors immediately prior to such Change in Control), any Reviewing Party with respect to all matters thereafter arising concerning Indemnitee’s indemnification, exoneration or hold harmless rights for Expenses under this Agreement or any other agreement or under the Company’s Certificate of Incorporation or bylaws as now or hereafter in effect, or under any other applicable law, if desired by Indemnitee, shall be Independent Legal Counsel selected by the Indemnitee and approved by Company (which approval shall not be unreasonably withheld). Such counsel, among other things, shall render its written opinion to the Company and Indemnitee as to whether and to what extent Indemnitee would be entitled to be indemnified, exonerated or held harmless hereunder under applicable law and the Company agrees to abide by such opinion. The Company agrees to pay the reasonable fees of the Independent Legal Counsel referred to above and to fully indemnify, exonerate and hold harmless such counsel against any and all expenses (including attorneys’ fees), claims, liabilities and damages arising out of or relating to this Agreement or its engagement pursuant hereto. Notwithstanding any other provision of this Agreement, the Company shall not be required to pay Expenses of more than one Independent Legal Counsel in connection with all matters concerning a single Indemnitee, and such Independent Legal Counsel shall be the Independent Legal Counsel for any or all other Indemnitees unless (i) the Company otherwise determines or (ii) any Indemnitee shall provide a written statement setting forth in detail a reasonable objection to such Independent Legal Counsel representing other Indemnitees.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60" w:top="274" w:right="439" w:bottom="1440" w:gutter="0" w:footer="0" w:header="0"/>
        </w:sectPr>
      </w:pPr>
    </w:p>
    <w:bookmarkStart w:id="477" w:name="page478"/>
    <w:bookmarkEnd w:id="477"/>
    <w:p>
      <w:pPr>
        <w:ind w:firstLine="996"/>
        <w:spacing w:after="0" w:line="290" w:lineRule="auto"/>
        <w:tabs>
          <w:tab w:leader="none" w:pos="1236" w:val="left"/>
        </w:tabs>
        <w:numPr>
          <w:ilvl w:val="0"/>
          <w:numId w:val="28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Mandatory Payment of Expenses</w:t>
      </w:r>
      <w:r>
        <w:rPr>
          <w:rFonts w:ascii="Arial" w:cs="Arial" w:eastAsia="Arial" w:hAnsi="Arial"/>
          <w:sz w:val="16"/>
          <w:szCs w:val="16"/>
          <w:color w:val="auto"/>
        </w:rPr>
        <w:t>. Notwithstanding any other provision of this Agreement other than Section 10 hereof, to the fullest extent permitted by applicable law and to the extent that Indemnitee was a party to (or participant in) and has been successful on the merits or otherwise, including, without limitation, the dismissal of an action without prejudice, in defense of any Claim, Indemnitee shall be indemnified, exonerated and held harmless against all Expenses actually and reasonably incurred by Indemnitee in connection therewith. If Indemnitee is not wholly successful in such Claim but is successful, on the merits or otherwise, as to one or more but less than all claims, issues or matters in such Claim, the Company shall indemnify Indemnitee against all Expenses actually and reasonably incurred by him or on his behalf in connection with or related to each successfully resolved claim, issue or matter to the fullest extent permitted by law. For purposes of this Section and without limitation, the termination of any claim, issue or matter in such a Claim by dismissal, with or without prejudice, shall be deemed to be a successful result as to such claim, issue or matter.</w:t>
      </w:r>
    </w:p>
    <w:p>
      <w:pPr>
        <w:spacing w:after="0" w:line="166" w:lineRule="exact"/>
        <w:rPr>
          <w:rFonts w:ascii="Arial" w:cs="Arial" w:eastAsia="Arial" w:hAnsi="Arial"/>
          <w:sz w:val="16"/>
          <w:szCs w:val="16"/>
          <w:color w:val="auto"/>
        </w:rPr>
      </w:pPr>
    </w:p>
    <w:p>
      <w:pPr>
        <w:ind w:firstLine="996"/>
        <w:spacing w:after="0" w:line="268" w:lineRule="auto"/>
        <w:tabs>
          <w:tab w:leader="none" w:pos="1217" w:val="left"/>
        </w:tabs>
        <w:numPr>
          <w:ilvl w:val="0"/>
          <w:numId w:val="281"/>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exoneration or hold harmless rights provided for in this Agreement is for any reason held by a court of competent jurisdiction to be unavailable to an Indemnitee, then in lieu of indemnifying, exonerating or holding harmless Indemnitee thereunder, the Company shall contribute to the amount paid or required to be paid by Indemnitee as a result of such Expenses (i) in such proportion as is deemed fair and reasonable in light of all of the circumstances in order to reflect the relative benefits received by the Company and Indemnitee as a result of the event(s) and/or transaction(s) giving cause to such Claim or (ii) if the allocation provided by clause (i) above is not permitted by applicable law, in such proportion as is appropriate to reflect not only the relative benefits referred to in clause (i) above but also the relative fault of the Company (and its directors, officers, employees and agents) and Indemnitee in connection with the action or inaction which resulted in such Expenses, as well as any other relevant equitable considerations. In connection with the registration of the Company’s securities, the relative benefits received by the Company and Indemnitee shall be deemed to be in the same respective proportions that the net proceeds from the offering (before deducting expenses) received by the Company and Indemnitee, in each case as set forth in the table on the cover page of the applicable prospectus, bear to the aggregate public offering price of the securities so offered. The relative fault of the Company and Indemnitee shall be determined by reference to, among other things, whether the untrue or alleged untrue statement of a material fact or the omission or alleged omission to state a material fact relates to information supplied by the Company or Indemnitee and the parties’ relative intent, knowledge, access to information and opportunity to correct or prevent such statement or omission.</w:t>
      </w:r>
    </w:p>
    <w:p>
      <w:pPr>
        <w:spacing w:after="0" w:line="185" w:lineRule="exact"/>
        <w:rPr>
          <w:sz w:val="20"/>
          <w:szCs w:val="20"/>
          <w:color w:val="auto"/>
        </w:rPr>
      </w:pPr>
    </w:p>
    <w:p>
      <w:pPr>
        <w:ind w:right="20" w:firstLine="992"/>
        <w:spacing w:after="0" w:line="273" w:lineRule="auto"/>
        <w:rPr>
          <w:sz w:val="20"/>
          <w:szCs w:val="20"/>
          <w:color w:val="auto"/>
        </w:rPr>
      </w:pPr>
      <w:r>
        <w:rPr>
          <w:rFonts w:ascii="Arial" w:cs="Arial" w:eastAsia="Arial" w:hAnsi="Arial"/>
          <w:sz w:val="17"/>
          <w:szCs w:val="17"/>
          <w:color w:val="auto"/>
        </w:rPr>
        <w:t>The Company and Indemnitee agree that it would not be just and equitable if contribution pursuant to this Section 2(f) were determined by pro rata or by any other method of allocation which does not take account of the equitable considerations referred to in the immediately preceding paragraph. In connection with the registration of the Company’s securities, in no event shall Indemnitee be required to contribute any amount under this Section 2(f) in excess of the net proceeds received by Indemnitee from its sale of securities under such registration statement. No person found guilty of fraudulent misrepresentation (within the meaning of Section 11(a) of the Securities Act of 1933, as amended) shall be entitled to contribution from any person who was not found guilty of such fraudulent misrepresentation.</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478" w:name="page479"/>
    <w:bookmarkEnd w:id="478"/>
    <w:p>
      <w:pPr>
        <w:ind w:left="620" w:hanging="176"/>
        <w:spacing w:after="0"/>
        <w:tabs>
          <w:tab w:leader="none" w:pos="62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 Advances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180" w:firstLine="996"/>
        <w:spacing w:after="0" w:line="264" w:lineRule="auto"/>
        <w:tabs>
          <w:tab w:leader="none" w:pos="1236"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Obligation to Make Expense Advances</w:t>
      </w:r>
      <w:r>
        <w:rPr>
          <w:rFonts w:ascii="Arial" w:cs="Arial" w:eastAsia="Arial" w:hAnsi="Arial"/>
          <w:sz w:val="18"/>
          <w:szCs w:val="18"/>
          <w:color w:val="auto"/>
        </w:rPr>
        <w:t xml:space="preserve">. The Company shall make Expense Advances to Indemnitee upon receipt of a written undertaking,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by or on behalf of the Indemnitee to repay such amounts if it shall ultimately be determined that the Indemnitee is not entitled to be indemnified, exonerated or held harmless therefor by the Company.</w:t>
      </w:r>
    </w:p>
    <w:p>
      <w:pPr>
        <w:spacing w:after="0" w:line="181" w:lineRule="exact"/>
        <w:rPr>
          <w:rFonts w:ascii="Arial" w:cs="Arial" w:eastAsia="Arial" w:hAnsi="Arial"/>
          <w:sz w:val="18"/>
          <w:szCs w:val="18"/>
          <w:color w:val="auto"/>
        </w:rPr>
      </w:pPr>
    </w:p>
    <w:p>
      <w:pPr>
        <w:ind w:right="20" w:firstLine="996"/>
        <w:spacing w:after="0" w:line="277" w:lineRule="auto"/>
        <w:tabs>
          <w:tab w:leader="none" w:pos="1247" w:val="left"/>
        </w:tabs>
        <w:numPr>
          <w:ilvl w:val="1"/>
          <w:numId w:val="282"/>
        </w:numPr>
        <w:rPr>
          <w:rFonts w:ascii="Arial" w:cs="Arial" w:eastAsia="Arial" w:hAnsi="Arial"/>
          <w:sz w:val="18"/>
          <w:szCs w:val="18"/>
          <w:color w:val="auto"/>
        </w:rPr>
      </w:pPr>
      <w:r>
        <w:rPr>
          <w:rFonts w:ascii="Arial" w:cs="Arial" w:eastAsia="Arial" w:hAnsi="Arial"/>
          <w:sz w:val="18"/>
          <w:szCs w:val="18"/>
          <w:u w:val="single" w:color="auto"/>
          <w:color w:val="auto"/>
        </w:rPr>
        <w:t>Form of Undertaking</w:t>
      </w:r>
      <w:r>
        <w:rPr>
          <w:rFonts w:ascii="Arial" w:cs="Arial" w:eastAsia="Arial" w:hAnsi="Arial"/>
          <w:sz w:val="18"/>
          <w:szCs w:val="18"/>
          <w:color w:val="auto"/>
        </w:rPr>
        <w:t>. Any written undertaking by the Indemnitee to repay any Expense Advances hereunder shall be unsecured and no interest shall be charged thereon.</w:t>
      </w:r>
    </w:p>
    <w:p>
      <w:pPr>
        <w:spacing w:after="0" w:line="166" w:lineRule="exact"/>
        <w:rPr>
          <w:rFonts w:ascii="Arial" w:cs="Arial" w:eastAsia="Arial" w:hAnsi="Arial"/>
          <w:sz w:val="18"/>
          <w:szCs w:val="18"/>
          <w:color w:val="auto"/>
        </w:rPr>
      </w:pPr>
    </w:p>
    <w:p>
      <w:pPr>
        <w:ind w:left="620" w:hanging="176"/>
        <w:spacing w:after="0"/>
        <w:tabs>
          <w:tab w:leader="none" w:pos="620"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Procedures for Indemnification and Expense Advances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right="160" w:firstLine="996"/>
        <w:spacing w:after="0" w:line="273" w:lineRule="auto"/>
        <w:tabs>
          <w:tab w:leader="none" w:pos="1236" w:val="left"/>
        </w:tabs>
        <w:numPr>
          <w:ilvl w:val="1"/>
          <w:numId w:val="282"/>
        </w:numPr>
        <w:rPr>
          <w:rFonts w:ascii="Arial" w:cs="Arial" w:eastAsia="Arial" w:hAnsi="Arial"/>
          <w:sz w:val="17"/>
          <w:szCs w:val="17"/>
          <w:color w:val="auto"/>
        </w:rPr>
      </w:pPr>
      <w:r>
        <w:rPr>
          <w:rFonts w:ascii="Arial" w:cs="Arial" w:eastAsia="Arial" w:hAnsi="Arial"/>
          <w:sz w:val="17"/>
          <w:szCs w:val="17"/>
          <w:u w:val="single" w:color="auto"/>
          <w:color w:val="auto"/>
        </w:rPr>
        <w:t>Timing of Payments</w:t>
      </w:r>
      <w:r>
        <w:rPr>
          <w:rFonts w:ascii="Arial" w:cs="Arial" w:eastAsia="Arial" w:hAnsi="Arial"/>
          <w:sz w:val="17"/>
          <w:szCs w:val="17"/>
          <w:color w:val="auto"/>
        </w:rPr>
        <w:t>. All payments of Expenses (including without limitation Expense Advances) by the Company to the Indemnitee pursuant to this Agreement shall be made to the fullest extent permitted by law as soon as practicable after written demand by Indemnitee therefor is presented to the Company, but in no event later than forty-five (45) days after such written demand by Indemnitee is presented to the Company, except in the case of Expense Advances, which shall be made no later than twenty (20) days after such written demand by Indemnitee is presented to the Company. If the Company disputes a portion of the amounts for which indemnification is requested, the undisputed portion shall be paid and only the disputed portion withheld pending resolution of any such dispute.</w:t>
      </w:r>
    </w:p>
    <w:p>
      <w:pPr>
        <w:spacing w:after="0" w:line="178" w:lineRule="exact"/>
        <w:rPr>
          <w:rFonts w:ascii="Arial" w:cs="Arial" w:eastAsia="Arial" w:hAnsi="Arial"/>
          <w:sz w:val="17"/>
          <w:szCs w:val="17"/>
          <w:color w:val="auto"/>
        </w:rPr>
      </w:pPr>
    </w:p>
    <w:p>
      <w:pPr>
        <w:jc w:val="both"/>
        <w:ind w:right="220" w:firstLine="996"/>
        <w:spacing w:after="0" w:line="288" w:lineRule="auto"/>
        <w:tabs>
          <w:tab w:leader="none" w:pos="1247" w:val="left"/>
        </w:tabs>
        <w:numPr>
          <w:ilvl w:val="1"/>
          <w:numId w:val="282"/>
        </w:numPr>
        <w:rPr>
          <w:rFonts w:ascii="Arial" w:cs="Arial" w:eastAsia="Arial" w:hAnsi="Arial"/>
          <w:sz w:val="16"/>
          <w:szCs w:val="16"/>
          <w:color w:val="auto"/>
        </w:rPr>
      </w:pPr>
      <w:r>
        <w:rPr>
          <w:rFonts w:ascii="Arial" w:cs="Arial" w:eastAsia="Arial" w:hAnsi="Arial"/>
          <w:sz w:val="16"/>
          <w:szCs w:val="16"/>
          <w:u w:val="single" w:color="auto"/>
          <w:color w:val="auto"/>
        </w:rPr>
        <w:t>Notice/Cooperation by Indemnitee</w:t>
      </w:r>
      <w:r>
        <w:rPr>
          <w:rFonts w:ascii="Arial" w:cs="Arial" w:eastAsia="Arial" w:hAnsi="Arial"/>
          <w:sz w:val="16"/>
          <w:szCs w:val="16"/>
          <w:color w:val="auto"/>
        </w:rPr>
        <w:t>. Indemnitee shall, as a condition precedent to Indemnitee’s right to be indemnified, exonerated or held harmless or Indemnitee’s right to receive Expense Advances under this Agreement, give the Company notice in writing as soon as practicable of any Claim made against Indemnitee for which indemnification, exoneration or hold harmless rights will or could be sought under this Agreement.</w:t>
      </w:r>
    </w:p>
    <w:p>
      <w:pPr>
        <w:spacing w:after="0" w:line="251" w:lineRule="auto"/>
        <w:rPr>
          <w:rFonts w:ascii="Arial" w:cs="Arial" w:eastAsia="Arial" w:hAnsi="Arial"/>
          <w:sz w:val="16"/>
          <w:szCs w:val="16"/>
          <w:color w:val="auto"/>
        </w:rPr>
      </w:pPr>
      <w:r>
        <w:rPr>
          <w:rFonts w:ascii="Arial" w:cs="Arial" w:eastAsia="Arial" w:hAnsi="Arial"/>
          <w:sz w:val="18"/>
          <w:szCs w:val="18"/>
          <w:color w:val="auto"/>
        </w:rPr>
        <w:t>Notice to the Company shall be directed to the President and the Secretary of the Company at the address shown on the signature page of this Agreement (or such other address as the Company shall designate in writing to Indemnitee) and shall include a description of the nature of the Claim and the facts underlying the Claim, in each case to the extent known to Indemnitee. 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following the final disposition of such Claim. In addition, Indemnitee shall give the Company such information and cooperation as the Company may reasonably require and as shall be within Indemnitee’s power. The failure by Indemnitee to notify the Company hereunder will not relieve the Company from any liability which it may have to Indemnitee hereunder or otherwise than under this Agreement, and any delay in so notifying the Company shall not constitute a waiver by Indemnitee of any rights under this Agreement, except to the extent (solely with respect to the indemnity hereunder) that such failure or delay materially prejudices the Company.</w:t>
      </w:r>
    </w:p>
    <w:p>
      <w:pPr>
        <w:spacing w:after="0" w:line="197" w:lineRule="exact"/>
        <w:rPr>
          <w:rFonts w:ascii="Arial" w:cs="Arial" w:eastAsia="Arial" w:hAnsi="Arial"/>
          <w:sz w:val="16"/>
          <w:szCs w:val="16"/>
          <w:color w:val="auto"/>
        </w:rPr>
      </w:pPr>
    </w:p>
    <w:p>
      <w:pPr>
        <w:ind w:right="60" w:firstLine="996"/>
        <w:spacing w:after="0" w:line="279" w:lineRule="auto"/>
        <w:tabs>
          <w:tab w:leader="none" w:pos="1236" w:val="left"/>
        </w:tabs>
        <w:numPr>
          <w:ilvl w:val="1"/>
          <w:numId w:val="282"/>
        </w:numPr>
        <w:rPr>
          <w:rFonts w:ascii="Arial" w:cs="Arial" w:eastAsia="Arial" w:hAnsi="Arial"/>
          <w:sz w:val="17"/>
          <w:szCs w:val="17"/>
          <w:color w:val="auto"/>
        </w:rPr>
      </w:pPr>
      <w:r>
        <w:rPr>
          <w:rFonts w:ascii="Arial" w:cs="Arial" w:eastAsia="Arial" w:hAnsi="Arial"/>
          <w:sz w:val="17"/>
          <w:szCs w:val="17"/>
          <w:u w:val="single" w:color="auto"/>
          <w:color w:val="auto"/>
        </w:rPr>
        <w:t>No Presumptions; Burden of Proof</w:t>
      </w:r>
      <w:r>
        <w:rPr>
          <w:rFonts w:ascii="Arial" w:cs="Arial" w:eastAsia="Arial" w:hAnsi="Arial"/>
          <w:sz w:val="17"/>
          <w:szCs w:val="17"/>
          <w:color w:val="auto"/>
        </w:rPr>
        <w:t xml:space="preserve">. For purposes of this Agreement, the termination of any Claim by judgment, order, settlement (whether with or without court approval) or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or its equivalent, shall not create a presumption that Indemnitee did not meet any particular standard of conduct or have any particular belief or that a court has determined that indemnification, exoneration or hold harmless right is not permitted by this Agreement or applicable law. In addition, neither the failure of any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69" w:right="439" w:bottom="1440" w:gutter="0" w:footer="0" w:header="0"/>
        </w:sectPr>
      </w:pPr>
    </w:p>
    <w:bookmarkStart w:id="479" w:name="page480"/>
    <w:bookmarkEnd w:id="479"/>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Reviewing Party to have made a determination as to whether Indemnitee has met any particular standard of conduct or had any particular belief, nor an actual determination by any Reviewing Party that Indemnitee has not met such standard of conduct or did not have such belief, prior to the commencement of legal proceedings by Indemnitee to secure a judicial determination that Indemnitee should be indemnified, exonerated or held harmless under this Agreement or applicable law, shall be a defense to Indemnitee’s claim or create a presumption that Indemnitee has not met any particular standard of conduct or did not have any particular belief. In connection with any determination by any Reviewing Party or otherwise as to whether the Indemnitee is entitled to be indemnified, exonerated or held harmless hereunder, the burden of proof shall be on the Company to establish that Indemnitee is not so entitled.</w:t>
      </w:r>
    </w:p>
    <w:p>
      <w:pPr>
        <w:spacing w:after="0" w:line="189" w:lineRule="exact"/>
        <w:rPr>
          <w:sz w:val="20"/>
          <w:szCs w:val="20"/>
          <w:color w:val="auto"/>
        </w:rPr>
      </w:pPr>
    </w:p>
    <w:p>
      <w:pPr>
        <w:ind w:right="40" w:firstLine="996"/>
        <w:spacing w:after="0" w:line="302" w:lineRule="auto"/>
        <w:tabs>
          <w:tab w:leader="none" w:pos="1247"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Notice to Insurers</w:t>
      </w:r>
      <w:r>
        <w:rPr>
          <w:rFonts w:ascii="Arial" w:cs="Arial" w:eastAsia="Arial" w:hAnsi="Arial"/>
          <w:sz w:val="16"/>
          <w:szCs w:val="16"/>
          <w:color w:val="auto"/>
        </w:rPr>
        <w:t>. If, at the time of the receipt by the Company of a notice of a Claim pursuant to Section 4(b) hereof, the Company has liability insurance in effect which may cover such Claim, the Company shall give prompt notice of the commencement of such Claim to the insurers in accordance with the procedures set forth in the respective policies. The Company shall thereafter take all reasonably necessary or desirable action to cause such insurers to pay, on behalf of the Indemnitee, all amounts payable as a result of such Claim in accordance with the terms of such policies.</w:t>
      </w:r>
    </w:p>
    <w:p>
      <w:pPr>
        <w:spacing w:after="0" w:line="154" w:lineRule="exact"/>
        <w:rPr>
          <w:rFonts w:ascii="Arial" w:cs="Arial" w:eastAsia="Arial" w:hAnsi="Arial"/>
          <w:sz w:val="16"/>
          <w:szCs w:val="16"/>
          <w:color w:val="auto"/>
        </w:rPr>
      </w:pPr>
    </w:p>
    <w:p>
      <w:pPr>
        <w:ind w:firstLine="996"/>
        <w:spacing w:after="0" w:line="285" w:lineRule="auto"/>
        <w:tabs>
          <w:tab w:leader="none" w:pos="1236" w:val="left"/>
        </w:tabs>
        <w:numPr>
          <w:ilvl w:val="0"/>
          <w:numId w:val="283"/>
        </w:numPr>
        <w:rPr>
          <w:rFonts w:ascii="Arial" w:cs="Arial" w:eastAsia="Arial" w:hAnsi="Arial"/>
          <w:sz w:val="16"/>
          <w:szCs w:val="16"/>
          <w:color w:val="auto"/>
        </w:rPr>
      </w:pPr>
      <w:r>
        <w:rPr>
          <w:rFonts w:ascii="Arial" w:cs="Arial" w:eastAsia="Arial" w:hAnsi="Arial"/>
          <w:sz w:val="16"/>
          <w:szCs w:val="16"/>
          <w:u w:val="single" w:color="auto"/>
          <w:color w:val="auto"/>
        </w:rPr>
        <w:t>Selection of Counsel</w:t>
      </w:r>
      <w:r>
        <w:rPr>
          <w:rFonts w:ascii="Arial" w:cs="Arial" w:eastAsia="Arial" w:hAnsi="Arial"/>
          <w:sz w:val="16"/>
          <w:szCs w:val="16"/>
          <w:color w:val="auto"/>
        </w:rPr>
        <w:t xml:space="preserve">. In the event the Company shall be obligated hereunder to provide indemnification, exoneration or hold harmless rights for or make any Expense Advances with respect to the Expenses of any Claim, the Company, if appropriate, shall be entitled to assume the defense of such Claim with counsel approved by Indemnitee (which approval shall not be unreasonably withheld) upon the delivery to Indemnitee of written notice of the Company’s election to do so. After delivery of such notice, approval of such counsel by Indemnitee and the retention of such counsel by the Company, the Company will not be liable to Indemnitee under this Agreement for any fees or expenses of separate counsel subsequently employed by or on behalf of Indemnitee with respect to the same Claim; </w:t>
      </w:r>
      <w:r>
        <w:rPr>
          <w:rFonts w:ascii="Arial" w:cs="Arial" w:eastAsia="Arial" w:hAnsi="Arial"/>
          <w:sz w:val="16"/>
          <w:szCs w:val="16"/>
          <w:i w:val="1"/>
          <w:iCs w:val="1"/>
          <w:color w:val="auto"/>
        </w:rPr>
        <w:t>provided, however</w:t>
      </w:r>
      <w:r>
        <w:rPr>
          <w:rFonts w:ascii="Arial" w:cs="Arial" w:eastAsia="Arial" w:hAnsi="Arial"/>
          <w:sz w:val="16"/>
          <w:szCs w:val="16"/>
          <w:color w:val="auto"/>
        </w:rPr>
        <w:t>, that (i) Indemnitee shall have the right to employ Indemnitee’s separate counsel in any such Claim at Indemnitee’s expense and (ii) if (A) the employment of separate counsel by Indemnitee has been previously authorized by the Company, (B) Indemnitee shall have reasonably concluded that there may be a conflict of interest between the Company and Indemnitee in the conduct of any such defense or (C) the Company shall not continue to retain such counsel to defend such Claim, then the fees and expenses of Indemnitee’s separate counsel shall be Expenses for which Indemnitee may receive indemnification, exoneration or hold harmless rights or Expense Advances hereunder. The Company shall have the right to conduct such defense as it sees fit in its sole discretion, including the right to settle any claim, action or proceeding against Indemnitee without the consent of Indemnitee, provided that the terms of such settlement include either: (i) a full release of Indemnitee by the claimant from all liabilities or potential liabilities under such claim or (ii), in the event such full release is not obtained, the terms of such settlement do not limit any indemnification, exoneration or hold harmless rights Indemnitee may now, or hereafter, be entitled to under this Agreement, the Company’s Certificate of Incorporation, bylaws, any agreement, any vote of stockholders or disinterested directors, the General Corporation Law of the State of Delaware (the “</w:t>
      </w:r>
      <w:r>
        <w:rPr>
          <w:rFonts w:ascii="Arial" w:cs="Arial" w:eastAsia="Arial" w:hAnsi="Arial"/>
          <w:sz w:val="16"/>
          <w:szCs w:val="16"/>
          <w:u w:val="single" w:color="auto"/>
          <w:color w:val="auto"/>
        </w:rPr>
        <w:t>DGCL</w:t>
      </w:r>
      <w:r>
        <w:rPr>
          <w:rFonts w:ascii="Arial" w:cs="Arial" w:eastAsia="Arial" w:hAnsi="Arial"/>
          <w:sz w:val="16"/>
          <w:szCs w:val="16"/>
          <w:color w:val="auto"/>
        </w:rPr>
        <w:t>”) or otherwise.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80" w:name="page481"/>
    <w:bookmarkEnd w:id="480"/>
    <w:p>
      <w:pPr>
        <w:ind w:left="600" w:hanging="176"/>
        <w:spacing w:after="0"/>
        <w:tabs>
          <w:tab w:leader="none" w:pos="600"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Additional Indemnification Rights; Nonexclusivity</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20" w:right="40" w:firstLine="996"/>
        <w:spacing w:after="0" w:line="269" w:lineRule="auto"/>
        <w:tabs>
          <w:tab w:leader="none" w:pos="1216" w:val="left"/>
        </w:tabs>
        <w:numPr>
          <w:ilvl w:val="1"/>
          <w:numId w:val="284"/>
        </w:numPr>
        <w:rPr>
          <w:rFonts w:ascii="Arial" w:cs="Arial" w:eastAsia="Arial" w:hAnsi="Arial"/>
          <w:sz w:val="17"/>
          <w:szCs w:val="17"/>
          <w:color w:val="auto"/>
        </w:rPr>
      </w:pPr>
      <w:r>
        <w:rPr>
          <w:rFonts w:ascii="Arial" w:cs="Arial" w:eastAsia="Arial" w:hAnsi="Arial"/>
          <w:sz w:val="17"/>
          <w:szCs w:val="17"/>
          <w:u w:val="single" w:color="auto"/>
          <w:color w:val="auto"/>
        </w:rPr>
        <w:t>Scope</w:t>
      </w:r>
      <w:r>
        <w:rPr>
          <w:rFonts w:ascii="Arial" w:cs="Arial" w:eastAsia="Arial" w:hAnsi="Arial"/>
          <w:sz w:val="17"/>
          <w:szCs w:val="17"/>
          <w:color w:val="auto"/>
        </w:rPr>
        <w:t>. The Company hereby agrees to indemnify, exonerate and hold harmless the Indemnitee to the fullest extent permitted by law, notwithstanding that such indemnification, exoneration or hold harmless right is not specifically authorized by the other provisions of this Agreement, the Company’s Certificate of Incorporation, the Company’s bylaws or by statute, a vote of stockholders or a resolution of directors, or otherwise. The rights of indemnification and to receive Expense Advances as provided by this Agreement shall be interpreted independently of, and without reference to, any other such rights to which Indemnitee may at any time be entitled. In the event of any change after the date of this Agreement in any applicable law, statute or rule which expands the right of a Delaware corporation to indemnify, exonerate or hold harmless a member of its board of directors or an officer, employee, agent or fiduciary, it is the intent of the parties hereto that Indemnitee shall enjoy by this Agreement the greater benefits afforded by such change. In the event of any change in any applicable law, statute or rule which narrows the right of a Delaware corporation to indemnify, exonerate or hold harmless a member of its board of directors or an officer, employee, agent or fiduciary, such change, to the extent not otherwise required by such law, statute or rule to be applied to this Agreement, shall have no effect on this Agreement or the parties’ rights and obligations hereunder except as set forth in Section 10(a) hereof.</w:t>
      </w:r>
    </w:p>
    <w:p>
      <w:pPr>
        <w:spacing w:after="0" w:line="182" w:lineRule="exact"/>
        <w:rPr>
          <w:rFonts w:ascii="Arial" w:cs="Arial" w:eastAsia="Arial" w:hAnsi="Arial"/>
          <w:sz w:val="17"/>
          <w:szCs w:val="17"/>
          <w:color w:val="auto"/>
        </w:rPr>
      </w:pPr>
    </w:p>
    <w:p>
      <w:pPr>
        <w:ind w:left="-20" w:right="60" w:firstLine="996"/>
        <w:spacing w:after="0" w:line="297" w:lineRule="auto"/>
        <w:tabs>
          <w:tab w:leader="none" w:pos="1227" w:val="left"/>
        </w:tabs>
        <w:numPr>
          <w:ilvl w:val="1"/>
          <w:numId w:val="284"/>
        </w:numPr>
        <w:rPr>
          <w:rFonts w:ascii="Arial" w:cs="Arial" w:eastAsia="Arial" w:hAnsi="Arial"/>
          <w:sz w:val="16"/>
          <w:szCs w:val="16"/>
          <w:color w:val="auto"/>
        </w:rPr>
      </w:pPr>
      <w:r>
        <w:rPr>
          <w:rFonts w:ascii="Arial" w:cs="Arial" w:eastAsia="Arial" w:hAnsi="Arial"/>
          <w:sz w:val="16"/>
          <w:szCs w:val="16"/>
          <w:u w:val="single" w:color="auto"/>
          <w:color w:val="auto"/>
        </w:rPr>
        <w:t>Nonexclusivity</w:t>
      </w:r>
      <w:r>
        <w:rPr>
          <w:rFonts w:ascii="Arial" w:cs="Arial" w:eastAsia="Arial" w:hAnsi="Arial"/>
          <w:sz w:val="16"/>
          <w:szCs w:val="16"/>
          <w:color w:val="auto"/>
        </w:rPr>
        <w:t>. The indemnification, exoneration or hold harmless rights and the payment of Expense Advances provided by this Agreement shall be in addition to any rights to which Indemnitee may be entitled under the Company’s Certificate of Incorporation, its bylaws, any other agreement, any vote of stockholders or disinterested directors, the DGCL, or otherwise. The indemnification, exoneration or hold harmless rights and the payment of Expense Advances provided under this Agreement shall continue as to Indemnitee for any action taken or not taken while serving in an indemnified, exonerated or held harmless capacity even though subsequent thereto Indemnitee may have ceased to serve in such capacity.</w:t>
      </w:r>
    </w:p>
    <w:p>
      <w:pPr>
        <w:spacing w:after="0" w:line="154" w:lineRule="exact"/>
        <w:rPr>
          <w:rFonts w:ascii="Arial" w:cs="Arial" w:eastAsia="Arial" w:hAnsi="Arial"/>
          <w:sz w:val="16"/>
          <w:szCs w:val="16"/>
          <w:color w:val="auto"/>
        </w:rPr>
      </w:pPr>
    </w:p>
    <w:p>
      <w:pPr>
        <w:ind w:left="-20" w:firstLine="444"/>
        <w:spacing w:after="0" w:line="314" w:lineRule="auto"/>
        <w:tabs>
          <w:tab w:leader="none" w:pos="600"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 Duplication of Payments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not be liable under this Agreement to make any payment in connection with any Claim made</w:t>
      </w:r>
      <w:r>
        <w:rPr>
          <w:rFonts w:ascii="Arial" w:cs="Arial" w:eastAsia="Arial" w:hAnsi="Arial"/>
          <w:sz w:val="16"/>
          <w:szCs w:val="16"/>
          <w:b w:val="1"/>
          <w:bCs w:val="1"/>
          <w:color w:val="auto"/>
        </w:rPr>
        <w:t xml:space="preserve"> </w:t>
      </w:r>
      <w:r>
        <w:rPr>
          <w:rFonts w:ascii="Arial" w:cs="Arial" w:eastAsia="Arial" w:hAnsi="Arial"/>
          <w:sz w:val="16"/>
          <w:szCs w:val="16"/>
          <w:color w:val="auto"/>
        </w:rPr>
        <w:t>against Indemnitee to the extent Indemnitee has otherwise actually received payment (under any insurance policy, provision of the Company’s Certificate of Incorporation, bylaws or otherwise) of the amounts otherwise payable hereunder, except as provided in Section 18 below.</w:t>
      </w:r>
    </w:p>
    <w:p>
      <w:pPr>
        <w:spacing w:after="0" w:line="142" w:lineRule="exact"/>
        <w:rPr>
          <w:rFonts w:ascii="Arial" w:cs="Arial" w:eastAsia="Arial" w:hAnsi="Arial"/>
          <w:sz w:val="16"/>
          <w:szCs w:val="16"/>
          <w:b w:val="1"/>
          <w:bCs w:val="1"/>
          <w:color w:val="auto"/>
        </w:rPr>
      </w:pPr>
    </w:p>
    <w:p>
      <w:pPr>
        <w:jc w:val="both"/>
        <w:ind w:left="-20" w:right="400" w:firstLine="444"/>
        <w:spacing w:after="0" w:line="314" w:lineRule="auto"/>
        <w:tabs>
          <w:tab w:leader="none" w:pos="600" w:val="left"/>
        </w:tabs>
        <w:numPr>
          <w:ilvl w:val="0"/>
          <w:numId w:val="28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Partial Indemnification</w:t>
      </w:r>
      <w:r>
        <w:rPr>
          <w:rFonts w:ascii="Arial" w:cs="Arial" w:eastAsia="Arial" w:hAnsi="Arial"/>
          <w:sz w:val="16"/>
          <w:szCs w:val="16"/>
          <w:b w:val="1"/>
          <w:bCs w:val="1"/>
          <w:color w:val="auto"/>
        </w:rPr>
        <w:t xml:space="preserve">. </w:t>
      </w:r>
      <w:r>
        <w:rPr>
          <w:rFonts w:ascii="Arial" w:cs="Arial" w:eastAsia="Arial" w:hAnsi="Arial"/>
          <w:sz w:val="16"/>
          <w:szCs w:val="16"/>
          <w:color w:val="auto"/>
        </w:rPr>
        <w:t>If Indemnitee is entitled under any provision of this Agreement to indemnification, exoneration or hold harmless</w:t>
      </w:r>
      <w:r>
        <w:rPr>
          <w:rFonts w:ascii="Arial" w:cs="Arial" w:eastAsia="Arial" w:hAnsi="Arial"/>
          <w:sz w:val="16"/>
          <w:szCs w:val="16"/>
          <w:b w:val="1"/>
          <w:bCs w:val="1"/>
          <w:color w:val="auto"/>
        </w:rPr>
        <w:t xml:space="preserve"> </w:t>
      </w:r>
      <w:r>
        <w:rPr>
          <w:rFonts w:ascii="Arial" w:cs="Arial" w:eastAsia="Arial" w:hAnsi="Arial"/>
          <w:sz w:val="16"/>
          <w:szCs w:val="16"/>
          <w:color w:val="auto"/>
        </w:rPr>
        <w:t>rights by the Company for some or a portion of Expenses incurred in connection with any Claim, but not, however, for the total amount thereof, the Company shall nevertheless indemnify, exonerate or hold harmless Indemnitee for the portion of such Expenses to which Indemnitee is entitled.</w:t>
      </w:r>
    </w:p>
    <w:p>
      <w:pPr>
        <w:spacing w:after="0" w:line="142" w:lineRule="exact"/>
        <w:rPr>
          <w:rFonts w:ascii="Arial" w:cs="Arial" w:eastAsia="Arial" w:hAnsi="Arial"/>
          <w:sz w:val="16"/>
          <w:szCs w:val="16"/>
          <w:b w:val="1"/>
          <w:bCs w:val="1"/>
          <w:color w:val="auto"/>
        </w:rPr>
      </w:pPr>
    </w:p>
    <w:p>
      <w:pPr>
        <w:ind w:left="-20" w:firstLine="444"/>
        <w:spacing w:after="0" w:line="277" w:lineRule="auto"/>
        <w:tabs>
          <w:tab w:leader="none" w:pos="600" w:val="left"/>
        </w:tabs>
        <w:numPr>
          <w:ilvl w:val="0"/>
          <w:numId w:val="28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Mutual Acknowledgment</w:t>
      </w:r>
      <w:r>
        <w:rPr>
          <w:rFonts w:ascii="Arial" w:cs="Arial" w:eastAsia="Arial" w:hAnsi="Arial"/>
          <w:sz w:val="17"/>
          <w:szCs w:val="17"/>
          <w:b w:val="1"/>
          <w:bCs w:val="1"/>
          <w:color w:val="auto"/>
        </w:rPr>
        <w:t xml:space="preserve">. </w:t>
      </w:r>
      <w:r>
        <w:rPr>
          <w:rFonts w:ascii="Arial" w:cs="Arial" w:eastAsia="Arial" w:hAnsi="Arial"/>
          <w:sz w:val="17"/>
          <w:szCs w:val="17"/>
          <w:color w:val="auto"/>
        </w:rPr>
        <w:t>Both the Company and Indemnitee acknowledge that in certain instances, federal law or applicable public policy</w:t>
      </w:r>
      <w:r>
        <w:rPr>
          <w:rFonts w:ascii="Arial" w:cs="Arial" w:eastAsia="Arial" w:hAnsi="Arial"/>
          <w:sz w:val="17"/>
          <w:szCs w:val="17"/>
          <w:b w:val="1"/>
          <w:bCs w:val="1"/>
          <w:color w:val="auto"/>
        </w:rPr>
        <w:t xml:space="preserve"> </w:t>
      </w:r>
      <w:r>
        <w:rPr>
          <w:rFonts w:ascii="Arial" w:cs="Arial" w:eastAsia="Arial" w:hAnsi="Arial"/>
          <w:sz w:val="17"/>
          <w:szCs w:val="17"/>
          <w:color w:val="auto"/>
        </w:rPr>
        <w:t>may prohibit the Company from indemnifying, exonerating or holding harmless its directors, officers, employees, agents or fiduciaries under this Agreement or otherwise. Indemnitee understands and acknowledges that the Company may be required in the future to undertake with the Securities and Exchange Commission to submit the question of indemnification, exoneration or hold harmless rights to a court in certain circumstances for a determination of the Company’s right under public policy to indemnify, exonerate or hold harmless Indemnitee.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0" w:right="439" w:bottom="1440" w:gutter="0" w:footer="0" w:header="0"/>
        </w:sectPr>
      </w:pPr>
    </w:p>
    <w:bookmarkStart w:id="481" w:name="page482"/>
    <w:bookmarkEnd w:id="481"/>
    <w:p>
      <w:pPr>
        <w:ind w:left="-4" w:right="60" w:firstLine="444"/>
        <w:spacing w:after="0" w:line="298" w:lineRule="auto"/>
        <w:tabs>
          <w:tab w:leader="none" w:pos="617" w:val="left"/>
        </w:tabs>
        <w:numPr>
          <w:ilvl w:val="1"/>
          <w:numId w:val="28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Liability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extent the Company maintains liability insurance applicable to directors, officers, employees, agents or fiduciaries,</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shall be covered by such policies in such a manner as to provide Indemnitee the same rights and benefits as are provided to the most favorably insured of the Company’s directors who are not employees of the Company, if Indemnitee is a director who is not employed by the Company; or of the Company’s officers, if Indemnitee is a director of the Company and is also employed by the Company, or is not a director of the Company but is an officer; or in the Company’s sole discretion, if Indemnitee is not an officer or director but is an employee, agent or fiduciary.</w:t>
      </w:r>
    </w:p>
    <w:p>
      <w:pPr>
        <w:spacing w:after="0" w:line="154" w:lineRule="exact"/>
        <w:rPr>
          <w:rFonts w:ascii="Arial" w:cs="Arial" w:eastAsia="Arial" w:hAnsi="Arial"/>
          <w:sz w:val="16"/>
          <w:szCs w:val="16"/>
          <w:b w:val="1"/>
          <w:bCs w:val="1"/>
          <w:color w:val="auto"/>
        </w:rPr>
      </w:pPr>
    </w:p>
    <w:p>
      <w:pPr>
        <w:ind w:left="-4" w:right="680" w:firstLine="444"/>
        <w:spacing w:after="0" w:line="282" w:lineRule="auto"/>
        <w:tabs>
          <w:tab w:leader="none" w:pos="707" w:val="left"/>
        </w:tabs>
        <w:numPr>
          <w:ilvl w:val="1"/>
          <w:numId w:val="2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Exceptions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 other provision of this Agreement, the Company shall not be obligated pursuant to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57" w:lineRule="exact"/>
        <w:rPr>
          <w:rFonts w:ascii="Arial" w:cs="Arial" w:eastAsia="Arial" w:hAnsi="Arial"/>
          <w:sz w:val="18"/>
          <w:szCs w:val="18"/>
          <w:b w:val="1"/>
          <w:bCs w:val="1"/>
          <w:color w:val="auto"/>
        </w:rPr>
      </w:pPr>
    </w:p>
    <w:p>
      <w:pPr>
        <w:ind w:left="-4" w:right="20" w:firstLine="996"/>
        <w:spacing w:after="0" w:line="272" w:lineRule="auto"/>
        <w:tabs>
          <w:tab w:leader="none" w:pos="1233" w:val="left"/>
        </w:tabs>
        <w:numPr>
          <w:ilvl w:val="2"/>
          <w:numId w:val="285"/>
        </w:numPr>
        <w:rPr>
          <w:rFonts w:ascii="Arial" w:cs="Arial" w:eastAsia="Arial" w:hAnsi="Arial"/>
          <w:sz w:val="17"/>
          <w:szCs w:val="17"/>
          <w:color w:val="auto"/>
        </w:rPr>
      </w:pPr>
      <w:r>
        <w:rPr>
          <w:rFonts w:ascii="Arial" w:cs="Arial" w:eastAsia="Arial" w:hAnsi="Arial"/>
          <w:sz w:val="17"/>
          <w:szCs w:val="17"/>
          <w:u w:val="single" w:color="auto"/>
          <w:color w:val="auto"/>
        </w:rPr>
        <w:t>Excluded Action or Omissions</w:t>
      </w:r>
      <w:r>
        <w:rPr>
          <w:rFonts w:ascii="Arial" w:cs="Arial" w:eastAsia="Arial" w:hAnsi="Arial"/>
          <w:sz w:val="17"/>
          <w:szCs w:val="17"/>
          <w:color w:val="auto"/>
        </w:rPr>
        <w:t xml:space="preserve">. To indemnify, exonerate or hold harmless Indemnitee for Expenses resulting from acts, omissions or transactions for which Indemnitee is prohibited from receiving indemnification, exoneration or hold harmless rights under this Agreement or applicable law; </w:t>
      </w:r>
      <w:r>
        <w:rPr>
          <w:rFonts w:ascii="Arial" w:cs="Arial" w:eastAsia="Arial" w:hAnsi="Arial"/>
          <w:sz w:val="17"/>
          <w:szCs w:val="17"/>
          <w:i w:val="1"/>
          <w:iCs w:val="1"/>
          <w:color w:val="auto"/>
        </w:rPr>
        <w:t>provided, however</w:t>
      </w:r>
      <w:r>
        <w:rPr>
          <w:rFonts w:ascii="Arial" w:cs="Arial" w:eastAsia="Arial" w:hAnsi="Arial"/>
          <w:sz w:val="17"/>
          <w:szCs w:val="17"/>
          <w:color w:val="auto"/>
        </w:rPr>
        <w:t>, that notwithstanding any limitation set forth in this Section 10(a) regarding the Company’s obligation to provide indemnification, exoneration or hold harmless rights to Indemnitee, Indemnitee shall be entitled under Section 3 to receive Expense Advances hereunder with respect to any such Claim unless and until a court having jurisdiction over the Claim shall have made a final judicial determination (as to which all rights of appeal therefrom have been exhausted or lapsed) that Indemnitee has engaged in acts, omissions or transactions for which Indemnitee is prohibited from receiving indemnification under this Agreement or applicable law.</w:t>
      </w:r>
    </w:p>
    <w:p>
      <w:pPr>
        <w:spacing w:after="0" w:line="177" w:lineRule="exact"/>
        <w:rPr>
          <w:rFonts w:ascii="Arial" w:cs="Arial" w:eastAsia="Arial" w:hAnsi="Arial"/>
          <w:sz w:val="17"/>
          <w:szCs w:val="17"/>
          <w:color w:val="auto"/>
        </w:rPr>
      </w:pPr>
    </w:p>
    <w:p>
      <w:pPr>
        <w:ind w:left="-4" w:right="140" w:firstLine="996"/>
        <w:spacing w:after="0" w:line="255" w:lineRule="auto"/>
        <w:tabs>
          <w:tab w:leader="none" w:pos="1243" w:val="left"/>
        </w:tabs>
        <w:numPr>
          <w:ilvl w:val="2"/>
          <w:numId w:val="285"/>
        </w:numPr>
        <w:rPr>
          <w:rFonts w:ascii="Arial" w:cs="Arial" w:eastAsia="Arial" w:hAnsi="Arial"/>
          <w:sz w:val="18"/>
          <w:szCs w:val="18"/>
          <w:color w:val="auto"/>
        </w:rPr>
      </w:pPr>
      <w:r>
        <w:rPr>
          <w:rFonts w:ascii="Arial" w:cs="Arial" w:eastAsia="Arial" w:hAnsi="Arial"/>
          <w:sz w:val="18"/>
          <w:szCs w:val="18"/>
          <w:u w:val="single" w:color="auto"/>
          <w:color w:val="auto"/>
        </w:rPr>
        <w:t>Claims Initiated by Indemnitee</w:t>
      </w:r>
      <w:r>
        <w:rPr>
          <w:rFonts w:ascii="Arial" w:cs="Arial" w:eastAsia="Arial" w:hAnsi="Arial"/>
          <w:sz w:val="18"/>
          <w:szCs w:val="18"/>
          <w:color w:val="auto"/>
        </w:rPr>
        <w:t>. To indemnify, exonerate or hold harmless or make Expense Advances to Indemnitee with respect to Claims initiated or brought voluntarily by Indemnitee and not by way of defense, counterclaim or cross claim, except (i) with respect to actions or proceedings brought to establish or enforce an indemnification, exoneration or hold harmless right under this Agreement or any other agreement or insurance policy or under the Company’s Certificate of Incorporation or bylaws now or hereafter in effect relating to Claims for Covered Events, (ii) in specific cases if the Board of Directors has approved the initiation or bringing of such Claim or (iii) as otherwise required under Section 145 of the DGCL, regardless of whether Indemnitee ultimately is determined to be entitled to such indemnification, exoneration, hold harmless right, Expense Advances or insurance recovery, as the case may be.</w:t>
      </w:r>
    </w:p>
    <w:p>
      <w:pPr>
        <w:spacing w:after="0" w:line="189" w:lineRule="exact"/>
        <w:rPr>
          <w:rFonts w:ascii="Arial" w:cs="Arial" w:eastAsia="Arial" w:hAnsi="Arial"/>
          <w:sz w:val="18"/>
          <w:szCs w:val="18"/>
          <w:color w:val="auto"/>
        </w:rPr>
      </w:pPr>
    </w:p>
    <w:p>
      <w:pPr>
        <w:ind w:left="-4" w:firstLine="996"/>
        <w:spacing w:after="0" w:line="288" w:lineRule="auto"/>
        <w:tabs>
          <w:tab w:leader="none" w:pos="1233" w:val="left"/>
        </w:tabs>
        <w:numPr>
          <w:ilvl w:val="2"/>
          <w:numId w:val="285"/>
        </w:numPr>
        <w:rPr>
          <w:rFonts w:ascii="Arial" w:cs="Arial" w:eastAsia="Arial" w:hAnsi="Arial"/>
          <w:sz w:val="16"/>
          <w:szCs w:val="16"/>
          <w:color w:val="auto"/>
        </w:rPr>
      </w:pPr>
      <w:r>
        <w:rPr>
          <w:rFonts w:ascii="Arial" w:cs="Arial" w:eastAsia="Arial" w:hAnsi="Arial"/>
          <w:sz w:val="16"/>
          <w:szCs w:val="16"/>
          <w:u w:val="single" w:color="auto"/>
          <w:color w:val="auto"/>
        </w:rPr>
        <w:t>Lack of Good Faith</w:t>
      </w:r>
      <w:r>
        <w:rPr>
          <w:rFonts w:ascii="Arial" w:cs="Arial" w:eastAsia="Arial" w:hAnsi="Arial"/>
          <w:sz w:val="16"/>
          <w:szCs w:val="16"/>
          <w:color w:val="auto"/>
        </w:rPr>
        <w:t>. To indemnify, exonerate or hold harmless Indemnitee for any Expenses incurred by Indemnitee with respect to any action instituted (i) by Indemnitee to enforce or interpret this Agreement, if a court having jurisdiction over such action determines as provided in Section 13 hereof that each of the material assertions made by Indemnitee as a basis for such action was not made in good faith or was frivolous or</w:t>
      </w:r>
    </w:p>
    <w:p>
      <w:pPr>
        <w:ind w:left="-4" w:right="260" w:firstLine="4"/>
        <w:spacing w:after="0" w:line="290" w:lineRule="auto"/>
        <w:tabs>
          <w:tab w:leader="none" w:pos="261" w:val="left"/>
        </w:tabs>
        <w:numPr>
          <w:ilvl w:val="0"/>
          <w:numId w:val="286"/>
        </w:numPr>
        <w:rPr>
          <w:rFonts w:ascii="Arial" w:cs="Arial" w:eastAsia="Arial" w:hAnsi="Arial"/>
          <w:sz w:val="17"/>
          <w:szCs w:val="17"/>
          <w:color w:val="auto"/>
        </w:rPr>
      </w:pPr>
      <w:r>
        <w:rPr>
          <w:rFonts w:ascii="Arial" w:cs="Arial" w:eastAsia="Arial" w:hAnsi="Arial"/>
          <w:sz w:val="17"/>
          <w:szCs w:val="17"/>
          <w:color w:val="auto"/>
        </w:rPr>
        <w:t>by or in the name of the Company to enforce or interpret this Agreement, if a court having jurisdiction over such action determines as provided in Section 13 hereof that each of the material defenses asserted by Indemnitee in such action was made in bad faith or was frivolous.</w:t>
      </w:r>
    </w:p>
    <w:p>
      <w:pPr>
        <w:spacing w:after="0" w:line="9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16"/>
          </w:cols>
          <w:pgMar w:left="444" w:top="270" w:right="439" w:bottom="1440" w:gutter="0" w:footer="0" w:header="0"/>
        </w:sectPr>
      </w:pPr>
    </w:p>
    <w:bookmarkStart w:id="482" w:name="page483"/>
    <w:bookmarkEnd w:id="482"/>
    <w:p>
      <w:pPr>
        <w:ind w:right="100" w:firstLine="996"/>
        <w:spacing w:after="0" w:line="288" w:lineRule="auto"/>
        <w:tabs>
          <w:tab w:leader="none" w:pos="1247" w:val="left"/>
        </w:tabs>
        <w:numPr>
          <w:ilvl w:val="1"/>
          <w:numId w:val="28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Claims Under Section 16(b) or Sarbanes-Oxley Act</w:t>
      </w:r>
      <w:r>
        <w:rPr>
          <w:rFonts w:ascii="Arial" w:cs="Arial" w:eastAsia="Arial" w:hAnsi="Arial"/>
          <w:sz w:val="16"/>
          <w:szCs w:val="16"/>
          <w:color w:val="auto"/>
        </w:rPr>
        <w:t>. To indemnify, exonerate or hold harmless Indemnitee for expenses and the payment of profits arising from the purchase and sale by Indemnitee of securities in violation of Section 16(b) of the Securities Exchange Act of 1934, as amended, or any similar successor statute or (ii) any reimbursement of the Company by Indemnitee of any bonus or other incentive-based or equity-based compensation or of any profits realized by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6"/>
          <w:szCs w:val="16"/>
          <w:u w:val="single" w:color="auto"/>
          <w:color w:val="auto"/>
        </w:rPr>
        <w:t>Sarbanes-Oxley Act</w:t>
      </w:r>
      <w:r>
        <w:rPr>
          <w:rFonts w:ascii="Arial" w:cs="Arial" w:eastAsia="Arial" w:hAnsi="Arial"/>
          <w:sz w:val="16"/>
          <w:szCs w:val="16"/>
          <w:color w:val="auto"/>
        </w:rPr>
        <w:t xml:space="preserve">”), or the payment to the Company of profits arising from the purchase and sale by Indemnitee of securities in violation of Section 306 of the Sarbanes-Oxley Act);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notwithstanding any limitation set forth in this Section 10(d) regarding the Company’s obligation to provide indemnification or exoneration or hold harmless, Indemnitee shall be entitled under Section 3 hereof to receive Expense Advances hereunder with respect to any such Claim unless and until a court having jurisdiction over the Claim shall have made a final judicial determination (as to which all rights of appeal therefrom have been exhausted or lapsed) that Indemnitee has violated said statute.</w:t>
      </w:r>
    </w:p>
    <w:p>
      <w:pPr>
        <w:spacing w:after="0" w:line="165" w:lineRule="exact"/>
        <w:rPr>
          <w:rFonts w:ascii="Arial" w:cs="Arial" w:eastAsia="Arial" w:hAnsi="Arial"/>
          <w:sz w:val="16"/>
          <w:szCs w:val="16"/>
          <w:color w:val="auto"/>
        </w:rPr>
      </w:pPr>
    </w:p>
    <w:p>
      <w:pPr>
        <w:ind w:right="60" w:firstLine="444"/>
        <w:spacing w:after="0" w:line="282" w:lineRule="auto"/>
        <w:tabs>
          <w:tab w:leader="none" w:pos="701"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executed in counterparts and by facsimile or electronic transmission, each of which shall constitute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and all of which, together, shall constitute one instrument.</w:t>
      </w:r>
    </w:p>
    <w:p>
      <w:pPr>
        <w:spacing w:after="0" w:line="161" w:lineRule="exact"/>
        <w:rPr>
          <w:rFonts w:ascii="Arial" w:cs="Arial" w:eastAsia="Arial" w:hAnsi="Arial"/>
          <w:sz w:val="18"/>
          <w:szCs w:val="18"/>
          <w:b w:val="1"/>
          <w:bCs w:val="1"/>
          <w:color w:val="auto"/>
        </w:rPr>
      </w:pPr>
    </w:p>
    <w:p>
      <w:pPr>
        <w:ind w:firstLine="444"/>
        <w:spacing w:after="0" w:line="271" w:lineRule="auto"/>
        <w:tabs>
          <w:tab w:leader="none" w:pos="711"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Binding Effect; 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shall be binding upon, inure to the benefit of and be enforceable by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hereto and their respective successors and assigns (including any direct or indirect successor by purchase, merger, consolidation or otherwise to all or substantially all of the business and/or assets of the Company),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This Agreement shall continue in effect regardless of whether Indemnitee continues to serve as a director, officer, employee, agent or fiduciary (as applicable) of the Company or of any other enterprise at the Company’s request. [The Company and Indemnitee agree that the Fund Indemnitors (as defined in Section 18 below) are express third party beneficiaries of this Agreement.]</w:t>
      </w:r>
      <w:r>
        <w:rPr>
          <w:rFonts w:ascii="Arial" w:cs="Arial" w:eastAsia="Arial" w:hAnsi="Arial"/>
          <w:sz w:val="14"/>
          <w:szCs w:val="14"/>
          <w:color w:val="auto"/>
        </w:rPr>
        <w:t>2</w:t>
      </w:r>
    </w:p>
    <w:p>
      <w:pPr>
        <w:spacing w:after="0" w:line="174" w:lineRule="exact"/>
        <w:rPr>
          <w:rFonts w:ascii="Arial" w:cs="Arial" w:eastAsia="Arial" w:hAnsi="Arial"/>
          <w:sz w:val="17"/>
          <w:szCs w:val="17"/>
          <w:b w:val="1"/>
          <w:bCs w:val="1"/>
          <w:color w:val="auto"/>
        </w:rPr>
      </w:pPr>
    </w:p>
    <w:p>
      <w:pPr>
        <w:ind w:right="80" w:firstLine="444"/>
        <w:spacing w:after="0" w:line="274" w:lineRule="auto"/>
        <w:tabs>
          <w:tab w:leader="none" w:pos="711" w:val="left"/>
        </w:tabs>
        <w:numPr>
          <w:ilvl w:val="0"/>
          <w:numId w:val="28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Expenses Incurred in Action Relating to Enforcement or 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event that any action is instituted by Indemnitee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or under any liability insurance policies maintained by the Company to enforce or interpret any of the terms hereof or thereof, Indemnitee shall be entitled to be indemnified for all Expenses incurred by Indemnitee with respect to such action (including without limitation attorneys’ fees), regardless of whether Indemnitee is ultimately successful in such action, unless as a part of such action a court having jurisdiction over such action makes a final judicial determination (as to which all rights of appeal therefrom have been exhausted or lapsed) that each of the material assertions made by Indemnitee as a basis for such action was not made in good faith or was frivolous; </w:t>
      </w:r>
      <w:r>
        <w:rPr>
          <w:rFonts w:ascii="Arial" w:cs="Arial" w:eastAsia="Arial" w:hAnsi="Arial"/>
          <w:sz w:val="17"/>
          <w:szCs w:val="17"/>
          <w:i w:val="1"/>
          <w:iCs w:val="1"/>
          <w:color w:val="auto"/>
        </w:rPr>
        <w:t>provided</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6327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2">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7" w:lineRule="exact"/>
        <w:rPr>
          <w:sz w:val="20"/>
          <w:szCs w:val="20"/>
          <w:color w:val="auto"/>
        </w:rPr>
      </w:pPr>
    </w:p>
    <w:p>
      <w:pPr>
        <w:ind w:left="440" w:hanging="436"/>
        <w:spacing w:after="0"/>
        <w:tabs>
          <w:tab w:leader="none" w:pos="440" w:val="left"/>
        </w:tabs>
        <w:numPr>
          <w:ilvl w:val="0"/>
          <w:numId w:val="289"/>
        </w:numPr>
        <w:rPr>
          <w:rFonts w:ascii="Arial" w:cs="Arial" w:eastAsia="Arial" w:hAnsi="Arial"/>
          <w:sz w:val="15"/>
          <w:szCs w:val="15"/>
          <w:color w:val="auto"/>
        </w:rPr>
      </w:pPr>
      <w:r>
        <w:rPr>
          <w:rFonts w:ascii="Arial" w:cs="Arial" w:eastAsia="Arial" w:hAnsi="Arial"/>
          <w:sz w:val="18"/>
          <w:szCs w:val="18"/>
          <w:b w:val="1"/>
          <w:bCs w:val="1"/>
          <w:color w:val="auto"/>
        </w:rPr>
        <w:t>Note to Form</w:t>
      </w:r>
      <w:r>
        <w:rPr>
          <w:rFonts w:ascii="Arial" w:cs="Arial" w:eastAsia="Arial" w:hAnsi="Arial"/>
          <w:sz w:val="18"/>
          <w:szCs w:val="18"/>
          <w:color w:val="auto"/>
        </w:rPr>
        <w:t>: To be included when applicable.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3" w:right="439" w:bottom="1440" w:gutter="0" w:footer="0" w:header="0"/>
        </w:sectPr>
      </w:pPr>
    </w:p>
    <w:bookmarkStart w:id="483" w:name="page484"/>
    <w:bookmarkEnd w:id="483"/>
    <w:p>
      <w:pPr>
        <w:spacing w:after="0" w:line="271"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however</w:t>
      </w:r>
      <w:r>
        <w:rPr>
          <w:rFonts w:ascii="Arial" w:cs="Arial" w:eastAsia="Arial" w:hAnsi="Arial"/>
          <w:sz w:val="17"/>
          <w:szCs w:val="17"/>
          <w:color w:val="auto"/>
        </w:rPr>
        <w:t>, that until such final judicial determination is made, Indemnitee shall be entitled under Section 3 to receive payment of Expense Advances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hereunder with respect to such action. In the event of an action instituted by or in the name of the Company under this Agreement to enforce or interpret any of the terms of this Agreement, Indemnitee shall be entitled to be indemnified, exonerated or held harmless for all Expenses incurred by Indemnitee in defense of such action (including without limitation costs and expenses incurred with respect to Indemnitee’s counterclaims and cross-claims made in such action), unless as a part of such action a court having jurisdiction over such action makes a final judicial determination (as to which all rights of appeal therefrom have been exhausted or lapsed) that each of the material defenses asserted by Indemnitee in such action was made in bad faith or was frivolous;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until such final judicial determination is made, Indemnitee shall be entitled under Section 3 to receive payment of Expense Advances hereunder with respect to such action.</w:t>
      </w:r>
    </w:p>
    <w:p>
      <w:pPr>
        <w:spacing w:after="0" w:line="175" w:lineRule="exact"/>
        <w:rPr>
          <w:sz w:val="20"/>
          <w:szCs w:val="20"/>
          <w:color w:val="auto"/>
        </w:rPr>
      </w:pPr>
    </w:p>
    <w:p>
      <w:pPr>
        <w:ind w:left="720" w:hanging="276"/>
        <w:spacing w:after="0"/>
        <w:tabs>
          <w:tab w:leader="none" w:pos="720" w:val="left"/>
        </w:tabs>
        <w:numPr>
          <w:ilvl w:val="1"/>
          <w:numId w:val="29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b w:val="1"/>
          <w:bCs w:val="1"/>
          <w:color w:val="auto"/>
        </w:rPr>
        <w:t xml:space="preserve">. </w:t>
      </w:r>
      <w:r>
        <w:rPr>
          <w:rFonts w:ascii="Arial" w:cs="Arial" w:eastAsia="Arial" w:hAnsi="Arial"/>
          <w:sz w:val="16"/>
          <w:szCs w:val="16"/>
          <w:color w:val="auto"/>
        </w:rPr>
        <w:t>All notices, requests, demands and other communications under this Agreement shall be in writing and shall be deemed duly given</w:t>
      </w:r>
    </w:p>
    <w:p>
      <w:pPr>
        <w:spacing w:after="0" w:line="50" w:lineRule="exact"/>
        <w:rPr>
          <w:rFonts w:ascii="Arial" w:cs="Arial" w:eastAsia="Arial" w:hAnsi="Arial"/>
          <w:sz w:val="16"/>
          <w:szCs w:val="16"/>
          <w:b w:val="1"/>
          <w:bCs w:val="1"/>
          <w:color w:val="auto"/>
        </w:rPr>
      </w:pPr>
    </w:p>
    <w:p>
      <w:pPr>
        <w:ind w:right="100" w:firstLine="4"/>
        <w:spacing w:after="0" w:line="255" w:lineRule="auto"/>
        <w:tabs>
          <w:tab w:leader="none" w:pos="21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delivered by hand and signed for by the party addressed, on the date of such delivery or (ii) if mailed by domestic certified or registered mail with postage prepaid, on the third business day after the date postmarked. Addresses for notice to either party are as shown on the signature page of this Agreement or as subsequently modified by written notice.</w:t>
      </w:r>
    </w:p>
    <w:p>
      <w:pPr>
        <w:spacing w:after="0" w:line="186" w:lineRule="exact"/>
        <w:rPr>
          <w:rFonts w:ascii="Arial" w:cs="Arial" w:eastAsia="Arial" w:hAnsi="Arial"/>
          <w:sz w:val="18"/>
          <w:szCs w:val="18"/>
          <w:color w:val="auto"/>
        </w:rPr>
      </w:pPr>
    </w:p>
    <w:p>
      <w:pPr>
        <w:ind w:right="140" w:firstLine="444"/>
        <w:spacing w:after="0" w:line="261" w:lineRule="auto"/>
        <w:tabs>
          <w:tab w:leader="none" w:pos="711" w:val="left"/>
        </w:tabs>
        <w:numPr>
          <w:ilvl w:val="1"/>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Consent to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Indemnitee each hereby irrevocably consent to the jurisdiction of the courts of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for all purposes in connection with any action or proceeding which arises out of or relates to this Agreement and agree that any action instituted under this Agreement shall be commenced, prosecuted and continued only in the Court of Chancery of the State of Delaware in and for New Castle County, which shall be the exclusive and only proper forum for adjudicating such a claim.</w:t>
      </w:r>
    </w:p>
    <w:p>
      <w:pPr>
        <w:spacing w:after="0" w:line="180" w:lineRule="exact"/>
        <w:rPr>
          <w:rFonts w:ascii="Arial" w:cs="Arial" w:eastAsia="Arial" w:hAnsi="Arial"/>
          <w:sz w:val="18"/>
          <w:szCs w:val="18"/>
          <w:b w:val="1"/>
          <w:bCs w:val="1"/>
          <w:color w:val="auto"/>
        </w:rPr>
      </w:pPr>
    </w:p>
    <w:p>
      <w:pPr>
        <w:ind w:right="180" w:firstLine="444"/>
        <w:spacing w:after="0" w:line="256" w:lineRule="auto"/>
        <w:tabs>
          <w:tab w:leader="none" w:pos="711" w:val="left"/>
        </w:tabs>
        <w:numPr>
          <w:ilvl w:val="1"/>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The provisions of this Agreement shall be severable in the event that any of the provisions hereof (including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within a single section, paragraph or sentence) are held by a court of competent jurisdiction to be invalid, void or otherwise unenforceable, and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illegal or unenforceable.</w:t>
      </w:r>
    </w:p>
    <w:p>
      <w:pPr>
        <w:spacing w:after="0" w:line="187" w:lineRule="exact"/>
        <w:rPr>
          <w:rFonts w:ascii="Arial" w:cs="Arial" w:eastAsia="Arial" w:hAnsi="Arial"/>
          <w:sz w:val="18"/>
          <w:szCs w:val="18"/>
          <w:b w:val="1"/>
          <w:bCs w:val="1"/>
          <w:color w:val="auto"/>
        </w:rPr>
      </w:pPr>
    </w:p>
    <w:p>
      <w:pPr>
        <w:ind w:right="80" w:firstLine="444"/>
        <w:spacing w:after="0" w:line="282" w:lineRule="auto"/>
        <w:tabs>
          <w:tab w:leader="none" w:pos="711" w:val="left"/>
        </w:tabs>
        <w:numPr>
          <w:ilvl w:val="1"/>
          <w:numId w:val="2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all rights, remedies, liabilities, powers and duties of the parties to this Agreement, shall be governed by</w:t>
      </w:r>
      <w:r>
        <w:rPr>
          <w:rFonts w:ascii="Arial" w:cs="Arial" w:eastAsia="Arial" w:hAnsi="Arial"/>
          <w:sz w:val="18"/>
          <w:szCs w:val="18"/>
          <w:b w:val="1"/>
          <w:bCs w:val="1"/>
          <w:color w:val="auto"/>
        </w:rPr>
        <w:t xml:space="preserve"> </w:t>
      </w:r>
      <w:r>
        <w:rPr>
          <w:rFonts w:ascii="Arial" w:cs="Arial" w:eastAsia="Arial" w:hAnsi="Arial"/>
          <w:sz w:val="18"/>
          <w:szCs w:val="18"/>
          <w:color w:val="auto"/>
        </w:rPr>
        <w:t>and construed in accordance with the laws of the State of Delaware without regard to principles of conflicts of laws.</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3" w:right="479" w:bottom="1440" w:gutter="0" w:footer="0" w:header="0"/>
        </w:sectPr>
      </w:pPr>
    </w:p>
    <w:bookmarkStart w:id="484" w:name="page485"/>
    <w:bookmarkEnd w:id="484"/>
    <w:p>
      <w:pPr>
        <w:ind w:left="716" w:hanging="276"/>
        <w:spacing w:after="0"/>
        <w:tabs>
          <w:tab w:leader="none" w:pos="716" w:val="left"/>
        </w:tabs>
        <w:numPr>
          <w:ilvl w:val="1"/>
          <w:numId w:val="2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Primacy of Indemnification; Subrogation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 w:right="20" w:firstLine="996"/>
        <w:spacing w:after="0" w:line="286" w:lineRule="auto"/>
        <w:tabs>
          <w:tab w:leader="none" w:pos="1233" w:val="left"/>
        </w:tabs>
        <w:numPr>
          <w:ilvl w:val="2"/>
          <w:numId w:val="292"/>
        </w:numPr>
        <w:rPr>
          <w:rFonts w:ascii="Arial" w:cs="Arial" w:eastAsia="Arial" w:hAnsi="Arial"/>
          <w:sz w:val="16"/>
          <w:szCs w:val="16"/>
          <w:color w:val="auto"/>
        </w:rPr>
      </w:pPr>
      <w:r>
        <w:rPr>
          <w:rFonts w:ascii="Arial" w:cs="Arial" w:eastAsia="Arial" w:hAnsi="Arial"/>
          <w:sz w:val="16"/>
          <w:szCs w:val="16"/>
          <w:color w:val="auto"/>
        </w:rPr>
        <w:t>[The Company hereby acknowledges that Indemnitee has or may in the future have certain indemnification, exoneration, hold harmless or Expense advancement rights and/or insurance provided by [Fund] and certain of its affiliates (collectively, the “</w:t>
      </w:r>
      <w:r>
        <w:rPr>
          <w:rFonts w:ascii="Arial" w:cs="Arial" w:eastAsia="Arial" w:hAnsi="Arial"/>
          <w:sz w:val="16"/>
          <w:szCs w:val="16"/>
          <w:u w:val="single" w:color="auto"/>
          <w:color w:val="auto"/>
        </w:rPr>
        <w:t>Fund Indemnitors</w:t>
      </w:r>
      <w:r>
        <w:rPr>
          <w:rFonts w:ascii="Arial" w:cs="Arial" w:eastAsia="Arial" w:hAnsi="Arial"/>
          <w:sz w:val="16"/>
          <w:szCs w:val="16"/>
          <w:color w:val="auto"/>
        </w:rPr>
        <w:t>”). The Company hereby agrees (i) that it is the indemnitor of first resort (</w:t>
      </w:r>
      <w:r>
        <w:rPr>
          <w:rFonts w:ascii="Arial" w:cs="Arial" w:eastAsia="Arial" w:hAnsi="Arial"/>
          <w:sz w:val="16"/>
          <w:szCs w:val="16"/>
          <w:i w:val="1"/>
          <w:iCs w:val="1"/>
          <w:color w:val="auto"/>
        </w:rPr>
        <w:t>i.e.</w:t>
      </w:r>
      <w:r>
        <w:rPr>
          <w:rFonts w:ascii="Arial" w:cs="Arial" w:eastAsia="Arial" w:hAnsi="Arial"/>
          <w:sz w:val="16"/>
          <w:szCs w:val="16"/>
          <w:color w:val="auto"/>
        </w:rPr>
        <w:t>, its obligations to Indemnitee are primary and any obligation of the Fund Indemnitors to advance Expenses or to provide indemnification, exoneration or hold harmless rights for the same Expenses incurred by Indemnitee are secondary), (ii) that it shall be required to advance the full amount of Expenses incurred by Indemnitee and shall be liable for the full amount of all Expenses, to the extent legally permitted and as required by the Certificate of Incorporation or bylaws of the Company (or any agreement between the Company and Indemnitee), without regard to any rights Indemnitee may have against the Fund Indemnitors, (iii) that it irrevocably waives, relinquishes and releases the Fund Indemnitors from any and all claims against the Fund Indemnitors for contribution, subrogation or any other recovery of any kind in respect thereof and (iv) if any Fund Indemnitor is a party to or a participant in a legal proceeding, which participation or involvement arises solely and exclusively as a result of Indemnitee’s service to the Company as a director of the Company, then such Fund Indemnitor shall be entitled to all of the indemnification rights and remedies under this Agreement to the same extent as Indemnitee. The Company further agrees that no advancement or payment by the Fund Indemnitors on behalf of Indemnitee with respect to any Claim for which Indemnitee has sought indemnification, exoneration or hold harmless rights from the Company shall affect the foregoing and the Fund Indemnitors shall have a right to receive from the Company, contribution and/or be subrogated, to the extent of such advancement or payment to all of the rights of recovery of Indemnitee against the Company.]</w:t>
      </w:r>
      <w:r>
        <w:rPr>
          <w:rFonts w:ascii="Arial" w:cs="Arial" w:eastAsia="Arial" w:hAnsi="Arial"/>
          <w:sz w:val="13"/>
          <w:szCs w:val="13"/>
          <w:color w:val="auto"/>
        </w:rPr>
        <w:t>3</w:t>
      </w:r>
    </w:p>
    <w:p>
      <w:pPr>
        <w:spacing w:after="0" w:line="171" w:lineRule="exact"/>
        <w:rPr>
          <w:rFonts w:ascii="Arial" w:cs="Arial" w:eastAsia="Arial" w:hAnsi="Arial"/>
          <w:sz w:val="16"/>
          <w:szCs w:val="16"/>
          <w:color w:val="auto"/>
        </w:rPr>
      </w:pPr>
    </w:p>
    <w:p>
      <w:pPr>
        <w:ind w:left="-4" w:right="100" w:firstLine="996"/>
        <w:spacing w:after="0" w:line="286" w:lineRule="auto"/>
        <w:tabs>
          <w:tab w:leader="none" w:pos="1243" w:val="left"/>
        </w:tabs>
        <w:numPr>
          <w:ilvl w:val="2"/>
          <w:numId w:val="292"/>
        </w:numPr>
        <w:rPr>
          <w:rFonts w:ascii="Arial" w:cs="Arial" w:eastAsia="Arial" w:hAnsi="Arial"/>
          <w:sz w:val="16"/>
          <w:szCs w:val="16"/>
          <w:color w:val="auto"/>
        </w:rPr>
      </w:pPr>
      <w:r>
        <w:rPr>
          <w:rFonts w:ascii="Arial" w:cs="Arial" w:eastAsia="Arial" w:hAnsi="Arial"/>
          <w:sz w:val="16"/>
          <w:szCs w:val="16"/>
          <w:color w:val="auto"/>
        </w:rPr>
        <w:t>[Except as provided in Section 18(a) above, ][I]n the event of payment under this Agreement, the Company shall be subrogated to the extent of such payment to all of the rights of recovery of Indemnitee from any insurance policy purchased by the Company, who shall execute all documents required and shall do all acts that may be necessary to secure such rights and to enable the Company effectively to bring suit to enforce such rights. In no event, however, shall the Company or any other person have any right of recovery, through subrogation or otherwise, against</w:t>
      </w:r>
    </w:p>
    <w:p>
      <w:pPr>
        <w:spacing w:after="0" w:line="1" w:lineRule="exact"/>
        <w:rPr>
          <w:rFonts w:ascii="Arial" w:cs="Arial" w:eastAsia="Arial" w:hAnsi="Arial"/>
          <w:sz w:val="16"/>
          <w:szCs w:val="16"/>
          <w:color w:val="auto"/>
        </w:rPr>
      </w:pPr>
    </w:p>
    <w:p>
      <w:pPr>
        <w:ind w:left="216" w:hanging="216"/>
        <w:spacing w:after="0"/>
        <w:tabs>
          <w:tab w:leader="none" w:pos="216"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Indemnitee, [or] (ii) [any Fund Indemnitor or (iii)]</w:t>
      </w:r>
      <w:r>
        <w:rPr>
          <w:rFonts w:ascii="Arial" w:cs="Arial" w:eastAsia="Arial" w:hAnsi="Arial"/>
          <w:sz w:val="14"/>
          <w:szCs w:val="14"/>
          <w:color w:val="auto"/>
        </w:rPr>
        <w:t>4</w:t>
      </w:r>
      <w:r>
        <w:rPr>
          <w:rFonts w:ascii="Arial" w:cs="Arial" w:eastAsia="Arial" w:hAnsi="Arial"/>
          <w:sz w:val="17"/>
          <w:szCs w:val="17"/>
          <w:color w:val="auto"/>
        </w:rPr>
        <w:t xml:space="preserve"> any insurance policy purchased or maintained by Indemnitee [or any Fund Indemnitor].</w:t>
      </w:r>
    </w:p>
    <w:p>
      <w:pPr>
        <w:spacing w:after="0" w:line="218" w:lineRule="exact"/>
        <w:rPr>
          <w:rFonts w:ascii="Arial" w:cs="Arial" w:eastAsia="Arial" w:hAnsi="Arial"/>
          <w:sz w:val="17"/>
          <w:szCs w:val="17"/>
          <w:color w:val="auto"/>
        </w:rPr>
      </w:pPr>
    </w:p>
    <w:p>
      <w:pPr>
        <w:ind w:left="-4" w:right="80" w:firstLine="444"/>
        <w:spacing w:after="0" w:line="266" w:lineRule="auto"/>
        <w:tabs>
          <w:tab w:leader="none" w:pos="707" w:val="left"/>
        </w:tabs>
        <w:numPr>
          <w:ilvl w:val="1"/>
          <w:numId w:val="29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No amendment, modification, termination or cancellation of this Agreement shall be effective unless it is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both the parties hereto. No waiver of any of the provisions of this Agreement shall be deemed to be or shall constitute a waiver of any other provisions hereof (whether or not similar), nor shall such waiver constitute a continuing waiver.</w:t>
      </w:r>
    </w:p>
    <w:p>
      <w:pPr>
        <w:spacing w:after="0" w:line="176" w:lineRule="exact"/>
        <w:rPr>
          <w:rFonts w:ascii="Arial" w:cs="Arial" w:eastAsia="Arial" w:hAnsi="Arial"/>
          <w:sz w:val="18"/>
          <w:szCs w:val="18"/>
          <w:b w:val="1"/>
          <w:bCs w:val="1"/>
          <w:color w:val="auto"/>
        </w:rPr>
      </w:pPr>
    </w:p>
    <w:p>
      <w:pPr>
        <w:ind w:left="-4" w:firstLine="444"/>
        <w:spacing w:after="0" w:line="277" w:lineRule="auto"/>
        <w:tabs>
          <w:tab w:leader="none" w:pos="707" w:val="left"/>
        </w:tabs>
        <w:numPr>
          <w:ilvl w:val="1"/>
          <w:numId w:val="29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Integration and Entire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sets forth the entire understanding between the parties hereto and supersedes and merges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all previous written and oral negotiations, commitments, understandings and agreements relating to the subject matter hereof between the parties hereto, including any existing director or officer indemnification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Agreement is a supplement to and in furtherance of the Certificate of Incorporation, the bylaws, any directors and officers insurance maintained by the Company and applicable law, and shall not be deemed a substitute therefor, nor to diminish or abrogate any rights of Indemnitee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67310</wp:posOffset>
            </wp:positionV>
            <wp:extent cx="763270" cy="889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21" w:lineRule="exact"/>
        <w:rPr>
          <w:sz w:val="20"/>
          <w:szCs w:val="20"/>
          <w:color w:val="auto"/>
        </w:rPr>
      </w:pPr>
    </w:p>
    <w:p>
      <w:pPr>
        <w:ind w:left="436" w:hanging="436"/>
        <w:spacing w:after="0"/>
        <w:tabs>
          <w:tab w:leader="none" w:pos="436" w:val="left"/>
        </w:tabs>
        <w:numPr>
          <w:ilvl w:val="0"/>
          <w:numId w:val="294"/>
        </w:numPr>
        <w:rPr>
          <w:rFonts w:ascii="Arial" w:cs="Arial" w:eastAsia="Arial" w:hAnsi="Arial"/>
          <w:sz w:val="15"/>
          <w:szCs w:val="15"/>
          <w:color w:val="auto"/>
        </w:rPr>
      </w:pPr>
      <w:r>
        <w:rPr>
          <w:rFonts w:ascii="Arial" w:cs="Arial" w:eastAsia="Arial" w:hAnsi="Arial"/>
          <w:sz w:val="18"/>
          <w:szCs w:val="18"/>
          <w:b w:val="1"/>
          <w:bCs w:val="1"/>
          <w:color w:val="auto"/>
        </w:rPr>
        <w:t xml:space="preserve">Note to Form: </w:t>
      </w:r>
      <w:r>
        <w:rPr>
          <w:rFonts w:ascii="Arial" w:cs="Arial" w:eastAsia="Arial" w:hAnsi="Arial"/>
          <w:sz w:val="18"/>
          <w:szCs w:val="18"/>
          <w:color w:val="auto"/>
        </w:rPr>
        <w:t>To be included when applicable.</w:t>
      </w:r>
    </w:p>
    <w:p>
      <w:pPr>
        <w:spacing w:after="0" w:line="26" w:lineRule="exact"/>
        <w:rPr>
          <w:sz w:val="20"/>
          <w:szCs w:val="20"/>
          <w:color w:val="auto"/>
        </w:rPr>
      </w:pPr>
    </w:p>
    <w:p>
      <w:pPr>
        <w:ind w:left="436" w:hanging="436"/>
        <w:spacing w:after="0"/>
        <w:tabs>
          <w:tab w:leader="none" w:pos="436" w:val="left"/>
        </w:tabs>
        <w:numPr>
          <w:ilvl w:val="0"/>
          <w:numId w:val="295"/>
        </w:numPr>
        <w:rPr>
          <w:rFonts w:ascii="Arial" w:cs="Arial" w:eastAsia="Arial" w:hAnsi="Arial"/>
          <w:sz w:val="15"/>
          <w:szCs w:val="15"/>
          <w:color w:val="auto"/>
        </w:rPr>
      </w:pPr>
      <w:r>
        <w:rPr>
          <w:rFonts w:ascii="Arial" w:cs="Arial" w:eastAsia="Arial" w:hAnsi="Arial"/>
          <w:sz w:val="18"/>
          <w:szCs w:val="18"/>
          <w:b w:val="1"/>
          <w:bCs w:val="1"/>
          <w:color w:val="auto"/>
        </w:rPr>
        <w:t xml:space="preserve">Note to Form: </w:t>
      </w:r>
      <w:r>
        <w:rPr>
          <w:rFonts w:ascii="Arial" w:cs="Arial" w:eastAsia="Arial" w:hAnsi="Arial"/>
          <w:sz w:val="18"/>
          <w:szCs w:val="18"/>
          <w:color w:val="auto"/>
        </w:rPr>
        <w:t>To be included when applicable.</w:t>
      </w:r>
    </w:p>
    <w:p>
      <w:pPr>
        <w:spacing w:after="0" w:line="14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16"/>
          </w:cols>
          <w:pgMar w:left="444" w:top="270" w:right="439" w:bottom="1440" w:gutter="0" w:footer="0" w:header="0"/>
        </w:sectPr>
      </w:pPr>
    </w:p>
    <w:bookmarkStart w:id="485" w:name="page486"/>
    <w:bookmarkEnd w:id="485"/>
    <w:p>
      <w:pPr>
        <w:ind w:left="-180" w:right="180" w:firstLine="444"/>
        <w:spacing w:after="0" w:line="282" w:lineRule="auto"/>
        <w:tabs>
          <w:tab w:leader="none" w:pos="531"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Construction as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Nothing contained in this Agreement shall be construed as giving Indemnitee any right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by the Company or any of its subsidiaries or affiliated entities.</w:t>
      </w:r>
    </w:p>
    <w:p>
      <w:pPr>
        <w:spacing w:after="0" w:line="161" w:lineRule="exact"/>
        <w:rPr>
          <w:rFonts w:ascii="Arial" w:cs="Arial" w:eastAsia="Arial" w:hAnsi="Arial"/>
          <w:sz w:val="18"/>
          <w:szCs w:val="18"/>
          <w:b w:val="1"/>
          <w:bCs w:val="1"/>
          <w:color w:val="auto"/>
        </w:rPr>
      </w:pPr>
    </w:p>
    <w:p>
      <w:pPr>
        <w:jc w:val="both"/>
        <w:ind w:left="-180" w:firstLine="444"/>
        <w:spacing w:after="0" w:line="266" w:lineRule="auto"/>
        <w:tabs>
          <w:tab w:leader="none" w:pos="531"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Acts</w:t>
      </w:r>
      <w:r>
        <w:rPr>
          <w:rFonts w:ascii="Arial" w:cs="Arial" w:eastAsia="Arial" w:hAnsi="Arial"/>
          <w:sz w:val="18"/>
          <w:szCs w:val="18"/>
          <w:b w:val="1"/>
          <w:bCs w:val="1"/>
          <w:color w:val="auto"/>
        </w:rPr>
        <w:t xml:space="preserve">. </w:t>
      </w:r>
      <w:r>
        <w:rPr>
          <w:rFonts w:ascii="Arial" w:cs="Arial" w:eastAsia="Arial" w:hAnsi="Arial"/>
          <w:sz w:val="18"/>
          <w:szCs w:val="18"/>
          <w:color w:val="auto"/>
        </w:rPr>
        <w:t>If for the validation of any of the provisions in this Agreement any act, resolution, approval or other procedure is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undertakes to cause such act, resolution, approval or other procedure to be affected or adopted in a manner that will enable the Company to fulfill its obligations under this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remainder of this page is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660"/>
          </w:cols>
          <w:pgMar w:left="620" w:top="270" w:right="619" w:bottom="1440" w:gutter="0" w:footer="0" w:header="0"/>
        </w:sectPr>
      </w:pPr>
    </w:p>
    <w:bookmarkStart w:id="486" w:name="page487"/>
    <w:bookmarkEnd w:id="486"/>
    <w:p>
      <w:pPr>
        <w:ind w:left="4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the parties hereto have executed this Indemnification Agreement as of the date first above written.</w:t>
      </w:r>
    </w:p>
    <w:p>
      <w:pPr>
        <w:spacing w:after="0" w:line="27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REVOLUTION MEDICINES,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UTHORIZED</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-130810</wp:posOffset>
            </wp:positionV>
            <wp:extent cx="259842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8">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700 Sagina Drive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Redwood City, California 94063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GREED TO AND ACCEPTED BY</w:t>
      </w:r>
      <w:r>
        <w:rPr>
          <w:rFonts w:ascii="Arial" w:cs="Arial" w:eastAsia="Arial" w:hAnsi="Arial"/>
          <w:sz w:val="18"/>
          <w:szCs w:val="18"/>
          <w:b w:val="1"/>
          <w:bCs w:val="1"/>
          <w:color w:val="auto"/>
        </w:rPr>
        <w: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-130810</wp:posOffset>
            </wp:positionV>
            <wp:extent cx="2598420"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9">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4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19"/>
          </w:cols>
          <w:pgMar w:left="440" w:top="270" w:right="1440" w:bottom="1440" w:gutter="0" w:footer="0" w:header="0"/>
        </w:sectPr>
      </w:pPr>
    </w:p>
    <w:bookmarkStart w:id="487" w:name="page488"/>
    <w:bookmarkEnd w:id="487"/>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Undertaking</w:t>
      </w:r>
    </w:p>
    <w:p>
      <w:pPr>
        <w:spacing w:after="0" w:line="221" w:lineRule="exact"/>
        <w:rPr>
          <w:sz w:val="20"/>
          <w:szCs w:val="20"/>
          <w:color w:val="auto"/>
        </w:rPr>
      </w:pPr>
    </w:p>
    <w:p>
      <w:pPr>
        <w:jc w:val="center"/>
        <w:ind w:left="460" w:right="2420"/>
        <w:spacing w:after="0" w:line="266" w:lineRule="auto"/>
        <w:rPr>
          <w:sz w:val="20"/>
          <w:szCs w:val="20"/>
          <w:color w:val="auto"/>
        </w:rPr>
      </w:pPr>
      <w:r>
        <w:rPr>
          <w:rFonts w:ascii="Arial" w:cs="Arial" w:eastAsia="Arial" w:hAnsi="Arial"/>
          <w:sz w:val="18"/>
          <w:szCs w:val="18"/>
          <w:b w:val="1"/>
          <w:bCs w:val="1"/>
          <w:u w:val="single" w:color="auto"/>
          <w:color w:val="auto"/>
        </w:rPr>
        <w:t>AFFIRMATION AND UNDERTAKING FOR ADVANCE OF EXPENSES PURSUANT TO SECTION 145(e) OF THE GENERAL CORPORATION LAW OF THE STATE OF DELAWARE</w:t>
      </w:r>
    </w:p>
    <w:p>
      <w:pPr>
        <w:spacing w:after="0" w:line="180"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Pursuant to Section 145(e) of the General Corporation Law of the State of Delaware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Section 9.3 of the Amended and Restated Bylaws (the “</w:t>
      </w:r>
      <w:r>
        <w:rPr>
          <w:rFonts w:ascii="Arial" w:cs="Arial" w:eastAsia="Arial" w:hAnsi="Arial"/>
          <w:sz w:val="18"/>
          <w:szCs w:val="18"/>
          <w:b w:val="1"/>
          <w:bCs w:val="1"/>
          <w:i w:val="1"/>
          <w:iCs w:val="1"/>
          <w:color w:val="auto"/>
        </w:rPr>
        <w:t>Bylaws</w:t>
      </w:r>
      <w:r>
        <w:rPr>
          <w:rFonts w:ascii="Arial" w:cs="Arial" w:eastAsia="Arial" w:hAnsi="Arial"/>
          <w:sz w:val="18"/>
          <w:szCs w:val="18"/>
          <w:color w:val="auto"/>
        </w:rPr>
        <w:t>”) of Revolution Medicines,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Section 3(a) of my Indemnification Agreement with the Company (the “</w:t>
      </w:r>
      <w:r>
        <w:rPr>
          <w:rFonts w:ascii="Arial" w:cs="Arial" w:eastAsia="Arial" w:hAnsi="Arial"/>
          <w:sz w:val="18"/>
          <w:szCs w:val="18"/>
          <w:b w:val="1"/>
          <w:bCs w:val="1"/>
          <w:i w:val="1"/>
          <w:iCs w:val="1"/>
          <w:color w:val="auto"/>
        </w:rPr>
        <w:t>Indemnification Agreement</w:t>
      </w:r>
      <w:r>
        <w:rPr>
          <w:rFonts w:ascii="Arial" w:cs="Arial" w:eastAsia="Arial" w:hAnsi="Arial"/>
          <w:sz w:val="18"/>
          <w:szCs w:val="18"/>
          <w:color w:val="auto"/>
        </w:rPr>
        <w:t>”), I understand that I must provide a written undertaking in order for the Company to make Expense Advances to me in connection with [NAME OF PROCEEDING], as well as in any related action, suit or proceeding that is threatened, pending or may be filed in the future in which I am a party, a witness or other participant.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capitalized terms used herein and not otherwise defined shall have the meanings specified in the Indemnification Agreement.</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 hereby affirm my good-faith belief that I have met the standard of conduct for indemnification imposed by Section 145(d) of the DGCL. I affirm that in connection with the matters for which I seek Expense Advances, I have acted in good faith and in a manner I reasonably believed to be in or not opposed to the best interests of the Company, and with respect to any criminal action or proceeding, had no reasonable cause to believe that such conduct was unlawful.</w:t>
      </w:r>
    </w:p>
    <w:p>
      <w:pPr>
        <w:spacing w:after="0" w:line="187" w:lineRule="exact"/>
        <w:rPr>
          <w:sz w:val="20"/>
          <w:szCs w:val="20"/>
          <w:color w:val="auto"/>
        </w:rPr>
      </w:pPr>
    </w:p>
    <w:p>
      <w:pPr>
        <w:ind w:right="540" w:firstLine="441"/>
        <w:spacing w:after="0" w:line="308" w:lineRule="auto"/>
        <w:rPr>
          <w:sz w:val="20"/>
          <w:szCs w:val="20"/>
          <w:color w:val="auto"/>
        </w:rPr>
      </w:pPr>
      <w:r>
        <w:rPr>
          <w:rFonts w:ascii="Arial" w:cs="Arial" w:eastAsia="Arial" w:hAnsi="Arial"/>
          <w:sz w:val="17"/>
          <w:szCs w:val="17"/>
          <w:color w:val="auto"/>
        </w:rPr>
        <w:t>I hereby undertake to repay the Expense Advances if it is ultimately determined that I am not entitled to be indemnified, exonerated or held harmless therefor by the Company under Section 145 of the DGCL, Article IX of the Bylaws or the Indemnification Agreement.</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undertaking is a general, unsecured obligation, and no interest shall be charged hereon.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 have executed this Affirmation and Undertaking on this ___ day of __________, 20__.</w:t>
      </w:r>
    </w:p>
    <w:p>
      <w:pPr>
        <w:sectPr>
          <w:pgSz w:w="11900" w:h="16838" w:orient="portrait"/>
          <w:cols w:equalWidth="0" w:num="1">
            <w:col w:w="11020"/>
          </w:cols>
          <w:pgMar w:left="440" w:top="269" w:right="439" w:bottom="1440" w:gutter="0" w:footer="0" w:header="0"/>
        </w:sectPr>
      </w:pPr>
    </w:p>
    <w:bookmarkStart w:id="488" w:name="page489"/>
    <w:bookmarkEnd w:id="488"/>
    <w:p>
      <w:pPr>
        <w:ind w:left="10100"/>
        <w:spacing w:after="0"/>
        <w:rPr>
          <w:sz w:val="20"/>
          <w:szCs w:val="20"/>
          <w:color w:val="auto"/>
        </w:rPr>
      </w:pPr>
      <w:r>
        <w:rPr>
          <w:rFonts w:ascii="Arial" w:cs="Arial" w:eastAsia="Arial" w:hAnsi="Arial"/>
          <w:sz w:val="16"/>
          <w:szCs w:val="16"/>
          <w:b w:val="1"/>
          <w:bCs w:val="1"/>
          <w:color w:val="auto"/>
        </w:rPr>
        <w:t>Exhibit 23.1</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reverse stock split described in Note 2 to the consolidated financial statements has not been consummated at February 3, 2020. When it has been consummated, we expect to be in a position to furnish the following consent.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We hereby consent to the use in this Amendment No. 1 to the Registration Statement on Form S-1 of Revolution Medicines, Inc. of our report dated September 19, 2019, except for the effects of the reverse stock split described in Note 2, as to which the date is _______ relating to the financial</w:t>
      </w:r>
    </w:p>
    <w:p>
      <w:pPr>
        <w:ind w:right="600"/>
        <w:spacing w:after="0" w:line="261" w:lineRule="auto"/>
        <w:rPr>
          <w:sz w:val="20"/>
          <w:szCs w:val="20"/>
          <w:color w:val="auto"/>
        </w:rPr>
      </w:pPr>
      <w:r>
        <w:rPr>
          <w:rFonts w:ascii="Arial" w:cs="Arial" w:eastAsia="Arial" w:hAnsi="Arial"/>
          <w:sz w:val="18"/>
          <w:szCs w:val="18"/>
          <w:color w:val="auto"/>
        </w:rPr>
        <w:t>statements of Revolution Medicines, Inc., which appears in this Registration Statement.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ectPr>
          <w:pgSz w:w="11900" w:h="16838" w:orient="portrait"/>
          <w:cols w:equalWidth="0" w:num="1">
            <w:col w:w="11020"/>
          </w:cols>
          <w:pgMar w:left="440" w:top="121" w:right="439" w:bottom="1440" w:gutter="0" w:footer="0" w:header="0"/>
        </w:sectPr>
      </w:pPr>
    </w:p>
    <w:bookmarkStart w:id="489" w:name="page490"/>
    <w:bookmarkEnd w:id="489"/>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ACCOUNTANTS</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hereby consent to the use in this Amendment No. 1 to the Registration Statement on Form S-1 of Revolution Medicines, Inc. of our report dated October 16, 2018 relating to the financial statements of Warp Drive Bio, Inc., which appears in this Registration Statement. We also consent to the reference to us under the heading “Experts” in such Registration Statement.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2020</w:t>
      </w:r>
    </w:p>
    <w:p>
      <w:pPr>
        <w:sectPr>
          <w:pgSz w:w="11900" w:h="16838" w:orient="portrait"/>
          <w:cols w:equalWidth="0" w:num="1">
            <w:col w:w="11020"/>
          </w:cols>
          <w:pgMar w:left="440" w:top="121" w:right="439" w:bottom="1440" w:gutter="0" w:footer="0" w:header="0"/>
        </w:sectPr>
      </w:pPr>
    </w:p>
    <w:bookmarkStart w:id="490" w:name="page491"/>
    <w:bookmarkEnd w:id="490"/>
    <w:p>
      <w:pPr>
        <w:jc w:val="right"/>
        <w:spacing w:after="0"/>
        <w:rPr>
          <w:sz w:val="20"/>
          <w:szCs w:val="20"/>
          <w:color w:val="auto"/>
        </w:rPr>
      </w:pPr>
      <w:r>
        <w:rPr>
          <w:rFonts w:ascii="Arial" w:cs="Arial" w:eastAsia="Arial" w:hAnsi="Arial"/>
          <w:sz w:val="18"/>
          <w:szCs w:val="18"/>
          <w:b w:val="1"/>
          <w:bCs w:val="1"/>
          <w:color w:val="auto"/>
        </w:rPr>
        <w:t>Exhibit 23.3</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Auditors</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June 30, 2017 (except for Notes 7, 8 and 13, as to which the date is September 19, 2019), with respect to the financial statements of Warp Drive Bio, Inc. included in Amendment No. 1 to the Registration Statement on Form S-1 (No. 333-235698) and related Prospectus of Revolution Medicines, Inc. for the registration of shares of its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3, 2020</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E534CDE"/>
    <w:multiLevelType w:val="hybridMultilevel"/>
    <w:lvl w:ilvl="0">
      <w:lvlJc w:val="left"/>
      <w:lvlText w:val="(%1)"/>
      <w:numFmt w:val="decimal"/>
      <w:start w:val="1"/>
    </w:lvl>
  </w:abstractNum>
  <w:abstractNum w:abstractNumId="1">
    <w:nsid w:val="1A0DDE32"/>
    <w:multiLevelType w:val="hybridMultilevel"/>
    <w:lvl w:ilvl="0">
      <w:lvlJc w:val="left"/>
      <w:lvlText w:val="(%1)"/>
      <w:numFmt w:val="decimal"/>
      <w:start w:val="1"/>
    </w:lvl>
  </w:abstractNum>
  <w:abstractNum w:abstractNumId="2">
    <w:nsid w:val="65968C1C"/>
    <w:multiLevelType w:val="hybridMultilevel"/>
    <w:lvl w:ilvl="0">
      <w:lvlJc w:val="left"/>
      <w:lvlText w:val="•"/>
      <w:numFmt w:val="bullet"/>
      <w:start w:val="1"/>
    </w:lvl>
  </w:abstractNum>
  <w:abstractNum w:abstractNumId="3">
    <w:nsid w:val="46263DEC"/>
    <w:multiLevelType w:val="hybridMultilevel"/>
    <w:lvl w:ilvl="0">
      <w:lvlJc w:val="left"/>
      <w:lvlText w:val="•"/>
      <w:numFmt w:val="bullet"/>
      <w:start w:val="1"/>
    </w:lvl>
  </w:abstractNum>
  <w:abstractNum w:abstractNumId="4">
    <w:nsid w:val="260D8C4A"/>
    <w:multiLevelType w:val="hybridMultilevel"/>
    <w:lvl w:ilvl="0">
      <w:lvlJc w:val="left"/>
      <w:lvlText w:val="•"/>
      <w:numFmt w:val="bullet"/>
      <w:start w:val="1"/>
    </w:lvl>
  </w:abstractNum>
  <w:abstractNum w:abstractNumId="5">
    <w:nsid w:val="73D4D3C4"/>
    <w:multiLevelType w:val="hybridMultilevel"/>
    <w:lvl w:ilvl="0">
      <w:lvlJc w:val="left"/>
      <w:lvlText w:val="•"/>
      <w:numFmt w:val="bullet"/>
      <w:start w:val="1"/>
    </w:lvl>
  </w:abstractNum>
  <w:abstractNum w:abstractNumId="6">
    <w:nsid w:val="746F2E30"/>
    <w:multiLevelType w:val="hybridMultilevel"/>
    <w:lvl w:ilvl="0">
      <w:lvlJc w:val="left"/>
      <w:lvlText w:val="•"/>
      <w:numFmt w:val="bullet"/>
      <w:start w:val="1"/>
    </w:lvl>
  </w:abstractNum>
  <w:abstractNum w:abstractNumId="7">
    <w:nsid w:val="6FDE8AF6"/>
    <w:multiLevelType w:val="hybridMultilevel"/>
    <w:lvl w:ilvl="0">
      <w:lvlJc w:val="left"/>
      <w:lvlText w:val="•"/>
      <w:numFmt w:val="bullet"/>
      <w:start w:val="1"/>
    </w:lvl>
  </w:abstractNum>
  <w:abstractNum w:abstractNumId="8">
    <w:nsid w:val="3FC32E20"/>
    <w:multiLevelType w:val="hybridMultilevel"/>
    <w:lvl w:ilvl="0">
      <w:lvlJc w:val="left"/>
      <w:lvlText w:val="•"/>
      <w:numFmt w:val="bullet"/>
      <w:start w:val="1"/>
    </w:lvl>
  </w:abstractNum>
  <w:abstractNum w:abstractNumId="9">
    <w:nsid w:val="49C0E823"/>
    <w:multiLevelType w:val="hybridMultilevel"/>
    <w:lvl w:ilvl="0">
      <w:lvlJc w:val="left"/>
      <w:lvlText w:val="•"/>
      <w:numFmt w:val="bullet"/>
      <w:start w:val="1"/>
    </w:lvl>
  </w:abstractNum>
  <w:abstractNum w:abstractNumId="10">
    <w:nsid w:val="14D53685"/>
    <w:multiLevelType w:val="hybridMultilevel"/>
    <w:lvl w:ilvl="0">
      <w:lvlJc w:val="left"/>
      <w:lvlText w:val="(%1)"/>
      <w:numFmt w:val="decimal"/>
      <w:start w:val="1"/>
    </w:lvl>
  </w:abstractNum>
  <w:abstractNum w:abstractNumId="11">
    <w:nsid w:val="230F856C"/>
    <w:multiLevelType w:val="hybridMultilevel"/>
    <w:lvl w:ilvl="0">
      <w:lvlJc w:val="left"/>
      <w:lvlText w:val="(%1)"/>
      <w:numFmt w:val="decimal"/>
      <w:start w:val="1"/>
    </w:lvl>
  </w:abstractNum>
  <w:abstractNum w:abstractNumId="12">
    <w:nsid w:val="6EAA85FB"/>
    <w:multiLevelType w:val="hybridMultilevel"/>
    <w:lvl w:ilvl="0">
      <w:lvlJc w:val="left"/>
      <w:lvlText w:val="•"/>
      <w:numFmt w:val="bullet"/>
      <w:start w:val="1"/>
    </w:lvl>
  </w:abstractNum>
  <w:abstractNum w:abstractNumId="13">
    <w:nsid w:val="3F06ECB2"/>
    <w:multiLevelType w:val="hybridMultilevel"/>
    <w:lvl w:ilvl="0">
      <w:lvlJc w:val="left"/>
      <w:lvlText w:val="•"/>
      <w:numFmt w:val="bullet"/>
      <w:start w:val="1"/>
    </w:lvl>
  </w:abstractNum>
  <w:abstractNum w:abstractNumId="14">
    <w:nsid w:val="3B594807"/>
    <w:multiLevelType w:val="hybridMultilevel"/>
    <w:lvl w:ilvl="0">
      <w:lvlJc w:val="left"/>
      <w:lvlText w:val="•"/>
      <w:numFmt w:val="bullet"/>
      <w:start w:val="1"/>
    </w:lvl>
  </w:abstractNum>
  <w:abstractNum w:abstractNumId="15">
    <w:nsid w:val="6CAA2304"/>
    <w:multiLevelType w:val="hybridMultilevel"/>
    <w:lvl w:ilvl="0">
      <w:lvlJc w:val="left"/>
      <w:lvlText w:val="•"/>
      <w:numFmt w:val="bullet"/>
      <w:start w:val="1"/>
    </w:lvl>
  </w:abstractNum>
  <w:abstractNum w:abstractNumId="16">
    <w:nsid w:val="3F7C2FF4"/>
    <w:multiLevelType w:val="hybridMultilevel"/>
    <w:lvl w:ilvl="0">
      <w:lvlJc w:val="left"/>
      <w:lvlText w:val="•"/>
      <w:numFmt w:val="bullet"/>
      <w:start w:val="1"/>
    </w:lvl>
  </w:abstractNum>
  <w:abstractNum w:abstractNumId="17">
    <w:nsid w:val="25413BEC"/>
    <w:multiLevelType w:val="hybridMultilevel"/>
    <w:lvl w:ilvl="0">
      <w:lvlJc w:val="left"/>
      <w:lvlText w:val="•"/>
      <w:numFmt w:val="bullet"/>
      <w:start w:val="1"/>
    </w:lvl>
  </w:abstractNum>
  <w:abstractNum w:abstractNumId="18">
    <w:nsid w:val="17180B0B"/>
    <w:multiLevelType w:val="hybridMultilevel"/>
    <w:lvl w:ilvl="0">
      <w:lvlJc w:val="left"/>
      <w:lvlText w:val="•"/>
      <w:numFmt w:val="bullet"/>
      <w:start w:val="1"/>
    </w:lvl>
  </w:abstractNum>
  <w:abstractNum w:abstractNumId="19">
    <w:nsid w:val="579328B9"/>
    <w:multiLevelType w:val="hybridMultilevel"/>
    <w:lvl w:ilvl="0">
      <w:lvlJc w:val="left"/>
      <w:lvlText w:val="•"/>
      <w:numFmt w:val="bullet"/>
      <w:start w:val="1"/>
    </w:lvl>
  </w:abstractNum>
  <w:abstractNum w:abstractNumId="20">
    <w:nsid w:val="5D205E20"/>
    <w:multiLevelType w:val="hybridMultilevel"/>
    <w:lvl w:ilvl="0">
      <w:lvlJc w:val="left"/>
      <w:lvlText w:val="•"/>
      <w:numFmt w:val="bullet"/>
      <w:start w:val="1"/>
    </w:lvl>
  </w:abstractNum>
  <w:abstractNum w:abstractNumId="21">
    <w:nsid w:val="11CCA8BA"/>
    <w:multiLevelType w:val="hybridMultilevel"/>
    <w:lvl w:ilvl="0">
      <w:lvlJc w:val="left"/>
      <w:lvlText w:val="•"/>
      <w:numFmt w:val="bullet"/>
      <w:start w:val="1"/>
    </w:lvl>
  </w:abstractNum>
  <w:abstractNum w:abstractNumId="22">
    <w:nsid w:val="4D32AB86"/>
    <w:multiLevelType w:val="hybridMultilevel"/>
    <w:lvl w:ilvl="0">
      <w:lvlJc w:val="left"/>
      <w:lvlText w:val="•"/>
      <w:numFmt w:val="bullet"/>
      <w:start w:val="1"/>
    </w:lvl>
  </w:abstractNum>
  <w:abstractNum w:abstractNumId="23">
    <w:nsid w:val="3F07ACC3"/>
    <w:multiLevelType w:val="hybridMultilevel"/>
    <w:lvl w:ilvl="0">
      <w:lvlJc w:val="left"/>
      <w:lvlText w:val="•"/>
      <w:numFmt w:val="bullet"/>
      <w:start w:val="1"/>
    </w:lvl>
  </w:abstractNum>
  <w:abstractNum w:abstractNumId="24">
    <w:nsid w:val="6B47F63E"/>
    <w:multiLevelType w:val="hybridMultilevel"/>
    <w:lvl w:ilvl="0">
      <w:lvlJc w:val="left"/>
      <w:lvlText w:val="•"/>
      <w:numFmt w:val="bullet"/>
      <w:start w:val="1"/>
    </w:lvl>
  </w:abstractNum>
  <w:abstractNum w:abstractNumId="25">
    <w:nsid w:val="5CB44A05"/>
    <w:multiLevelType w:val="hybridMultilevel"/>
    <w:lvl w:ilvl="0">
      <w:lvlJc w:val="left"/>
      <w:lvlText w:val="•"/>
      <w:numFmt w:val="bullet"/>
      <w:start w:val="1"/>
    </w:lvl>
  </w:abstractNum>
  <w:abstractNum w:abstractNumId="26">
    <w:nsid w:val="16CF80F1"/>
    <w:multiLevelType w:val="hybridMultilevel"/>
    <w:lvl w:ilvl="0">
      <w:lvlJc w:val="left"/>
      <w:lvlText w:val="•"/>
      <w:numFmt w:val="bullet"/>
      <w:start w:val="1"/>
    </w:lvl>
  </w:abstractNum>
  <w:abstractNum w:abstractNumId="27">
    <w:nsid w:val="1C695DEC"/>
    <w:multiLevelType w:val="hybridMultilevel"/>
    <w:lvl w:ilvl="0">
      <w:lvlJc w:val="left"/>
      <w:lvlText w:val="•"/>
      <w:numFmt w:val="bullet"/>
      <w:start w:val="1"/>
    </w:lvl>
  </w:abstractNum>
  <w:abstractNum w:abstractNumId="28">
    <w:nsid w:val="3FCFAED9"/>
    <w:multiLevelType w:val="hybridMultilevel"/>
    <w:lvl w:ilvl="0">
      <w:lvlJc w:val="left"/>
      <w:lvlText w:val="•"/>
      <w:numFmt w:val="bullet"/>
      <w:start w:val="1"/>
    </w:lvl>
  </w:abstractNum>
  <w:abstractNum w:abstractNumId="29">
    <w:nsid w:val="F856867"/>
    <w:multiLevelType w:val="hybridMultilevel"/>
    <w:lvl w:ilvl="0">
      <w:lvlJc w:val="left"/>
      <w:lvlText w:val="•"/>
      <w:numFmt w:val="bullet"/>
      <w:start w:val="1"/>
    </w:lvl>
  </w:abstractNum>
  <w:abstractNum w:abstractNumId="30">
    <w:nsid w:val="11B1CC33"/>
    <w:multiLevelType w:val="hybridMultilevel"/>
    <w:lvl w:ilvl="0">
      <w:lvlJc w:val="left"/>
      <w:lvlText w:val="•"/>
      <w:numFmt w:val="bullet"/>
      <w:start w:val="1"/>
    </w:lvl>
  </w:abstractNum>
  <w:abstractNum w:abstractNumId="31">
    <w:nsid w:val="2E22FBB7"/>
    <w:multiLevelType w:val="hybridMultilevel"/>
    <w:lvl w:ilvl="0">
      <w:lvlJc w:val="left"/>
      <w:lvlText w:val="•"/>
      <w:numFmt w:val="bullet"/>
      <w:start w:val="1"/>
    </w:lvl>
  </w:abstractNum>
  <w:abstractNum w:abstractNumId="32">
    <w:nsid w:val="29934699"/>
    <w:multiLevelType w:val="hybridMultilevel"/>
    <w:lvl w:ilvl="0">
      <w:lvlJc w:val="left"/>
      <w:lvlText w:val="•"/>
      <w:numFmt w:val="bullet"/>
      <w:start w:val="1"/>
    </w:lvl>
  </w:abstractNum>
  <w:abstractNum w:abstractNumId="33">
    <w:nsid w:val="77485850"/>
    <w:multiLevelType w:val="hybridMultilevel"/>
    <w:lvl w:ilvl="0">
      <w:lvlJc w:val="left"/>
      <w:lvlText w:val="•"/>
      <w:numFmt w:val="bullet"/>
      <w:start w:val="1"/>
    </w:lvl>
  </w:abstractNum>
  <w:abstractNum w:abstractNumId="34">
    <w:nsid w:val="744939A3"/>
    <w:multiLevelType w:val="hybridMultilevel"/>
    <w:lvl w:ilvl="0">
      <w:lvlJc w:val="left"/>
      <w:lvlText w:val="•"/>
      <w:numFmt w:val="bullet"/>
      <w:start w:val="1"/>
    </w:lvl>
  </w:abstractNum>
  <w:abstractNum w:abstractNumId="35">
    <w:nsid w:val="4FA0D2E3"/>
    <w:multiLevelType w:val="hybridMultilevel"/>
    <w:lvl w:ilvl="0">
      <w:lvlJc w:val="left"/>
      <w:lvlText w:val="•"/>
      <w:numFmt w:val="bullet"/>
      <w:start w:val="1"/>
    </w:lvl>
  </w:abstractNum>
  <w:abstractNum w:abstractNumId="36">
    <w:nsid w:val="6B1D2C14"/>
    <w:multiLevelType w:val="hybridMultilevel"/>
    <w:lvl w:ilvl="0">
      <w:lvlJc w:val="left"/>
      <w:lvlText w:val="•"/>
      <w:numFmt w:val="bullet"/>
      <w:start w:val="1"/>
    </w:lvl>
  </w:abstractNum>
  <w:abstractNum w:abstractNumId="37">
    <w:nsid w:val="68B867D3"/>
    <w:multiLevelType w:val="hybridMultilevel"/>
    <w:lvl w:ilvl="0">
      <w:lvlJc w:val="left"/>
      <w:lvlText w:val="•"/>
      <w:numFmt w:val="bullet"/>
      <w:start w:val="1"/>
    </w:lvl>
  </w:abstractNum>
  <w:abstractNum w:abstractNumId="38">
    <w:nsid w:val="3F7F5DD9"/>
    <w:multiLevelType w:val="hybridMultilevel"/>
    <w:lvl w:ilvl="0">
      <w:lvlJc w:val="left"/>
      <w:lvlText w:val="•"/>
      <w:numFmt w:val="bullet"/>
      <w:start w:val="1"/>
    </w:lvl>
  </w:abstractNum>
  <w:abstractNum w:abstractNumId="39">
    <w:nsid w:val="2AE05A34"/>
    <w:multiLevelType w:val="hybridMultilevel"/>
    <w:lvl w:ilvl="0">
      <w:lvlJc w:val="left"/>
      <w:lvlText w:val="•"/>
      <w:numFmt w:val="bullet"/>
      <w:start w:val="1"/>
    </w:lvl>
  </w:abstractNum>
  <w:abstractNum w:abstractNumId="40">
    <w:nsid w:val="32794FF7"/>
    <w:multiLevelType w:val="hybridMultilevel"/>
    <w:lvl w:ilvl="0">
      <w:lvlJc w:val="left"/>
      <w:lvlText w:val="•"/>
      <w:numFmt w:val="bullet"/>
      <w:start w:val="1"/>
    </w:lvl>
  </w:abstractNum>
  <w:abstractNum w:abstractNumId="41">
    <w:nsid w:val="5454945E"/>
    <w:multiLevelType w:val="hybridMultilevel"/>
    <w:lvl w:ilvl="0">
      <w:lvlJc w:val="left"/>
      <w:lvlText w:val="•"/>
      <w:numFmt w:val="bullet"/>
      <w:start w:val="1"/>
    </w:lvl>
  </w:abstractNum>
  <w:abstractNum w:abstractNumId="42">
    <w:nsid w:val="4DEFDFA0"/>
    <w:multiLevelType w:val="hybridMultilevel"/>
    <w:lvl w:ilvl="0">
      <w:lvlJc w:val="left"/>
      <w:lvlText w:val="•"/>
      <w:numFmt w:val="bullet"/>
      <w:start w:val="1"/>
    </w:lvl>
  </w:abstractNum>
  <w:abstractNum w:abstractNumId="43">
    <w:nsid w:val="2123D5F2"/>
    <w:multiLevelType w:val="hybridMultilevel"/>
    <w:lvl w:ilvl="0">
      <w:lvlJc w:val="left"/>
      <w:lvlText w:val="•"/>
      <w:numFmt w:val="bullet"/>
      <w:start w:val="1"/>
    </w:lvl>
  </w:abstractNum>
  <w:abstractNum w:abstractNumId="44">
    <w:nsid w:val="135B8110"/>
    <w:multiLevelType w:val="hybridMultilevel"/>
    <w:lvl w:ilvl="0">
      <w:lvlJc w:val="left"/>
      <w:lvlText w:val="•"/>
      <w:numFmt w:val="bullet"/>
      <w:start w:val="1"/>
    </w:lvl>
  </w:abstractNum>
  <w:abstractNum w:abstractNumId="45">
    <w:nsid w:val="94927A8"/>
    <w:multiLevelType w:val="hybridMultilevel"/>
    <w:lvl w:ilvl="0">
      <w:lvlJc w:val="left"/>
      <w:lvlText w:val="•"/>
      <w:numFmt w:val="bullet"/>
      <w:start w:val="1"/>
    </w:lvl>
  </w:abstractNum>
  <w:abstractNum w:abstractNumId="46">
    <w:nsid w:val="DCDF8F6"/>
    <w:multiLevelType w:val="hybridMultilevel"/>
    <w:lvl w:ilvl="0">
      <w:lvlJc w:val="left"/>
      <w:lvlText w:val="•"/>
      <w:numFmt w:val="bullet"/>
      <w:start w:val="1"/>
    </w:lvl>
  </w:abstractNum>
  <w:abstractNum w:abstractNumId="47">
    <w:nsid w:val="52D7B105"/>
    <w:multiLevelType w:val="hybridMultilevel"/>
    <w:lvl w:ilvl="0">
      <w:lvlJc w:val="left"/>
      <w:lvlText w:val="•"/>
      <w:numFmt w:val="bullet"/>
      <w:start w:val="1"/>
    </w:lvl>
  </w:abstractNum>
  <w:abstractNum w:abstractNumId="48">
    <w:nsid w:val="2E8A6394"/>
    <w:multiLevelType w:val="hybridMultilevel"/>
    <w:lvl w:ilvl="0">
      <w:lvlJc w:val="left"/>
      <w:lvlText w:val="•"/>
      <w:numFmt w:val="bullet"/>
      <w:start w:val="1"/>
    </w:lvl>
  </w:abstractNum>
  <w:abstractNum w:abstractNumId="49">
    <w:nsid w:val="24E60401"/>
    <w:multiLevelType w:val="hybridMultilevel"/>
    <w:lvl w:ilvl="0">
      <w:lvlJc w:val="left"/>
      <w:lvlText w:val="•"/>
      <w:numFmt w:val="bullet"/>
      <w:start w:val="1"/>
    </w:lvl>
  </w:abstractNum>
  <w:abstractNum w:abstractNumId="50">
    <w:nsid w:val="2A6AD9BE"/>
    <w:multiLevelType w:val="hybridMultilevel"/>
    <w:lvl w:ilvl="0">
      <w:lvlJc w:val="left"/>
      <w:lvlText w:val="•"/>
      <w:numFmt w:val="bullet"/>
      <w:start w:val="1"/>
    </w:lvl>
  </w:abstractNum>
  <w:abstractNum w:abstractNumId="51">
    <w:nsid w:val="BAAC1B4"/>
    <w:multiLevelType w:val="hybridMultilevel"/>
    <w:lvl w:ilvl="0">
      <w:lvlJc w:val="left"/>
      <w:lvlText w:val="•"/>
      <w:numFmt w:val="bullet"/>
      <w:start w:val="1"/>
    </w:lvl>
  </w:abstractNum>
  <w:abstractNum w:abstractNumId="52">
    <w:nsid w:val="36B2ACBC"/>
    <w:multiLevelType w:val="hybridMultilevel"/>
    <w:lvl w:ilvl="0">
      <w:lvlJc w:val="left"/>
      <w:lvlText w:val="•"/>
      <w:numFmt w:val="bullet"/>
      <w:start w:val="1"/>
    </w:lvl>
  </w:abstractNum>
  <w:abstractNum w:abstractNumId="53">
    <w:nsid w:val="779D8544"/>
    <w:multiLevelType w:val="hybridMultilevel"/>
    <w:lvl w:ilvl="0">
      <w:lvlJc w:val="left"/>
      <w:lvlText w:val="(%1)"/>
      <w:numFmt w:val="decimal"/>
      <w:start w:val="1"/>
    </w:lvl>
  </w:abstractNum>
  <w:abstractNum w:abstractNumId="54">
    <w:nsid w:val="4AB26E78"/>
    <w:multiLevelType w:val="hybridMultilevel"/>
    <w:lvl w:ilvl="0">
      <w:lvlJc w:val="left"/>
      <w:lvlText w:val="•"/>
      <w:numFmt w:val="bullet"/>
      <w:start w:val="1"/>
    </w:lvl>
  </w:abstractNum>
  <w:abstractNum w:abstractNumId="55">
    <w:nsid w:val="21FAA2FA"/>
    <w:multiLevelType w:val="hybridMultilevel"/>
    <w:lvl w:ilvl="0">
      <w:lvlJc w:val="left"/>
      <w:lvlText w:val="•"/>
      <w:numFmt w:val="bullet"/>
      <w:start w:val="1"/>
    </w:lvl>
  </w:abstractNum>
  <w:abstractNum w:abstractNumId="56">
    <w:nsid w:val="5451CF49"/>
    <w:multiLevelType w:val="hybridMultilevel"/>
    <w:lvl w:ilvl="0">
      <w:lvlJc w:val="left"/>
      <w:lvlText w:val="•"/>
      <w:numFmt w:val="bullet"/>
      <w:start w:val="1"/>
    </w:lvl>
  </w:abstractNum>
  <w:abstractNum w:abstractNumId="57">
    <w:nsid w:val="6181EF69"/>
    <w:multiLevelType w:val="hybridMultilevel"/>
    <w:lvl w:ilvl="0">
      <w:lvlJc w:val="left"/>
      <w:lvlText w:val="•"/>
      <w:numFmt w:val="bullet"/>
      <w:start w:val="1"/>
    </w:lvl>
  </w:abstractNum>
  <w:abstractNum w:abstractNumId="58">
    <w:nsid w:val="3E6400E6"/>
    <w:multiLevelType w:val="hybridMultilevel"/>
    <w:lvl w:ilvl="0">
      <w:lvlJc w:val="left"/>
      <w:lvlText w:val="(%1)"/>
      <w:numFmt w:val="decimal"/>
      <w:start w:val="1"/>
    </w:lvl>
  </w:abstractNum>
  <w:abstractNum w:abstractNumId="59">
    <w:nsid w:val="14217E23"/>
    <w:multiLevelType w:val="hybridMultilevel"/>
    <w:lvl w:ilvl="0">
      <w:lvlJc w:val="left"/>
      <w:lvlText w:val="(%1)"/>
      <w:numFmt w:val="decimal"/>
      <w:start w:val="1"/>
    </w:lvl>
  </w:abstractNum>
  <w:abstractNum w:abstractNumId="60">
    <w:nsid w:val="710757D0"/>
    <w:multiLevelType w:val="hybridMultilevel"/>
    <w:lvl w:ilvl="0">
      <w:lvlJc w:val="left"/>
      <w:lvlText w:val="(%1)"/>
      <w:numFmt w:val="decimal"/>
      <w:start w:val="2"/>
    </w:lvl>
  </w:abstractNum>
  <w:abstractNum w:abstractNumId="61">
    <w:nsid w:val="5015CD1A"/>
    <w:multiLevelType w:val="hybridMultilevel"/>
    <w:lvl w:ilvl="0">
      <w:lvlJc w:val="left"/>
      <w:lvlText w:val="•"/>
      <w:numFmt w:val="bullet"/>
      <w:start w:val="1"/>
    </w:lvl>
  </w:abstractNum>
  <w:abstractNum w:abstractNumId="62">
    <w:nsid w:val="424479DA"/>
    <w:multiLevelType w:val="hybridMultilevel"/>
    <w:lvl w:ilvl="0">
      <w:lvlJc w:val="left"/>
      <w:lvlText w:val="(%1)"/>
      <w:numFmt w:val="lowerLetter"/>
      <w:start w:val="1"/>
    </w:lvl>
  </w:abstractNum>
  <w:abstractNum w:abstractNumId="63">
    <w:nsid w:val="1A9A9E69"/>
    <w:multiLevelType w:val="hybridMultilevel"/>
    <w:lvl w:ilvl="0">
      <w:lvlJc w:val="left"/>
      <w:lvlText w:val="(%1)"/>
      <w:numFmt w:val="lowerLetter"/>
      <w:start w:val="3"/>
    </w:lvl>
  </w:abstractNum>
  <w:abstractNum w:abstractNumId="64">
    <w:nsid w:val="475E256A"/>
    <w:multiLevelType w:val="hybridMultilevel"/>
    <w:lvl w:ilvl="0">
      <w:lvlJc w:val="left"/>
      <w:lvlText w:val="(%1)"/>
      <w:numFmt w:val="lowerLetter"/>
      <w:start w:val="4"/>
    </w:lvl>
  </w:abstractNum>
  <w:abstractNum w:abstractNumId="65">
    <w:nsid w:val="368DB37E"/>
    <w:multiLevelType w:val="hybridMultilevel"/>
    <w:lvl w:ilvl="0">
      <w:lvlJc w:val="left"/>
      <w:lvlText w:val="(%1)"/>
      <w:numFmt w:val="lowerLetter"/>
      <w:start w:val="6"/>
    </w:lvl>
  </w:abstractNum>
  <w:abstractNum w:abstractNumId="66">
    <w:nsid w:val="6A3B714C"/>
    <w:multiLevelType w:val="hybridMultilevel"/>
    <w:lvl w:ilvl="0">
      <w:lvlJc w:val="left"/>
      <w:lvlText w:val="(%1)"/>
      <w:numFmt w:val="lowerLetter"/>
      <w:start w:val="8"/>
    </w:lvl>
  </w:abstractNum>
  <w:abstractNum w:abstractNumId="67">
    <w:nsid w:val="327B517E"/>
    <w:multiLevelType w:val="hybridMultilevel"/>
    <w:lvl w:ilvl="0">
      <w:lvlJc w:val="left"/>
      <w:lvlText w:val="•"/>
      <w:numFmt w:val="bullet"/>
      <w:start w:val="1"/>
    </w:lvl>
  </w:abstractNum>
  <w:abstractNum w:abstractNumId="68">
    <w:nsid w:val="1F461B51"/>
    <w:multiLevelType w:val="hybridMultilevel"/>
    <w:lvl w:ilvl="0">
      <w:lvlJc w:val="left"/>
      <w:lvlText w:val="•"/>
      <w:numFmt w:val="bullet"/>
      <w:start w:val="1"/>
    </w:lvl>
  </w:abstractNum>
  <w:abstractNum w:abstractNumId="69">
    <w:nsid w:val="29BACF25"/>
    <w:multiLevelType w:val="hybridMultilevel"/>
    <w:lvl w:ilvl="0">
      <w:lvlJc w:val="left"/>
      <w:lvlText w:val="•"/>
      <w:numFmt w:val="bullet"/>
      <w:start w:val="1"/>
    </w:lvl>
  </w:abstractNum>
  <w:abstractNum w:abstractNumId="70">
    <w:nsid w:val="5D5BABB3"/>
    <w:multiLevelType w:val="hybridMultilevel"/>
    <w:lvl w:ilvl="0">
      <w:lvlJc w:val="left"/>
      <w:lvlText w:val="•"/>
      <w:numFmt w:val="bullet"/>
      <w:start w:val="1"/>
    </w:lvl>
  </w:abstractNum>
  <w:abstractNum w:abstractNumId="71">
    <w:nsid w:val="51BF6B48"/>
    <w:multiLevelType w:val="hybridMultilevel"/>
    <w:lvl w:ilvl="0">
      <w:lvlJc w:val="left"/>
      <w:lvlText w:val="•"/>
      <w:numFmt w:val="bullet"/>
      <w:start w:val="1"/>
    </w:lvl>
  </w:abstractNum>
  <w:abstractNum w:abstractNumId="72">
    <w:nsid w:val="7E0F6384"/>
    <w:multiLevelType w:val="hybridMultilevel"/>
    <w:lvl w:ilvl="0">
      <w:lvlJc w:val="left"/>
      <w:lvlText w:val="•"/>
      <w:numFmt w:val="bullet"/>
      <w:start w:val="1"/>
    </w:lvl>
  </w:abstractNum>
  <w:abstractNum w:abstractNumId="73">
    <w:nsid w:val="2B4B8B53"/>
    <w:multiLevelType w:val="hybridMultilevel"/>
    <w:lvl w:ilvl="0">
      <w:lvlJc w:val="left"/>
      <w:lvlText w:val="•"/>
      <w:numFmt w:val="bullet"/>
      <w:start w:val="1"/>
    </w:lvl>
  </w:abstractNum>
  <w:abstractNum w:abstractNumId="74">
    <w:nsid w:val="72E3413A"/>
    <w:multiLevelType w:val="hybridMultilevel"/>
    <w:lvl w:ilvl="0">
      <w:lvlJc w:val="left"/>
      <w:lvlText w:val="•"/>
      <w:numFmt w:val="bullet"/>
      <w:start w:val="1"/>
    </w:lvl>
  </w:abstractNum>
  <w:abstractNum w:abstractNumId="75">
    <w:nsid w:val="116AE494"/>
    <w:multiLevelType w:val="hybridMultilevel"/>
    <w:lvl w:ilvl="0">
      <w:lvlJc w:val="left"/>
      <w:lvlText w:val="(*)"/>
      <w:numFmt w:val="bullet"/>
      <w:start w:val="1"/>
    </w:lvl>
  </w:abstractNum>
  <w:abstractNum w:abstractNumId="76">
    <w:nsid w:val="3494B2FB"/>
    <w:multiLevelType w:val="hybridMultilevel"/>
    <w:lvl w:ilvl="0">
      <w:lvlJc w:val="left"/>
      <w:lvlText w:val="(†)"/>
      <w:numFmt w:val="bullet"/>
      <w:start w:val="1"/>
    </w:lvl>
  </w:abstractNum>
  <w:abstractNum w:abstractNumId="77">
    <w:nsid w:val="B13A31"/>
    <w:multiLevelType w:val="hybridMultilevel"/>
    <w:lvl w:ilvl="0">
      <w:lvlJc w:val="left"/>
      <w:lvlText w:val="(‡)"/>
      <w:numFmt w:val="bullet"/>
      <w:start w:val="1"/>
    </w:lvl>
  </w:abstractNum>
  <w:abstractNum w:abstractNumId="78">
    <w:nsid w:val="64429599"/>
    <w:multiLevelType w:val="hybridMultilevel"/>
    <w:lvl w:ilvl="0">
      <w:lvlJc w:val="left"/>
      <w:lvlText w:val="•"/>
      <w:numFmt w:val="bullet"/>
      <w:start w:val="1"/>
    </w:lvl>
  </w:abstractNum>
  <w:abstractNum w:abstractNumId="79">
    <w:nsid w:val="631F1690"/>
    <w:multiLevelType w:val="hybridMultilevel"/>
    <w:lvl w:ilvl="0">
      <w:lvlJc w:val="left"/>
      <w:lvlText w:val="%1)"/>
      <w:numFmt w:val="lowerRoman"/>
      <w:start w:val="1"/>
    </w:lvl>
  </w:abstractNum>
  <w:abstractNum w:abstractNumId="80">
    <w:nsid w:val="25973E32"/>
    <w:multiLevelType w:val="hybridMultilevel"/>
    <w:lvl w:ilvl="0">
      <w:lvlJc w:val="left"/>
      <w:lvlText w:val="•"/>
      <w:numFmt w:val="bullet"/>
      <w:start w:val="1"/>
    </w:lvl>
  </w:abstractNum>
  <w:abstractNum w:abstractNumId="81">
    <w:nsid w:val="EAD6F57"/>
    <w:multiLevelType w:val="hybridMultilevel"/>
    <w:lvl w:ilvl="0">
      <w:lvlJc w:val="left"/>
      <w:lvlText w:val="•"/>
      <w:numFmt w:val="bullet"/>
      <w:start w:val="1"/>
    </w:lvl>
  </w:abstractNum>
  <w:abstractNum w:abstractNumId="82">
    <w:nsid w:val="6EC9D844"/>
    <w:multiLevelType w:val="hybridMultilevel"/>
    <w:lvl w:ilvl="0">
      <w:lvlJc w:val="left"/>
      <w:lvlText w:val="*"/>
      <w:numFmt w:val="bullet"/>
      <w:start w:val="1"/>
    </w:lvl>
  </w:abstractNum>
  <w:abstractNum w:abstractNumId="83">
    <w:nsid w:val="5C49EAEE"/>
    <w:multiLevelType w:val="hybridMultilevel"/>
    <w:lvl w:ilvl="0">
      <w:lvlJc w:val="left"/>
      <w:lvlText w:val="*"/>
      <w:numFmt w:val="bullet"/>
      <w:start w:val="1"/>
    </w:lvl>
  </w:abstractNum>
  <w:abstractNum w:abstractNumId="84">
    <w:nsid w:val="64AF49B"/>
    <w:multiLevelType w:val="hybridMultilevel"/>
    <w:lvl w:ilvl="0">
      <w:lvlJc w:val="left"/>
      <w:lvlText w:val="*"/>
      <w:numFmt w:val="bullet"/>
      <w:start w:val="1"/>
    </w:lvl>
  </w:abstractNum>
  <w:abstractNum w:abstractNumId="85">
    <w:nsid w:val="397C46BC"/>
    <w:multiLevelType w:val="hybridMultilevel"/>
    <w:lvl w:ilvl="0">
      <w:lvlJc w:val="left"/>
      <w:lvlText w:val="*"/>
      <w:numFmt w:val="bullet"/>
      <w:start w:val="1"/>
    </w:lvl>
  </w:abstractNum>
  <w:abstractNum w:abstractNumId="86">
    <w:nsid w:val="7E448DE9"/>
    <w:multiLevelType w:val="hybridMultilevel"/>
    <w:lvl w:ilvl="0">
      <w:lvlJc w:val="left"/>
      <w:lvlText w:val="#"/>
      <w:numFmt w:val="bullet"/>
      <w:start w:val="1"/>
    </w:lvl>
  </w:abstractNum>
  <w:abstractNum w:abstractNumId="87">
    <w:nsid w:val="5A9CC3E5"/>
    <w:multiLevelType w:val="hybridMultilevel"/>
    <w:lvl w:ilvl="0">
      <w:lvlJc w:val="left"/>
      <w:lvlText w:val="*"/>
      <w:numFmt w:val="bullet"/>
      <w:start w:val="1"/>
    </w:lvl>
  </w:abstractNum>
  <w:abstractNum w:abstractNumId="88">
    <w:nsid w:val="1AFE3625"/>
    <w:multiLevelType w:val="hybridMultilevel"/>
    <w:lvl w:ilvl="0">
      <w:lvlJc w:val="left"/>
      <w:lvlText w:val="*"/>
      <w:numFmt w:val="bullet"/>
      <w:start w:val="1"/>
    </w:lvl>
  </w:abstractNum>
  <w:abstractNum w:abstractNumId="89">
    <w:nsid w:val="3CA88ECF"/>
    <w:multiLevelType w:val="hybridMultilevel"/>
    <w:lvl w:ilvl="0">
      <w:lvlJc w:val="left"/>
      <w:lvlText w:val="%1"/>
      <w:numFmt w:val="upperLetter"/>
      <w:start w:val="35"/>
    </w:lvl>
  </w:abstractNum>
  <w:abstractNum w:abstractNumId="90">
    <w:nsid w:val="6EBE4208"/>
    <w:multiLevelType w:val="hybridMultilevel"/>
    <w:lvl w:ilvl="0">
      <w:lvlJc w:val="left"/>
      <w:lvlText w:val="%1)"/>
      <w:numFmt w:val="lowerLetter"/>
      <w:start w:val="2"/>
    </w:lvl>
  </w:abstractNum>
  <w:abstractNum w:abstractNumId="91">
    <w:nsid w:val="C058DF5"/>
    <w:multiLevelType w:val="hybridMultilevel"/>
    <w:lvl w:ilvl="0">
      <w:lvlJc w:val="left"/>
      <w:lvlText w:val="•"/>
      <w:numFmt w:val="bullet"/>
      <w:start w:val="1"/>
    </w:lvl>
  </w:abstractNum>
  <w:abstractNum w:abstractNumId="92">
    <w:nsid w:val="CBE5BE9"/>
    <w:multiLevelType w:val="hybridMultilevel"/>
    <w:lvl w:ilvl="0">
      <w:lvlJc w:val="left"/>
      <w:lvlText w:val="•"/>
      <w:numFmt w:val="bullet"/>
      <w:start w:val="1"/>
    </w:lvl>
  </w:abstractNum>
  <w:abstractNum w:abstractNumId="93">
    <w:nsid w:val="3102BBE2"/>
    <w:multiLevelType w:val="hybridMultilevel"/>
    <w:lvl w:ilvl="0">
      <w:lvlJc w:val="left"/>
      <w:lvlText w:val="•"/>
      <w:numFmt w:val="bullet"/>
      <w:start w:val="1"/>
    </w:lvl>
  </w:abstractNum>
  <w:abstractNum w:abstractNumId="94">
    <w:nsid w:val="26A02C5E"/>
    <w:multiLevelType w:val="hybridMultilevel"/>
    <w:lvl w:ilvl="0">
      <w:lvlJc w:val="left"/>
      <w:lvlText w:val="(%1)"/>
      <w:numFmt w:val="decimal"/>
      <w:start w:val="1"/>
    </w:lvl>
  </w:abstractNum>
  <w:abstractNum w:abstractNumId="95">
    <w:nsid w:val="541C8153"/>
    <w:multiLevelType w:val="hybridMultilevel"/>
    <w:lvl w:ilvl="0">
      <w:lvlJc w:val="left"/>
      <w:lvlText w:val="•"/>
      <w:numFmt w:val="bullet"/>
      <w:start w:val="1"/>
    </w:lvl>
  </w:abstractNum>
  <w:abstractNum w:abstractNumId="96">
    <w:nsid w:val="67906F60"/>
    <w:multiLevelType w:val="hybridMultilevel"/>
    <w:lvl w:ilvl="0">
      <w:lvlJc w:val="left"/>
      <w:lvlText w:val="•"/>
      <w:numFmt w:val="bullet"/>
      <w:start w:val="1"/>
    </w:lvl>
  </w:abstractNum>
  <w:abstractNum w:abstractNumId="97">
    <w:nsid w:val="10DB9DAA"/>
    <w:multiLevelType w:val="hybridMultilevel"/>
    <w:lvl w:ilvl="0">
      <w:lvlJc w:val="left"/>
      <w:lvlText w:val="•"/>
      <w:numFmt w:val="bullet"/>
      <w:start w:val="1"/>
    </w:lvl>
  </w:abstractNum>
  <w:abstractNum w:abstractNumId="98">
    <w:nsid w:val="697D2D2"/>
    <w:multiLevelType w:val="hybridMultilevel"/>
    <w:lvl w:ilvl="0">
      <w:lvlJc w:val="left"/>
      <w:lvlText w:val="•"/>
      <w:numFmt w:val="bullet"/>
      <w:start w:val="1"/>
    </w:lvl>
  </w:abstractNum>
  <w:abstractNum w:abstractNumId="99">
    <w:nsid w:val="6D68AB2"/>
    <w:multiLevelType w:val="hybridMultilevel"/>
    <w:lvl w:ilvl="0">
      <w:lvlJc w:val="left"/>
      <w:lvlText w:val="•"/>
      <w:numFmt w:val="bullet"/>
      <w:start w:val="1"/>
    </w:lvl>
  </w:abstractNum>
  <w:abstractNum w:abstractNumId="100">
    <w:nsid w:val="3A966CD0"/>
    <w:multiLevelType w:val="hybridMultilevel"/>
    <w:lvl w:ilvl="0">
      <w:lvlJc w:val="left"/>
      <w:lvlText w:val="•"/>
      <w:numFmt w:val="bullet"/>
      <w:start w:val="1"/>
    </w:lvl>
  </w:abstractNum>
  <w:abstractNum w:abstractNumId="101">
    <w:nsid w:val="63F37E85"/>
    <w:multiLevelType w:val="hybridMultilevel"/>
    <w:lvl w:ilvl="0">
      <w:lvlJc w:val="left"/>
      <w:lvlText w:val="•"/>
      <w:numFmt w:val="bullet"/>
      <w:start w:val="1"/>
    </w:lvl>
  </w:abstractNum>
  <w:abstractNum w:abstractNumId="102">
    <w:nsid w:val="5895F5FA"/>
    <w:multiLevelType w:val="hybridMultilevel"/>
    <w:lvl w:ilvl="0">
      <w:lvlJc w:val="left"/>
      <w:lvlText w:val="(%1)"/>
      <w:numFmt w:val="decimal"/>
      <w:start w:val="1"/>
    </w:lvl>
  </w:abstractNum>
  <w:abstractNum w:abstractNumId="103">
    <w:nsid w:val="38A5D054"/>
    <w:multiLevelType w:val="hybridMultilevel"/>
    <w:lvl w:ilvl="0">
      <w:lvlJc w:val="left"/>
      <w:lvlText w:val="(%1)"/>
      <w:numFmt w:val="decimal"/>
      <w:start w:val="1"/>
    </w:lvl>
  </w:abstractNum>
  <w:abstractNum w:abstractNumId="104">
    <w:nsid w:val="F3F09D8"/>
    <w:multiLevelType w:val="hybridMultilevel"/>
    <w:lvl w:ilvl="0">
      <w:lvlJc w:val="left"/>
      <w:lvlText w:val="(%1)"/>
      <w:numFmt w:val="lowerRoman"/>
      <w:start w:val="1"/>
    </w:lvl>
  </w:abstractNum>
  <w:abstractNum w:abstractNumId="105">
    <w:nsid w:val="4B793735"/>
    <w:multiLevelType w:val="hybridMultilevel"/>
    <w:lvl w:ilvl="0">
      <w:lvlJc w:val="left"/>
      <w:lvlText w:val="(%1)"/>
      <w:numFmt w:val="upperLetter"/>
      <w:start w:val="2"/>
    </w:lvl>
  </w:abstractNum>
  <w:abstractNum w:abstractNumId="106">
    <w:nsid w:val="4A10B4E8"/>
    <w:multiLevelType w:val="hybridMultilevel"/>
    <w:lvl w:ilvl="0">
      <w:lvlJc w:val="left"/>
      <w:lvlText w:val="•"/>
      <w:numFmt w:val="bullet"/>
      <w:start w:val="1"/>
    </w:lvl>
  </w:abstractNum>
  <w:abstractNum w:abstractNumId="107">
    <w:nsid w:val="43D3BCD4"/>
    <w:multiLevelType w:val="hybridMultilevel"/>
    <w:lvl w:ilvl="0">
      <w:lvlJc w:val="left"/>
      <w:lvlText w:val="•"/>
      <w:numFmt w:val="bullet"/>
      <w:start w:val="1"/>
    </w:lvl>
  </w:abstractNum>
  <w:abstractNum w:abstractNumId="108">
    <w:nsid w:val="4C2A7166"/>
    <w:multiLevelType w:val="hybridMultilevel"/>
    <w:lvl w:ilvl="0">
      <w:lvlJc w:val="left"/>
      <w:lvlText w:val="•"/>
      <w:numFmt w:val="bullet"/>
      <w:start w:val="1"/>
    </w:lvl>
  </w:abstractNum>
  <w:abstractNum w:abstractNumId="109">
    <w:nsid w:val="2E534A82"/>
    <w:multiLevelType w:val="hybridMultilevel"/>
    <w:lvl w:ilvl="0">
      <w:lvlJc w:val="left"/>
      <w:lvlText w:val="•"/>
      <w:numFmt w:val="bullet"/>
      <w:start w:val="1"/>
    </w:lvl>
  </w:abstractNum>
  <w:abstractNum w:abstractNumId="110">
    <w:nsid w:val="26F2D364"/>
    <w:multiLevelType w:val="hybridMultilevel"/>
    <w:lvl w:ilvl="0">
      <w:lvlJc w:val="left"/>
      <w:lvlText w:val="•"/>
      <w:numFmt w:val="bullet"/>
      <w:start w:val="1"/>
    </w:lvl>
  </w:abstractNum>
  <w:abstractNum w:abstractNumId="111">
    <w:nsid w:val="71C1AF98"/>
    <w:multiLevelType w:val="hybridMultilevel"/>
    <w:lvl w:ilvl="0">
      <w:lvlJc w:val="left"/>
      <w:lvlText w:val="•"/>
      <w:numFmt w:val="bullet"/>
      <w:start w:val="1"/>
    </w:lvl>
  </w:abstractNum>
  <w:abstractNum w:abstractNumId="112">
    <w:nsid w:val="3D00B9D9"/>
    <w:multiLevelType w:val="hybridMultilevel"/>
    <w:lvl w:ilvl="0">
      <w:lvlJc w:val="left"/>
      <w:lvlText w:val="(%1)"/>
      <w:numFmt w:val="decimal"/>
      <w:start w:val="1"/>
    </w:lvl>
  </w:abstractNum>
  <w:abstractNum w:abstractNumId="113">
    <w:nsid w:val="15BCABA8"/>
    <w:multiLevelType w:val="hybridMultilevel"/>
    <w:lvl w:ilvl="0">
      <w:lvlJc w:val="left"/>
      <w:lvlText w:val="•"/>
      <w:numFmt w:val="bullet"/>
      <w:start w:val="1"/>
    </w:lvl>
  </w:abstractNum>
  <w:abstractNum w:abstractNumId="114">
    <w:nsid w:val="4E0B9A87"/>
    <w:multiLevelType w:val="hybridMultilevel"/>
    <w:lvl w:ilvl="0">
      <w:lvlJc w:val="left"/>
      <w:lvlText w:val="•"/>
      <w:numFmt w:val="bullet"/>
      <w:start w:val="1"/>
    </w:lvl>
  </w:abstractNum>
  <w:abstractNum w:abstractNumId="115">
    <w:nsid w:val="434BAE75"/>
    <w:multiLevelType w:val="hybridMultilevel"/>
    <w:lvl w:ilvl="0">
      <w:lvlJc w:val="left"/>
      <w:lvlText w:val="(%1)"/>
      <w:numFmt w:val="decimal"/>
      <w:start w:val="1"/>
    </w:lvl>
  </w:abstractNum>
  <w:abstractNum w:abstractNumId="116">
    <w:nsid w:val="4F38F265"/>
    <w:multiLevelType w:val="hybridMultilevel"/>
    <w:lvl w:ilvl="0">
      <w:lvlJc w:val="left"/>
      <w:lvlText w:val="(%1)"/>
      <w:numFmt w:val="decimal"/>
      <w:start w:val="1"/>
    </w:lvl>
  </w:abstractNum>
  <w:abstractNum w:abstractNumId="117">
    <w:nsid w:val="4C502870"/>
    <w:multiLevelType w:val="hybridMultilevel"/>
    <w:lvl w:ilvl="0">
      <w:lvlJc w:val="left"/>
      <w:lvlText w:val="(%1)"/>
      <w:numFmt w:val="decimal"/>
      <w:start w:val="1"/>
    </w:lvl>
  </w:abstractNum>
  <w:abstractNum w:abstractNumId="118">
    <w:nsid w:val="1DE8725A"/>
    <w:multiLevelType w:val="hybridMultilevel"/>
    <w:lvl w:ilvl="0">
      <w:lvlJc w:val="left"/>
      <w:lvlText w:val="(%1)"/>
      <w:numFmt w:val="decimal"/>
      <w:start w:val="5"/>
    </w:lvl>
  </w:abstractNum>
  <w:abstractNum w:abstractNumId="119">
    <w:nsid w:val="6A37288A"/>
    <w:multiLevelType w:val="hybridMultilevel"/>
    <w:lvl w:ilvl="0">
      <w:lvlJc w:val="left"/>
      <w:lvlText w:val="•"/>
      <w:numFmt w:val="bullet"/>
      <w:start w:val="1"/>
    </w:lvl>
  </w:abstractNum>
  <w:abstractNum w:abstractNumId="120">
    <w:nsid w:val="8F8B73F"/>
    <w:multiLevelType w:val="hybridMultilevel"/>
    <w:lvl w:ilvl="0">
      <w:lvlJc w:val="left"/>
      <w:lvlText w:val="*"/>
      <w:numFmt w:val="bullet"/>
      <w:start w:val="1"/>
    </w:lvl>
  </w:abstractNum>
  <w:abstractNum w:abstractNumId="121">
    <w:nsid w:val="CA6B462"/>
    <w:multiLevelType w:val="hybridMultilevel"/>
    <w:lvl w:ilvl="0">
      <w:lvlJc w:val="left"/>
      <w:lvlText w:val="(%1)"/>
      <w:numFmt w:val="decimal"/>
      <w:start w:val="1"/>
    </w:lvl>
  </w:abstractNum>
  <w:abstractNum w:abstractNumId="122">
    <w:nsid w:val="763CB680"/>
    <w:multiLevelType w:val="hybridMultilevel"/>
    <w:lvl w:ilvl="0">
      <w:lvlJc w:val="left"/>
      <w:lvlText w:val="(%1)"/>
      <w:numFmt w:val="decimal"/>
      <w:start w:val="3"/>
    </w:lvl>
    <w:lvl w:ilvl="1">
      <w:lvlJc w:val="left"/>
      <w:lvlText w:val="(%2)"/>
      <w:numFmt w:val="lowerRoman"/>
      <w:start w:val="3"/>
    </w:lvl>
  </w:abstractNum>
  <w:abstractNum w:abstractNumId="123">
    <w:nsid w:val="15B71329"/>
    <w:multiLevelType w:val="hybridMultilevel"/>
    <w:lvl w:ilvl="0">
      <w:lvlJc w:val="left"/>
      <w:lvlText w:val="•"/>
      <w:numFmt w:val="bullet"/>
      <w:start w:val="1"/>
    </w:lvl>
  </w:abstractNum>
  <w:abstractNum w:abstractNumId="124">
    <w:nsid w:val="3DA97044"/>
    <w:multiLevelType w:val="hybridMultilevel"/>
    <w:lvl w:ilvl="0">
      <w:lvlJc w:val="left"/>
      <w:lvlText w:val="(%1)"/>
      <w:numFmt w:val="lowerRoman"/>
      <w:start w:val="3"/>
    </w:lvl>
  </w:abstractNum>
  <w:abstractNum w:abstractNumId="125">
    <w:nsid w:val="1CDCE2DE"/>
    <w:multiLevelType w:val="hybridMultilevel"/>
    <w:lvl w:ilvl="0">
      <w:lvlJc w:val="left"/>
      <w:lvlText w:val="%1."/>
      <w:numFmt w:val="decimal"/>
      <w:start w:val="144"/>
    </w:lvl>
  </w:abstractNum>
  <w:abstractNum w:abstractNumId="126">
    <w:nsid w:val="69D3947C"/>
    <w:multiLevelType w:val="hybridMultilevel"/>
    <w:lvl w:ilvl="0">
      <w:lvlJc w:val="left"/>
      <w:lvlText w:val="%1."/>
      <w:numFmt w:val="decimal"/>
      <w:start w:val="144"/>
    </w:lvl>
  </w:abstractNum>
  <w:abstractNum w:abstractNumId="127">
    <w:nsid w:val="2539DFA5"/>
    <w:multiLevelType w:val="hybridMultilevel"/>
    <w:lvl w:ilvl="0">
      <w:lvlJc w:val="left"/>
      <w:lvlText w:val="•"/>
      <w:numFmt w:val="bullet"/>
      <w:start w:val="1"/>
    </w:lvl>
  </w:abstractNum>
  <w:abstractNum w:abstractNumId="128">
    <w:nsid w:val="2DB88089"/>
    <w:multiLevelType w:val="hybridMultilevel"/>
    <w:lvl w:ilvl="0">
      <w:lvlJc w:val="left"/>
      <w:lvlText w:val="•"/>
      <w:numFmt w:val="bullet"/>
      <w:start w:val="1"/>
    </w:lvl>
  </w:abstractNum>
  <w:abstractNum w:abstractNumId="129">
    <w:nsid w:val="706B674E"/>
    <w:multiLevelType w:val="hybridMultilevel"/>
    <w:lvl w:ilvl="0">
      <w:lvlJc w:val="left"/>
      <w:lvlText w:val="•"/>
      <w:numFmt w:val="bullet"/>
      <w:start w:val="1"/>
    </w:lvl>
  </w:abstractNum>
  <w:abstractNum w:abstractNumId="130">
    <w:nsid w:val="2C106A57"/>
    <w:multiLevelType w:val="hybridMultilevel"/>
    <w:lvl w:ilvl="0">
      <w:lvlJc w:val="left"/>
      <w:lvlText w:val="•"/>
      <w:numFmt w:val="bullet"/>
      <w:start w:val="1"/>
    </w:lvl>
  </w:abstractNum>
  <w:abstractNum w:abstractNumId="131">
    <w:nsid w:val="684EED59"/>
    <w:multiLevelType w:val="hybridMultilevel"/>
    <w:lvl w:ilvl="0">
      <w:lvlJc w:val="left"/>
      <w:lvlText w:val="•"/>
      <w:numFmt w:val="bullet"/>
      <w:start w:val="1"/>
    </w:lvl>
  </w:abstractNum>
  <w:abstractNum w:abstractNumId="132">
    <w:nsid w:val="545EE5D3"/>
    <w:multiLevelType w:val="hybridMultilevel"/>
    <w:lvl w:ilvl="0">
      <w:lvlJc w:val="left"/>
      <w:lvlText w:val="•"/>
      <w:numFmt w:val="bullet"/>
      <w:start w:val="1"/>
    </w:lvl>
  </w:abstractNum>
  <w:abstractNum w:abstractNumId="133">
    <w:nsid w:val="4A66051"/>
    <w:multiLevelType w:val="hybridMultilevel"/>
    <w:lvl w:ilvl="0">
      <w:lvlJc w:val="left"/>
      <w:lvlText w:val="%1."/>
      <w:numFmt w:val="lowerRoman"/>
      <w:start w:val="1"/>
    </w:lvl>
  </w:abstractNum>
  <w:abstractNum w:abstractNumId="134">
    <w:nsid w:val="20F4BDAD"/>
    <w:multiLevelType w:val="hybridMultilevel"/>
    <w:lvl w:ilvl="0">
      <w:lvlJc w:val="left"/>
      <w:lvlText w:val="•"/>
      <w:numFmt w:val="bullet"/>
      <w:start w:val="1"/>
    </w:lvl>
  </w:abstractNum>
  <w:abstractNum w:abstractNumId="135">
    <w:nsid w:val="639DEFAC"/>
    <w:multiLevelType w:val="hybridMultilevel"/>
    <w:lvl w:ilvl="0">
      <w:lvlJc w:val="left"/>
      <w:lvlText w:val="(%1)"/>
      <w:numFmt w:val="lowerLetter"/>
      <w:start w:val="1"/>
    </w:lvl>
  </w:abstractNum>
  <w:abstractNum w:abstractNumId="136">
    <w:nsid w:val="501F9786"/>
    <w:multiLevelType w:val="hybridMultilevel"/>
    <w:lvl w:ilvl="0">
      <w:lvlJc w:val="left"/>
      <w:lvlText w:val="(%1)"/>
      <w:numFmt w:val="lowerLetter"/>
      <w:start w:val="1"/>
    </w:lvl>
  </w:abstractNum>
  <w:abstractNum w:abstractNumId="137">
    <w:nsid w:val="6B057295"/>
    <w:multiLevelType w:val="hybridMultilevel"/>
    <w:lvl w:ilvl="0">
      <w:lvlJc w:val="left"/>
      <w:lvlText w:val="(%1)"/>
      <w:numFmt w:val="lowerRoman"/>
      <w:start w:val="1"/>
    </w:lvl>
  </w:abstractNum>
  <w:abstractNum w:abstractNumId="138">
    <w:nsid w:val="2771AC80"/>
    <w:multiLevelType w:val="hybridMultilevel"/>
    <w:lvl w:ilvl="0">
      <w:lvlJc w:val="left"/>
      <w:lvlText w:val="(%1)"/>
      <w:numFmt w:val="lowerRoman"/>
      <w:start w:val="1"/>
    </w:lvl>
  </w:abstractNum>
  <w:abstractNum w:abstractNumId="139">
    <w:nsid w:val="1C4A08EC"/>
    <w:multiLevelType w:val="hybridMultilevel"/>
    <w:lvl w:ilvl="0">
      <w:lvlJc w:val="left"/>
      <w:lvlText w:val="(%1)"/>
      <w:numFmt w:val="lowerRoman"/>
      <w:start w:val="2"/>
    </w:lvl>
  </w:abstractNum>
  <w:abstractNum w:abstractNumId="140">
    <w:nsid w:val="1958BD17"/>
    <w:multiLevelType w:val="hybridMultilevel"/>
    <w:lvl w:ilvl="0">
      <w:lvlJc w:val="left"/>
      <w:lvlText w:val="(%1)"/>
      <w:numFmt w:val="decimal"/>
      <w:start w:val="1"/>
    </w:lvl>
  </w:abstractNum>
  <w:abstractNum w:abstractNumId="141">
    <w:nsid w:val="4E647FE4"/>
    <w:multiLevelType w:val="hybridMultilevel"/>
    <w:lvl w:ilvl="0">
      <w:lvlJc w:val="left"/>
      <w:lvlText w:val="(%1)"/>
      <w:numFmt w:val="decimal"/>
      <w:start w:val="1"/>
    </w:lvl>
  </w:abstractNum>
  <w:abstractNum w:abstractNumId="142">
    <w:nsid w:val="E0BB885"/>
    <w:multiLevelType w:val="hybridMultilevel"/>
    <w:lvl w:ilvl="0">
      <w:lvlJc w:val="left"/>
      <w:lvlText w:val="(%1)"/>
      <w:numFmt w:val="lowerRoman"/>
      <w:start w:val="3"/>
    </w:lvl>
  </w:abstractNum>
  <w:abstractNum w:abstractNumId="143">
    <w:nsid w:val="565976F1"/>
    <w:multiLevelType w:val="hybridMultilevel"/>
    <w:lvl w:ilvl="0">
      <w:lvlJc w:val="left"/>
      <w:lvlText w:val="(%1)"/>
      <w:numFmt w:val="lowerRoman"/>
      <w:start w:val="6"/>
    </w:lvl>
  </w:abstractNum>
  <w:abstractNum w:abstractNumId="144">
    <w:nsid w:val="64212B8C"/>
    <w:multiLevelType w:val="hybridMultilevel"/>
    <w:lvl w:ilvl="0">
      <w:lvlJc w:val="left"/>
      <w:lvlText w:val="(%1)"/>
      <w:numFmt w:val="lowerRoman"/>
      <w:start w:val="2"/>
    </w:lvl>
  </w:abstractNum>
  <w:abstractNum w:abstractNumId="145">
    <w:nsid w:val="5C17530C"/>
    <w:multiLevelType w:val="hybridMultilevel"/>
    <w:lvl w:ilvl="0">
      <w:lvlJc w:val="left"/>
      <w:lvlText w:val="(%1)"/>
      <w:numFmt w:val="decimal"/>
      <w:start w:val="1"/>
    </w:lvl>
  </w:abstractNum>
  <w:abstractNum w:abstractNumId="146">
    <w:nsid w:val="19A52566"/>
    <w:multiLevelType w:val="hybridMultilevel"/>
    <w:lvl w:ilvl="0">
      <w:lvlJc w:val="left"/>
      <w:lvlText w:val="\emdash "/>
      <w:numFmt w:val="bullet"/>
      <w:start w:val="1"/>
    </w:lvl>
  </w:abstractNum>
  <w:abstractNum w:abstractNumId="147">
    <w:nsid w:val="335A1DF1"/>
    <w:multiLevelType w:val="hybridMultilevel"/>
    <w:lvl w:ilvl="0">
      <w:lvlJc w:val="left"/>
      <w:lvlText w:val="\emdash "/>
      <w:numFmt w:val="bullet"/>
      <w:start w:val="1"/>
    </w:lvl>
  </w:abstractNum>
  <w:abstractNum w:abstractNumId="148">
    <w:nsid w:val="28677B7C"/>
    <w:multiLevelType w:val="hybridMultilevel"/>
    <w:lvl w:ilvl="0">
      <w:lvlJc w:val="left"/>
      <w:lvlText w:val="•"/>
      <w:numFmt w:val="bullet"/>
      <w:start w:val="1"/>
    </w:lvl>
  </w:abstractNum>
  <w:abstractNum w:abstractNumId="149">
    <w:nsid w:val="378D97C0"/>
    <w:multiLevelType w:val="hybridMultilevel"/>
    <w:lvl w:ilvl="0">
      <w:lvlJc w:val="left"/>
      <w:lvlText w:val="•"/>
      <w:numFmt w:val="bullet"/>
      <w:start w:val="1"/>
    </w:lvl>
  </w:abstractNum>
  <w:abstractNum w:abstractNumId="150">
    <w:nsid w:val="1D91467C"/>
    <w:multiLevelType w:val="hybridMultilevel"/>
    <w:lvl w:ilvl="0">
      <w:lvlJc w:val="left"/>
      <w:lvlText w:val="•"/>
      <w:numFmt w:val="bullet"/>
      <w:start w:val="1"/>
    </w:lvl>
  </w:abstractNum>
  <w:abstractNum w:abstractNumId="151">
    <w:nsid w:val="316032BB"/>
    <w:multiLevelType w:val="hybridMultilevel"/>
    <w:lvl w:ilvl="0">
      <w:lvlJc w:val="left"/>
      <w:lvlText w:val="•"/>
      <w:numFmt w:val="bullet"/>
      <w:start w:val="1"/>
    </w:lvl>
  </w:abstractNum>
  <w:abstractNum w:abstractNumId="152">
    <w:nsid w:val="44344C22"/>
    <w:multiLevelType w:val="hybridMultilevel"/>
    <w:lvl w:ilvl="0">
      <w:lvlJc w:val="left"/>
      <w:lvlText w:val="(%1)"/>
      <w:numFmt w:val="lowerRoman"/>
      <w:start w:val="2"/>
    </w:lvl>
  </w:abstractNum>
  <w:abstractNum w:abstractNumId="153">
    <w:nsid w:val="13CDFCFC"/>
    <w:multiLevelType w:val="hybridMultilevel"/>
    <w:lvl w:ilvl="0">
      <w:lvlJc w:val="left"/>
      <w:lvlText w:val="\emdash "/>
      <w:numFmt w:val="bullet"/>
      <w:start w:val="1"/>
    </w:lvl>
  </w:abstractNum>
  <w:abstractNum w:abstractNumId="154">
    <w:nsid w:val="471745E4"/>
    <w:multiLevelType w:val="hybridMultilevel"/>
    <w:lvl w:ilvl="0">
      <w:lvlJc w:val="left"/>
      <w:lvlText w:val="•"/>
      <w:numFmt w:val="bullet"/>
      <w:start w:val="1"/>
    </w:lvl>
  </w:abstractNum>
  <w:abstractNum w:abstractNumId="155">
    <w:nsid w:val="1DDBC66"/>
    <w:multiLevelType w:val="hybridMultilevel"/>
    <w:lvl w:ilvl="0">
      <w:lvlJc w:val="left"/>
      <w:lvlText w:val="•"/>
      <w:numFmt w:val="bullet"/>
      <w:start w:val="1"/>
    </w:lvl>
  </w:abstractNum>
  <w:abstractNum w:abstractNumId="156">
    <w:nsid w:val="30AADFDA"/>
    <w:multiLevelType w:val="hybridMultilevel"/>
    <w:lvl w:ilvl="0">
      <w:lvlJc w:val="left"/>
      <w:lvlText w:val="%1."/>
      <w:numFmt w:val="decimal"/>
      <w:start w:val="1"/>
    </w:lvl>
  </w:abstractNum>
  <w:abstractNum w:abstractNumId="157">
    <w:nsid w:val="30EADA61"/>
    <w:multiLevelType w:val="hybridMultilevel"/>
    <w:lvl w:ilvl="0">
      <w:lvlJc w:val="left"/>
      <w:lvlText w:val="†"/>
      <w:numFmt w:val="bullet"/>
      <w:start w:val="1"/>
    </w:lvl>
  </w:abstractNum>
  <w:abstractNum w:abstractNumId="158">
    <w:nsid w:val="27179C0B"/>
    <w:multiLevelType w:val="hybridMultilevel"/>
    <w:lvl w:ilvl="0">
      <w:lvlJc w:val="left"/>
      <w:lvlText w:val="(%1)"/>
      <w:numFmt w:val="lowerLetter"/>
      <w:start w:val="2"/>
    </w:lvl>
  </w:abstractNum>
  <w:abstractNum w:abstractNumId="159">
    <w:nsid w:val="5E636063"/>
    <w:multiLevelType w:val="hybridMultilevel"/>
    <w:lvl w:ilvl="0">
      <w:lvlJc w:val="left"/>
      <w:lvlText w:val="%1."/>
      <w:numFmt w:val="decimal"/>
      <w:start w:val="1"/>
    </w:lvl>
  </w:abstractNum>
  <w:abstractNum w:abstractNumId="160">
    <w:nsid w:val="215641AF"/>
    <w:multiLevelType w:val="hybridMultilevel"/>
    <w:lvl w:ilvl="0">
      <w:lvlJc w:val="left"/>
      <w:lvlText w:val="%1."/>
      <w:numFmt w:val="decimal"/>
      <w:start w:val="1"/>
    </w:lvl>
  </w:abstractNum>
  <w:abstractNum w:abstractNumId="161">
    <w:nsid w:val="53280662"/>
    <w:multiLevelType w:val="hybridMultilevel"/>
    <w:lvl w:ilvl="0">
      <w:lvlJc w:val="left"/>
      <w:lvlText w:val="%1."/>
      <w:numFmt w:val="upperLetter"/>
      <w:start w:val="1"/>
    </w:lvl>
    <w:lvl w:ilvl="1">
      <w:lvlJc w:val="left"/>
      <w:lvlText w:val="%2."/>
      <w:numFmt w:val="decimal"/>
      <w:start w:val="1"/>
    </w:lvl>
  </w:abstractNum>
  <w:abstractNum w:abstractNumId="162">
    <w:nsid w:val="46B24DBC"/>
    <w:multiLevelType w:val="hybridMultilevel"/>
    <w:lvl w:ilvl="0">
      <w:lvlJc w:val="left"/>
      <w:lvlText w:val="%1."/>
      <w:numFmt w:val="decimal"/>
      <w:start w:val="2"/>
    </w:lvl>
  </w:abstractNum>
  <w:abstractNum w:abstractNumId="163">
    <w:nsid w:val="75B52783"/>
    <w:multiLevelType w:val="hybridMultilevel"/>
    <w:lvl w:ilvl="0">
      <w:lvlJc w:val="left"/>
      <w:lvlText w:val="%1."/>
      <w:numFmt w:val="upperLetter"/>
      <w:start w:val="1"/>
    </w:lvl>
    <w:lvl w:ilvl="1">
      <w:lvlJc w:val="left"/>
      <w:lvlText w:val="%2."/>
      <w:numFmt w:val="decimal"/>
      <w:start w:val="1"/>
    </w:lvl>
  </w:abstractNum>
  <w:abstractNum w:abstractNumId="164">
    <w:nsid w:val="57CE66B4"/>
    <w:multiLevelType w:val="hybridMultilevel"/>
    <w:lvl w:ilvl="0">
      <w:lvlJc w:val="left"/>
      <w:lvlText w:val="%1."/>
      <w:numFmt w:val="upperLetter"/>
      <w:start w:val="2"/>
    </w:lvl>
  </w:abstractNum>
  <w:abstractNum w:abstractNumId="165">
    <w:nsid w:val="67A70B69"/>
    <w:multiLevelType w:val="hybridMultilevel"/>
    <w:lvl w:ilvl="0">
      <w:lvlJc w:val="left"/>
      <w:lvlText w:val="%1."/>
      <w:numFmt w:val="decimal"/>
      <w:start w:val="1"/>
    </w:lvl>
  </w:abstractNum>
  <w:abstractNum w:abstractNumId="166">
    <w:nsid w:val="5953172F"/>
    <w:multiLevelType w:val="hybridMultilevel"/>
    <w:lvl w:ilvl="0">
      <w:lvlJc w:val="left"/>
      <w:lvlText w:val="(%1)"/>
      <w:numFmt w:val="decimal"/>
      <w:start w:val="1"/>
    </w:lvl>
    <w:lvl w:ilvl="1">
      <w:lvlJc w:val="left"/>
      <w:lvlText w:val="%2."/>
      <w:numFmt w:val="decimal"/>
      <w:start w:val="2"/>
    </w:lvl>
  </w:abstractNum>
  <w:abstractNum w:abstractNumId="167">
    <w:nsid w:val="27EDFE3A"/>
    <w:multiLevelType w:val="hybridMultilevel"/>
    <w:lvl w:ilvl="0">
      <w:lvlJc w:val="left"/>
      <w:lvlText w:val="(%1)"/>
      <w:numFmt w:val="lowerRoman"/>
      <w:start w:val="3"/>
    </w:lvl>
  </w:abstractNum>
  <w:abstractNum w:abstractNumId="168">
    <w:nsid w:val="52AC7DFF"/>
    <w:multiLevelType w:val="hybridMultilevel"/>
    <w:lvl w:ilvl="0">
      <w:lvlJc w:val="left"/>
      <w:lvlText w:val="(%1)"/>
      <w:numFmt w:val="lowerLetter"/>
      <w:start w:val="1"/>
    </w:lvl>
    <w:lvl w:ilvl="1">
      <w:lvlJc w:val="left"/>
      <w:lvlText w:val="(%2)"/>
      <w:numFmt w:val="lowerRoman"/>
      <w:start w:val="1"/>
    </w:lvl>
  </w:abstractNum>
  <w:abstractNum w:abstractNumId="169">
    <w:nsid w:val="C4C3AF"/>
    <w:multiLevelType w:val="hybridMultilevel"/>
    <w:lvl w:ilvl="0">
      <w:lvlJc w:val="left"/>
      <w:lvlText w:val="(%1)"/>
      <w:numFmt w:val="lowerLetter"/>
      <w:start w:val="2"/>
    </w:lvl>
  </w:abstractNum>
  <w:abstractNum w:abstractNumId="170">
    <w:nsid w:val="44380727"/>
    <w:multiLevelType w:val="hybridMultilevel"/>
    <w:lvl w:ilvl="0">
      <w:lvlJc w:val="left"/>
      <w:lvlText w:val="(%1)"/>
      <w:numFmt w:val="lowerLetter"/>
      <w:start w:val="1"/>
    </w:lvl>
  </w:abstractNum>
  <w:abstractNum w:abstractNumId="171">
    <w:nsid w:val="6C053B16"/>
    <w:multiLevelType w:val="hybridMultilevel"/>
    <w:lvl w:ilvl="0">
      <w:lvlJc w:val="left"/>
      <w:lvlText w:val="%1."/>
      <w:numFmt w:val="decimal"/>
      <w:start w:val="3"/>
    </w:lvl>
  </w:abstractNum>
  <w:abstractNum w:abstractNumId="172">
    <w:nsid w:val="4F294393"/>
    <w:multiLevelType w:val="hybridMultilevel"/>
    <w:lvl w:ilvl="0">
      <w:lvlJc w:val="left"/>
      <w:lvlText w:val="%1."/>
      <w:numFmt w:val="decimal"/>
      <w:start w:val="4"/>
    </w:lvl>
  </w:abstractNum>
  <w:abstractNum w:abstractNumId="173">
    <w:nsid w:val="5243BFAC"/>
    <w:multiLevelType w:val="hybridMultilevel"/>
    <w:lvl w:ilvl="0">
      <w:lvlJc w:val="left"/>
      <w:lvlText w:val="(%1)"/>
      <w:numFmt w:val="lowerLetter"/>
      <w:start w:val="2"/>
    </w:lvl>
  </w:abstractNum>
  <w:abstractNum w:abstractNumId="174">
    <w:nsid w:val="425EB207"/>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75">
    <w:nsid w:val="334A6F1F"/>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76">
    <w:nsid w:val="2E5B12B8"/>
    <w:multiLevelType w:val="hybridMultilevel"/>
    <w:lvl w:ilvl="0">
      <w:lvlJc w:val="left"/>
      <w:lvlText w:val="(%1)"/>
      <w:numFmt w:val="lowerLetter"/>
      <w:start w:val="1"/>
    </w:lvl>
  </w:abstractNum>
  <w:abstractNum w:abstractNumId="177">
    <w:nsid w:val="5C03D76D"/>
    <w:multiLevelType w:val="hybridMultilevel"/>
    <w:lvl w:ilvl="0">
      <w:lvlJc w:val="left"/>
      <w:lvlText w:val="(%1)"/>
      <w:numFmt w:val="lowerLetter"/>
      <w:start w:val="3"/>
    </w:lvl>
  </w:abstractNum>
  <w:abstractNum w:abstractNumId="178">
    <w:nsid w:val="66A48D11"/>
    <w:multiLevelType w:val="hybridMultilevel"/>
    <w:lvl w:ilvl="0">
      <w:lvlJc w:val="left"/>
      <w:lvlText w:val="(%1)"/>
      <w:numFmt w:val="lowerLetter"/>
      <w:start w:val="1"/>
    </w:lvl>
  </w:abstractNum>
  <w:abstractNum w:abstractNumId="179">
    <w:nsid w:val="56C28E34"/>
    <w:multiLevelType w:val="hybridMultilevel"/>
    <w:lvl w:ilvl="0">
      <w:lvlJc w:val="left"/>
      <w:lvlText w:val="(%1)"/>
      <w:numFmt w:val="lowerLetter"/>
      <w:start w:val="1"/>
    </w:lvl>
    <w:lvl w:ilvl="1">
      <w:lvlJc w:val="left"/>
      <w:lvlText w:val="(%2)"/>
      <w:numFmt w:val="lowerRoman"/>
      <w:start w:val="1"/>
    </w:lvl>
  </w:abstractNum>
  <w:abstractNum w:abstractNumId="180">
    <w:nsid w:val="13916F2D"/>
    <w:multiLevelType w:val="hybridMultilevel"/>
    <w:lvl w:ilvl="0">
      <w:lvlJc w:val="left"/>
      <w:lvlText w:val="%1"/>
      <w:numFmt w:val="lowerLetter"/>
      <w:start w:val="1"/>
    </w:lvl>
    <w:lvl w:ilvl="1">
      <w:lvlJc w:val="left"/>
      <w:lvlText w:val="(%2)"/>
      <w:numFmt w:val="lowerLetter"/>
      <w:start w:val="61"/>
    </w:lvl>
  </w:abstractNum>
  <w:abstractNum w:abstractNumId="181">
    <w:nsid w:val="435D38D"/>
    <w:multiLevelType w:val="hybridMultilevel"/>
    <w:lvl w:ilvl="0">
      <w:lvlJc w:val="left"/>
      <w:lvlText w:val="(%1)"/>
      <w:numFmt w:val="lowerLetter"/>
      <w:start w:val="2"/>
    </w:lvl>
    <w:lvl w:ilvl="1">
      <w:lvlJc w:val="left"/>
      <w:lvlText w:val="(%2)"/>
      <w:numFmt w:val="lowerLetter"/>
      <w:start w:val="9"/>
    </w:lvl>
  </w:abstractNum>
  <w:abstractNum w:abstractNumId="182">
    <w:nsid w:val="822C0EF"/>
    <w:multiLevelType w:val="hybridMultilevel"/>
    <w:lvl w:ilvl="0">
      <w:lvlJc w:val="left"/>
      <w:lvlText w:val="(%1)"/>
      <w:numFmt w:val="lowerRoman"/>
      <w:start w:val="2"/>
    </w:lvl>
  </w:abstractNum>
  <w:abstractNum w:abstractNumId="183">
    <w:nsid w:val="57C5BB4F"/>
    <w:multiLevelType w:val="hybridMultilevel"/>
    <w:lvl w:ilvl="0">
      <w:lvlJc w:val="left"/>
      <w:lvlText w:val="(%1)"/>
      <w:numFmt w:val="decimal"/>
      <w:start w:val="1"/>
    </w:lvl>
  </w:abstractNum>
  <w:abstractNum w:abstractNumId="184">
    <w:nsid w:val="1803D089"/>
    <w:multiLevelType w:val="hybridMultilevel"/>
    <w:lvl w:ilvl="0">
      <w:lvlJc w:val="left"/>
      <w:lvlText w:val="(%1)"/>
      <w:numFmt w:val="lowerLetter"/>
      <w:start w:val="2"/>
    </w:lvl>
  </w:abstractNum>
  <w:abstractNum w:abstractNumId="185">
    <w:nsid w:val="4F3A06D4"/>
    <w:multiLevelType w:val="hybridMultilevel"/>
    <w:lvl w:ilvl="0">
      <w:lvlJc w:val="left"/>
      <w:lvlText w:val="(%1)"/>
      <w:numFmt w:val="lowerLetter"/>
      <w:start w:val="1"/>
    </w:lvl>
  </w:abstractNum>
  <w:abstractNum w:abstractNumId="186">
    <w:nsid w:val="59A377B6"/>
    <w:multiLevelType w:val="hybridMultilevel"/>
    <w:lvl w:ilvl="0">
      <w:lvlJc w:val="left"/>
      <w:lvlText w:val="(%1)"/>
      <w:numFmt w:val="lowerRoman"/>
      <w:start w:val="1"/>
    </w:lvl>
    <w:lvl w:ilvl="1">
      <w:lvlJc w:val="left"/>
      <w:lvlText w:val="%2."/>
      <w:numFmt w:val="decimal"/>
      <w:start w:val="5"/>
    </w:lvl>
  </w:abstractNum>
  <w:abstractNum w:abstractNumId="187">
    <w:nsid w:val="48AEB063"/>
    <w:multiLevelType w:val="hybridMultilevel"/>
    <w:lvl w:ilvl="0">
      <w:lvlJc w:val="left"/>
      <w:lvlText w:val="(%1)"/>
      <w:numFmt w:val="lowerLetter"/>
      <w:start w:val="2"/>
    </w:lvl>
  </w:abstractNum>
  <w:abstractNum w:abstractNumId="188">
    <w:nsid w:val="24E135"/>
    <w:multiLevelType w:val="hybridMultilevel"/>
    <w:lvl w:ilvl="0">
      <w:lvlJc w:val="left"/>
      <w:lvlText w:val="%1."/>
      <w:numFmt w:val="decimal"/>
      <w:start w:val="6"/>
    </w:lvl>
  </w:abstractNum>
  <w:abstractNum w:abstractNumId="189">
    <w:nsid w:val="BB13C1"/>
    <w:multiLevelType w:val="hybridMultilevel"/>
    <w:lvl w:ilvl="0">
      <w:lvlJc w:val="left"/>
      <w:lvlText w:val="(%1)"/>
      <w:numFmt w:val="lowerRoman"/>
      <w:start w:val="4"/>
    </w:lvl>
  </w:abstractNum>
  <w:abstractNum w:abstractNumId="190">
    <w:nsid w:val="271210C7"/>
    <w:multiLevelType w:val="hybridMultilevel"/>
    <w:lvl w:ilvl="0">
      <w:lvlJc w:val="left"/>
      <w:lvlText w:val="%1."/>
      <w:numFmt w:val="decimal"/>
      <w:start w:val="3"/>
    </w:lvl>
  </w:abstractNum>
  <w:abstractNum w:abstractNumId="191">
    <w:nsid w:val="217B22E4"/>
    <w:multiLevelType w:val="hybridMultilevel"/>
    <w:lvl w:ilvl="0">
      <w:lvlJc w:val="left"/>
      <w:lvlText w:val="%1."/>
      <w:numFmt w:val="decimal"/>
      <w:start w:val="1"/>
    </w:lvl>
  </w:abstractNum>
  <w:abstractNum w:abstractNumId="192">
    <w:nsid w:val="53E31A24"/>
    <w:multiLevelType w:val="hybridMultilevel"/>
    <w:lvl w:ilvl="0">
      <w:lvlJc w:val="left"/>
      <w:lvlText w:val="(%1)"/>
      <w:numFmt w:val="lowerLetter"/>
      <w:start w:val="1"/>
    </w:lvl>
  </w:abstractNum>
  <w:abstractNum w:abstractNumId="193">
    <w:nsid w:val="6DC45E83"/>
    <w:multiLevelType w:val="hybridMultilevel"/>
    <w:lvl w:ilvl="0">
      <w:lvlJc w:val="left"/>
      <w:lvlText w:val="(%1)"/>
      <w:numFmt w:val="lowerLetter"/>
      <w:start w:val="3"/>
    </w:lvl>
  </w:abstractNum>
  <w:abstractNum w:abstractNumId="194">
    <w:nsid w:val="17304A67"/>
    <w:multiLevelType w:val="hybridMultilevel"/>
    <w:lvl w:ilvl="0">
      <w:lvlJc w:val="left"/>
      <w:lvlText w:val="(%1)"/>
      <w:numFmt w:val="lowerLetter"/>
      <w:start w:val="1"/>
    </w:lvl>
  </w:abstractNum>
  <w:abstractNum w:abstractNumId="195">
    <w:nsid w:val="2BB180D8"/>
    <w:multiLevelType w:val="hybridMultilevel"/>
    <w:lvl w:ilvl="0">
      <w:lvlJc w:val="left"/>
      <w:lvlText w:val="%1"/>
      <w:numFmt w:val="decimal"/>
      <w:start w:val="1"/>
    </w:lvl>
    <w:lvl w:ilvl="1">
      <w:lvlJc w:val="left"/>
      <w:lvlText w:val="(%2)"/>
      <w:numFmt w:val="lowerRoman"/>
      <w:start w:val="1"/>
    </w:lvl>
  </w:abstractNum>
  <w:abstractNum w:abstractNumId="196">
    <w:nsid w:val="556B69ED"/>
    <w:multiLevelType w:val="hybridMultilevel"/>
    <w:lvl w:ilvl="0">
      <w:lvlJc w:val="left"/>
      <w:lvlText w:val="(%1)"/>
      <w:numFmt w:val="decimal"/>
      <w:start w:val="3"/>
    </w:lvl>
    <w:lvl w:ilvl="1">
      <w:lvlJc w:val="left"/>
      <w:lvlText w:val="%2"/>
      <w:numFmt w:val="lowerRoman"/>
      <w:start w:val="1"/>
    </w:lvl>
  </w:abstractNum>
  <w:abstractNum w:abstractNumId="197">
    <w:nsid w:val="70836196"/>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198">
    <w:nsid w:val="539F7F12"/>
    <w:multiLevelType w:val="hybridMultilevel"/>
    <w:lvl w:ilvl="0">
      <w:lvlJc w:val="left"/>
      <w:lvlText w:val="(%1)"/>
      <w:numFmt w:val="decimal"/>
      <w:start w:val="60"/>
    </w:lvl>
    <w:lvl w:ilvl="1">
      <w:lvlJc w:val="left"/>
      <w:lvlText w:val="(%2)"/>
      <w:numFmt w:val="lowerLetter"/>
      <w:start w:val="61"/>
    </w:lvl>
    <w:lvl w:ilvl="2">
      <w:lvlJc w:val="left"/>
      <w:lvlText w:val="(%3)"/>
      <w:numFmt w:val="lowerLetter"/>
      <w:start w:val="1"/>
    </w:lvl>
  </w:abstractNum>
  <w:abstractNum w:abstractNumId="199">
    <w:nsid w:val="2817E7EC"/>
    <w:multiLevelType w:val="hybridMultilevel"/>
    <w:lvl w:ilvl="0">
      <w:lvlJc w:val="left"/>
      <w:lvlText w:val="%1"/>
      <w:numFmt w:val="lowerRoman"/>
      <w:start w:val="1"/>
    </w:lvl>
    <w:lvl w:ilvl="1">
      <w:lvlJc w:val="left"/>
      <w:lvlText w:val="(%2)"/>
      <w:numFmt w:val="lowerLetter"/>
      <w:start w:val="3"/>
    </w:lvl>
  </w:abstractNum>
  <w:abstractNum w:abstractNumId="200">
    <w:nsid w:val="71482545"/>
    <w:multiLevelType w:val="hybridMultilevel"/>
    <w:lvl w:ilvl="0">
      <w:lvlJc w:val="left"/>
      <w:lvlText w:val="(%1)"/>
      <w:numFmt w:val="lowerRoman"/>
      <w:start w:val="4"/>
    </w:lvl>
    <w:lvl w:ilvl="1">
      <w:lvlJc w:val="left"/>
      <w:lvlText w:val="%2"/>
      <w:numFmt w:val="lowerLetter"/>
      <w:start w:val="1"/>
    </w:lvl>
  </w:abstractNum>
  <w:abstractNum w:abstractNumId="201">
    <w:nsid w:val="17D78639"/>
    <w:multiLevelType w:val="hybridMultilevel"/>
    <w:lvl w:ilvl="0">
      <w:lvlJc w:val="left"/>
      <w:lvlText w:val="(%1)"/>
      <w:numFmt w:val="decimal"/>
      <w:start w:val="8"/>
    </w:lvl>
    <w:lvl w:ilvl="1">
      <w:lvlJc w:val="left"/>
      <w:lvlText w:val="(%2)"/>
      <w:numFmt w:val="lowerRoman"/>
      <w:start w:val="6"/>
    </w:lvl>
  </w:abstractNum>
  <w:abstractNum w:abstractNumId="202">
    <w:nsid w:val="141D2302"/>
    <w:multiLevelType w:val="hybridMultilevel"/>
    <w:lvl w:ilvl="0">
      <w:lvlJc w:val="left"/>
      <w:lvlText w:val="%1"/>
      <w:numFmt w:val="lowerLetter"/>
      <w:start w:val="1"/>
    </w:lvl>
    <w:lvl w:ilvl="1">
      <w:lvlJc w:val="left"/>
      <w:lvlText w:val="(%2)"/>
      <w:numFmt w:val="lowerLetter"/>
      <w:start w:val="9"/>
    </w:lvl>
  </w:abstractNum>
  <w:abstractNum w:abstractNumId="203">
    <w:nsid w:val="407168D8"/>
    <w:multiLevelType w:val="hybridMultilevel"/>
    <w:lvl w:ilvl="0">
      <w:lvlJc w:val="left"/>
      <w:lvlText w:val="(%1)"/>
      <w:numFmt w:val="lowerLetter"/>
      <w:start w:val="1"/>
    </w:lvl>
    <w:lvl w:ilvl="1">
      <w:lvlJc w:val="left"/>
      <w:lvlText w:val="%2"/>
      <w:numFmt w:val="lowerLetter"/>
      <w:start w:val="1"/>
    </w:lvl>
  </w:abstractNum>
  <w:abstractNum w:abstractNumId="204">
    <w:nsid w:val="6A1B45E5"/>
    <w:multiLevelType w:val="hybridMultilevel"/>
    <w:lvl w:ilvl="0">
      <w:lvlJc w:val="left"/>
      <w:lvlText w:val="(%1)"/>
      <w:numFmt w:val="lowerRoman"/>
      <w:start w:val="2"/>
    </w:lvl>
    <w:lvl w:ilvl="1">
      <w:lvlJc w:val="left"/>
      <w:lvlText w:val="(%2)"/>
      <w:numFmt w:val="lowerLetter"/>
      <w:start w:val="1"/>
    </w:lvl>
  </w:abstractNum>
  <w:abstractNum w:abstractNumId="205">
    <w:nsid w:val="567BD50A"/>
    <w:multiLevelType w:val="hybridMultilevel"/>
    <w:lvl w:ilvl="0">
      <w:lvlJc w:val="left"/>
      <w:lvlText w:val="%1"/>
      <w:numFmt w:val="lowerRoman"/>
      <w:start w:val="1"/>
    </w:lvl>
    <w:lvl w:ilvl="1">
      <w:lvlJc w:val="left"/>
      <w:lvlText w:val="(%2)"/>
      <w:numFmt w:val="lowerLetter"/>
      <w:start w:val="3"/>
    </w:lvl>
  </w:abstractNum>
  <w:abstractNum w:abstractNumId="206">
    <w:nsid w:val="73BBD7F8"/>
    <w:multiLevelType w:val="hybridMultilevel"/>
    <w:lvl w:ilvl="0">
      <w:lvlJc w:val="left"/>
      <w:lvlText w:val="(%1)"/>
      <w:numFmt w:val="lowerRoman"/>
      <w:start w:val="4"/>
    </w:lvl>
    <w:lvl w:ilvl="1">
      <w:lvlJc w:val="left"/>
      <w:lvlText w:val="%2"/>
      <w:numFmt w:val="lowerLetter"/>
      <w:start w:val="1"/>
    </w:lvl>
  </w:abstractNum>
  <w:abstractNum w:abstractNumId="207">
    <w:nsid w:val="1876589D"/>
    <w:multiLevelType w:val="hybridMultilevel"/>
    <w:lvl w:ilvl="0">
      <w:lvlJc w:val="left"/>
      <w:lvlText w:val="(%1)"/>
      <w:numFmt w:val="lowerRoman"/>
      <w:start w:val="6"/>
    </w:lvl>
  </w:abstractNum>
  <w:abstractNum w:abstractNumId="208">
    <w:nsid w:val="327FAC77"/>
    <w:multiLevelType w:val="hybridMultilevel"/>
    <w:lvl w:ilvl="0">
      <w:lvlJc w:val="left"/>
      <w:lvlText w:val="(%1)"/>
      <w:numFmt w:val="lowerRoman"/>
      <w:start w:val="1"/>
    </w:lvl>
  </w:abstractNum>
  <w:abstractNum w:abstractNumId="209">
    <w:nsid w:val="5A606509"/>
    <w:multiLevelType w:val="hybridMultilevel"/>
    <w:lvl w:ilvl="0">
      <w:lvlJc w:val="left"/>
      <w:lvlText w:val="(%1)"/>
      <w:numFmt w:val="lowerRoman"/>
      <w:start w:val="1"/>
    </w:lvl>
  </w:abstractNum>
  <w:abstractNum w:abstractNumId="210">
    <w:nsid w:val="6F38E6D1"/>
    <w:multiLevelType w:val="hybridMultilevel"/>
    <w:lvl w:ilvl="0">
      <w:lvlJc w:val="left"/>
      <w:lvlText w:val="(%1)"/>
      <w:numFmt w:val="lowerRoman"/>
      <w:start w:val="1"/>
    </w:lvl>
  </w:abstractNum>
  <w:abstractNum w:abstractNumId="211">
    <w:nsid w:val="46111BA5"/>
    <w:multiLevelType w:val="hybridMultilevel"/>
    <w:lvl w:ilvl="0">
      <w:lvlJc w:val="left"/>
      <w:lvlText w:val="(%1)"/>
      <w:numFmt w:val="lowerRoman"/>
      <w:start w:val="1"/>
    </w:lvl>
  </w:abstractNum>
  <w:abstractNum w:abstractNumId="212">
    <w:nsid w:val="5E963896"/>
    <w:multiLevelType w:val="hybridMultilevel"/>
    <w:lvl w:ilvl="0">
      <w:lvlJc w:val="left"/>
      <w:lvlText w:val="(%1)"/>
      <w:numFmt w:val="lowerRoman"/>
      <w:start w:val="2"/>
    </w:lvl>
  </w:abstractNum>
  <w:abstractNum w:abstractNumId="213">
    <w:nsid w:val="775BA7C1"/>
    <w:multiLevelType w:val="hybridMultilevel"/>
    <w:lvl w:ilvl="0">
      <w:lvlJc w:val="left"/>
      <w:lvlText w:val="(%1)"/>
      <w:numFmt w:val="lowerRoman"/>
      <w:start w:val="5"/>
    </w:lvl>
  </w:abstractNum>
  <w:abstractNum w:abstractNumId="214">
    <w:nsid w:val="1DD6D6F4"/>
    <w:multiLevelType w:val="hybridMultilevel"/>
    <w:lvl w:ilvl="0">
      <w:lvlJc w:val="left"/>
      <w:lvlText w:val="(%1)"/>
      <w:numFmt w:val="lowerRoman"/>
      <w:start w:val="1"/>
    </w:lvl>
  </w:abstractNum>
  <w:abstractNum w:abstractNumId="215">
    <w:nsid w:val="769A091F"/>
    <w:multiLevelType w:val="hybridMultilevel"/>
    <w:lvl w:ilvl="0">
      <w:lvlJc w:val="left"/>
      <w:lvlText w:val="(%1)"/>
      <w:numFmt w:val="lowerRoman"/>
      <w:start w:val="1"/>
    </w:lvl>
  </w:abstractNum>
  <w:abstractNum w:abstractNumId="216">
    <w:nsid w:val="4695AE95"/>
    <w:multiLevelType w:val="hybridMultilevel"/>
    <w:lvl w:ilvl="0">
      <w:lvlJc w:val="left"/>
      <w:lvlText w:val="(%1)"/>
      <w:numFmt w:val="lowerRoman"/>
      <w:start w:val="1"/>
    </w:lvl>
  </w:abstractNum>
  <w:abstractNum w:abstractNumId="217">
    <w:nsid w:val="777A4EAA"/>
    <w:multiLevelType w:val="hybridMultilevel"/>
    <w:lvl w:ilvl="0">
      <w:lvlJc w:val="left"/>
      <w:lvlText w:val="(%1)"/>
      <w:numFmt w:val="lowerRoman"/>
      <w:start w:val="1"/>
    </w:lvl>
  </w:abstractNum>
  <w:abstractNum w:abstractNumId="218">
    <w:nsid w:val="3F48B982"/>
    <w:multiLevelType w:val="hybridMultilevel"/>
    <w:lvl w:ilvl="0">
      <w:lvlJc w:val="left"/>
      <w:lvlText w:val="(%1)"/>
      <w:numFmt w:val="lowerRoman"/>
      <w:start w:val="1"/>
    </w:lvl>
  </w:abstractNum>
  <w:abstractNum w:abstractNumId="219">
    <w:nsid w:val="46BA8FCA"/>
    <w:multiLevelType w:val="hybridMultilevel"/>
    <w:lvl w:ilvl="0">
      <w:lvlJc w:val="left"/>
      <w:lvlText w:val="(%1)"/>
      <w:numFmt w:val="lowerLetter"/>
      <w:start w:val="1"/>
    </w:lvl>
  </w:abstractNum>
  <w:abstractNum w:abstractNumId="220">
    <w:nsid w:val="7835626C"/>
    <w:multiLevelType w:val="hybridMultilevel"/>
    <w:lvl w:ilvl="0">
      <w:lvlJc w:val="left"/>
      <w:lvlText w:val="(%1)"/>
      <w:numFmt w:val="lowerLetter"/>
      <w:start w:val="2"/>
    </w:lvl>
    <w:lvl w:ilvl="1">
      <w:lvlJc w:val="left"/>
      <w:lvlText w:val="(%2)"/>
      <w:numFmt w:val="lowerRoman"/>
      <w:start w:val="1"/>
    </w:lvl>
  </w:abstractNum>
  <w:abstractNum w:abstractNumId="221">
    <w:nsid w:val="665ACA49"/>
    <w:multiLevelType w:val="hybridMultilevel"/>
    <w:lvl w:ilvl="0">
      <w:lvlJc w:val="left"/>
      <w:lvlText w:val="(%1)"/>
      <w:numFmt w:val="lowerLetter"/>
      <w:start w:val="1"/>
    </w:lvl>
  </w:abstractNum>
  <w:abstractNum w:abstractNumId="222">
    <w:nsid w:val="6835B2AE"/>
    <w:multiLevelType w:val="hybridMultilevel"/>
    <w:lvl w:ilvl="0">
      <w:lvlJc w:val="left"/>
      <w:lvlText w:val="(%1)"/>
      <w:numFmt w:val="lowerLetter"/>
      <w:start w:val="1"/>
    </w:lvl>
  </w:abstractNum>
  <w:abstractNum w:abstractNumId="223">
    <w:nsid w:val="4C187C90"/>
    <w:multiLevelType w:val="hybridMultilevel"/>
    <w:lvl w:ilvl="0">
      <w:lvlJc w:val="left"/>
      <w:lvlText w:val="%1"/>
      <w:numFmt w:val="lowerLetter"/>
      <w:start w:val="1"/>
    </w:lvl>
    <w:lvl w:ilvl="1">
      <w:lvlJc w:val="left"/>
      <w:lvlText w:val="(%2)"/>
      <w:numFmt w:val="lowerLetter"/>
      <w:start w:val="2"/>
    </w:lvl>
  </w:abstractNum>
  <w:abstractNum w:abstractNumId="224">
    <w:nsid w:val="541F28CD"/>
    <w:multiLevelType w:val="hybridMultilevel"/>
    <w:lvl w:ilvl="0">
      <w:lvlJc w:val="left"/>
      <w:lvlText w:val="(%1)"/>
      <w:numFmt w:val="lowerLetter"/>
      <w:start w:val="35"/>
    </w:lvl>
    <w:lvl w:ilvl="1">
      <w:lvlJc w:val="left"/>
      <w:lvlText w:val="%2"/>
      <w:numFmt w:val="lowerLetter"/>
      <w:start w:val="1"/>
    </w:lvl>
  </w:abstractNum>
  <w:abstractNum w:abstractNumId="225">
    <w:nsid w:val="7F65FD16"/>
    <w:multiLevelType w:val="hybridMultilevel"/>
    <w:lvl w:ilvl="0">
      <w:lvlJc w:val="left"/>
      <w:lvlText w:val="(%1)"/>
      <w:numFmt w:val="lowerLetter"/>
      <w:start w:val="22"/>
    </w:lvl>
    <w:lvl w:ilvl="1">
      <w:lvlJc w:val="left"/>
      <w:lvlText w:val="%2"/>
      <w:numFmt w:val="lowerLetter"/>
      <w:start w:val="1"/>
    </w:lvl>
  </w:abstractNum>
  <w:abstractNum w:abstractNumId="226">
    <w:nsid w:val="77C9FD68"/>
    <w:multiLevelType w:val="hybridMultilevel"/>
    <w:lvl w:ilvl="0">
      <w:lvlJc w:val="left"/>
      <w:lvlText w:val="(%1)"/>
      <w:numFmt w:val="lowerLetter"/>
      <w:start w:val="1"/>
    </w:lvl>
  </w:abstractNum>
  <w:abstractNum w:abstractNumId="227">
    <w:nsid w:val="298A92BA"/>
    <w:multiLevelType w:val="hybridMultilevel"/>
    <w:lvl w:ilvl="0">
      <w:lvlJc w:val="left"/>
      <w:lvlText w:val="(%1)"/>
      <w:numFmt w:val="lowerLetter"/>
      <w:start w:val="1"/>
    </w:lvl>
  </w:abstractNum>
  <w:abstractNum w:abstractNumId="228">
    <w:nsid w:val="6FE95EAC"/>
    <w:multiLevelType w:val="hybridMultilevel"/>
    <w:lvl w:ilvl="0">
      <w:lvlJc w:val="left"/>
      <w:lvlText w:val="(%1)"/>
      <w:numFmt w:val="lowerLetter"/>
      <w:start w:val="1"/>
    </w:lvl>
  </w:abstractNum>
  <w:abstractNum w:abstractNumId="229">
    <w:nsid w:val="4B697C7A"/>
    <w:multiLevelType w:val="hybridMultilevel"/>
    <w:lvl w:ilvl="0">
      <w:lvlJc w:val="left"/>
      <w:lvlText w:val="(%1)"/>
      <w:numFmt w:val="lowerRoman"/>
      <w:start w:val="2"/>
    </w:lvl>
  </w:abstractNum>
  <w:abstractNum w:abstractNumId="230">
    <w:nsid w:val="51A27AA6"/>
    <w:multiLevelType w:val="hybridMultilevel"/>
    <w:lvl w:ilvl="0">
      <w:lvlJc w:val="left"/>
      <w:lvlText w:val="(%1)"/>
      <w:numFmt w:val="lowerLetter"/>
      <w:start w:val="1"/>
    </w:lvl>
  </w:abstractNum>
  <w:abstractNum w:abstractNumId="231">
    <w:nsid w:val="613183F2"/>
    <w:multiLevelType w:val="hybridMultilevel"/>
    <w:lvl w:ilvl="0">
      <w:lvlJc w:val="left"/>
      <w:lvlText w:val="(%1)"/>
      <w:numFmt w:val="lowerLetter"/>
      <w:start w:val="4"/>
    </w:lvl>
  </w:abstractNum>
  <w:abstractNum w:abstractNumId="232">
    <w:nsid w:val="634102B4"/>
    <w:multiLevelType w:val="hybridMultilevel"/>
    <w:lvl w:ilvl="0">
      <w:lvlJc w:val="left"/>
      <w:lvlText w:val="(%1)"/>
      <w:numFmt w:val="lowerLetter"/>
      <w:start w:val="1"/>
    </w:lvl>
  </w:abstractNum>
  <w:abstractNum w:abstractNumId="233">
    <w:nsid w:val="65BF9DA8"/>
    <w:multiLevelType w:val="hybridMultilevel"/>
    <w:lvl w:ilvl="0">
      <w:lvlJc w:val="left"/>
      <w:lvlText w:val="(%1)"/>
      <w:numFmt w:val="lowerLetter"/>
      <w:start w:val="1"/>
    </w:lvl>
  </w:abstractNum>
  <w:abstractNum w:abstractNumId="234">
    <w:nsid w:val="21A2ECCA"/>
    <w:multiLevelType w:val="hybridMultilevel"/>
    <w:lvl w:ilvl="0">
      <w:lvlJc w:val="left"/>
      <w:lvlText w:val="(%1)"/>
      <w:numFmt w:val="lowerLetter"/>
      <w:start w:val="3"/>
    </w:lvl>
  </w:abstractNum>
  <w:abstractNum w:abstractNumId="235">
    <w:nsid w:val="4D5C4899"/>
    <w:multiLevelType w:val="hybridMultilevel"/>
    <w:lvl w:ilvl="0">
      <w:lvlJc w:val="left"/>
      <w:lvlText w:val="(%1)"/>
      <w:numFmt w:val="lowerLetter"/>
      <w:start w:val="1"/>
    </w:lvl>
  </w:abstractNum>
  <w:abstractNum w:abstractNumId="236">
    <w:nsid w:val="3C3B72B2"/>
    <w:multiLevelType w:val="hybridMultilevel"/>
    <w:lvl w:ilvl="0">
      <w:lvlJc w:val="left"/>
      <w:lvlText w:val="(%1)"/>
      <w:numFmt w:val="lowerLetter"/>
      <w:start w:val="2"/>
    </w:lvl>
  </w:abstractNum>
  <w:abstractNum w:abstractNumId="237">
    <w:nsid w:val="155EC4C2"/>
    <w:multiLevelType w:val="hybridMultilevel"/>
    <w:lvl w:ilvl="0">
      <w:lvlJc w:val="left"/>
      <w:lvlText w:val="(%1)"/>
      <w:numFmt w:val="lowerLetter"/>
      <w:start w:val="1"/>
    </w:lvl>
  </w:abstractNum>
  <w:abstractNum w:abstractNumId="238">
    <w:nsid w:val="65D2A137"/>
    <w:multiLevelType w:val="hybridMultilevel"/>
    <w:lvl w:ilvl="0">
      <w:lvlJc w:val="left"/>
      <w:lvlText w:val="(%1)"/>
      <w:numFmt w:val="lowerLetter"/>
      <w:start w:val="1"/>
    </w:lvl>
  </w:abstractNum>
  <w:abstractNum w:abstractNumId="239">
    <w:nsid w:val="6EBB1F2A"/>
    <w:multiLevelType w:val="hybridMultilevel"/>
    <w:lvl w:ilvl="0">
      <w:lvlJc w:val="left"/>
      <w:lvlText w:val="(%1)"/>
      <w:numFmt w:val="lowerLetter"/>
      <w:start w:val="1"/>
    </w:lvl>
  </w:abstractNum>
  <w:abstractNum w:abstractNumId="240">
    <w:nsid w:val="6FBF29CB"/>
    <w:multiLevelType w:val="hybridMultilevel"/>
    <w:lvl w:ilvl="0">
      <w:lvlJc w:val="left"/>
      <w:lvlText w:val="(%1)"/>
      <w:numFmt w:val="lowerLetter"/>
      <w:start w:val="1"/>
    </w:lvl>
  </w:abstractNum>
  <w:abstractNum w:abstractNumId="241">
    <w:nsid w:val="550B8808"/>
    <w:multiLevelType w:val="hybridMultilevel"/>
    <w:lvl w:ilvl="0">
      <w:lvlJc w:val="left"/>
      <w:lvlText w:val="(%1)"/>
      <w:numFmt w:val="lowerLetter"/>
      <w:start w:val="2"/>
    </w:lvl>
  </w:abstractNum>
  <w:abstractNum w:abstractNumId="242">
    <w:nsid w:val="34CC3ACF"/>
    <w:multiLevelType w:val="hybridMultilevel"/>
    <w:lvl w:ilvl="0">
      <w:lvlJc w:val="left"/>
      <w:lvlText w:val="(%1)"/>
      <w:numFmt w:val="lowerLetter"/>
      <w:start w:val="1"/>
    </w:lvl>
  </w:abstractNum>
  <w:abstractNum w:abstractNumId="243">
    <w:nsid w:val="4E556261"/>
    <w:multiLevelType w:val="hybridMultilevel"/>
    <w:lvl w:ilvl="0">
      <w:lvlJc w:val="left"/>
      <w:lvlText w:val="(%1)"/>
      <w:numFmt w:val="lowerLetter"/>
      <w:start w:val="1"/>
    </w:lvl>
  </w:abstractNum>
  <w:abstractNum w:abstractNumId="244">
    <w:nsid w:val="4C672FC9"/>
    <w:multiLevelType w:val="hybridMultilevel"/>
    <w:lvl w:ilvl="0">
      <w:lvlJc w:val="left"/>
      <w:lvlText w:val="(%1)"/>
      <w:numFmt w:val="lowerLetter"/>
      <w:start w:val="3"/>
    </w:lvl>
  </w:abstractNum>
  <w:abstractNum w:abstractNumId="245">
    <w:nsid w:val="52A311C3"/>
    <w:multiLevelType w:val="hybridMultilevel"/>
    <w:lvl w:ilvl="0">
      <w:lvlJc w:val="left"/>
      <w:lvlText w:val="(%1)"/>
      <w:numFmt w:val="lowerLetter"/>
      <w:start w:val="1"/>
    </w:lvl>
  </w:abstractNum>
  <w:abstractNum w:abstractNumId="246">
    <w:nsid w:val="44EF6B80"/>
    <w:multiLevelType w:val="hybridMultilevel"/>
    <w:lvl w:ilvl="0">
      <w:lvlJc w:val="left"/>
      <w:lvlText w:val="(%1)"/>
      <w:numFmt w:val="lowerLetter"/>
      <w:start w:val="3"/>
    </w:lvl>
  </w:abstractNum>
  <w:abstractNum w:abstractNumId="247">
    <w:nsid w:val="12FCDE5E"/>
    <w:multiLevelType w:val="hybridMultilevel"/>
    <w:lvl w:ilvl="0">
      <w:lvlJc w:val="left"/>
      <w:lvlText w:val="(%1)"/>
      <w:numFmt w:val="lowerLetter"/>
      <w:start w:val="1"/>
    </w:lvl>
  </w:abstractNum>
  <w:abstractNum w:abstractNumId="248">
    <w:nsid w:val="4A1D606E"/>
    <w:multiLevelType w:val="hybridMultilevel"/>
    <w:lvl w:ilvl="0">
      <w:lvlJc w:val="left"/>
      <w:lvlText w:val="(%1)"/>
      <w:numFmt w:val="lowerLetter"/>
      <w:start w:val="1"/>
    </w:lvl>
  </w:abstractNum>
  <w:abstractNum w:abstractNumId="249">
    <w:nsid w:val="4382503"/>
    <w:multiLevelType w:val="hybridMultilevel"/>
    <w:lvl w:ilvl="0">
      <w:lvlJc w:val="left"/>
      <w:lvlText w:val="(%1)"/>
      <w:numFmt w:val="lowerLetter"/>
      <w:start w:val="1"/>
    </w:lvl>
  </w:abstractNum>
  <w:abstractNum w:abstractNumId="250">
    <w:nsid w:val="59B76E28"/>
    <w:multiLevelType w:val="hybridMultilevel"/>
    <w:lvl w:ilvl="0">
      <w:lvlJc w:val="left"/>
      <w:lvlText w:val="(%1)"/>
      <w:numFmt w:val="lowerLetter"/>
      <w:start w:val="1"/>
    </w:lvl>
  </w:abstractNum>
  <w:abstractNum w:abstractNumId="251">
    <w:nsid w:val="4252C2DA"/>
    <w:multiLevelType w:val="hybridMultilevel"/>
    <w:lvl w:ilvl="0">
      <w:lvlJc w:val="left"/>
      <w:lvlText w:val="%1"/>
      <w:numFmt w:val="upperLetter"/>
      <w:start w:val="1"/>
    </w:lvl>
    <w:lvl w:ilvl="1">
      <w:lvlJc w:val="left"/>
      <w:lvlText w:val="(%2)"/>
      <w:numFmt w:val="lowerRoman"/>
      <w:start w:val="10"/>
    </w:lvl>
  </w:abstractNum>
  <w:abstractNum w:abstractNumId="252">
    <w:nsid w:val="6A92EF4C"/>
    <w:multiLevelType w:val="hybridMultilevel"/>
    <w:lvl w:ilvl="0">
      <w:lvlJc w:val="left"/>
      <w:lvlText w:val="(%1)"/>
      <w:numFmt w:val="upperLetter"/>
      <w:start w:val="3"/>
    </w:lvl>
    <w:lvl w:ilvl="1">
      <w:lvlJc w:val="left"/>
      <w:lvlText w:val="%2"/>
      <w:numFmt w:val="lowerRoman"/>
      <w:start w:val="1"/>
    </w:lvl>
  </w:abstractNum>
  <w:abstractNum w:abstractNumId="253">
    <w:nsid w:val="41ED20D7"/>
    <w:multiLevelType w:val="hybridMultilevel"/>
    <w:lvl w:ilvl="0">
      <w:lvlJc w:val="left"/>
      <w:lvlText w:val="(%1)"/>
      <w:numFmt w:val="lowerLetter"/>
      <w:start w:val="25"/>
    </w:lvl>
  </w:abstractNum>
  <w:abstractNum w:abstractNumId="254">
    <w:nsid w:val="E6B3F6A"/>
    <w:multiLevelType w:val="hybridMultilevel"/>
    <w:lvl w:ilvl="0">
      <w:lvlJc w:val="left"/>
      <w:lvlText w:val="(%1)"/>
      <w:numFmt w:val="lowerLetter"/>
      <w:start w:val="1"/>
    </w:lvl>
  </w:abstractNum>
  <w:abstractNum w:abstractNumId="255">
    <w:nsid w:val="3EB21819"/>
    <w:multiLevelType w:val="hybridMultilevel"/>
    <w:lvl w:ilvl="0">
      <w:lvlJc w:val="left"/>
      <w:lvlText w:val="(%1)"/>
      <w:numFmt w:val="lowerLetter"/>
      <w:start w:val="3"/>
    </w:lvl>
  </w:abstractNum>
  <w:abstractNum w:abstractNumId="256">
    <w:nsid w:val="41531DED"/>
    <w:multiLevelType w:val="hybridMultilevel"/>
    <w:lvl w:ilvl="0">
      <w:lvlJc w:val="left"/>
      <w:lvlText w:val="(%1)"/>
      <w:numFmt w:val="lowerLetter"/>
      <w:start w:val="1"/>
    </w:lvl>
  </w:abstractNum>
  <w:abstractNum w:abstractNumId="257">
    <w:nsid w:val="6353CD2"/>
    <w:multiLevelType w:val="hybridMultilevel"/>
    <w:lvl w:ilvl="0">
      <w:lvlJc w:val="left"/>
      <w:lvlText w:val="(%1)"/>
      <w:numFmt w:val="lowerLetter"/>
      <w:start w:val="1"/>
    </w:lvl>
  </w:abstractNum>
  <w:abstractNum w:abstractNumId="258">
    <w:nsid w:val="683CAAD3"/>
    <w:multiLevelType w:val="hybridMultilevel"/>
    <w:lvl w:ilvl="0">
      <w:lvlJc w:val="left"/>
      <w:lvlText w:val="(%1)"/>
      <w:numFmt w:val="lowerLetter"/>
      <w:start w:val="2"/>
    </w:lvl>
  </w:abstractNum>
  <w:abstractNum w:abstractNumId="259">
    <w:nsid w:val="313C7C99"/>
    <w:multiLevelType w:val="hybridMultilevel"/>
    <w:lvl w:ilvl="0">
      <w:lvlJc w:val="left"/>
      <w:lvlText w:val="(%1)"/>
      <w:numFmt w:val="lowerLetter"/>
      <w:start w:val="2"/>
    </w:lvl>
  </w:abstractNum>
  <w:abstractNum w:abstractNumId="260">
    <w:nsid w:val="519EB94C"/>
    <w:multiLevelType w:val="hybridMultilevel"/>
    <w:lvl w:ilvl="0">
      <w:lvlJc w:val="left"/>
      <w:lvlText w:val="%1"/>
      <w:numFmt w:val="lowerLetter"/>
      <w:start w:val="1"/>
    </w:lvl>
    <w:lvl w:ilvl="1">
      <w:lvlJc w:val="left"/>
      <w:lvlText w:val="(%2)"/>
      <w:numFmt w:val="lowerLetter"/>
      <w:start w:val="1"/>
    </w:lvl>
  </w:abstractNum>
  <w:abstractNum w:abstractNumId="261">
    <w:nsid w:val="39DF2579"/>
    <w:multiLevelType w:val="hybridMultilevel"/>
    <w:lvl w:ilvl="0">
      <w:lvlJc w:val="left"/>
      <w:lvlText w:val="(%1)"/>
      <w:numFmt w:val="lowerLetter"/>
      <w:start w:val="35"/>
    </w:lvl>
    <w:lvl w:ilvl="1">
      <w:lvlJc w:val="left"/>
      <w:lvlText w:val="%2"/>
      <w:numFmt w:val="lowerLetter"/>
      <w:start w:val="1"/>
    </w:lvl>
  </w:abstractNum>
  <w:abstractNum w:abstractNumId="262">
    <w:nsid w:val="126E008B"/>
    <w:multiLevelType w:val="hybridMultilevel"/>
    <w:lvl w:ilvl="0">
      <w:lvlJc w:val="left"/>
      <w:lvlText w:val="(%1)"/>
      <w:numFmt w:val="lowerLetter"/>
      <w:start w:val="1"/>
    </w:lvl>
  </w:abstractNum>
  <w:abstractNum w:abstractNumId="263">
    <w:nsid w:val="34DFBC00"/>
    <w:multiLevelType w:val="hybridMultilevel"/>
    <w:lvl w:ilvl="0">
      <w:lvlJc w:val="left"/>
      <w:lvlText w:val="%1"/>
      <w:numFmt w:val="lowerLetter"/>
      <w:start w:val="1"/>
    </w:lvl>
    <w:lvl w:ilvl="1">
      <w:lvlJc w:val="left"/>
      <w:lvlText w:val="(%2)"/>
      <w:numFmt w:val="lowerLetter"/>
      <w:start w:val="1"/>
    </w:lvl>
  </w:abstractNum>
  <w:abstractNum w:abstractNumId="264">
    <w:nsid w:val="1F9EC322"/>
    <w:multiLevelType w:val="hybridMultilevel"/>
    <w:lvl w:ilvl="0">
      <w:lvlJc w:val="left"/>
      <w:lvlText w:val="(%1)"/>
      <w:numFmt w:val="lowerLetter"/>
      <w:start w:val="35"/>
    </w:lvl>
    <w:lvl w:ilvl="1">
      <w:lvlJc w:val="left"/>
      <w:lvlText w:val="(%2)"/>
      <w:numFmt w:val="lowerLetter"/>
      <w:start w:val="2"/>
    </w:lvl>
  </w:abstractNum>
  <w:abstractNum w:abstractNumId="265">
    <w:nsid w:val="3410ED56"/>
    <w:multiLevelType w:val="hybridMultilevel"/>
    <w:lvl w:ilvl="0">
      <w:lvlJc w:val="left"/>
      <w:lvlText w:val="(%1)"/>
      <w:numFmt w:val="lowerLetter"/>
      <w:start w:val="1"/>
    </w:lvl>
    <w:lvl w:ilvl="1">
      <w:lvlJc w:val="left"/>
      <w:lvlText w:val="(%2)"/>
      <w:numFmt w:val="lowerRoman"/>
      <w:start w:val="1"/>
    </w:lvl>
  </w:abstractNum>
  <w:abstractNum w:abstractNumId="266">
    <w:nsid w:val="23C049A"/>
    <w:multiLevelType w:val="hybridMultilevel"/>
    <w:lvl w:ilvl="0">
      <w:lvlJc w:val="left"/>
      <w:lvlText w:val="(%1)"/>
      <w:numFmt w:val="lowerLetter"/>
      <w:start w:val="3"/>
    </w:lvl>
  </w:abstractNum>
  <w:abstractNum w:abstractNumId="267">
    <w:nsid w:val="5BDA35D4"/>
    <w:multiLevelType w:val="hybridMultilevel"/>
    <w:lvl w:ilvl="0">
      <w:lvlJc w:val="left"/>
      <w:lvlText w:val="(%1)"/>
      <w:numFmt w:val="lowerLetter"/>
      <w:start w:val="1"/>
    </w:lvl>
  </w:abstractNum>
  <w:abstractNum w:abstractNumId="268">
    <w:nsid w:val="496FB218"/>
    <w:multiLevelType w:val="hybridMultilevel"/>
    <w:lvl w:ilvl="0">
      <w:lvlJc w:val="left"/>
      <w:lvlText w:val="(%1)"/>
      <w:numFmt w:val="lowerLetter"/>
      <w:start w:val="2"/>
    </w:lvl>
    <w:lvl w:ilvl="1">
      <w:lvlJc w:val="left"/>
      <w:lvlText w:val="(%2)"/>
      <w:numFmt w:val="lowerRoman"/>
      <w:start w:val="2"/>
    </w:lvl>
    <w:lvl w:ilvl="2">
      <w:lvlJc w:val="left"/>
      <w:lvlText w:val="(%3)"/>
      <w:numFmt w:val="lowerRoman"/>
      <w:start w:val="1"/>
    </w:lvl>
  </w:abstractNum>
  <w:abstractNum w:abstractNumId="269">
    <w:nsid w:val="680EA5D1"/>
    <w:multiLevelType w:val="hybridMultilevel"/>
    <w:lvl w:ilvl="0">
      <w:lvlJc w:val="left"/>
      <w:lvlText w:val="(%1)"/>
      <w:numFmt w:val="lowerLetter"/>
      <w:start w:val="3"/>
    </w:lvl>
  </w:abstractNum>
  <w:abstractNum w:abstractNumId="270">
    <w:nsid w:val="4A9554FE"/>
    <w:multiLevelType w:val="hybridMultilevel"/>
    <w:lvl w:ilvl="0">
      <w:lvlJc w:val="left"/>
      <w:lvlText w:val="(%1)"/>
      <w:numFmt w:val="lowerLetter"/>
      <w:start w:val="1"/>
    </w:lvl>
  </w:abstractNum>
  <w:abstractNum w:abstractNumId="271">
    <w:nsid w:val="392EDBE4"/>
    <w:multiLevelType w:val="hybridMultilevel"/>
    <w:lvl w:ilvl="0">
      <w:lvlJc w:val="left"/>
      <w:lvlText w:val="(%1)"/>
      <w:numFmt w:val="lowerLetter"/>
      <w:start w:val="1"/>
    </w:lvl>
  </w:abstractNum>
  <w:abstractNum w:abstractNumId="272">
    <w:nsid w:val="3D1A2DD9"/>
    <w:multiLevelType w:val="hybridMultilevel"/>
    <w:lvl w:ilvl="0">
      <w:lvlJc w:val="left"/>
      <w:lvlText w:val="%1."/>
      <w:numFmt w:val="decimal"/>
      <w:start w:val="1"/>
    </w:lvl>
    <w:lvl w:ilvl="1">
      <w:lvlJc w:val="left"/>
      <w:lvlText w:val="(%2)"/>
      <w:numFmt w:val="lowerLetter"/>
      <w:start w:val="1"/>
    </w:lvl>
  </w:abstractNum>
  <w:abstractNum w:abstractNumId="273">
    <w:nsid w:val="7F618FCD"/>
    <w:multiLevelType w:val="hybridMultilevel"/>
    <w:lvl w:ilvl="0">
      <w:lvlJc w:val="left"/>
      <w:lvlText w:val="(%1)"/>
      <w:numFmt w:val="lowerRoman"/>
      <w:start w:val="4"/>
    </w:lvl>
    <w:lvl w:ilvl="1">
      <w:lvlJc w:val="left"/>
      <w:lvlText w:val="(%2)"/>
      <w:numFmt w:val="lowerLetter"/>
      <w:start w:val="2"/>
    </w:lvl>
  </w:abstractNum>
  <w:abstractNum w:abstractNumId="274">
    <w:nsid w:val="7843E45"/>
    <w:multiLevelType w:val="hybridMultilevel"/>
    <w:lvl w:ilvl="0">
      <w:lvlJc w:val="left"/>
      <w:lvlText w:val="1"/>
      <w:numFmt w:val="bullet"/>
      <w:start w:val="1"/>
    </w:lvl>
  </w:abstractNum>
  <w:abstractNum w:abstractNumId="275">
    <w:nsid w:val="9815DA3"/>
    <w:multiLevelType w:val="hybridMultilevel"/>
    <w:lvl w:ilvl="0">
      <w:lvlJc w:val="left"/>
      <w:lvlText w:val="(%1)"/>
      <w:numFmt w:val="lowerLetter"/>
      <w:start w:val="5"/>
    </w:lvl>
  </w:abstractNum>
  <w:abstractNum w:abstractNumId="276">
    <w:nsid w:val="5204A191"/>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277">
    <w:nsid w:val="4C73A9C6"/>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78">
    <w:nsid w:val="1C7E3C01"/>
    <w:multiLevelType w:val="hybridMultilevel"/>
    <w:lvl w:ilvl="0">
      <w:lvlJc w:val="left"/>
      <w:lvlText w:val="%1"/>
      <w:numFmt w:val="lowerLetter"/>
      <w:start w:val="1"/>
    </w:lvl>
    <w:lvl w:ilvl="1">
      <w:lvlJc w:val="left"/>
      <w:lvlText w:val="(%2)"/>
      <w:numFmt w:val="lowerLetter"/>
      <w:start w:val="61"/>
    </w:lvl>
  </w:abstractNum>
  <w:abstractNum w:abstractNumId="279">
    <w:nsid w:val="1C2201FF"/>
    <w:multiLevelType w:val="hybridMultilevel"/>
    <w:lvl w:ilvl="0">
      <w:lvlJc w:val="left"/>
      <w:lvlText w:val="(%1)"/>
      <w:numFmt w:val="lowerLetter"/>
      <w:start w:val="3"/>
    </w:lvl>
    <w:lvl w:ilvl="1">
      <w:lvlJc w:val="left"/>
      <w:lvlText w:val="%2"/>
      <w:numFmt w:val="lowerLetter"/>
      <w:start w:val="1"/>
    </w:lvl>
  </w:abstractNum>
  <w:abstractNum w:abstractNumId="280">
    <w:nsid w:val="50ABCEC9"/>
    <w:multiLevelType w:val="hybridMultilevel"/>
    <w:lvl w:ilvl="0">
      <w:lvlJc w:val="left"/>
      <w:lvlText w:val="(%1)"/>
      <w:numFmt w:val="lowerLetter"/>
      <w:start w:val="5"/>
    </w:lvl>
  </w:abstractNum>
  <w:abstractNum w:abstractNumId="281">
    <w:nsid w:val="7635AA2A"/>
    <w:multiLevelType w:val="hybridMultilevel"/>
    <w:lvl w:ilvl="0">
      <w:lvlJc w:val="left"/>
      <w:lvlText w:val="%1."/>
      <w:numFmt w:val="decimal"/>
      <w:start w:val="3"/>
    </w:lvl>
    <w:lvl w:ilvl="1">
      <w:lvlJc w:val="left"/>
      <w:lvlText w:val="(%2)"/>
      <w:numFmt w:val="lowerLetter"/>
      <w:start w:val="1"/>
    </w:lvl>
  </w:abstractNum>
  <w:abstractNum w:abstractNumId="282">
    <w:nsid w:val="5E74C4D9"/>
    <w:multiLevelType w:val="hybridMultilevel"/>
    <w:lvl w:ilvl="0">
      <w:lvlJc w:val="left"/>
      <w:lvlText w:val="(%1)"/>
      <w:numFmt w:val="lowerLetter"/>
      <w:start w:val="4"/>
    </w:lvl>
  </w:abstractNum>
  <w:abstractNum w:abstractNumId="283">
    <w:nsid w:val="3B3EBE15"/>
    <w:multiLevelType w:val="hybridMultilevel"/>
    <w:lvl w:ilvl="0">
      <w:lvlJc w:val="left"/>
      <w:lvlText w:val="%1."/>
      <w:numFmt w:val="decimal"/>
      <w:start w:val="5"/>
    </w:lvl>
    <w:lvl w:ilvl="1">
      <w:lvlJc w:val="left"/>
      <w:lvlText w:val="(%2)"/>
      <w:numFmt w:val="lowerLetter"/>
      <w:start w:val="1"/>
    </w:lvl>
  </w:abstractNum>
  <w:abstractNum w:abstractNumId="284">
    <w:nsid w:val="3822CB01"/>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85">
    <w:nsid w:val="6CE0044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86">
    <w:nsid w:val="79F0D62F"/>
    <w:multiLevelType w:val="hybridMultilevel"/>
    <w:lvl w:ilvl="0">
      <w:lvlJc w:val="left"/>
      <w:lvlText w:val="%1"/>
      <w:numFmt w:val="decimal"/>
      <w:start w:val="1"/>
    </w:lvl>
    <w:lvl w:ilvl="1">
      <w:lvlJc w:val="left"/>
      <w:lvlText w:val="(%2)"/>
      <w:numFmt w:val="lowerLetter"/>
      <w:start w:val="4"/>
    </w:lvl>
  </w:abstractNum>
  <w:abstractNum w:abstractNumId="287">
    <w:nsid w:val="7975E8EE"/>
    <w:multiLevelType w:val="hybridMultilevel"/>
    <w:lvl w:ilvl="0">
      <w:lvlJc w:val="left"/>
      <w:lvlText w:val="%1."/>
      <w:numFmt w:val="decimal"/>
      <w:start w:val="11"/>
    </w:lvl>
    <w:lvl w:ilvl="1">
      <w:lvlJc w:val="left"/>
      <w:lvlText w:val="%2"/>
      <w:numFmt w:val="lowerLetter"/>
      <w:start w:val="1"/>
    </w:lvl>
  </w:abstractNum>
  <w:abstractNum w:abstractNumId="288">
    <w:nsid w:val="73154115"/>
    <w:multiLevelType w:val="hybridMultilevel"/>
    <w:lvl w:ilvl="0">
      <w:lvlJc w:val="left"/>
      <w:lvlText w:val="2"/>
      <w:numFmt w:val="bullet"/>
      <w:start w:val="1"/>
    </w:lvl>
  </w:abstractNum>
  <w:abstractNum w:abstractNumId="289">
    <w:nsid w:val="622D8102"/>
    <w:multiLevelType w:val="hybridMultilevel"/>
    <w:lvl w:ilvl="0">
      <w:lvlJc w:val="left"/>
      <w:lvlText w:val="%1"/>
      <w:numFmt w:val="lowerRoman"/>
      <w:start w:val="1"/>
    </w:lvl>
    <w:lvl w:ilvl="1">
      <w:lvlJc w:val="left"/>
      <w:lvlText w:val="%2."/>
      <w:numFmt w:val="decimal"/>
      <w:start w:val="14"/>
    </w:lvl>
  </w:abstractNum>
  <w:abstractNum w:abstractNumId="290">
    <w:nsid w:val="2AB26587"/>
    <w:multiLevelType w:val="hybridMultilevel"/>
    <w:lvl w:ilvl="0">
      <w:lvlJc w:val="left"/>
      <w:lvlText w:val="(%1)"/>
      <w:numFmt w:val="lowerRoman"/>
      <w:start w:val="1"/>
    </w:lvl>
    <w:lvl w:ilvl="1">
      <w:lvlJc w:val="left"/>
      <w:lvlText w:val="%2."/>
      <w:numFmt w:val="decimal"/>
      <w:start w:val="15"/>
    </w:lvl>
  </w:abstractNum>
  <w:abstractNum w:abstractNumId="291">
    <w:nsid w:val="44B3FA61"/>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1"/>
    </w:lvl>
  </w:abstractNum>
  <w:abstractNum w:abstractNumId="292">
    <w:nsid w:val="1C0CA67C"/>
    <w:multiLevelType w:val="hybridMultilevel"/>
    <w:lvl w:ilvl="0">
      <w:lvlJc w:val="left"/>
      <w:lvlText w:val="(%1)"/>
      <w:numFmt w:val="lowerLetter"/>
      <w:start w:val="9"/>
    </w:lvl>
    <w:lvl w:ilvl="1">
      <w:lvlJc w:val="left"/>
      <w:lvlText w:val="%2."/>
      <w:numFmt w:val="decimal"/>
      <w:start w:val="19"/>
    </w:lvl>
    <w:lvl w:ilvl="2">
      <w:lvlJc w:val="left"/>
      <w:lvlText w:val="%3"/>
      <w:numFmt w:val="lowerLetter"/>
      <w:start w:val="1"/>
    </w:lvl>
  </w:abstractNum>
  <w:abstractNum w:abstractNumId="293">
    <w:nsid w:val="3D206613"/>
    <w:multiLevelType w:val="hybridMultilevel"/>
    <w:lvl w:ilvl="0">
      <w:lvlJc w:val="left"/>
      <w:lvlText w:val="3"/>
      <w:numFmt w:val="bullet"/>
      <w:start w:val="1"/>
    </w:lvl>
  </w:abstractNum>
  <w:abstractNum w:abstractNumId="294">
    <w:nsid w:val="7993B662"/>
    <w:multiLevelType w:val="hybridMultilevel"/>
    <w:lvl w:ilvl="0">
      <w:lvlJc w:val="left"/>
      <w:lvlText w:val="4"/>
      <w:numFmt w:val="bullet"/>
      <w:start w:val="1"/>
    </w:lvl>
  </w:abstractNum>
  <w:abstractNum w:abstractNumId="295">
    <w:nsid w:val="3BAB699E"/>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jpe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jpe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601" Type="http://schemas.openxmlformats.org/officeDocument/2006/relationships/image" Target="media/image585.png"/><Relationship Id="rId602" Type="http://schemas.openxmlformats.org/officeDocument/2006/relationships/image" Target="media/image586.png"/><Relationship Id="rId615" Type="http://schemas.openxmlformats.org/officeDocument/2006/relationships/image" Target="media/image587.png"/><Relationship Id="rId616" Type="http://schemas.openxmlformats.org/officeDocument/2006/relationships/image" Target="media/image588.png"/><Relationship Id="rId618" Type="http://schemas.openxmlformats.org/officeDocument/2006/relationships/image" Target="media/image589.png"/><Relationship Id="rId619" Type="http://schemas.openxmlformats.org/officeDocument/2006/relationships/image" Target="media/image590.png"/><Relationship Id="rId620" Type="http://schemas.openxmlformats.org/officeDocument/2006/relationships/image" Target="media/image591.png"/><Relationship Id="rId621" Type="http://schemas.openxmlformats.org/officeDocument/2006/relationships/image" Target="media/image592.png"/><Relationship Id="rId622" Type="http://schemas.openxmlformats.org/officeDocument/2006/relationships/image" Target="media/image593.png"/><Relationship Id="rId623" Type="http://schemas.openxmlformats.org/officeDocument/2006/relationships/image" Target="media/image594.png"/><Relationship Id="rId624" Type="http://schemas.openxmlformats.org/officeDocument/2006/relationships/image" Target="media/image595.png"/><Relationship Id="rId625" Type="http://schemas.openxmlformats.org/officeDocument/2006/relationships/image" Target="media/image596.png"/><Relationship Id="rId626" Type="http://schemas.openxmlformats.org/officeDocument/2006/relationships/image" Target="media/image597.png"/><Relationship Id="rId627" Type="http://schemas.openxmlformats.org/officeDocument/2006/relationships/image" Target="media/image598.png"/><Relationship Id="rId628" Type="http://schemas.openxmlformats.org/officeDocument/2006/relationships/image" Target="media/image599.png"/><Relationship Id="rId629" Type="http://schemas.openxmlformats.org/officeDocument/2006/relationships/image" Target="media/image600.png"/><Relationship Id="rId630" Type="http://schemas.openxmlformats.org/officeDocument/2006/relationships/image" Target="media/image601.png"/><Relationship Id="rId631" Type="http://schemas.openxmlformats.org/officeDocument/2006/relationships/image" Target="media/image602.png"/><Relationship Id="rId632" Type="http://schemas.openxmlformats.org/officeDocument/2006/relationships/image" Target="media/image603.png"/><Relationship Id="rId633" Type="http://schemas.openxmlformats.org/officeDocument/2006/relationships/image" Target="media/image604.png"/><Relationship Id="rId634" Type="http://schemas.openxmlformats.org/officeDocument/2006/relationships/image" Target="media/image605.png"/><Relationship Id="rId635" Type="http://schemas.openxmlformats.org/officeDocument/2006/relationships/image" Target="media/image606.png"/><Relationship Id="rId636" Type="http://schemas.openxmlformats.org/officeDocument/2006/relationships/image" Target="media/image607.png"/><Relationship Id="rId637" Type="http://schemas.openxmlformats.org/officeDocument/2006/relationships/image" Target="media/image608.png"/><Relationship Id="rId638" Type="http://schemas.openxmlformats.org/officeDocument/2006/relationships/image" Target="media/image609.png"/><Relationship Id="rId639" Type="http://schemas.openxmlformats.org/officeDocument/2006/relationships/image" Target="media/image610.png"/><Relationship Id="rId640" Type="http://schemas.openxmlformats.org/officeDocument/2006/relationships/image" Target="media/image611.png"/><Relationship Id="rId641" Type="http://schemas.openxmlformats.org/officeDocument/2006/relationships/image" Target="media/image612.png"/><Relationship Id="rId642" Type="http://schemas.openxmlformats.org/officeDocument/2006/relationships/image" Target="media/image613.png"/><Relationship Id="rId643" Type="http://schemas.openxmlformats.org/officeDocument/2006/relationships/image" Target="media/image614.png"/><Relationship Id="rId644" Type="http://schemas.openxmlformats.org/officeDocument/2006/relationships/image" Target="media/image615.png"/><Relationship Id="rId645" Type="http://schemas.openxmlformats.org/officeDocument/2006/relationships/image" Target="media/image616.png"/><Relationship Id="rId646" Type="http://schemas.openxmlformats.org/officeDocument/2006/relationships/image" Target="media/image617.png"/><Relationship Id="rId647" Type="http://schemas.openxmlformats.org/officeDocument/2006/relationships/image" Target="media/image618.png"/><Relationship Id="rId648" Type="http://schemas.openxmlformats.org/officeDocument/2006/relationships/image" Target="media/image619.png"/><Relationship Id="rId649" Type="http://schemas.openxmlformats.org/officeDocument/2006/relationships/image" Target="media/image620.png"/><Relationship Id="rId650" Type="http://schemas.openxmlformats.org/officeDocument/2006/relationships/image" Target="media/image621.png"/><Relationship Id="rId651" Type="http://schemas.openxmlformats.org/officeDocument/2006/relationships/image" Target="media/image622.png"/><Relationship Id="rId652" Type="http://schemas.openxmlformats.org/officeDocument/2006/relationships/image" Target="media/image623.png"/><Relationship Id="rId653" Type="http://schemas.openxmlformats.org/officeDocument/2006/relationships/image" Target="media/image624.png"/><Relationship Id="rId654" Type="http://schemas.openxmlformats.org/officeDocument/2006/relationships/image" Target="media/image625.png"/><Relationship Id="rId655" Type="http://schemas.openxmlformats.org/officeDocument/2006/relationships/image" Target="media/image626.png"/><Relationship Id="rId656" Type="http://schemas.openxmlformats.org/officeDocument/2006/relationships/image" Target="media/image627.png"/><Relationship Id="rId657" Type="http://schemas.openxmlformats.org/officeDocument/2006/relationships/image" Target="media/image628.png"/><Relationship Id="rId658" Type="http://schemas.openxmlformats.org/officeDocument/2006/relationships/image" Target="media/image629.png"/><Relationship Id="rId659" Type="http://schemas.openxmlformats.org/officeDocument/2006/relationships/image" Target="media/image630.png"/><Relationship Id="rId660" Type="http://schemas.openxmlformats.org/officeDocument/2006/relationships/image" Target="media/image631.png"/><Relationship Id="rId661" Type="http://schemas.openxmlformats.org/officeDocument/2006/relationships/image" Target="media/image632.png"/><Relationship Id="rId662" Type="http://schemas.openxmlformats.org/officeDocument/2006/relationships/image" Target="media/image633.png"/><Relationship Id="rId663" Type="http://schemas.openxmlformats.org/officeDocument/2006/relationships/image" Target="media/image634.png"/><Relationship Id="rId664" Type="http://schemas.openxmlformats.org/officeDocument/2006/relationships/image" Target="media/image635.png"/><Relationship Id="rId665" Type="http://schemas.openxmlformats.org/officeDocument/2006/relationships/image" Target="media/image636.png"/><Relationship Id="rId666" Type="http://schemas.openxmlformats.org/officeDocument/2006/relationships/image" Target="media/image637.png"/><Relationship Id="rId667" Type="http://schemas.openxmlformats.org/officeDocument/2006/relationships/image" Target="media/image638.png"/><Relationship Id="rId668" Type="http://schemas.openxmlformats.org/officeDocument/2006/relationships/image" Target="media/image639.png"/><Relationship Id="rId669" Type="http://schemas.openxmlformats.org/officeDocument/2006/relationships/image" Target="media/image640.png"/><Relationship Id="rId670" Type="http://schemas.openxmlformats.org/officeDocument/2006/relationships/image" Target="media/image641.png"/><Relationship Id="rId671" Type="http://schemas.openxmlformats.org/officeDocument/2006/relationships/image" Target="media/image642.png"/><Relationship Id="rId672" Type="http://schemas.openxmlformats.org/officeDocument/2006/relationships/image" Target="media/image643.png"/><Relationship Id="rId673" Type="http://schemas.openxmlformats.org/officeDocument/2006/relationships/image" Target="media/image644.png"/><Relationship Id="rId674" Type="http://schemas.openxmlformats.org/officeDocument/2006/relationships/image" Target="media/image645.png"/><Relationship Id="rId675" Type="http://schemas.openxmlformats.org/officeDocument/2006/relationships/image" Target="media/image646.png"/><Relationship Id="rId676" Type="http://schemas.openxmlformats.org/officeDocument/2006/relationships/image" Target="media/image647.png"/><Relationship Id="rId677" Type="http://schemas.openxmlformats.org/officeDocument/2006/relationships/image" Target="media/image648.png"/><Relationship Id="rId678" Type="http://schemas.openxmlformats.org/officeDocument/2006/relationships/image" Target="media/image649.png"/><Relationship Id="rId679" Type="http://schemas.openxmlformats.org/officeDocument/2006/relationships/image" Target="media/image650.png"/><Relationship Id="rId680" Type="http://schemas.openxmlformats.org/officeDocument/2006/relationships/image" Target="media/image651.png"/><Relationship Id="rId681" Type="http://schemas.openxmlformats.org/officeDocument/2006/relationships/image" Target="media/image652.png"/><Relationship Id="rId682" Type="http://schemas.openxmlformats.org/officeDocument/2006/relationships/image" Target="media/image653.png"/><Relationship Id="rId683" Type="http://schemas.openxmlformats.org/officeDocument/2006/relationships/image" Target="media/image654.png"/><Relationship Id="rId684" Type="http://schemas.openxmlformats.org/officeDocument/2006/relationships/image" Target="media/image655.png"/><Relationship Id="rId685" Type="http://schemas.openxmlformats.org/officeDocument/2006/relationships/image" Target="media/image656.png"/><Relationship Id="rId686" Type="http://schemas.openxmlformats.org/officeDocument/2006/relationships/image" Target="media/image657.png"/><Relationship Id="rId687" Type="http://schemas.openxmlformats.org/officeDocument/2006/relationships/image" Target="media/image658.jpeg"/><Relationship Id="rId688" Type="http://schemas.openxmlformats.org/officeDocument/2006/relationships/image" Target="media/image659.png"/><Relationship Id="rId689" Type="http://schemas.openxmlformats.org/officeDocument/2006/relationships/image" Target="media/image660.jpeg"/><Relationship Id="rId690" Type="http://schemas.openxmlformats.org/officeDocument/2006/relationships/image" Target="media/image661.png"/><Relationship Id="rId691" Type="http://schemas.openxmlformats.org/officeDocument/2006/relationships/image" Target="media/image662.png"/><Relationship Id="rId692" Type="http://schemas.openxmlformats.org/officeDocument/2006/relationships/image" Target="media/image663.png"/><Relationship Id="rId693" Type="http://schemas.openxmlformats.org/officeDocument/2006/relationships/image" Target="media/image664.png"/><Relationship Id="rId694" Type="http://schemas.openxmlformats.org/officeDocument/2006/relationships/image" Target="media/image665.png"/><Relationship Id="rId695" Type="http://schemas.openxmlformats.org/officeDocument/2006/relationships/image" Target="media/image666.png"/><Relationship Id="rId696" Type="http://schemas.openxmlformats.org/officeDocument/2006/relationships/image" Target="media/image667.png"/><Relationship Id="rId697" Type="http://schemas.openxmlformats.org/officeDocument/2006/relationships/image" Target="media/image668.png"/><Relationship Id="rId698" Type="http://schemas.openxmlformats.org/officeDocument/2006/relationships/image" Target="media/image669.png"/><Relationship Id="rId699" Type="http://schemas.openxmlformats.org/officeDocument/2006/relationships/image" Target="media/image670.png"/><Relationship Id="rId700" Type="http://schemas.openxmlformats.org/officeDocument/2006/relationships/image" Target="media/image671.png"/><Relationship Id="rId701" Type="http://schemas.openxmlformats.org/officeDocument/2006/relationships/image" Target="media/image672.png"/><Relationship Id="rId702" Type="http://schemas.openxmlformats.org/officeDocument/2006/relationships/image" Target="media/image673.png"/><Relationship Id="rId703" Type="http://schemas.openxmlformats.org/officeDocument/2006/relationships/image" Target="media/image674.png"/><Relationship Id="rId704" Type="http://schemas.openxmlformats.org/officeDocument/2006/relationships/image" Target="media/image675.png"/><Relationship Id="rId705" Type="http://schemas.openxmlformats.org/officeDocument/2006/relationships/image" Target="media/image676.png"/><Relationship Id="rId706" Type="http://schemas.openxmlformats.org/officeDocument/2006/relationships/image" Target="media/image677.png"/><Relationship Id="rId707" Type="http://schemas.openxmlformats.org/officeDocument/2006/relationships/image" Target="media/image678.png"/><Relationship Id="rId708" Type="http://schemas.openxmlformats.org/officeDocument/2006/relationships/image" Target="media/image679.png"/><Relationship Id="rId709" Type="http://schemas.openxmlformats.org/officeDocument/2006/relationships/image" Target="media/image680.png"/><Relationship Id="rId710" Type="http://schemas.openxmlformats.org/officeDocument/2006/relationships/image" Target="media/image681.png"/><Relationship Id="rId711" Type="http://schemas.openxmlformats.org/officeDocument/2006/relationships/image" Target="media/image682.png"/><Relationship Id="rId712" Type="http://schemas.openxmlformats.org/officeDocument/2006/relationships/image" Target="media/image683.png"/><Relationship Id="rId713" Type="http://schemas.openxmlformats.org/officeDocument/2006/relationships/image" Target="media/image684.png"/><Relationship Id="rId714" Type="http://schemas.openxmlformats.org/officeDocument/2006/relationships/image" Target="media/image685.png"/><Relationship Id="rId715" Type="http://schemas.openxmlformats.org/officeDocument/2006/relationships/image" Target="media/image686.png"/><Relationship Id="rId716" Type="http://schemas.openxmlformats.org/officeDocument/2006/relationships/image" Target="media/image687.png"/><Relationship Id="rId717" Type="http://schemas.openxmlformats.org/officeDocument/2006/relationships/image" Target="media/image688.png"/><Relationship Id="rId718" Type="http://schemas.openxmlformats.org/officeDocument/2006/relationships/image" Target="media/image689.png"/><Relationship Id="rId719" Type="http://schemas.openxmlformats.org/officeDocument/2006/relationships/image" Target="media/image690.png"/><Relationship Id="rId720" Type="http://schemas.openxmlformats.org/officeDocument/2006/relationships/image" Target="media/image691.png"/><Relationship Id="rId721" Type="http://schemas.openxmlformats.org/officeDocument/2006/relationships/image" Target="media/image692.png"/><Relationship Id="rId722" Type="http://schemas.openxmlformats.org/officeDocument/2006/relationships/image" Target="media/image693.png"/><Relationship Id="rId723" Type="http://schemas.openxmlformats.org/officeDocument/2006/relationships/image" Target="media/image694.png"/><Relationship Id="rId724" Type="http://schemas.openxmlformats.org/officeDocument/2006/relationships/image" Target="media/image695.png"/><Relationship Id="rId725" Type="http://schemas.openxmlformats.org/officeDocument/2006/relationships/image" Target="media/image696.png"/><Relationship Id="rId726" Type="http://schemas.openxmlformats.org/officeDocument/2006/relationships/image" Target="media/image697.png"/><Relationship Id="rId727" Type="http://schemas.openxmlformats.org/officeDocument/2006/relationships/image" Target="media/image698.png"/><Relationship Id="rId728" Type="http://schemas.openxmlformats.org/officeDocument/2006/relationships/image" Target="media/image699.png"/><Relationship Id="rId729" Type="http://schemas.openxmlformats.org/officeDocument/2006/relationships/image" Target="media/image700.png"/><Relationship Id="rId730" Type="http://schemas.openxmlformats.org/officeDocument/2006/relationships/image" Target="media/image701.png"/><Relationship Id="rId731" Type="http://schemas.openxmlformats.org/officeDocument/2006/relationships/image" Target="media/image702.png"/><Relationship Id="rId732" Type="http://schemas.openxmlformats.org/officeDocument/2006/relationships/image" Target="media/image703.png"/><Relationship Id="rId733" Type="http://schemas.openxmlformats.org/officeDocument/2006/relationships/image" Target="media/image704.png"/><Relationship Id="rId734" Type="http://schemas.openxmlformats.org/officeDocument/2006/relationships/image" Target="media/image705.png"/><Relationship Id="rId735" Type="http://schemas.openxmlformats.org/officeDocument/2006/relationships/image" Target="media/image706.png"/><Relationship Id="rId736" Type="http://schemas.openxmlformats.org/officeDocument/2006/relationships/image" Target="media/image707.png"/><Relationship Id="rId737" Type="http://schemas.openxmlformats.org/officeDocument/2006/relationships/image" Target="media/image708.png"/><Relationship Id="rId738" Type="http://schemas.openxmlformats.org/officeDocument/2006/relationships/image" Target="media/image709.png"/><Relationship Id="rId739" Type="http://schemas.openxmlformats.org/officeDocument/2006/relationships/image" Target="media/image710.png"/><Relationship Id="rId740" Type="http://schemas.openxmlformats.org/officeDocument/2006/relationships/image" Target="media/image711.png"/><Relationship Id="rId741" Type="http://schemas.openxmlformats.org/officeDocument/2006/relationships/image" Target="media/image712.png"/><Relationship Id="rId742" Type="http://schemas.openxmlformats.org/officeDocument/2006/relationships/image" Target="media/image713.png"/><Relationship Id="rId743" Type="http://schemas.openxmlformats.org/officeDocument/2006/relationships/image" Target="media/image714.png"/><Relationship Id="rId744" Type="http://schemas.openxmlformats.org/officeDocument/2006/relationships/image" Target="media/image715.png"/><Relationship Id="rId745" Type="http://schemas.openxmlformats.org/officeDocument/2006/relationships/image" Target="media/image716.png"/><Relationship Id="rId746" Type="http://schemas.openxmlformats.org/officeDocument/2006/relationships/image" Target="media/image717.png"/><Relationship Id="rId747" Type="http://schemas.openxmlformats.org/officeDocument/2006/relationships/image" Target="media/image718.png"/><Relationship Id="rId748" Type="http://schemas.openxmlformats.org/officeDocument/2006/relationships/image" Target="media/image719.png"/><Relationship Id="rId749" Type="http://schemas.openxmlformats.org/officeDocument/2006/relationships/image" Target="media/image720.png"/><Relationship Id="rId750" Type="http://schemas.openxmlformats.org/officeDocument/2006/relationships/image" Target="media/image721.png"/><Relationship Id="rId751" Type="http://schemas.openxmlformats.org/officeDocument/2006/relationships/image" Target="media/image722.png"/><Relationship Id="rId752" Type="http://schemas.openxmlformats.org/officeDocument/2006/relationships/image" Target="media/image723.png"/><Relationship Id="rId753" Type="http://schemas.openxmlformats.org/officeDocument/2006/relationships/image" Target="media/image724.png"/><Relationship Id="rId754" Type="http://schemas.openxmlformats.org/officeDocument/2006/relationships/image" Target="media/image725.png"/><Relationship Id="rId755" Type="http://schemas.openxmlformats.org/officeDocument/2006/relationships/image" Target="media/image726.png"/><Relationship Id="rId756" Type="http://schemas.openxmlformats.org/officeDocument/2006/relationships/image" Target="media/image727.png"/><Relationship Id="rId757" Type="http://schemas.openxmlformats.org/officeDocument/2006/relationships/image" Target="media/image728.png"/><Relationship Id="rId758" Type="http://schemas.openxmlformats.org/officeDocument/2006/relationships/image" Target="media/image729.png"/><Relationship Id="rId759" Type="http://schemas.openxmlformats.org/officeDocument/2006/relationships/image" Target="media/image730.png"/><Relationship Id="rId760" Type="http://schemas.openxmlformats.org/officeDocument/2006/relationships/image" Target="media/image731.png"/><Relationship Id="rId592" Type="http://schemas.openxmlformats.org/officeDocument/2006/relationships/hyperlink" Target="http://www.sec.gov/Archives/edgar/data/0001628171/000119312520010145/d799036dex11.htm" TargetMode="External"/><Relationship Id="rId593" Type="http://schemas.openxmlformats.org/officeDocument/2006/relationships/hyperlink" Target="http://www.sec.gov/Archives/edgar/data/0001628171/000119312520010145/d799036dex21.htm" TargetMode="External"/><Relationship Id="rId594" Type="http://schemas.openxmlformats.org/officeDocument/2006/relationships/hyperlink" Target="http://www.sec.gov/Archives/edgar/data/0001628171/000119312520010145/d799036dex31.htm" TargetMode="External"/><Relationship Id="rId595" Type="http://schemas.openxmlformats.org/officeDocument/2006/relationships/hyperlink" Target="http://www.sec.gov/Archives/edgar/data/0001628171/000119312520010145/d799036dex34.htm" TargetMode="External"/><Relationship Id="rId596" Type="http://schemas.openxmlformats.org/officeDocument/2006/relationships/hyperlink" Target="http://www.sec.gov/Archives/edgar/data/1628171/000119312520010145/d799036dex31.htm" TargetMode="External"/><Relationship Id="rId597" Type="http://schemas.openxmlformats.org/officeDocument/2006/relationships/hyperlink" Target="http://www.sec.gov/Archives/edgar/data/0001628171/000119312520010145/d799036dex42.htm" TargetMode="External"/><Relationship Id="rId598" Type="http://schemas.openxmlformats.org/officeDocument/2006/relationships/hyperlink" Target="http://www.sec.gov/Archives/edgar/data/0001628171/000119312520010145/d799036dex101.htm" TargetMode="External"/><Relationship Id="rId599" Type="http://schemas.openxmlformats.org/officeDocument/2006/relationships/hyperlink" Target="http://www.sec.gov/Archives/edgar/data/0001628171/000119312520010145/d799036dex102.htm" TargetMode="External"/><Relationship Id="rId600" Type="http://schemas.openxmlformats.org/officeDocument/2006/relationships/hyperlink" Target="http://www.sec.gov/Archives/edgar/data/0001628171/000119312520010145/d799036dex103a.htm" TargetMode="External"/><Relationship Id="rId603" Type="http://schemas.openxmlformats.org/officeDocument/2006/relationships/hyperlink" Target="http://www.sec.gov/Archives/edgar/data/0001628171/000119312520010145/d799036dex103b.htm" TargetMode="External"/><Relationship Id="rId604" Type="http://schemas.openxmlformats.org/officeDocument/2006/relationships/hyperlink" Target="http://www.sec.gov/Archives/edgar/data/0001628171/000119312520010145/d799036dex103c.htm" TargetMode="External"/><Relationship Id="rId605" Type="http://schemas.openxmlformats.org/officeDocument/2006/relationships/hyperlink" Target="http://www.sec.gov/Archives/edgar/data/0001628171/000119312520010145/d799036dex104a.htm" TargetMode="External"/><Relationship Id="rId606" Type="http://schemas.openxmlformats.org/officeDocument/2006/relationships/hyperlink" Target="http://www.sec.gov/Archives/edgar/data/0001628171/000119312520010145/d799036dex104b.htm" TargetMode="External"/><Relationship Id="rId607" Type="http://schemas.openxmlformats.org/officeDocument/2006/relationships/hyperlink" Target="http://www.sec.gov/Archives/edgar/data/0001628171/000119312520010145/d799036dex105a.htm" TargetMode="External"/><Relationship Id="rId608" Type="http://schemas.openxmlformats.org/officeDocument/2006/relationships/hyperlink" Target="http://www.sec.gov/Archives/edgar/data/0001628171/000119312520010145/d799036dex105b.htm" TargetMode="External"/><Relationship Id="rId609" Type="http://schemas.openxmlformats.org/officeDocument/2006/relationships/hyperlink" Target="http://www.sec.gov/Archives/edgar/data/0001628171/000119312520010145/d799036dex106a.htm" TargetMode="External"/><Relationship Id="rId610" Type="http://schemas.openxmlformats.org/officeDocument/2006/relationships/hyperlink" Target="http://www.sec.gov/Archives/edgar/data/0001628171/000119312520010145/d799036dex106b.htm" TargetMode="External"/><Relationship Id="rId611" Type="http://schemas.openxmlformats.org/officeDocument/2006/relationships/hyperlink" Target="http://www.sec.gov/Archives/edgar/data/0001628171/000119312520010145/d799036dex109.htm" TargetMode="External"/><Relationship Id="rId612" Type="http://schemas.openxmlformats.org/officeDocument/2006/relationships/hyperlink" Target="http://www.sec.gov/Archives/edgar/data/0001628171/000119312520010145/d799036dex1010.htm" TargetMode="External"/><Relationship Id="rId613" Type="http://schemas.openxmlformats.org/officeDocument/2006/relationships/hyperlink" Target="http://www.sec.gov/Archives/edgar/data/0001628171/000119312520010145/d799036dex1011.htm" TargetMode="External"/><Relationship Id="rId614" Type="http://schemas.openxmlformats.org/officeDocument/2006/relationships/hyperlink" Target="http://www.sec.gov/Archives/edgar/data/0001628171/000119312520010145/d799036dex211.htm" TargetMode="External"/><Relationship Id="rId617" Type="http://schemas.openxmlformats.org/officeDocument/2006/relationships/hyperlink" Target="http://www.sec.gov/Archives/edgar/data/1628171/000119312520010145/d799036ds1.htm#po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2020-02-17T19:35:42Z</dcterms:created>
  <dcterms:modified xsi:type="dcterms:W3CDTF">2020-02-17T19:35:42Z</dcterms:modified>
</cp:coreProperties>
</file>