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2"/>
        <w:gridCol w:w="931"/>
        <w:gridCol w:w="799"/>
        <w:gridCol w:w="618"/>
        <w:gridCol w:w="346"/>
        <w:gridCol w:w="826"/>
        <w:gridCol w:w="431"/>
        <w:gridCol w:w="1103"/>
        <w:gridCol w:w="1173"/>
        <w:gridCol w:w="983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2,722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156.1192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123,269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May 31, 2023 to satisfy the Reporting Person's tax withholding obligation upon the vesting of restricted stock units ("RSUs") after July 15,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$156.1105 to $156.8251.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51,388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479 shares acquired under the Issuer's Employee Stock Purchase Plan on May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0668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3691</Characters>
  <CharactersWithSpaces>4307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