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344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3445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Horn Margaret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REVOLUTION MEDICINES,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SAGINAW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Revolution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RVMD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480" w:type="dxa"/>
            <w:vAlign w:val="bottom"/>
            <w:gridSpan w:val="7"/>
            <w:vMerge w:val="restart"/>
          </w:tcPr>
          <w:p>
            <w:pPr>
              <w:jc w:val="center"/>
              <w:ind w:left="36"/>
              <w:spacing w:after="0"/>
              <w:rPr>
                <w:sz w:val="20"/>
                <w:szCs w:val="20"/>
                <w:color w:val="auto"/>
              </w:rPr>
            </w:pPr>
            <w:r>
              <w:rPr>
                <w:rFonts w:ascii="Arial" w:cs="Arial" w:eastAsia="Arial" w:hAnsi="Arial"/>
                <w:sz w:val="13"/>
                <w:szCs w:val="13"/>
                <w:color w:val="auto"/>
                <w:w w:val="98"/>
              </w:rPr>
              <w:t>4. If Amendment, Date of Original Filed (Month/Day/Year)</w:t>
            </w:r>
          </w:p>
        </w:tc>
        <w:tc>
          <w:tcPr>
            <w:tcW w:w="200" w:type="dxa"/>
            <w:vAlign w:val="bottom"/>
          </w:tcPr>
          <w:p>
            <w:pPr>
              <w:spacing w:after="0"/>
              <w:rPr>
                <w:sz w:val="4"/>
                <w:szCs w:val="4"/>
                <w:color w:val="auto"/>
              </w:rPr>
            </w:pP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15,546</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173,768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44,854</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218,622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60,400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160.1706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158,222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9"/>
              </w:rPr>
              <w:t>3,575</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156.1193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154,647</w:t>
            </w:r>
            <w:r>
              <w:rPr>
                <w:rFonts w:ascii="Times New Roman" w:cs="Times New Roman" w:eastAsia="Times New Roman" w:hAnsi="Times New Roman"/>
                <w:sz w:val="21"/>
                <w:szCs w:val="21"/>
                <w:color w:val="008000"/>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573</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155,220</w:t>
            </w:r>
            <w:r>
              <w:rPr>
                <w:rFonts w:ascii="Times New Roman" w:cs="Times New Roman" w:eastAsia="Times New Roman" w:hAnsi="Times New Roman"/>
                <w:sz w:val="21"/>
                <w:szCs w:val="21"/>
                <w:color w:val="008000"/>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9"/>
              </w:rPr>
              <w:t>3,302</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158,522</w:t>
            </w:r>
            <w:r>
              <w:rPr>
                <w:rFonts w:ascii="Times New Roman" w:cs="Times New Roman" w:eastAsia="Times New Roman" w:hAnsi="Times New Roman"/>
                <w:sz w:val="21"/>
                <w:szCs w:val="21"/>
                <w:color w:val="008000"/>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25,725</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184,247</w:t>
            </w:r>
            <w:r>
              <w:rPr>
                <w:rFonts w:ascii="Times New Roman" w:cs="Times New Roman" w:eastAsia="Times New Roman" w:hAnsi="Times New Roman"/>
                <w:sz w:val="21"/>
                <w:szCs w:val="21"/>
                <w:color w:val="008000"/>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29,600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160.1243</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154,647</w:t>
            </w:r>
            <w:r>
              <w:rPr>
                <w:rFonts w:ascii="Times New Roman" w:cs="Times New Roman" w:eastAsia="Times New Roman" w:hAnsi="Times New Roman"/>
                <w:sz w:val="21"/>
                <w:szCs w:val="21"/>
                <w:color w:val="008000"/>
                <w:vertAlign w:val="superscript"/>
              </w:rPr>
              <w:t>(6)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4"/>
          </w:tcPr>
          <w:p>
            <w:pPr>
              <w:jc w:val="center"/>
              <w:ind w:right="7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40.74</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6"/>
                <w:szCs w:val="16"/>
                <w:color w:val="auto"/>
              </w:rPr>
            </w:pPr>
          </w:p>
        </w:tc>
        <w:tc>
          <w:tcPr>
            <w:tcW w:w="40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gridSpan w:val="2"/>
          </w:tcPr>
          <w:p>
            <w:pPr>
              <w:jc w:val="center"/>
              <w:ind w:left="260"/>
              <w:spacing w:after="0"/>
              <w:rPr>
                <w:sz w:val="20"/>
                <w:szCs w:val="20"/>
                <w:color w:val="auto"/>
              </w:rPr>
            </w:pPr>
            <w:r>
              <w:rPr>
                <w:rFonts w:ascii="Times New Roman" w:cs="Times New Roman" w:eastAsia="Times New Roman" w:hAnsi="Times New Roman"/>
                <w:sz w:val="13"/>
                <w:szCs w:val="13"/>
                <w:color w:val="0000FF"/>
              </w:rPr>
              <w:t>15,546</w:t>
            </w:r>
          </w:p>
        </w:tc>
        <w:tc>
          <w:tcPr>
            <w:tcW w:w="78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02/28/2035</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15,546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75,648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6"/>
                <w:szCs w:val="16"/>
                <w:color w:val="auto"/>
              </w:rPr>
            </w:pPr>
          </w:p>
        </w:tc>
        <w:tc>
          <w:tcPr>
            <w:tcW w:w="40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gridSpan w:val="2"/>
          </w:tcPr>
          <w:p>
            <w:pPr>
              <w:jc w:val="center"/>
              <w:ind w:left="260"/>
              <w:spacing w:after="0"/>
              <w:rPr>
                <w:sz w:val="20"/>
                <w:szCs w:val="20"/>
                <w:color w:val="auto"/>
              </w:rPr>
            </w:pPr>
            <w:r>
              <w:rPr>
                <w:rFonts w:ascii="Times New Roman" w:cs="Times New Roman" w:eastAsia="Times New Roman" w:hAnsi="Times New Roman"/>
                <w:sz w:val="13"/>
                <w:szCs w:val="13"/>
                <w:color w:val="0000FF"/>
              </w:rPr>
              <w:t>44,854</w:t>
            </w:r>
          </w:p>
        </w:tc>
        <w:tc>
          <w:tcPr>
            <w:tcW w:w="78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02/28/2034</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44,854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75,052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40.74</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40" w:type="dxa"/>
            <w:vAlign w:val="bottom"/>
          </w:tcPr>
          <w:p>
            <w:pPr>
              <w:spacing w:after="0"/>
              <w:rPr>
                <w:sz w:val="12"/>
                <w:szCs w:val="12"/>
                <w:color w:val="auto"/>
              </w:rPr>
            </w:pPr>
          </w:p>
        </w:tc>
        <w:tc>
          <w:tcPr>
            <w:tcW w:w="40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rPr>
              <w:t>573</w:t>
            </w:r>
          </w:p>
        </w:tc>
        <w:tc>
          <w:tcPr>
            <w:tcW w:w="60" w:type="dxa"/>
            <w:vAlign w:val="bottom"/>
          </w:tcPr>
          <w:p>
            <w:pPr>
              <w:spacing w:after="0"/>
              <w:rPr>
                <w:sz w:val="12"/>
                <w:szCs w:val="12"/>
                <w:color w:val="auto"/>
              </w:rPr>
            </w:pPr>
          </w:p>
        </w:tc>
        <w:tc>
          <w:tcPr>
            <w:tcW w:w="78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02/28/2035</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75,075</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40" w:type="dxa"/>
            <w:vAlign w:val="bottom"/>
          </w:tcPr>
          <w:p>
            <w:pPr>
              <w:spacing w:after="0"/>
              <w:rPr>
                <w:sz w:val="12"/>
                <w:szCs w:val="12"/>
                <w:color w:val="auto"/>
              </w:rPr>
            </w:pPr>
          </w:p>
        </w:tc>
        <w:tc>
          <w:tcPr>
            <w:tcW w:w="40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20" w:type="dxa"/>
            <w:vAlign w:val="bottom"/>
            <w:gridSpan w:val="2"/>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3,302</w:t>
            </w:r>
          </w:p>
        </w:tc>
        <w:tc>
          <w:tcPr>
            <w:tcW w:w="78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02/28/2034</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3,302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71,750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40" w:type="dxa"/>
            <w:vAlign w:val="bottom"/>
          </w:tcPr>
          <w:p>
            <w:pPr>
              <w:spacing w:after="0"/>
              <w:rPr>
                <w:sz w:val="16"/>
                <w:szCs w:val="16"/>
                <w:color w:val="auto"/>
              </w:rPr>
            </w:pPr>
          </w:p>
        </w:tc>
        <w:tc>
          <w:tcPr>
            <w:tcW w:w="40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gridSpan w:val="2"/>
          </w:tcPr>
          <w:p>
            <w:pPr>
              <w:jc w:val="center"/>
              <w:ind w:left="260"/>
              <w:spacing w:after="0"/>
              <w:rPr>
                <w:sz w:val="20"/>
                <w:szCs w:val="20"/>
                <w:color w:val="auto"/>
              </w:rPr>
            </w:pPr>
            <w:r>
              <w:rPr>
                <w:rFonts w:ascii="Times New Roman" w:cs="Times New Roman" w:eastAsia="Times New Roman" w:hAnsi="Times New Roman"/>
                <w:sz w:val="13"/>
                <w:szCs w:val="13"/>
                <w:color w:val="0000FF"/>
              </w:rPr>
              <w:t>25,725</w:t>
            </w:r>
          </w:p>
        </w:tc>
        <w:tc>
          <w:tcPr>
            <w:tcW w:w="78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02/28/2033</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25,725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9"/>
              </w:rPr>
              <w:t>114,275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Transaction made pursuant to a 10b5-1 trading plan adopted by the Reporting Person on March 12, 2026.</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73,050 restricted stock units ("RSUs").</w:t>
      </w:r>
    </w:p>
    <w:p>
      <w:pPr>
        <w:spacing w:after="0" w:line="43" w:lineRule="exact"/>
        <w:rPr>
          <w:rFonts w:ascii="Times New Roman" w:cs="Times New Roman" w:eastAsia="Times New Roman" w:hAnsi="Times New Roman"/>
          <w:sz w:val="13"/>
          <w:szCs w:val="13"/>
          <w:color w:val="008000"/>
        </w:rPr>
      </w:pPr>
    </w:p>
    <w:p>
      <w:pPr>
        <w:jc w:val="both"/>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$160.00 to $160.3550,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Rule 10b5-1 instruction letter adopted on May 31, 2023 to satisfy the Reporting Person's tax withholding obligation upon the vesting of RSUs after July 15, 2023.</w:t>
      </w:r>
    </w:p>
    <w:p>
      <w:pPr>
        <w:spacing w:after="0" w:line="43" w:lineRule="exact"/>
        <w:rPr>
          <w:rFonts w:ascii="Times New Roman" w:cs="Times New Roman" w:eastAsia="Times New Roman" w:hAnsi="Times New Roman"/>
          <w:sz w:val="13"/>
          <w:szCs w:val="13"/>
          <w:color w:val="008000"/>
        </w:rPr>
      </w:pPr>
    </w:p>
    <w:p>
      <w:pPr>
        <w:ind w:right="180"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$156.1105 to $156.8250,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66,201 RSUs.</w:t>
      </w:r>
    </w:p>
    <w:p>
      <w:pPr>
        <w:spacing w:after="0" w:line="43"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$160.00 to $160.48,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right="180" w:firstLine="2"/>
        <w:spacing w:after="0" w:line="291"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forty-eighth (1/48th) of the shares initially subject to the option will vest on each monthly anniversary measured from March 1, 2025 (the "Vesting Commencement Date"), so that 100% of the shares subject to the option will be fully vested and exercisable as of the fourth anniversary of the Vesting Commencement Date, subject to the Reporting Person's continued service through each vesting date.</w:t>
      </w:r>
    </w:p>
    <w:p>
      <w:pPr>
        <w:ind w:right="180" w:firstLine="2"/>
        <w:spacing w:after="0" w:line="291"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forty-eighth (1/48th) of the shares initially subject to the option will vest on each monthly anniversary measured from March 1, 2024 (the "Vesting Commencement Date"), so that 100% of the shares subject to the option will be fully vested and exercisable as of the fourth anniversary of the Vesting Commencement Date, subject to the Reporting Person's continued service through each vesting date.</w:t>
      </w:r>
    </w:p>
    <w:p>
      <w:pPr>
        <w:ind w:right="120" w:firstLine="2"/>
        <w:spacing w:after="0" w:line="269" w:lineRule="auto"/>
        <w:tabs>
          <w:tab w:leader="none" w:pos="19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forty-eighth (1/48th) of the shares initially subject to the option will vest on each monthly anniversary measured from March 1, 2023 (the "Vesting Commencement Date"), so that 100% of the shares subject to the option will be fully vested and exercisable as of the fourth anniversary of the Vesting Commencement Date, subject to the Reporting Person's continued service through each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Jack Anders, as Attorney-in-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Margaret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70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0280"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4192"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2026-06-17T18:52:42Z</dcterms:created>
  <dcterms:modified xsi:type="dcterms:W3CDTF">2026-06-17T18:52:42Z</dcterms:modified>
</cp:coreProperties>
</file>