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52038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203825"/>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8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8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Borellini Flavia</w:t>
              </w:r>
            </w:hyperlink>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00" w:type="dxa"/>
            <w:vAlign w:val="bottom"/>
            <w:gridSpan w:val="9"/>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Revolution Medicines,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RVMD</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260" w:type="dxa"/>
            <w:vAlign w:val="bottom"/>
          </w:tcPr>
          <w:p>
            <w:pPr>
              <w:spacing w:after="0"/>
              <w:rPr>
                <w:sz w:val="15"/>
                <w:szCs w:val="15"/>
                <w:color w:val="auto"/>
              </w:rPr>
            </w:pPr>
          </w:p>
        </w:tc>
        <w:tc>
          <w:tcPr>
            <w:tcW w:w="1620" w:type="dxa"/>
            <w:vAlign w:val="bottom"/>
            <w:gridSpan w:val="5"/>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380" w:type="dxa"/>
            <w:vAlign w:val="bottom"/>
            <w:gridSpan w:val="4"/>
            <w:vMerge w:val="continue"/>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54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w w:val="96"/>
              </w:rPr>
              <w:t>Director</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vMerge w:val="restart"/>
          </w:tcPr>
          <w:p>
            <w:pPr>
              <w:spacing w:after="0"/>
              <w:rPr>
                <w:sz w:val="9"/>
                <w:szCs w:val="9"/>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9"/>
                <w:szCs w:val="9"/>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100" w:type="dxa"/>
            <w:vAlign w:val="bottom"/>
            <w:tcBorders>
              <w:top w:val="single" w:sz="8" w:color="EEEEEE"/>
            </w:tcBorders>
          </w:tcPr>
          <w:p>
            <w:pPr>
              <w:spacing w:after="0"/>
              <w:rPr>
                <w:sz w:val="3"/>
                <w:szCs w:val="3"/>
                <w:color w:val="auto"/>
              </w:rPr>
            </w:pPr>
          </w:p>
        </w:tc>
        <w:tc>
          <w:tcPr>
            <w:tcW w:w="60" w:type="dxa"/>
            <w:vAlign w:val="bottom"/>
            <w:tcBorders>
              <w:top w:val="single" w:sz="8" w:color="EEEEEE"/>
            </w:tcBorders>
          </w:tcPr>
          <w:p>
            <w:pPr>
              <w:spacing w:after="0"/>
              <w:rPr>
                <w:sz w:val="3"/>
                <w:szCs w:val="3"/>
                <w:color w:val="auto"/>
              </w:rPr>
            </w:pPr>
          </w:p>
        </w:tc>
        <w:tc>
          <w:tcPr>
            <w:tcW w:w="1040" w:type="dxa"/>
            <w:vAlign w:val="bottom"/>
            <w:tcBorders>
              <w:top w:val="single" w:sz="8" w:color="EEEEEE"/>
            </w:tcBorders>
          </w:tcPr>
          <w:p>
            <w:pPr>
              <w:spacing w:after="0"/>
              <w:rPr>
                <w:sz w:val="3"/>
                <w:szCs w:val="3"/>
                <w:color w:val="auto"/>
              </w:rPr>
            </w:pPr>
          </w:p>
        </w:tc>
        <w:tc>
          <w:tcPr>
            <w:tcW w:w="1140" w:type="dxa"/>
            <w:vAlign w:val="bottom"/>
            <w:tcBorders>
              <w:top w:val="single" w:sz="8" w:color="EEEEEE"/>
            </w:tcBorders>
          </w:tcPr>
          <w:p>
            <w:pPr>
              <w:spacing w:after="0"/>
              <w:rPr>
                <w:sz w:val="3"/>
                <w:szCs w:val="3"/>
                <w:color w:val="auto"/>
              </w:rPr>
            </w:pPr>
          </w:p>
        </w:tc>
        <w:tc>
          <w:tcPr>
            <w:tcW w:w="8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vMerge w:val="continue"/>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50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15"/>
                <w:szCs w:val="15"/>
                <w:color w:val="auto"/>
              </w:rPr>
            </w:pPr>
          </w:p>
        </w:tc>
        <w:tc>
          <w:tcPr>
            <w:tcW w:w="1200" w:type="dxa"/>
            <w:vAlign w:val="bottom"/>
            <w:gridSpan w:val="3"/>
          </w:tcPr>
          <w:p>
            <w:pPr>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80" w:type="dxa"/>
            <w:vAlign w:val="bottom"/>
            <w:gridSpan w:val="8"/>
          </w:tcPr>
          <w:p>
            <w:pPr>
              <w:spacing w:after="0"/>
              <w:rPr>
                <w:sz w:val="20"/>
                <w:szCs w:val="20"/>
                <w:color w:val="auto"/>
              </w:rPr>
            </w:pPr>
            <w:r>
              <w:rPr>
                <w:rFonts w:ascii="Arial" w:cs="Arial" w:eastAsia="Arial" w:hAnsi="Arial"/>
                <w:sz w:val="13"/>
                <w:szCs w:val="13"/>
                <w:color w:val="auto"/>
              </w:rPr>
              <w:t>3. Date of Earliest Transaction (Month/Day/Year)</w:t>
            </w: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ind w:left="26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6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C/O REVOLUTION MEDICINES, INC.</w:t>
            </w:r>
          </w:p>
        </w:tc>
        <w:tc>
          <w:tcPr>
            <w:tcW w:w="1260" w:type="dxa"/>
            <w:vAlign w:val="bottom"/>
            <w:gridSpan w:val="5"/>
          </w:tcPr>
          <w:p>
            <w:pPr>
              <w:ind w:left="240"/>
              <w:spacing w:after="0"/>
              <w:rPr>
                <w:sz w:val="20"/>
                <w:szCs w:val="20"/>
                <w:color w:val="auto"/>
              </w:rPr>
            </w:pPr>
            <w:r>
              <w:rPr>
                <w:rFonts w:ascii="Times New Roman" w:cs="Times New Roman" w:eastAsia="Times New Roman" w:hAnsi="Times New Roman"/>
                <w:sz w:val="17"/>
                <w:szCs w:val="17"/>
                <w:color w:val="0000FF"/>
              </w:rPr>
              <w:t>06/18/2026</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3560" w:type="dxa"/>
            <w:vAlign w:val="bottom"/>
            <w:gridSpan w:val="6"/>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2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700 SAGINAW DRIVE</w:t>
            </w: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480" w:type="dxa"/>
            <w:vAlign w:val="bottom"/>
            <w:tcBorders>
              <w:bottom w:val="single" w:sz="8" w:color="2C2C2C"/>
            </w:tcBorders>
          </w:tcPr>
          <w:p>
            <w:pPr>
              <w:spacing w:after="0"/>
              <w:rPr>
                <w:sz w:val="21"/>
                <w:szCs w:val="21"/>
                <w:color w:val="auto"/>
              </w:rPr>
            </w:pPr>
          </w:p>
        </w:tc>
        <w:tc>
          <w:tcPr>
            <w:tcW w:w="54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160" w:type="dxa"/>
            <w:vAlign w:val="bottom"/>
            <w:tcBorders>
              <w:bottom w:val="single" w:sz="8" w:color="2C2C2C"/>
            </w:tcBorders>
          </w:tcPr>
          <w:p>
            <w:pPr>
              <w:spacing w:after="0"/>
              <w:rPr>
                <w:sz w:val="21"/>
                <w:szCs w:val="21"/>
                <w:color w:val="auto"/>
              </w:rPr>
            </w:pPr>
          </w:p>
        </w:tc>
        <w:tc>
          <w:tcPr>
            <w:tcW w:w="50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54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spacing w:after="0"/>
              <w:rPr>
                <w:sz w:val="21"/>
                <w:szCs w:val="21"/>
                <w:color w:val="auto"/>
              </w:rPr>
            </w:pPr>
          </w:p>
        </w:tc>
        <w:tc>
          <w:tcPr>
            <w:tcW w:w="26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58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500" w:type="dxa"/>
            <w:vAlign w:val="bottom"/>
            <w:gridSpan w:val="9"/>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tcPr>
          <w:p>
            <w:pPr>
              <w:spacing w:after="0"/>
              <w:rPr>
                <w:sz w:val="12"/>
                <w:szCs w:val="12"/>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4"/>
          </w:tcPr>
          <w:p>
            <w:pPr>
              <w:ind w:left="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REDWOOD</w:t>
            </w:r>
          </w:p>
        </w:tc>
        <w:tc>
          <w:tcPr>
            <w:tcW w:w="12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94063</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9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1200" w:type="dxa"/>
            <w:vAlign w:val="bottom"/>
            <w:gridSpan w:val="3"/>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CITY</w:t>
            </w:r>
          </w:p>
        </w:tc>
        <w:tc>
          <w:tcPr>
            <w:tcW w:w="620" w:type="dxa"/>
            <w:vAlign w:val="bottom"/>
          </w:tcPr>
          <w:p>
            <w:pPr>
              <w:spacing w:after="0"/>
              <w:rPr>
                <w:sz w:val="9"/>
                <w:szCs w:val="9"/>
                <w:color w:val="auto"/>
              </w:rPr>
            </w:pPr>
          </w:p>
        </w:tc>
        <w:tc>
          <w:tcPr>
            <w:tcW w:w="120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gridSpan w:val="2"/>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20" w:type="dxa"/>
            <w:vAlign w:val="bottom"/>
            <w:tcBorders>
              <w:bottom w:val="single" w:sz="8" w:color="2C2C2C"/>
            </w:tcBorders>
            <w:gridSpan w:val="4"/>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9"/>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5"/>
          </w:tcPr>
          <w:p>
            <w:pPr>
              <w:ind w:left="78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6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60" w:type="dxa"/>
            <w:vAlign w:val="bottom"/>
          </w:tcPr>
          <w:p>
            <w:pPr>
              <w:spacing w:after="0"/>
              <w:rPr>
                <w:sz w:val="11"/>
                <w:szCs w:val="11"/>
                <w:color w:val="auto"/>
              </w:rPr>
            </w:pPr>
          </w:p>
        </w:tc>
        <w:tc>
          <w:tcPr>
            <w:tcW w:w="8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5"/>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5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V</w:t>
            </w: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320" w:type="dxa"/>
            <w:vAlign w:val="bottom"/>
            <w:gridSpan w:val="2"/>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5"/>
          </w:tcPr>
          <w:p>
            <w:pPr>
              <w:ind w:left="880"/>
              <w:spacing w:after="0"/>
              <w:rPr>
                <w:sz w:val="20"/>
                <w:szCs w:val="20"/>
                <w:color w:val="auto"/>
              </w:rPr>
            </w:pPr>
            <w:r>
              <w:rPr>
                <w:rFonts w:ascii="Times New Roman" w:cs="Times New Roman" w:eastAsia="Times New Roman" w:hAnsi="Times New Roman"/>
                <w:sz w:val="17"/>
                <w:szCs w:val="17"/>
                <w:color w:val="0000FF"/>
              </w:rPr>
              <w:t>06/18/2026</w:t>
            </w:r>
          </w:p>
        </w:tc>
        <w:tc>
          <w:tcPr>
            <w:tcW w:w="5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2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3"/>
              </w:rPr>
              <w:t>1,191</w:t>
            </w:r>
          </w:p>
        </w:tc>
        <w:tc>
          <w:tcPr>
            <w:tcW w:w="6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400"/>
              <w:spacing w:after="0"/>
              <w:rPr>
                <w:sz w:val="20"/>
                <w:szCs w:val="20"/>
                <w:color w:val="auto"/>
              </w:rPr>
            </w:pPr>
            <w:r>
              <w:rPr>
                <w:rFonts w:ascii="Times New Roman" w:cs="Times New Roman" w:eastAsia="Times New Roman" w:hAnsi="Times New Roman"/>
                <w:sz w:val="17"/>
                <w:szCs w:val="17"/>
                <w:color w:val="0000FF"/>
              </w:rPr>
              <w:t>26,215</w:t>
            </w:r>
            <w:r>
              <w:rPr>
                <w:rFonts w:ascii="Times New Roman" w:cs="Times New Roman" w:eastAsia="Times New Roman" w:hAnsi="Times New Roman"/>
                <w:sz w:val="21"/>
                <w:szCs w:val="21"/>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9"/>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60" w:type="dxa"/>
            <w:vAlign w:val="bottom"/>
            <w:gridSpan w:val="16"/>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3"/>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w w:val="94"/>
              </w:rPr>
              <w:t>Transaction</w:t>
            </w: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8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86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w w:val="95"/>
              </w:rPr>
              <w:t>Exercisable</w:t>
            </w:r>
          </w:p>
        </w:tc>
        <w:tc>
          <w:tcPr>
            <w:tcW w:w="860" w:type="dxa"/>
            <w:vAlign w:val="bottom"/>
            <w:gridSpan w:val="3"/>
          </w:tcPr>
          <w:p>
            <w:pPr>
              <w:ind w:left="1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162.99</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06/18/2026</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3"/>
          </w:tcPr>
          <w:p>
            <w:pPr>
              <w:ind w:left="80"/>
              <w:spacing w:after="0"/>
              <w:rPr>
                <w:sz w:val="20"/>
                <w:szCs w:val="20"/>
                <w:color w:val="auto"/>
              </w:rPr>
            </w:pPr>
            <w:r>
              <w:rPr>
                <w:rFonts w:ascii="Times New Roman" w:cs="Times New Roman" w:eastAsia="Times New Roman" w:hAnsi="Times New Roman"/>
                <w:sz w:val="13"/>
                <w:szCs w:val="13"/>
                <w:color w:val="0000FF"/>
              </w:rPr>
              <w:t>A</w:t>
            </w:r>
          </w:p>
        </w:tc>
        <w:tc>
          <w:tcPr>
            <w:tcW w:w="5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3,127</w:t>
            </w:r>
          </w:p>
        </w:tc>
        <w:tc>
          <w:tcPr>
            <w:tcW w:w="340" w:type="dxa"/>
            <w:vAlign w:val="bottom"/>
          </w:tcPr>
          <w:p>
            <w:pPr>
              <w:spacing w:after="0"/>
              <w:rPr>
                <w:sz w:val="16"/>
                <w:szCs w:val="16"/>
                <w:color w:val="auto"/>
              </w:rPr>
            </w:pPr>
          </w:p>
        </w:tc>
        <w:tc>
          <w:tcPr>
            <w:tcW w:w="6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860" w:type="dxa"/>
            <w:vAlign w:val="bottom"/>
            <w:gridSpan w:val="3"/>
          </w:tcPr>
          <w:p>
            <w:pPr>
              <w:ind w:left="140"/>
              <w:spacing w:after="0"/>
              <w:rPr>
                <w:sz w:val="20"/>
                <w:szCs w:val="20"/>
                <w:color w:val="auto"/>
              </w:rPr>
            </w:pPr>
            <w:r>
              <w:rPr>
                <w:rFonts w:ascii="Times New Roman" w:cs="Times New Roman" w:eastAsia="Times New Roman" w:hAnsi="Times New Roman"/>
                <w:sz w:val="13"/>
                <w:szCs w:val="13"/>
                <w:color w:val="0000FF"/>
              </w:rPr>
              <w:t>06/18/2036</w:t>
            </w:r>
          </w:p>
        </w:tc>
        <w:tc>
          <w:tcPr>
            <w:tcW w:w="6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3,127</w:t>
            </w:r>
          </w:p>
        </w:tc>
        <w:tc>
          <w:tcPr>
            <w:tcW w:w="40" w:type="dxa"/>
            <w:vAlign w:val="bottom"/>
          </w:tcPr>
          <w:p>
            <w:pPr>
              <w:spacing w:after="0"/>
              <w:rPr>
                <w:sz w:val="16"/>
                <w:szCs w:val="16"/>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3,127</w:t>
            </w:r>
          </w:p>
        </w:tc>
        <w:tc>
          <w:tcPr>
            <w:tcW w:w="28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3"/>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ind w:left="10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1,191 Restricted Stock Units.</w:t>
      </w:r>
    </w:p>
    <w:p>
      <w:pPr>
        <w:spacing w:after="0" w:line="45" w:lineRule="exact"/>
        <w:rPr>
          <w:rFonts w:ascii="Times New Roman" w:cs="Times New Roman" w:eastAsia="Times New Roman" w:hAnsi="Times New Roman"/>
          <w:sz w:val="13"/>
          <w:szCs w:val="13"/>
          <w:color w:val="008000"/>
        </w:rPr>
      </w:pPr>
    </w:p>
    <w:p>
      <w:pPr>
        <w:ind w:left="40" w:right="400" w:firstLine="3"/>
        <w:spacing w:after="0" w:line="250"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subject to the Option shall vest in full on the earlier of (i) the first anniversary of June 18, 2026 or (ii) immediately prior to the Annual Meeting following the date of grant subject to the Reporting Person remaining a Service Provider (as defined in the 2020 Plan) through the vesting date.</w:t>
      </w:r>
    </w:p>
    <w:p>
      <w:pPr>
        <w:ind w:left="6600"/>
        <w:spacing w:after="0" w:line="181" w:lineRule="auto"/>
        <w:rPr>
          <w:sz w:val="20"/>
          <w:szCs w:val="20"/>
          <w:color w:val="auto"/>
        </w:rPr>
      </w:pPr>
      <w:r>
        <w:rPr>
          <w:rFonts w:ascii="Times New Roman" w:cs="Times New Roman" w:eastAsia="Times New Roman" w:hAnsi="Times New Roman"/>
          <w:sz w:val="17"/>
          <w:szCs w:val="17"/>
          <w:color w:val="0000FF"/>
        </w:rPr>
        <w:t xml:space="preserve">/s/ Jack Anders, as Attorney-in- </w:t>
      </w:r>
      <w:r>
        <w:rPr>
          <w:rFonts w:ascii="Times New Roman" w:cs="Times New Roman" w:eastAsia="Times New Roman" w:hAnsi="Times New Roman"/>
          <w:sz w:val="32"/>
          <w:szCs w:val="32"/>
          <w:color w:val="0000FF"/>
          <w:vertAlign w:val="subscript"/>
        </w:rPr>
        <w:t>06/23/2026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-27305</wp:posOffset>
            </wp:positionV>
            <wp:extent cx="13601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 for Flavia Borellini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-19685</wp:posOffset>
            </wp:positionV>
            <wp:extent cx="10147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14730"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83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26"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867426" TargetMode="External"/><Relationship Id="rId14" Type="http://schemas.openxmlformats.org/officeDocument/2006/relationships/hyperlink" Target="http://www.sec.gov/cgi-bin/browse-edgar?action=getcompany&amp;CIK=000162817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2026-06-23T17:12:29Z</dcterms:created>
  <dcterms:modified xsi:type="dcterms:W3CDTF">2026-06-23T17:12:29Z</dcterms:modified>
</cp:coreProperties>
</file>