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981710</wp:posOffset>
            </wp:positionH>
            <wp:positionV relativeFrom="page">
              <wp:posOffset>150495</wp:posOffset>
            </wp:positionV>
            <wp:extent cx="55854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5460" cy="6985"/>
                    </a:xfrm>
                    <a:prstGeom prst="rect">
                      <a:avLst/>
                    </a:prstGeom>
                    <a:noFill/>
                  </pic:spPr>
                </pic:pic>
              </a:graphicData>
            </a:graphic>
          </wp:anchor>
        </w:drawing>
        <w:drawing>
          <wp:anchor simplePos="0" relativeHeight="251657728" behindDoc="1" locked="0" layoutInCell="0" allowOverlap="1">
            <wp:simplePos x="0" y="0"/>
            <wp:positionH relativeFrom="page">
              <wp:posOffset>981710</wp:posOffset>
            </wp:positionH>
            <wp:positionV relativeFrom="page">
              <wp:posOffset>184785</wp:posOffset>
            </wp:positionV>
            <wp:extent cx="55854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5460" cy="698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2271395</wp:posOffset>
            </wp:positionH>
            <wp:positionV relativeFrom="paragraph">
              <wp:posOffset>165100</wp:posOffset>
            </wp:positionV>
            <wp:extent cx="11772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7290" cy="6985"/>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2271395</wp:posOffset>
            </wp:positionH>
            <wp:positionV relativeFrom="paragraph">
              <wp:posOffset>190500</wp:posOffset>
            </wp:positionV>
            <wp:extent cx="11772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7290" cy="698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2271395</wp:posOffset>
            </wp:positionH>
            <wp:positionV relativeFrom="paragraph">
              <wp:posOffset>186055</wp:posOffset>
            </wp:positionV>
            <wp:extent cx="11772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6985"/>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REVOLUTION MEDICINES,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2271395</wp:posOffset>
            </wp:positionH>
            <wp:positionV relativeFrom="paragraph">
              <wp:posOffset>170815</wp:posOffset>
            </wp:positionV>
            <wp:extent cx="11772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7290" cy="698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p>
      <w:pPr>
        <w:spacing w:after="0" w:line="200" w:lineRule="exact"/>
        <w:rPr>
          <w:sz w:val="24"/>
          <w:szCs w:val="24"/>
          <w:color w:val="auto"/>
        </w:rPr>
      </w:pPr>
    </w:p>
    <w:p>
      <w:pPr>
        <w:spacing w:after="0" w:line="26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001-39219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47-2029180</w:t>
      </w:r>
    </w:p>
    <w:p>
      <w:pPr>
        <w:spacing w:after="0" w:line="15" w:lineRule="exact"/>
        <w:rPr>
          <w:sz w:val="24"/>
          <w:szCs w:val="24"/>
          <w:color w:val="auto"/>
        </w:rPr>
      </w:pPr>
    </w:p>
    <w:p>
      <w:pPr>
        <w:sectPr>
          <w:pgSz w:w="11900" w:h="16838" w:orient="portrait"/>
          <w:cols w:equalWidth="0" w:num="3">
            <w:col w:w="3560" w:space="720"/>
            <w:col w:w="2140" w:space="720"/>
            <w:col w:w="1879"/>
          </w:cols>
          <w:pgMar w:left="1440" w:top="328" w:right="1440"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959"/>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959"/>
        <w:spacing w:after="0"/>
        <w:rPr>
          <w:sz w:val="20"/>
          <w:szCs w:val="20"/>
          <w:color w:val="auto"/>
        </w:rPr>
      </w:pPr>
      <w:r>
        <w:rPr>
          <w:rFonts w:ascii="Times New Roman" w:cs="Times New Roman" w:eastAsia="Times New Roman" w:hAnsi="Times New Roman"/>
          <w:sz w:val="11"/>
          <w:szCs w:val="11"/>
          <w:b w:val="1"/>
          <w:bCs w:val="1"/>
          <w:color w:val="auto"/>
        </w:rPr>
        <w:t>Identification Number)</w:t>
      </w:r>
    </w:p>
    <w:p>
      <w:pPr>
        <w:spacing w:after="0" w:line="132" w:lineRule="exact"/>
        <w:rPr>
          <w:sz w:val="24"/>
          <w:szCs w:val="24"/>
          <w:color w:val="auto"/>
        </w:rPr>
      </w:pPr>
    </w:p>
    <w:p>
      <w:pPr>
        <w:sectPr>
          <w:pgSz w:w="11900" w:h="16838" w:orient="portrait"/>
          <w:cols w:equalWidth="0" w:num="3">
            <w:col w:w="3540" w:space="720"/>
            <w:col w:w="1940" w:space="720"/>
            <w:col w:w="2099"/>
          </w:cols>
          <w:pgMar w:left="1440" w:top="328"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700 Saginaw Drive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Redwood City, California 94063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2271395</wp:posOffset>
            </wp:positionH>
            <wp:positionV relativeFrom="paragraph">
              <wp:posOffset>182245</wp:posOffset>
            </wp:positionV>
            <wp:extent cx="11772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7290" cy="698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100" w:right="499"/>
        <w:spacing w:after="0" w:line="294"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460" w:hanging="354"/>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8" w:lineRule="exact"/>
        <w:rPr>
          <w:rFonts w:ascii="MS PGothic" w:cs="MS PGothic" w:eastAsia="MS PGothic" w:hAnsi="MS PGothic"/>
          <w:sz w:val="14"/>
          <w:szCs w:val="14"/>
          <w:color w:val="auto"/>
        </w:rPr>
      </w:pPr>
    </w:p>
    <w:p>
      <w:pPr>
        <w:ind w:left="460" w:hanging="354"/>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8" w:lineRule="exact"/>
        <w:rPr>
          <w:rFonts w:ascii="MS PGothic" w:cs="MS PGothic" w:eastAsia="MS PGothic" w:hAnsi="MS PGothic"/>
          <w:sz w:val="14"/>
          <w:szCs w:val="14"/>
          <w:color w:val="auto"/>
        </w:rPr>
      </w:pPr>
    </w:p>
    <w:p>
      <w:pPr>
        <w:ind w:left="460" w:hanging="354"/>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8" w:lineRule="exact"/>
        <w:rPr>
          <w:rFonts w:ascii="MS PGothic" w:cs="MS PGothic" w:eastAsia="MS PGothic" w:hAnsi="MS PGothic"/>
          <w:sz w:val="14"/>
          <w:szCs w:val="14"/>
          <w:color w:val="auto"/>
        </w:rPr>
      </w:pPr>
    </w:p>
    <w:p>
      <w:pPr>
        <w:ind w:left="460" w:hanging="354"/>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1" w:lineRule="exact"/>
        <w:rPr>
          <w:sz w:val="24"/>
          <w:szCs w:val="24"/>
          <w:color w:val="auto"/>
        </w:rPr>
      </w:pPr>
    </w:p>
    <w:tbl>
      <w:tblPr>
        <w:tblLayout w:type="fixed"/>
        <w:tblInd w:w="10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900" w:type="dxa"/>
            <w:vAlign w:val="bottom"/>
            <w:gridSpan w:val="2"/>
          </w:tcPr>
          <w:p>
            <w:pPr>
              <w:ind w:left="122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49"/>
        </w:trPr>
        <w:tc>
          <w:tcPr>
            <w:tcW w:w="3080" w:type="dxa"/>
            <w:vAlign w:val="bottom"/>
            <w:gridSpan w:val="2"/>
            <w:vMerge w:val="continue"/>
          </w:tcPr>
          <w:p>
            <w:pPr>
              <w:spacing w:after="0"/>
              <w:rPr>
                <w:sz w:val="12"/>
                <w:szCs w:val="12"/>
                <w:color w:val="auto"/>
              </w:rPr>
            </w:pPr>
          </w:p>
        </w:tc>
        <w:tc>
          <w:tcPr>
            <w:tcW w:w="2900" w:type="dxa"/>
            <w:vAlign w:val="bottom"/>
            <w:gridSpan w:val="2"/>
          </w:tcPr>
          <w:p>
            <w:pPr>
              <w:ind w:left="1240"/>
              <w:spacing w:after="0"/>
              <w:rPr>
                <w:sz w:val="20"/>
                <w:szCs w:val="20"/>
                <w:color w:val="auto"/>
              </w:rPr>
            </w:pPr>
            <w:r>
              <w:rPr>
                <w:rFonts w:ascii="Times New Roman" w:cs="Times New Roman" w:eastAsia="Times New Roman" w:hAnsi="Times New Roman"/>
                <w:sz w:val="11"/>
                <w:szCs w:val="11"/>
                <w:b w:val="1"/>
                <w:bCs w:val="1"/>
                <w:color w:val="auto"/>
              </w:rPr>
              <w:t>Symbol</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49"/>
        </w:trPr>
        <w:tc>
          <w:tcPr>
            <w:tcW w:w="30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Stock, $0.0001 par value per share</w:t>
            </w:r>
          </w:p>
        </w:tc>
        <w:tc>
          <w:tcPr>
            <w:tcW w:w="80" w:type="dxa"/>
            <w:vAlign w:val="bottom"/>
          </w:tcPr>
          <w:p>
            <w:pPr>
              <w:spacing w:after="0"/>
              <w:rPr>
                <w:sz w:val="12"/>
                <w:szCs w:val="12"/>
                <w:color w:val="auto"/>
              </w:rPr>
            </w:pPr>
          </w:p>
        </w:tc>
        <w:tc>
          <w:tcPr>
            <w:tcW w:w="2820" w:type="dxa"/>
            <w:vAlign w:val="bottom"/>
            <w:tcBorders>
              <w:top w:val="single" w:sz="8" w:color="auto"/>
            </w:tcBorders>
          </w:tcPr>
          <w:p>
            <w:pPr>
              <w:ind w:left="1200"/>
              <w:spacing w:after="0" w:line="149" w:lineRule="exact"/>
              <w:rPr>
                <w:sz w:val="20"/>
                <w:szCs w:val="20"/>
                <w:color w:val="auto"/>
              </w:rPr>
            </w:pPr>
            <w:r>
              <w:rPr>
                <w:rFonts w:ascii="Times New Roman" w:cs="Times New Roman" w:eastAsia="Times New Roman" w:hAnsi="Times New Roman"/>
                <w:sz w:val="14"/>
                <w:szCs w:val="14"/>
                <w:color w:val="auto"/>
              </w:rPr>
              <w:t>RVMD</w:t>
            </w:r>
          </w:p>
        </w:tc>
        <w:tc>
          <w:tcPr>
            <w:tcW w:w="80" w:type="dxa"/>
            <w:vAlign w:val="bottom"/>
          </w:tcPr>
          <w:p>
            <w:pPr>
              <w:spacing w:after="0"/>
              <w:rPr>
                <w:sz w:val="12"/>
                <w:szCs w:val="12"/>
                <w:color w:val="auto"/>
              </w:rPr>
            </w:pPr>
          </w:p>
        </w:tc>
        <w:tc>
          <w:tcPr>
            <w:tcW w:w="28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37" w:lineRule="exact"/>
        <w:rPr>
          <w:sz w:val="24"/>
          <w:szCs w:val="24"/>
          <w:color w:val="auto"/>
        </w:rPr>
      </w:pPr>
    </w:p>
    <w:p>
      <w:pPr>
        <w:ind w:left="100" w:right="359"/>
        <w:spacing w:after="0" w:line="29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ind w:left="71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4" w:lineRule="exact"/>
        <w:rPr>
          <w:sz w:val="24"/>
          <w:szCs w:val="24"/>
          <w:color w:val="auto"/>
        </w:rPr>
      </w:pPr>
    </w:p>
    <w:p>
      <w:pPr>
        <w:ind w:left="100" w:right="359"/>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67310</wp:posOffset>
            </wp:positionH>
            <wp:positionV relativeFrom="paragraph">
              <wp:posOffset>102235</wp:posOffset>
            </wp:positionV>
            <wp:extent cx="55854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5460" cy="6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135890</wp:posOffset>
            </wp:positionV>
            <wp:extent cx="55854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5460" cy="698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2.02 Results of Operations and Financial Condition.</w:t>
      </w:r>
    </w:p>
    <w:p>
      <w:pPr>
        <w:spacing w:after="0" w:line="1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On January 9, 2024, Revolution Medicines, Inc. (the “Company”) posted a corporate presentation to the investor section of the Company’s website at:</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ir.revmed.com/events-and-presentations. The Company’s corporate presentation is attached hereto as Exhibit 99.1.</w:t>
      </w:r>
    </w:p>
    <w:p>
      <w:pPr>
        <w:spacing w:after="0" w:line="170" w:lineRule="exact"/>
        <w:rPr>
          <w:sz w:val="20"/>
          <w:szCs w:val="20"/>
          <w:color w:val="auto"/>
        </w:rPr>
      </w:pPr>
    </w:p>
    <w:p>
      <w:pPr>
        <w:ind w:left="100" w:right="179"/>
        <w:spacing w:after="0" w:line="264" w:lineRule="auto"/>
        <w:rPr>
          <w:sz w:val="20"/>
          <w:szCs w:val="20"/>
          <w:color w:val="auto"/>
        </w:rPr>
      </w:pPr>
      <w:r>
        <w:rPr>
          <w:rFonts w:ascii="Times New Roman" w:cs="Times New Roman" w:eastAsia="Times New Roman" w:hAnsi="Times New Roman"/>
          <w:sz w:val="14"/>
          <w:szCs w:val="14"/>
          <w:color w:val="auto"/>
        </w:rPr>
        <w:t>The information furnished under this Item 2.02 and in the presentation attached as Exhibit 99.1 to this Current Report on Form 8-K shall not be deemed “filed” for purposes of Section 18 of the Securities Exchange Act of 1934, as amended (the “Exchange Act”), or otherwise subject to the liabilities of that section or Sections 11 or 12(a)(2) of the Securities Act of 1933, as amended (the “Securities Act”). The information contained in this Item 2.02 and in the presentation attached as Exhibit 99.1 to this Current Report on Form 8-K shall not be incorporated by reference into any filing with the Securities and Exchange Commission (the “SEC”) made by the Company, whether made before or after the date hereof, regardless of any general incorporation language in such filing.</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On January 9, 2024, the Company posted a corporate presentation to the investor section of the Company’s website at:</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ir.revmed.com/events-and-presentations. The Company’s corporate presentation is attached hereto as Exhibit 99.1.</w:t>
      </w:r>
    </w:p>
    <w:p>
      <w:pPr>
        <w:spacing w:after="0" w:line="170" w:lineRule="exact"/>
        <w:rPr>
          <w:sz w:val="20"/>
          <w:szCs w:val="20"/>
          <w:color w:val="auto"/>
        </w:rPr>
      </w:pPr>
    </w:p>
    <w:p>
      <w:pPr>
        <w:ind w:left="100" w:right="119"/>
        <w:spacing w:after="0" w:line="264" w:lineRule="auto"/>
        <w:rPr>
          <w:sz w:val="20"/>
          <w:szCs w:val="20"/>
          <w:color w:val="auto"/>
        </w:rPr>
      </w:pPr>
      <w:r>
        <w:rPr>
          <w:rFonts w:ascii="Times New Roman" w:cs="Times New Roman" w:eastAsia="Times New Roman" w:hAnsi="Times New Roman"/>
          <w:sz w:val="14"/>
          <w:szCs w:val="14"/>
          <w:color w:val="auto"/>
        </w:rPr>
        <w:t>The furnishing of the attached presentation is not an admission as to the materiality of any information therein. The information contained in the slides is summary information that is intended to be considered in the context of more complete information included in the Company’s filings with the SEC and other public announcements that the Company has made and may make from time to time by press release or otherwise. The Company undertakes no duty or obligation to update or revise the information contained in this Current Report on Form 8-K, although it may do so from time to time as its management believes is appropriate. Any such updating may be made through the filing of other reports or documents with the SEC, through press releases or through other public disclosures. For important information about forward looking statements, see the slide titled “Legal Disclaimer” in Exhibit 99.1 attached hereto.</w:t>
      </w:r>
    </w:p>
    <w:p>
      <w:pPr>
        <w:spacing w:after="0" w:line="317" w:lineRule="exact"/>
        <w:rPr>
          <w:sz w:val="20"/>
          <w:szCs w:val="20"/>
          <w:color w:val="auto"/>
        </w:rPr>
      </w:pPr>
    </w:p>
    <w:p>
      <w:pPr>
        <w:ind w:left="100" w:right="179"/>
        <w:spacing w:after="0" w:line="266" w:lineRule="auto"/>
        <w:rPr>
          <w:sz w:val="20"/>
          <w:szCs w:val="20"/>
          <w:color w:val="auto"/>
        </w:rPr>
      </w:pPr>
      <w:r>
        <w:rPr>
          <w:rFonts w:ascii="Times New Roman" w:cs="Times New Roman" w:eastAsia="Times New Roman" w:hAnsi="Times New Roman"/>
          <w:sz w:val="14"/>
          <w:szCs w:val="14"/>
          <w:color w:val="auto"/>
        </w:rPr>
        <w:t>The information furnished under this Item 7.01 and in the presentation attached as Exhibit 99.1 to this Current Report on Form 8-K shall not be deemed “filed” for purposes of Section 18 of the Exchange Act or otherwise subject to the liabilities of that section or Sections 11 or 12(a)(2) of the Securities Act. The information contained in this Item 7.01 and in the presentation attached as Exhibit 99.1 to this Current Report on Form 8-K shall not be incorporated by reference into any filing with the SEC made by the Company, whether made before or after the date hereof, regardless of any general incorporation language in such filing.</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 Exhibits.</w:t>
      </w:r>
    </w:p>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Exhibit</w:t>
      </w:r>
    </w:p>
    <w:p>
      <w:pPr>
        <w:ind w:left="200"/>
        <w:spacing w:after="0"/>
        <w:tabs>
          <w:tab w:leader="none" w:pos="760" w:val="left"/>
        </w:tabs>
        <w:rPr>
          <w:sz w:val="20"/>
          <w:szCs w:val="20"/>
          <w:color w:val="auto"/>
        </w:rPr>
      </w:pPr>
      <w:r>
        <w:rPr>
          <w:rFonts w:ascii="Times New Roman" w:cs="Times New Roman" w:eastAsia="Times New Roman" w:hAnsi="Times New Roman"/>
          <w:sz w:val="11"/>
          <w:szCs w:val="11"/>
          <w:color w:val="auto"/>
        </w:rPr>
        <w:t>No.</w:t>
      </w:r>
      <w:r>
        <w:rPr>
          <w:sz w:val="20"/>
          <w:szCs w:val="20"/>
          <w:color w:val="auto"/>
        </w:rPr>
        <w:tab/>
      </w:r>
      <w:r>
        <w:rPr>
          <w:rFonts w:ascii="Times New Roman" w:cs="Times New Roman" w:eastAsia="Times New Roman" w:hAnsi="Times New Roman"/>
          <w:sz w:val="11"/>
          <w:szCs w:val="1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5080</wp:posOffset>
            </wp:positionV>
            <wp:extent cx="55854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5460" cy="6985"/>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76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EE"/>
        </w:rPr>
        <w:t>Company presentation dated January 9, 2024.</w:t>
      </w:r>
    </w:p>
    <w:p>
      <w:pPr>
        <w:spacing w:after="0" w:line="98" w:lineRule="exact"/>
        <w:rPr>
          <w:sz w:val="20"/>
          <w:szCs w:val="20"/>
          <w:color w:val="auto"/>
        </w:rPr>
      </w:pPr>
    </w:p>
    <w:p>
      <w:pPr>
        <w:ind w:left="100"/>
        <w:spacing w:after="0"/>
        <w:tabs>
          <w:tab w:leader="none" w:pos="7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ectPr>
          <w:pgSz w:w="11900" w:h="16838" w:orient="portrait"/>
          <w:cols w:equalWidth="0" w:num="1">
            <w:col w:w="9019"/>
          </w:cols>
          <w:pgMar w:left="1440" w:top="26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SIGNATURES</w:t>
      </w:r>
    </w:p>
    <w:p>
      <w:pPr>
        <w:spacing w:after="0" w:line="186" w:lineRule="exact"/>
        <w:rPr>
          <w:sz w:val="20"/>
          <w:szCs w:val="20"/>
          <w:color w:val="auto"/>
        </w:rPr>
      </w:pPr>
    </w:p>
    <w:p>
      <w:pPr>
        <w:ind w:left="100" w:right="179"/>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REVOLUTION MEDICINES, INC.</w:t>
      </w:r>
    </w:p>
    <w:p>
      <w:pPr>
        <w:spacing w:after="0" w:line="186" w:lineRule="exact"/>
        <w:rPr>
          <w:sz w:val="20"/>
          <w:szCs w:val="20"/>
          <w:color w:val="auto"/>
        </w:rPr>
      </w:pPr>
    </w:p>
    <w:p>
      <w:pPr>
        <w:ind w:left="100"/>
        <w:spacing w:after="0"/>
        <w:tabs>
          <w:tab w:leader="none" w:pos="4580" w:val="left"/>
          <w:tab w:leader="none" w:pos="4920" w:val="left"/>
        </w:tabs>
        <w:rPr>
          <w:sz w:val="20"/>
          <w:szCs w:val="20"/>
          <w:color w:val="auto"/>
        </w:rPr>
      </w:pPr>
      <w:r>
        <w:rPr>
          <w:rFonts w:ascii="Times New Roman" w:cs="Times New Roman" w:eastAsia="Times New Roman" w:hAnsi="Times New Roman"/>
          <w:sz w:val="14"/>
          <w:szCs w:val="14"/>
          <w:color w:val="auto"/>
        </w:rPr>
        <w:t>Date: January 9, 2024</w:t>
      </w:r>
      <w:r>
        <w:rPr>
          <w:sz w:val="20"/>
          <w:szCs w:val="20"/>
          <w:color w:val="auto"/>
        </w:rPr>
        <w:tab/>
      </w:r>
      <w:r>
        <w:rPr>
          <w:rFonts w:ascii="Times New Roman" w:cs="Times New Roman" w:eastAsia="Times New Roman" w:hAnsi="Times New Roman"/>
          <w:sz w:val="14"/>
          <w:szCs w:val="14"/>
          <w:color w:val="auto"/>
        </w:rPr>
        <w:t>By:</w:t>
        <w:tab/>
        <w:t>/s/ Jack 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16510</wp:posOffset>
            </wp:positionV>
            <wp:extent cx="251206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12060" cy="6985"/>
                    </a:xfrm>
                    <a:prstGeom prst="rect">
                      <a:avLst/>
                    </a:prstGeom>
                    <a:noFill/>
                  </pic:spPr>
                </pic:pic>
              </a:graphicData>
            </a:graphic>
          </wp:anchor>
        </w:drawing>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Jack Anders</w:t>
      </w:r>
    </w:p>
    <w:p>
      <w:pPr>
        <w:spacing w:after="0" w:line="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9019"/>
          </w:cols>
          <w:pgMar w:left="1440" w:top="263"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4079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9790" cy="4079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210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421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209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4209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203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420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203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420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23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2490" cy="4230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4189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2490" cy="41890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2024-01-09T13:26:52Z</dcterms:created>
  <dcterms:modified xsi:type="dcterms:W3CDTF">2024-01-09T13:26:52Z</dcterms:modified>
</cp:coreProperties>
</file>