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Mancini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REVOLUTION MEDICINES,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SAGINAW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Revolution Medicines, Inc.</w:t>
              </w:r>
            </w:hyperlink>
            <w:r>
              <w:rPr/>
              <w:t xml:space="preserve"> [ </w:t>
            </w:r>
            <w:r>
              <w:rPr>
                <w:rFonts w:ascii="Times;serif" w:hAnsi="Times;serif"/>
                <w:color w:val="0000FF"/>
                <w:sz w:val="24"/>
                <w:shd w:fill="FFFFFF" w:val="clear"/>
              </w:rPr>
              <w:t>RVMD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203.2844</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53,319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204.1357</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47,789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205.0513</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45,369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206.0995</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44,190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207.1733</w:t>
            </w:r>
            <w:r>
              <w:rPr>
                <w:rFonts w:ascii="Times;serif" w:hAnsi="Times;serif"/>
                <w:color w:val="008000"/>
                <w:position w:val="7"/>
                <w:sz w:val="16"/>
                <w:sz w:val="20"/>
                <w:shd w:fill="FFFFFF" w:val="clear"/>
              </w:rPr>
              <w:t>(6)</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43,890</w:t>
            </w:r>
            <w:r>
              <w:rPr>
                <w:rFonts w:ascii="Times;serif" w:hAnsi="Times;serif"/>
                <w:color w:val="008000"/>
                <w:position w:val="7"/>
                <w:sz w:val="16"/>
                <w:sz w:val="20"/>
                <w:shd w:fill="FFFFFF" w:val="clear"/>
              </w:rPr>
              <w:t>(7)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9,363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96,746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adopted by Anthony Mancini on June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was executed in multiple trades at prices ranging from $202.64 to $203.63,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transaction was executed in multiple trades at prices ranging from $203.64 to $204.63,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transaction was executed in multiple trades at prices ranging from $204.64 to $205.55,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transaction was executed in multiple trades at prices ranging from $205.85 to $206.70,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transaction was executed in multiple trades at prices ranging from $207.12 to $207.28,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43,700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Twenty-five percent of the total shares subject to the option will vest on the first year anniversary measured from April 1, 2025 (the "Vesting Commencement Date") and one forty-eighth (1/48th) of the shares subject to the option will vest on each monthly anniversary of the Vesting Commencement Date thereafter, so that 100% of the shares subject to the option will be fully vested and exercisable as of the fourth anniversary of the Vesting Commencement Date, subject to the Reporting Person's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Global Commercialization Officer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Jack Anders, as Attorney-in-fact for Anthony Mancini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4509" TargetMode="External"/><Relationship Id="rId5" Type="http://schemas.openxmlformats.org/officeDocument/2006/relationships/hyperlink" Target="http://www.sec.gov/cgi-bin/browse-edgar?action=getcompany&amp;CIK=00016281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1115</Words>
  <Characters>6035</Characters>
  <CharactersWithSpaces>7021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