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b/>
          <w:sz w:val="20"/>
        </w:rPr>
      </w:pPr>
      <w:bookmarkStart w:id="0" w:name="d93698d424b5.htm"/>
      <w:bookmarkStart w:id="1" w:name="ksd93698d424b5"/>
      <w:bookmarkEnd w:id="0"/>
      <w:bookmarkEnd w:id="1"/>
      <w:r>
        <w:rPr>
          <w:rFonts w:ascii="Times New Roman" w:hAnsi="Times New Roman"/>
          <w:b/>
          <w:sz w:val="20"/>
        </w:rPr>
        <w:t>Filed Pursuant to Rule 424(b)(5)</w:t>
        <w:br/>
        <w:t xml:space="preserve">Registration No. 333-277640 </w:t>
      </w:r>
    </w:p>
    <w:p>
      <w:pPr>
        <w:pStyle w:val="TextBody"/>
        <w:bidi w:val="0"/>
        <w:spacing w:before="0" w:after="0"/>
        <w:jc w:val="left"/>
        <w:rPr/>
      </w:pPr>
      <w:r>
        <w:rPr/>
        <w:t> </w:t>
      </w:r>
    </w:p>
    <w:p>
      <w:pPr>
        <w:pStyle w:val="TextBody"/>
        <w:bidi w:val="0"/>
        <w:spacing w:before="160" w:after="0"/>
        <w:jc w:val="left"/>
        <w:rPr>
          <w:rFonts w:ascii="arial" w:hAnsi="arial"/>
          <w:b/>
          <w:sz w:val="22"/>
        </w:rPr>
      </w:pPr>
      <w:r>
        <w:rPr>
          <w:rFonts w:ascii="arial" w:hAnsi="arial"/>
          <w:b/>
          <w:sz w:val="22"/>
        </w:rPr>
        <w:t xml:space="preserve">Prospectus supplement </w:t>
      </w:r>
    </w:p>
    <w:p>
      <w:pPr>
        <w:pStyle w:val="TextBody"/>
        <w:bidi w:val="0"/>
        <w:spacing w:before="0" w:after="0"/>
        <w:jc w:val="left"/>
        <w:rPr>
          <w:rFonts w:ascii="arial" w:hAnsi="arial"/>
          <w:b/>
          <w:sz w:val="22"/>
        </w:rPr>
      </w:pPr>
      <w:r>
        <w:rPr>
          <w:rFonts w:ascii="arial" w:hAnsi="arial"/>
          <w:b/>
          <w:sz w:val="22"/>
        </w:rPr>
        <w:t xml:space="preserve">(To the Prospectus dated March 4, 2024) </w:t>
      </w:r>
    </w:p>
    <w:p>
      <w:pPr>
        <w:pStyle w:val="TextBody"/>
        <w:bidi w:val="0"/>
        <w:spacing w:before="160" w:after="0"/>
        <w:jc w:val="left"/>
        <w:rPr>
          <w:rFonts w:ascii="SimHei" w:hAnsi="SimHei"/>
          <w:b/>
          <w:i/>
          <w:sz w:val="32"/>
        </w:rPr>
      </w:pPr>
      <w:r>
        <w:rPr>
          <w:rFonts w:ascii="SimHei" w:hAnsi="SimHei"/>
          <w:b/>
          <w:i/>
          <w:sz w:val="32"/>
        </w:rPr>
        <w:t xml:space="preserve">10,563,381 Shares of Common Stock </w:t>
      </w:r>
    </w:p>
    <w:p>
      <w:pPr>
        <w:pStyle w:val="TextBody"/>
        <w:bidi w:val="0"/>
        <w:spacing w:before="0" w:after="0"/>
        <w:jc w:val="left"/>
        <w:rPr/>
      </w:pPr>
      <w:r>
        <w:rPr/>
        <w:t> </w:t>
      </w:r>
    </w:p>
    <w:p>
      <w:pPr>
        <w:pStyle w:val="TextBody"/>
        <w:bidi w:val="0"/>
        <w:spacing w:before="0" w:after="0"/>
        <w:jc w:val="left"/>
        <w:rPr/>
      </w:pPr>
      <w:r>
        <w:rPr/>
        <w:drawing>
          <wp:inline distT="0" distB="0" distL="0" distR="0">
            <wp:extent cx="2138045" cy="64706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38045" cy="647065"/>
                    </a:xfrm>
                    <a:prstGeom prst="rect">
                      <a:avLst/>
                    </a:prstGeom>
                  </pic:spPr>
                </pic:pic>
              </a:graphicData>
            </a:graphic>
          </wp:inline>
        </w:drawing>
      </w:r>
      <w:r>
        <w:rPr/>
        <w:t xml:space="preserve"> </w:t>
      </w:r>
    </w:p>
    <w:p>
      <w:pPr>
        <w:pStyle w:val="TextBody"/>
        <w:bidi w:val="0"/>
        <w:spacing w:before="160" w:after="0"/>
        <w:jc w:val="left"/>
        <w:rPr>
          <w:rFonts w:ascii="SimHei" w:hAnsi="SimHei"/>
          <w:b/>
          <w:i/>
          <w:sz w:val="32"/>
        </w:rPr>
      </w:pPr>
      <w:r>
        <w:rPr>
          <w:rFonts w:ascii="SimHei" w:hAnsi="SimHei"/>
          <w:b/>
          <w:i/>
          <w:sz w:val="32"/>
        </w:rPr>
        <w:t xml:space="preserve">Common stock </w:t>
      </w:r>
    </w:p>
    <w:p>
      <w:pPr>
        <w:pStyle w:val="TextBody"/>
        <w:bidi w:val="0"/>
        <w:spacing w:before="160" w:after="0"/>
        <w:jc w:val="left"/>
        <w:rPr>
          <w:rFonts w:ascii="arial" w:hAnsi="arial"/>
          <w:sz w:val="20"/>
        </w:rPr>
      </w:pPr>
      <w:r>
        <w:rPr>
          <w:rFonts w:ascii="arial" w:hAnsi="arial"/>
          <w:sz w:val="20"/>
        </w:rPr>
        <w:t xml:space="preserve">Revolution Medicines, Inc. is offering shares 10,563,381 of its common stock. </w:t>
      </w:r>
    </w:p>
    <w:p>
      <w:pPr>
        <w:pStyle w:val="TextBody"/>
        <w:bidi w:val="0"/>
        <w:spacing w:before="160" w:after="0"/>
        <w:jc w:val="left"/>
        <w:rPr>
          <w:rFonts w:ascii="arial" w:hAnsi="arial"/>
          <w:sz w:val="20"/>
        </w:rPr>
      </w:pPr>
      <w:r>
        <w:rPr>
          <w:rFonts w:ascii="arial" w:hAnsi="arial"/>
          <w:sz w:val="20"/>
        </w:rPr>
        <w:t xml:space="preserve">Our common stock is listed on the Nasdaq Global Select Market under the symbol “RVMD.” The last reported sale price of our common stock on the Nasdaq Global Select Market on April 14, 2026 was $147.01 per share. </w:t>
      </w:r>
    </w:p>
    <w:p>
      <w:pPr>
        <w:pStyle w:val="TextBody"/>
        <w:bidi w:val="0"/>
        <w:spacing w:before="160" w:after="0"/>
        <w:jc w:val="left"/>
        <w:rPr>
          <w:rFonts w:ascii="arial" w:hAnsi="arial"/>
          <w:b/>
          <w:sz w:val="24"/>
        </w:rPr>
      </w:pPr>
      <w:r>
        <w:rPr>
          <w:rFonts w:ascii="arial" w:hAnsi="arial"/>
          <w:b/>
          <w:sz w:val="24"/>
        </w:rPr>
        <w:t xml:space="preserve">Concurrent convertible note offering </w:t>
      </w:r>
    </w:p>
    <w:p>
      <w:pPr>
        <w:pStyle w:val="TextBody"/>
        <w:bidi w:val="0"/>
        <w:spacing w:before="160" w:after="0"/>
        <w:jc w:val="left"/>
        <w:rPr>
          <w:rFonts w:ascii="arial" w:hAnsi="arial"/>
          <w:sz w:val="20"/>
        </w:rPr>
      </w:pPr>
      <w:r>
        <w:rPr>
          <w:rFonts w:ascii="arial" w:hAnsi="arial"/>
          <w:sz w:val="20"/>
        </w:rPr>
        <w:t xml:space="preserve">Concurrently with this offering, we are offering, pursuant to a separate prospectus supplement, 0.50% convertible senior notes due 2033, which we refer to as the convertible notes, in an aggregate principal amount of $500,000,000. The completion of this offering is not contingent on the completion of the concurrent convertible note offering, and the completion of the concurrent convertible note offering is not contingent on the completion of this offering.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15"/>
        <w:gridCol w:w="222"/>
        <w:gridCol w:w="150"/>
        <w:gridCol w:w="970"/>
        <w:gridCol w:w="60"/>
        <w:gridCol w:w="222"/>
        <w:gridCol w:w="146"/>
        <w:gridCol w:w="1556"/>
        <w:gridCol w:w="64"/>
      </w:tblGrid>
      <w:tr>
        <w:trPr/>
        <w:tc>
          <w:tcPr>
            <w:tcW w:w="6815" w:type="dxa"/>
            <w:tcBorders/>
            <w:vAlign w:val="center"/>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6815" w:type="dxa"/>
            <w:tcBorders>
              <w:top w:val="single" w:sz="16" w:space="0" w:color="000000"/>
            </w:tcBorders>
            <w:tcMar>
              <w:top w:w="28" w:type="dxa"/>
            </w:tcMar>
            <w:vAlign w:val="center"/>
          </w:tcPr>
          <w:p>
            <w:pPr>
              <w:pStyle w:val="TableContents"/>
              <w:bidi w:val="0"/>
              <w:spacing w:before="0" w:after="283"/>
              <w:jc w:val="left"/>
              <w:rPr/>
            </w:pPr>
            <w:r>
              <w:rPr/>
              <w:t> </w:t>
            </w:r>
          </w:p>
        </w:tc>
        <w:tc>
          <w:tcPr>
            <w:tcW w:w="1402"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988"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6815" w:type="dxa"/>
            <w:tcBorders>
              <w:bottom w:val="single" w:sz="2" w:space="0" w:color="000000"/>
            </w:tcBorders>
            <w:tcMar>
              <w:bottom w:w="28" w:type="dxa"/>
            </w:tcMar>
            <w:vAlign w:val="bottom"/>
          </w:tcPr>
          <w:p>
            <w:pPr>
              <w:pStyle w:val="TableContents"/>
              <w:bidi w:val="0"/>
              <w:spacing w:before="0" w:after="283"/>
              <w:jc w:val="left"/>
              <w:rPr/>
            </w:pPr>
            <w:r>
              <w:rPr/>
              <w:t>  </w:t>
            </w:r>
          </w:p>
        </w:tc>
        <w:tc>
          <w:tcPr>
            <w:tcW w:w="222" w:type="dxa"/>
            <w:tcBorders>
              <w:bottom w:val="single" w:sz="2" w:space="0" w:color="000000"/>
            </w:tcBorders>
            <w:tcMar>
              <w:bottom w:w="28" w:type="dxa"/>
            </w:tcMar>
            <w:vAlign w:val="bottom"/>
          </w:tcPr>
          <w:p>
            <w:pPr>
              <w:pStyle w:val="TableContents"/>
              <w:bidi w:val="0"/>
              <w:spacing w:before="0" w:after="283"/>
              <w:jc w:val="left"/>
              <w:rPr/>
            </w:pPr>
            <w:r>
              <w:rPr/>
              <w:t>  </w:t>
            </w:r>
          </w:p>
        </w:tc>
        <w:tc>
          <w:tcPr>
            <w:tcW w:w="1120" w:type="dxa"/>
            <w:gridSpan w:val="2"/>
            <w:tcBorders>
              <w:bottom w:val="single" w:sz="2" w:space="0" w:color="000000"/>
            </w:tcBorders>
            <w:tcMar>
              <w:bottom w:w="28" w:type="dxa"/>
            </w:tcMar>
            <w:vAlign w:val="bottom"/>
          </w:tcPr>
          <w:p>
            <w:pPr>
              <w:pStyle w:val="TableContents"/>
              <w:bidi w:val="0"/>
              <w:spacing w:before="0" w:after="283"/>
              <w:jc w:val="left"/>
              <w:rPr>
                <w:b/>
              </w:rPr>
            </w:pPr>
            <w:r>
              <w:rPr>
                <w:b/>
              </w:rPr>
              <w:t>Per share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22" w:type="dxa"/>
            <w:tcBorders>
              <w:bottom w:val="single" w:sz="2" w:space="0" w:color="000000"/>
            </w:tcBorders>
            <w:tcMar>
              <w:bottom w:w="28" w:type="dxa"/>
            </w:tcMar>
            <w:vAlign w:val="bottom"/>
          </w:tcPr>
          <w:p>
            <w:pPr>
              <w:pStyle w:val="TableContents"/>
              <w:bidi w:val="0"/>
              <w:spacing w:before="0" w:after="283"/>
              <w:jc w:val="left"/>
              <w:rPr/>
            </w:pPr>
            <w:r>
              <w:rPr/>
              <w:t>  </w:t>
            </w:r>
          </w:p>
        </w:tc>
        <w:tc>
          <w:tcPr>
            <w:tcW w:w="1702" w:type="dxa"/>
            <w:gridSpan w:val="2"/>
            <w:tcBorders>
              <w:bottom w:val="single" w:sz="2" w:space="0" w:color="000000"/>
            </w:tcBorders>
            <w:tcMar>
              <w:bottom w:w="28" w:type="dxa"/>
            </w:tcMar>
            <w:vAlign w:val="bottom"/>
          </w:tcPr>
          <w:p>
            <w:pPr>
              <w:pStyle w:val="TableContents"/>
              <w:bidi w:val="0"/>
              <w:spacing w:before="0" w:after="283"/>
              <w:jc w:val="left"/>
              <w:rPr>
                <w:b/>
              </w:rPr>
            </w:pPr>
            <w:r>
              <w:rPr>
                <w:b/>
              </w:rPr>
              <w:t>Total</w:t>
            </w:r>
          </w:p>
        </w:tc>
        <w:tc>
          <w:tcPr>
            <w:tcW w:w="64" w:type="dxa"/>
            <w:tcBorders>
              <w:bottom w:val="single" w:sz="2" w:space="0" w:color="000000"/>
            </w:tcBorders>
            <w:tcMar>
              <w:bottom w:w="28" w:type="dxa"/>
            </w:tcMar>
            <w:vAlign w:val="bottom"/>
          </w:tcPr>
          <w:p>
            <w:pPr>
              <w:pStyle w:val="TableContents"/>
              <w:bidi w:val="0"/>
              <w:spacing w:before="0" w:after="283"/>
              <w:jc w:val="left"/>
              <w:rPr/>
            </w:pPr>
            <w:r>
              <w:rPr/>
              <w:t> </w:t>
            </w:r>
          </w:p>
        </w:tc>
      </w:tr>
      <w:tr>
        <w:trPr>
          <w:trHeight w:val="150" w:hRule="atLeast"/>
        </w:trPr>
        <w:tc>
          <w:tcPr>
            <w:tcW w:w="6815" w:type="dxa"/>
            <w:tcBorders/>
            <w:vAlign w:val="center"/>
          </w:tcPr>
          <w:p>
            <w:pPr>
              <w:pStyle w:val="TableContents"/>
              <w:bidi w:val="0"/>
              <w:spacing w:before="0" w:after="283"/>
              <w:jc w:val="left"/>
              <w:rPr>
                <w:sz w:val="4"/>
                <w:szCs w:val="4"/>
              </w:rPr>
            </w:pPr>
            <w:r>
              <w:rPr>
                <w:sz w:val="4"/>
                <w:szCs w:val="4"/>
              </w:rPr>
            </w:r>
          </w:p>
        </w:tc>
        <w:tc>
          <w:tcPr>
            <w:tcW w:w="1402" w:type="dxa"/>
            <w:gridSpan w:val="4"/>
            <w:tcBorders/>
            <w:vAlign w:val="center"/>
          </w:tcPr>
          <w:p>
            <w:pPr>
              <w:pStyle w:val="TableContents"/>
              <w:bidi w:val="0"/>
              <w:spacing w:before="0" w:after="283"/>
              <w:jc w:val="left"/>
              <w:rPr>
                <w:sz w:val="4"/>
                <w:szCs w:val="4"/>
              </w:rPr>
            </w:pPr>
            <w:r>
              <w:rPr>
                <w:sz w:val="4"/>
                <w:szCs w:val="4"/>
              </w:rPr>
            </w:r>
          </w:p>
        </w:tc>
        <w:tc>
          <w:tcPr>
            <w:tcW w:w="1988" w:type="dxa"/>
            <w:gridSpan w:val="4"/>
            <w:tcBorders/>
            <w:vAlign w:val="center"/>
          </w:tcPr>
          <w:p>
            <w:pPr>
              <w:pStyle w:val="TableContents"/>
              <w:bidi w:val="0"/>
              <w:spacing w:before="0" w:after="283"/>
              <w:jc w:val="left"/>
              <w:rPr>
                <w:sz w:val="4"/>
                <w:szCs w:val="4"/>
              </w:rPr>
            </w:pPr>
            <w:r>
              <w:rPr>
                <w:sz w:val="4"/>
                <w:szCs w:val="4"/>
              </w:rPr>
            </w:r>
          </w:p>
        </w:tc>
      </w:tr>
      <w:tr>
        <w:trPr/>
        <w:tc>
          <w:tcPr>
            <w:tcW w:w="6815" w:type="dxa"/>
            <w:tcBorders/>
            <w:shd w:fill="CCEEFF" w:val="clear"/>
          </w:tcPr>
          <w:p>
            <w:pPr>
              <w:pStyle w:val="TableContents"/>
              <w:bidi w:val="0"/>
              <w:spacing w:before="0" w:after="0"/>
              <w:jc w:val="left"/>
              <w:rPr>
                <w:rFonts w:ascii="arial" w:hAnsi="arial"/>
                <w:sz w:val="20"/>
              </w:rPr>
            </w:pPr>
            <w:r>
              <w:rPr>
                <w:rFonts w:ascii="arial" w:hAnsi="arial"/>
                <w:sz w:val="20"/>
              </w:rPr>
              <w:t>Public offering price</w:t>
            </w:r>
          </w:p>
        </w:tc>
        <w:tc>
          <w:tcPr>
            <w:tcW w:w="222" w:type="dxa"/>
            <w:tcBorders/>
            <w:shd w:fill="CCEEFF" w:val="clear"/>
            <w:vAlign w:val="bottom"/>
          </w:tcPr>
          <w:p>
            <w:pPr>
              <w:pStyle w:val="TableContents"/>
              <w:bidi w:val="0"/>
              <w:spacing w:before="0" w:after="283"/>
              <w:jc w:val="left"/>
              <w:rPr/>
            </w:pPr>
            <w:r>
              <w:rPr/>
              <w:t>  </w:t>
            </w:r>
          </w:p>
        </w:tc>
        <w:tc>
          <w:tcPr>
            <w:tcW w:w="150" w:type="dxa"/>
            <w:tcBorders/>
            <w:shd w:fill="CCEEFF" w:val="clear"/>
          </w:tcPr>
          <w:p>
            <w:pPr>
              <w:pStyle w:val="TableContents"/>
              <w:bidi w:val="0"/>
              <w:spacing w:before="0" w:after="283"/>
              <w:jc w:val="left"/>
              <w:rPr/>
            </w:pPr>
            <w:r>
              <w:rPr/>
              <w:t>$</w:t>
            </w:r>
          </w:p>
        </w:tc>
        <w:tc>
          <w:tcPr>
            <w:tcW w:w="970" w:type="dxa"/>
            <w:tcBorders/>
            <w:shd w:fill="CCEEFF" w:val="clear"/>
          </w:tcPr>
          <w:p>
            <w:pPr>
              <w:pStyle w:val="TableContents"/>
              <w:bidi w:val="0"/>
              <w:spacing w:before="0" w:after="283"/>
              <w:jc w:val="right"/>
              <w:rPr/>
            </w:pPr>
            <w:r>
              <w:rPr/>
              <w:t>142.000</w:t>
            </w:r>
          </w:p>
        </w:tc>
        <w:tc>
          <w:tcPr>
            <w:tcW w:w="60" w:type="dxa"/>
            <w:tcBorders/>
            <w:shd w:fill="CCEEFF" w:val="clear"/>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w:t>
            </w:r>
          </w:p>
        </w:tc>
        <w:tc>
          <w:tcPr>
            <w:tcW w:w="1556" w:type="dxa"/>
            <w:tcBorders/>
            <w:shd w:fill="CCEEFF" w:val="clear"/>
          </w:tcPr>
          <w:p>
            <w:pPr>
              <w:pStyle w:val="TableContents"/>
              <w:bidi w:val="0"/>
              <w:spacing w:before="0" w:after="283"/>
              <w:jc w:val="right"/>
              <w:rPr/>
            </w:pPr>
            <w:r>
              <w:rPr/>
              <w:t>1,500,000,102</w:t>
            </w:r>
          </w:p>
        </w:tc>
        <w:tc>
          <w:tcPr>
            <w:tcW w:w="64" w:type="dxa"/>
            <w:tcBorders/>
            <w:shd w:fill="CCEEFF" w:val="clear"/>
          </w:tcPr>
          <w:p>
            <w:pPr>
              <w:pStyle w:val="TableContents"/>
              <w:bidi w:val="0"/>
              <w:spacing w:before="0" w:after="283"/>
              <w:jc w:val="left"/>
              <w:rPr/>
            </w:pPr>
            <w:r>
              <w:rPr/>
              <w:t> </w:t>
            </w:r>
          </w:p>
        </w:tc>
      </w:tr>
      <w:tr>
        <w:trPr>
          <w:trHeight w:val="150" w:hRule="atLeast"/>
        </w:trPr>
        <w:tc>
          <w:tcPr>
            <w:tcW w:w="6815" w:type="dxa"/>
            <w:tcBorders/>
            <w:vAlign w:val="center"/>
          </w:tcPr>
          <w:p>
            <w:pPr>
              <w:pStyle w:val="TableContents"/>
              <w:bidi w:val="0"/>
              <w:spacing w:before="0" w:after="283"/>
              <w:jc w:val="left"/>
              <w:rPr>
                <w:sz w:val="4"/>
                <w:szCs w:val="4"/>
              </w:rPr>
            </w:pPr>
            <w:r>
              <w:rPr>
                <w:sz w:val="4"/>
                <w:szCs w:val="4"/>
              </w:rPr>
            </w:r>
          </w:p>
        </w:tc>
        <w:tc>
          <w:tcPr>
            <w:tcW w:w="1402" w:type="dxa"/>
            <w:gridSpan w:val="4"/>
            <w:tcBorders/>
            <w:vAlign w:val="center"/>
          </w:tcPr>
          <w:p>
            <w:pPr>
              <w:pStyle w:val="TableContents"/>
              <w:bidi w:val="0"/>
              <w:spacing w:before="0" w:after="283"/>
              <w:jc w:val="left"/>
              <w:rPr>
                <w:sz w:val="4"/>
                <w:szCs w:val="4"/>
              </w:rPr>
            </w:pPr>
            <w:r>
              <w:rPr>
                <w:sz w:val="4"/>
                <w:szCs w:val="4"/>
              </w:rPr>
            </w:r>
          </w:p>
        </w:tc>
        <w:tc>
          <w:tcPr>
            <w:tcW w:w="1988" w:type="dxa"/>
            <w:gridSpan w:val="4"/>
            <w:tcBorders/>
            <w:vAlign w:val="center"/>
          </w:tcPr>
          <w:p>
            <w:pPr>
              <w:pStyle w:val="TableContents"/>
              <w:bidi w:val="0"/>
              <w:spacing w:before="0" w:after="283"/>
              <w:jc w:val="left"/>
              <w:rPr>
                <w:sz w:val="4"/>
                <w:szCs w:val="4"/>
              </w:rPr>
            </w:pPr>
            <w:r>
              <w:rPr>
                <w:sz w:val="4"/>
                <w:szCs w:val="4"/>
              </w:rPr>
            </w:r>
          </w:p>
        </w:tc>
      </w:tr>
      <w:tr>
        <w:trPr/>
        <w:tc>
          <w:tcPr>
            <w:tcW w:w="6815" w:type="dxa"/>
            <w:tcBorders/>
          </w:tcPr>
          <w:p>
            <w:pPr>
              <w:pStyle w:val="TableContents"/>
              <w:bidi w:val="0"/>
              <w:spacing w:before="0" w:after="0"/>
              <w:jc w:val="left"/>
              <w:rPr>
                <w:rFonts w:ascii="arial" w:hAnsi="arial"/>
                <w:sz w:val="20"/>
              </w:rPr>
            </w:pPr>
            <w:r>
              <w:rPr>
                <w:rFonts w:ascii="arial" w:hAnsi="arial"/>
                <w:sz w:val="20"/>
              </w:rPr>
              <w:t>Underwriting discounts and commissions(1)</w:t>
            </w:r>
          </w:p>
        </w:tc>
        <w:tc>
          <w:tcPr>
            <w:tcW w:w="222" w:type="dxa"/>
            <w:tcBorders/>
            <w:vAlign w:val="bottom"/>
          </w:tcPr>
          <w:p>
            <w:pPr>
              <w:pStyle w:val="TableContents"/>
              <w:bidi w:val="0"/>
              <w:spacing w:before="0" w:after="283"/>
              <w:jc w:val="left"/>
              <w:rPr/>
            </w:pPr>
            <w:r>
              <w:rPr/>
              <w:t>  </w:t>
            </w:r>
          </w:p>
        </w:tc>
        <w:tc>
          <w:tcPr>
            <w:tcW w:w="150" w:type="dxa"/>
            <w:tcBorders/>
          </w:tcPr>
          <w:p>
            <w:pPr>
              <w:pStyle w:val="TableContents"/>
              <w:bidi w:val="0"/>
              <w:spacing w:before="0" w:after="283"/>
              <w:jc w:val="left"/>
              <w:rPr/>
            </w:pPr>
            <w:r>
              <w:rPr/>
              <w:t>$</w:t>
            </w:r>
          </w:p>
        </w:tc>
        <w:tc>
          <w:tcPr>
            <w:tcW w:w="970" w:type="dxa"/>
            <w:tcBorders/>
          </w:tcPr>
          <w:p>
            <w:pPr>
              <w:pStyle w:val="TableContents"/>
              <w:bidi w:val="0"/>
              <w:spacing w:before="0" w:after="283"/>
              <w:jc w:val="right"/>
              <w:rPr/>
            </w:pPr>
            <w:r>
              <w:rPr/>
              <w:t>6.035</w:t>
            </w:r>
          </w:p>
        </w:tc>
        <w:tc>
          <w:tcPr>
            <w:tcW w:w="60" w:type="dxa"/>
            <w:tcBorders/>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w:t>
            </w:r>
          </w:p>
        </w:tc>
        <w:tc>
          <w:tcPr>
            <w:tcW w:w="1556" w:type="dxa"/>
            <w:tcBorders/>
          </w:tcPr>
          <w:p>
            <w:pPr>
              <w:pStyle w:val="TableContents"/>
              <w:bidi w:val="0"/>
              <w:spacing w:before="0" w:after="283"/>
              <w:jc w:val="right"/>
              <w:rPr/>
            </w:pPr>
            <w:r>
              <w:rPr/>
              <w:t>63,750,004</w:t>
            </w:r>
          </w:p>
        </w:tc>
        <w:tc>
          <w:tcPr>
            <w:tcW w:w="64" w:type="dxa"/>
            <w:tcBorders/>
          </w:tcPr>
          <w:p>
            <w:pPr>
              <w:pStyle w:val="TableContents"/>
              <w:bidi w:val="0"/>
              <w:spacing w:before="0" w:after="283"/>
              <w:jc w:val="left"/>
              <w:rPr/>
            </w:pPr>
            <w:r>
              <w:rPr/>
              <w:t> </w:t>
            </w:r>
          </w:p>
        </w:tc>
      </w:tr>
      <w:tr>
        <w:trPr>
          <w:trHeight w:val="150" w:hRule="atLeast"/>
        </w:trPr>
        <w:tc>
          <w:tcPr>
            <w:tcW w:w="6815" w:type="dxa"/>
            <w:tcBorders/>
            <w:vAlign w:val="center"/>
          </w:tcPr>
          <w:p>
            <w:pPr>
              <w:pStyle w:val="TableContents"/>
              <w:bidi w:val="0"/>
              <w:spacing w:before="0" w:after="283"/>
              <w:jc w:val="left"/>
              <w:rPr>
                <w:sz w:val="4"/>
                <w:szCs w:val="4"/>
              </w:rPr>
            </w:pPr>
            <w:r>
              <w:rPr>
                <w:sz w:val="4"/>
                <w:szCs w:val="4"/>
              </w:rPr>
            </w:r>
          </w:p>
        </w:tc>
        <w:tc>
          <w:tcPr>
            <w:tcW w:w="1402" w:type="dxa"/>
            <w:gridSpan w:val="4"/>
            <w:tcBorders/>
            <w:vAlign w:val="center"/>
          </w:tcPr>
          <w:p>
            <w:pPr>
              <w:pStyle w:val="TableContents"/>
              <w:bidi w:val="0"/>
              <w:spacing w:before="0" w:after="283"/>
              <w:jc w:val="left"/>
              <w:rPr>
                <w:sz w:val="4"/>
                <w:szCs w:val="4"/>
              </w:rPr>
            </w:pPr>
            <w:r>
              <w:rPr>
                <w:sz w:val="4"/>
                <w:szCs w:val="4"/>
              </w:rPr>
            </w:r>
          </w:p>
        </w:tc>
        <w:tc>
          <w:tcPr>
            <w:tcW w:w="1988" w:type="dxa"/>
            <w:gridSpan w:val="4"/>
            <w:tcBorders/>
            <w:vAlign w:val="center"/>
          </w:tcPr>
          <w:p>
            <w:pPr>
              <w:pStyle w:val="TableContents"/>
              <w:bidi w:val="0"/>
              <w:spacing w:before="0" w:after="283"/>
              <w:jc w:val="left"/>
              <w:rPr>
                <w:sz w:val="4"/>
                <w:szCs w:val="4"/>
              </w:rPr>
            </w:pPr>
            <w:r>
              <w:rPr>
                <w:sz w:val="4"/>
                <w:szCs w:val="4"/>
              </w:rPr>
            </w:r>
          </w:p>
        </w:tc>
      </w:tr>
      <w:tr>
        <w:trPr/>
        <w:tc>
          <w:tcPr>
            <w:tcW w:w="6815" w:type="dxa"/>
            <w:tcBorders>
              <w:bottom w:val="single" w:sz="2" w:space="0" w:color="000000"/>
            </w:tcBorders>
            <w:shd w:fill="CCEEFF" w:val="clear"/>
            <w:tcMar>
              <w:bottom w:w="28" w:type="dxa"/>
            </w:tcMar>
          </w:tcPr>
          <w:p>
            <w:pPr>
              <w:pStyle w:val="TableContents"/>
              <w:bidi w:val="0"/>
              <w:spacing w:before="0" w:after="0"/>
              <w:jc w:val="left"/>
              <w:rPr>
                <w:rFonts w:ascii="arial" w:hAnsi="arial"/>
                <w:sz w:val="20"/>
              </w:rPr>
            </w:pPr>
            <w:r>
              <w:rPr>
                <w:rFonts w:ascii="arial" w:hAnsi="arial"/>
                <w:sz w:val="20"/>
              </w:rPr>
              <w:t>Proceeds, before expenses, to us</w:t>
            </w:r>
          </w:p>
        </w:tc>
        <w:tc>
          <w:tcPr>
            <w:tcW w:w="222"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50" w:type="dxa"/>
            <w:tcBorders>
              <w:bottom w:val="single" w:sz="2" w:space="0" w:color="000000"/>
            </w:tcBorders>
            <w:shd w:fill="CCEEFF" w:val="clear"/>
            <w:tcMar>
              <w:bottom w:w="28" w:type="dxa"/>
            </w:tcMar>
          </w:tcPr>
          <w:p>
            <w:pPr>
              <w:pStyle w:val="TableContents"/>
              <w:bidi w:val="0"/>
              <w:spacing w:before="0" w:after="283"/>
              <w:jc w:val="left"/>
              <w:rPr/>
            </w:pPr>
            <w:r>
              <w:rPr/>
              <w:t>$</w:t>
            </w:r>
          </w:p>
        </w:tc>
        <w:tc>
          <w:tcPr>
            <w:tcW w:w="970" w:type="dxa"/>
            <w:tcBorders>
              <w:bottom w:val="single" w:sz="2" w:space="0" w:color="000000"/>
            </w:tcBorders>
            <w:shd w:fill="CCEEFF" w:val="clear"/>
            <w:tcMar>
              <w:bottom w:w="28" w:type="dxa"/>
            </w:tcMar>
          </w:tcPr>
          <w:p>
            <w:pPr>
              <w:pStyle w:val="TableContents"/>
              <w:bidi w:val="0"/>
              <w:spacing w:before="0" w:after="283"/>
              <w:jc w:val="right"/>
              <w:rPr/>
            </w:pPr>
            <w:r>
              <w:rPr/>
              <w:t>135.965</w:t>
            </w:r>
          </w:p>
        </w:tc>
        <w:tc>
          <w:tcPr>
            <w:tcW w:w="60" w:type="dxa"/>
            <w:tcBorders>
              <w:bottom w:val="single" w:sz="2" w:space="0" w:color="000000"/>
            </w:tcBorders>
            <w:shd w:fill="CCEEFF" w:val="clear"/>
            <w:tcMar>
              <w:bottom w:w="28" w:type="dxa"/>
            </w:tcMar>
          </w:tcPr>
          <w:p>
            <w:pPr>
              <w:pStyle w:val="TableContents"/>
              <w:bidi w:val="0"/>
              <w:spacing w:before="0" w:after="283"/>
              <w:jc w:val="left"/>
              <w:rPr/>
            </w:pPr>
            <w:r>
              <w:rPr/>
              <w:t> </w:t>
            </w:r>
          </w:p>
        </w:tc>
        <w:tc>
          <w:tcPr>
            <w:tcW w:w="222"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46" w:type="dxa"/>
            <w:tcBorders>
              <w:bottom w:val="single" w:sz="2" w:space="0" w:color="000000"/>
            </w:tcBorders>
            <w:shd w:fill="CCEEFF" w:val="clear"/>
            <w:tcMar>
              <w:bottom w:w="28" w:type="dxa"/>
            </w:tcMar>
          </w:tcPr>
          <w:p>
            <w:pPr>
              <w:pStyle w:val="TableContents"/>
              <w:bidi w:val="0"/>
              <w:spacing w:before="0" w:after="283"/>
              <w:jc w:val="left"/>
              <w:rPr/>
            </w:pPr>
            <w:r>
              <w:rPr/>
              <w:t>$</w:t>
            </w:r>
          </w:p>
        </w:tc>
        <w:tc>
          <w:tcPr>
            <w:tcW w:w="1556" w:type="dxa"/>
            <w:tcBorders>
              <w:bottom w:val="single" w:sz="2" w:space="0" w:color="000000"/>
            </w:tcBorders>
            <w:shd w:fill="CCEEFF" w:val="clear"/>
            <w:tcMar>
              <w:bottom w:w="28" w:type="dxa"/>
            </w:tcMar>
          </w:tcPr>
          <w:p>
            <w:pPr>
              <w:pStyle w:val="TableContents"/>
              <w:bidi w:val="0"/>
              <w:spacing w:before="0" w:after="283"/>
              <w:jc w:val="right"/>
              <w:rPr/>
            </w:pPr>
            <w:r>
              <w:rPr/>
              <w:t>1,436,250,097</w:t>
            </w:r>
          </w:p>
        </w:tc>
        <w:tc>
          <w:tcPr>
            <w:tcW w:w="64" w:type="dxa"/>
            <w:tcBorders>
              <w:bottom w:val="single" w:sz="2" w:space="0" w:color="000000"/>
            </w:tcBorders>
            <w:shd w:fill="CCEEFF" w:val="clear"/>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0"/>
        <w:gridCol w:w="105"/>
        <w:gridCol w:w="9880"/>
      </w:tblGrid>
      <w:tr>
        <w:trPr/>
        <w:tc>
          <w:tcPr>
            <w:tcW w:w="220" w:type="dxa"/>
            <w:tcBorders/>
          </w:tcPr>
          <w:p>
            <w:pPr>
              <w:pStyle w:val="TableContents"/>
              <w:bidi w:val="0"/>
              <w:spacing w:before="0" w:after="283"/>
              <w:jc w:val="left"/>
              <w:rPr/>
            </w:pPr>
            <w:r>
              <w:rPr/>
              <w:t>(1)</w:t>
            </w:r>
          </w:p>
        </w:tc>
        <w:tc>
          <w:tcPr>
            <w:tcW w:w="105" w:type="dxa"/>
            <w:tcBorders/>
          </w:tcPr>
          <w:p>
            <w:pPr>
              <w:pStyle w:val="TableContents"/>
              <w:bidi w:val="0"/>
              <w:spacing w:before="0" w:after="283"/>
              <w:jc w:val="left"/>
              <w:rPr/>
            </w:pPr>
            <w:r>
              <w:rPr/>
              <w:t> </w:t>
            </w:r>
          </w:p>
        </w:tc>
        <w:tc>
          <w:tcPr>
            <w:tcW w:w="9880" w:type="dxa"/>
            <w:tcBorders/>
          </w:tcPr>
          <w:p>
            <w:pPr>
              <w:pStyle w:val="TableContents"/>
              <w:bidi w:val="0"/>
              <w:spacing w:before="0" w:after="283"/>
              <w:jc w:val="left"/>
              <w:rPr/>
            </w:pPr>
            <w:r>
              <w:rPr/>
              <w:t xml:space="preserve">See “Underwriting” for additional information regarding underwriting compensation. </w:t>
            </w:r>
          </w:p>
        </w:tc>
      </w:tr>
    </w:tbl>
    <w:p>
      <w:pPr>
        <w:pStyle w:val="TextBody"/>
        <w:bidi w:val="0"/>
        <w:spacing w:before="160" w:after="0"/>
        <w:jc w:val="left"/>
        <w:rPr>
          <w:rFonts w:ascii="arial" w:hAnsi="arial"/>
          <w:sz w:val="20"/>
        </w:rPr>
      </w:pPr>
      <w:r>
        <w:rPr>
          <w:rFonts w:ascii="arial" w:hAnsi="arial"/>
          <w:sz w:val="20"/>
        </w:rPr>
        <w:t xml:space="preserve">We have granted the underwriters an option for a period of 30 days from the date of this prospectus supplement to purchase up to 1,584,506 additional shares of our common stock from us at the public offering price less the underwriting discounts and commissions. </w:t>
      </w:r>
    </w:p>
    <w:p>
      <w:pPr>
        <w:pStyle w:val="TextBody"/>
        <w:bidi w:val="0"/>
        <w:spacing w:before="160" w:after="0"/>
        <w:jc w:val="left"/>
        <w:rPr/>
      </w:pPr>
      <w:r>
        <w:rPr>
          <w:rFonts w:ascii="arial" w:hAnsi="arial"/>
          <w:b/>
          <w:sz w:val="20"/>
        </w:rPr>
        <w:t>Investing in our securities involves significant risks. See “</w:t>
      </w:r>
      <w:hyperlink w:anchor="supptoc93698_4">
        <w:r>
          <w:rPr>
            <w:rStyle w:val="InternetLink"/>
            <w:rFonts w:ascii="arial" w:hAnsi="arial"/>
            <w:b/>
            <w:sz w:val="20"/>
          </w:rPr>
          <w:t>Risk factors</w:t>
        </w:r>
      </w:hyperlink>
      <w:r>
        <w:rPr>
          <w:rFonts w:ascii="arial" w:hAnsi="arial"/>
          <w:b/>
          <w:sz w:val="20"/>
        </w:rPr>
        <w:t xml:space="preserve">” on page S-5 of this prospectus supplement and in the documents incorporated by reference in this prospectus supplement concerning factors you should consider before investing in our securities. </w:t>
      </w:r>
    </w:p>
    <w:p>
      <w:pPr>
        <w:pStyle w:val="TextBody"/>
        <w:bidi w:val="0"/>
        <w:spacing w:before="160" w:after="0"/>
        <w:jc w:val="left"/>
        <w:rPr>
          <w:rFonts w:ascii="arial" w:hAnsi="arial"/>
          <w:b/>
          <w:sz w:val="20"/>
        </w:rPr>
      </w:pPr>
      <w:r>
        <w:rPr>
          <w:rFonts w:ascii="arial" w:hAnsi="arial"/>
          <w:b/>
          <w:sz w:val="20"/>
        </w:rPr>
        <w:t xml:space="preserve">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 </w:t>
      </w:r>
    </w:p>
    <w:p>
      <w:pPr>
        <w:pStyle w:val="TextBody"/>
        <w:bidi w:val="0"/>
        <w:spacing w:before="160" w:after="0"/>
        <w:jc w:val="left"/>
        <w:rPr>
          <w:rFonts w:ascii="arial" w:hAnsi="arial"/>
          <w:sz w:val="20"/>
        </w:rPr>
      </w:pPr>
      <w:r>
        <w:rPr>
          <w:rFonts w:ascii="arial" w:hAnsi="arial"/>
          <w:sz w:val="20"/>
        </w:rPr>
        <w:t xml:space="preserve">The underwriters expect to deliver the shares of common stock to purchasers on or about April 16, 2026. </w:t>
      </w:r>
    </w:p>
    <w:tbl>
      <w:tblPr>
        <w:tblW w:w="5000" w:type="pct"/>
        <w:jc w:val="center"/>
        <w:tblInd w:w="0" w:type="dxa"/>
        <w:tblLayout w:type="fixed"/>
        <w:tblCellMar>
          <w:top w:w="0" w:type="dxa"/>
          <w:left w:w="0" w:type="dxa"/>
          <w:bottom w:w="0" w:type="dxa"/>
          <w:right w:w="0" w:type="dxa"/>
        </w:tblCellMar>
      </w:tblPr>
      <w:tblGrid>
        <w:gridCol w:w="1530"/>
        <w:gridCol w:w="101"/>
        <w:gridCol w:w="5512"/>
        <w:gridCol w:w="102"/>
        <w:gridCol w:w="2960"/>
      </w:tblGrid>
      <w:tr>
        <w:trPr/>
        <w:tc>
          <w:tcPr>
            <w:tcW w:w="153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551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1530" w:type="dxa"/>
            <w:tcBorders/>
          </w:tcPr>
          <w:p>
            <w:pPr>
              <w:pStyle w:val="TableContents"/>
              <w:bidi w:val="0"/>
              <w:spacing w:before="0" w:after="283"/>
              <w:jc w:val="left"/>
              <w:rPr>
                <w:b/>
              </w:rPr>
            </w:pPr>
            <w:r>
              <w:rPr>
                <w:b/>
              </w:rPr>
              <w:t>J.P. Morgan</w:t>
            </w:r>
          </w:p>
        </w:tc>
        <w:tc>
          <w:tcPr>
            <w:tcW w:w="101" w:type="dxa"/>
            <w:tcBorders/>
            <w:vAlign w:val="bottom"/>
          </w:tcPr>
          <w:p>
            <w:pPr>
              <w:pStyle w:val="TableContents"/>
              <w:bidi w:val="0"/>
              <w:spacing w:before="0" w:after="283"/>
              <w:jc w:val="left"/>
              <w:rPr/>
            </w:pPr>
            <w:r>
              <w:rPr/>
              <w:t> </w:t>
            </w:r>
          </w:p>
        </w:tc>
        <w:tc>
          <w:tcPr>
            <w:tcW w:w="5512" w:type="dxa"/>
            <w:tcBorders/>
          </w:tcPr>
          <w:p>
            <w:pPr>
              <w:pStyle w:val="TableContents"/>
              <w:bidi w:val="0"/>
              <w:spacing w:before="0" w:after="283"/>
              <w:jc w:val="center"/>
              <w:rPr/>
            </w:pPr>
            <w:r>
              <w:rPr/>
              <w:t>       </w:t>
            </w:r>
            <w:r>
              <w:rPr>
                <w:b/>
              </w:rPr>
              <w:t>TD Cowen</w:t>
            </w:r>
          </w:p>
        </w:tc>
        <w:tc>
          <w:tcPr>
            <w:tcW w:w="102" w:type="dxa"/>
            <w:tcBorders/>
            <w:vAlign w:val="bottom"/>
          </w:tcPr>
          <w:p>
            <w:pPr>
              <w:pStyle w:val="TableContents"/>
              <w:bidi w:val="0"/>
              <w:spacing w:before="0" w:after="283"/>
              <w:jc w:val="left"/>
              <w:rPr/>
            </w:pPr>
            <w:r>
              <w:rPr/>
              <w:t> </w:t>
            </w:r>
          </w:p>
        </w:tc>
        <w:tc>
          <w:tcPr>
            <w:tcW w:w="2960" w:type="dxa"/>
            <w:tcBorders/>
            <w:vAlign w:val="bottom"/>
          </w:tcPr>
          <w:p>
            <w:pPr>
              <w:pStyle w:val="TableContents"/>
              <w:bidi w:val="0"/>
              <w:spacing w:before="0" w:after="283"/>
              <w:jc w:val="right"/>
              <w:rPr>
                <w:b/>
              </w:rPr>
            </w:pPr>
            <w:r>
              <w:rPr>
                <w:b/>
              </w:rPr>
              <w:t>Guggenheim Securities</w:t>
            </w:r>
          </w:p>
        </w:tc>
      </w:tr>
      <w:tr>
        <w:trPr>
          <w:trHeight w:val="120" w:hRule="atLeast"/>
        </w:trPr>
        <w:tc>
          <w:tcPr>
            <w:tcW w:w="1530" w:type="dxa"/>
            <w:tcBorders/>
            <w:vAlign w:val="center"/>
          </w:tcPr>
          <w:p>
            <w:pPr>
              <w:pStyle w:val="TableContents"/>
              <w:bidi w:val="0"/>
              <w:spacing w:before="0" w:after="283"/>
              <w:jc w:val="left"/>
              <w:rPr>
                <w:sz w:val="4"/>
                <w:szCs w:val="4"/>
              </w:rPr>
            </w:pPr>
            <w:r>
              <w:rPr>
                <w:sz w:val="4"/>
                <w:szCs w:val="4"/>
              </w:rPr>
            </w:r>
          </w:p>
        </w:tc>
        <w:tc>
          <w:tcPr>
            <w:tcW w:w="5613" w:type="dxa"/>
            <w:gridSpan w:val="2"/>
            <w:tcBorders/>
            <w:vAlign w:val="center"/>
          </w:tcPr>
          <w:p>
            <w:pPr>
              <w:pStyle w:val="TableContents"/>
              <w:bidi w:val="0"/>
              <w:spacing w:before="0" w:after="283"/>
              <w:jc w:val="left"/>
              <w:rPr>
                <w:sz w:val="4"/>
                <w:szCs w:val="4"/>
              </w:rPr>
            </w:pPr>
            <w:r>
              <w:rPr>
                <w:sz w:val="4"/>
                <w:szCs w:val="4"/>
              </w:rPr>
            </w:r>
          </w:p>
        </w:tc>
        <w:tc>
          <w:tcPr>
            <w:tcW w:w="3062" w:type="dxa"/>
            <w:gridSpan w:val="2"/>
            <w:tcBorders/>
            <w:vAlign w:val="center"/>
          </w:tcPr>
          <w:p>
            <w:pPr>
              <w:pStyle w:val="TableContents"/>
              <w:bidi w:val="0"/>
              <w:spacing w:before="0" w:after="283"/>
              <w:jc w:val="left"/>
              <w:rPr>
                <w:sz w:val="4"/>
                <w:szCs w:val="4"/>
              </w:rPr>
            </w:pPr>
            <w:r>
              <w:rPr>
                <w:sz w:val="4"/>
                <w:szCs w:val="4"/>
              </w:rPr>
            </w:r>
          </w:p>
        </w:tc>
      </w:tr>
      <w:tr>
        <w:trPr/>
        <w:tc>
          <w:tcPr>
            <w:tcW w:w="1530"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5512" w:type="dxa"/>
            <w:tcBorders/>
          </w:tcPr>
          <w:p>
            <w:pPr>
              <w:pStyle w:val="TableContents"/>
              <w:bidi w:val="0"/>
              <w:spacing w:before="0" w:after="283"/>
              <w:jc w:val="center"/>
              <w:rPr/>
            </w:pPr>
            <w:r>
              <w:rPr/>
              <w:t>        </w:t>
            </w:r>
            <w:r>
              <w:rPr>
                <w:b/>
              </w:rPr>
              <w:t>LifeSci Capital</w:t>
            </w:r>
          </w:p>
        </w:tc>
        <w:tc>
          <w:tcPr>
            <w:tcW w:w="102" w:type="dxa"/>
            <w:tcBorders/>
            <w:vAlign w:val="bottom"/>
          </w:tcPr>
          <w:p>
            <w:pPr>
              <w:pStyle w:val="TableContents"/>
              <w:bidi w:val="0"/>
              <w:spacing w:before="0" w:after="283"/>
              <w:jc w:val="left"/>
              <w:rPr/>
            </w:pPr>
            <w:r>
              <w:rPr/>
              <w:t> </w:t>
            </w:r>
          </w:p>
        </w:tc>
        <w:tc>
          <w:tcPr>
            <w:tcW w:w="2960"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160" w:after="0"/>
        <w:jc w:val="left"/>
        <w:rPr>
          <w:rFonts w:ascii="arial" w:hAnsi="arial"/>
          <w:b/>
          <w:sz w:val="22"/>
        </w:rPr>
      </w:pPr>
      <w:r>
        <w:rPr>
          <w:rFonts w:ascii="arial" w:hAnsi="arial"/>
          <w:b/>
          <w:sz w:val="22"/>
        </w:rPr>
        <w:t xml:space="preserve">April 14, 2026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sz w:val="32"/>
        </w:rPr>
      </w:pPr>
      <w:bookmarkStart w:id="2" w:name="toc"/>
      <w:bookmarkEnd w:id="2"/>
      <w:r>
        <w:rPr>
          <w:rFonts w:ascii="arial" w:hAnsi="arial"/>
          <w:b/>
          <w:sz w:val="32"/>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46"/>
        <w:gridCol w:w="146"/>
        <w:gridCol w:w="60"/>
        <w:gridCol w:w="490"/>
        <w:gridCol w:w="63"/>
      </w:tblGrid>
      <w:tr>
        <w:trPr/>
        <w:tc>
          <w:tcPr>
            <w:tcW w:w="9446"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4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50" w:type="dxa"/>
            <w:gridSpan w:val="2"/>
            <w:tcBorders/>
            <w:vAlign w:val="bottom"/>
          </w:tcPr>
          <w:p>
            <w:pPr>
              <w:pStyle w:val="TableContents"/>
              <w:bidi w:val="0"/>
              <w:spacing w:before="0" w:after="283"/>
              <w:jc w:val="right"/>
              <w:rPr>
                <w:b/>
              </w:rPr>
            </w:pPr>
            <w:r>
              <w:rPr>
                <w:b/>
              </w:rPr>
              <w:t>Page</w:t>
            </w:r>
          </w:p>
        </w:tc>
        <w:tc>
          <w:tcPr>
            <w:tcW w:w="63" w:type="dxa"/>
            <w:tcBorders/>
            <w:vAlign w:val="bottom"/>
          </w:tcPr>
          <w:p>
            <w:pPr>
              <w:pStyle w:val="TableContents"/>
              <w:bidi w:val="0"/>
              <w:spacing w:before="0" w:after="283"/>
              <w:jc w:val="left"/>
              <w:rPr/>
            </w:pPr>
            <w:r>
              <w:rPr/>
              <w:t> </w:t>
            </w:r>
          </w:p>
        </w:tc>
      </w:tr>
      <w:tr>
        <w:trPr>
          <w:trHeight w:val="75" w:hRule="atLeast"/>
        </w:trPr>
        <w:tc>
          <w:tcPr>
            <w:tcW w:w="9446" w:type="dxa"/>
            <w:tcBorders/>
            <w:vAlign w:val="center"/>
          </w:tcPr>
          <w:p>
            <w:pPr>
              <w:pStyle w:val="TableContents"/>
              <w:bidi w:val="0"/>
              <w:spacing w:before="0" w:after="283"/>
              <w:jc w:val="left"/>
              <w:rPr>
                <w:sz w:val="4"/>
                <w:szCs w:val="4"/>
              </w:rPr>
            </w:pPr>
            <w:r>
              <w:rPr>
                <w:sz w:val="4"/>
                <w:szCs w:val="4"/>
              </w:rPr>
            </w:r>
          </w:p>
        </w:tc>
        <w:tc>
          <w:tcPr>
            <w:tcW w:w="759" w:type="dxa"/>
            <w:gridSpan w:val="4"/>
            <w:tcBorders/>
            <w:vAlign w:val="center"/>
          </w:tcPr>
          <w:p>
            <w:pPr>
              <w:pStyle w:val="TableContents"/>
              <w:bidi w:val="0"/>
              <w:spacing w:before="0" w:after="283"/>
              <w:jc w:val="left"/>
              <w:rPr>
                <w:sz w:val="4"/>
                <w:szCs w:val="4"/>
              </w:rPr>
            </w:pPr>
            <w:r>
              <w:rPr>
                <w:sz w:val="4"/>
                <w:szCs w:val="4"/>
              </w:rPr>
            </w:r>
          </w:p>
        </w:tc>
      </w:tr>
      <w:tr>
        <w:trPr/>
        <w:tc>
          <w:tcPr>
            <w:tcW w:w="9446" w:type="dxa"/>
            <w:tcBorders/>
          </w:tcPr>
          <w:p>
            <w:pPr>
              <w:pStyle w:val="TableContents"/>
              <w:bidi w:val="0"/>
              <w:spacing w:before="0" w:after="283"/>
              <w:jc w:val="left"/>
              <w:rPr>
                <w:b/>
                <w:sz w:val="24"/>
              </w:rPr>
            </w:pPr>
            <w:r>
              <w:rPr>
                <w:b/>
                <w:sz w:val="24"/>
              </w:rPr>
              <w:t>Prospectus supplement</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9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75" w:hRule="atLeast"/>
        </w:trPr>
        <w:tc>
          <w:tcPr>
            <w:tcW w:w="9446" w:type="dxa"/>
            <w:tcBorders/>
            <w:vAlign w:val="center"/>
          </w:tcPr>
          <w:p>
            <w:pPr>
              <w:pStyle w:val="TableContents"/>
              <w:bidi w:val="0"/>
              <w:spacing w:before="0" w:after="283"/>
              <w:jc w:val="left"/>
              <w:rPr>
                <w:sz w:val="4"/>
                <w:szCs w:val="4"/>
              </w:rPr>
            </w:pPr>
            <w:r>
              <w:rPr>
                <w:sz w:val="4"/>
                <w:szCs w:val="4"/>
              </w:rPr>
            </w:r>
          </w:p>
        </w:tc>
        <w:tc>
          <w:tcPr>
            <w:tcW w:w="759" w:type="dxa"/>
            <w:gridSpan w:val="4"/>
            <w:tcBorders/>
            <w:vAlign w:val="center"/>
          </w:tcPr>
          <w:p>
            <w:pPr>
              <w:pStyle w:val="TableContents"/>
              <w:bidi w:val="0"/>
              <w:spacing w:before="0" w:after="283"/>
              <w:jc w:val="left"/>
              <w:rPr>
                <w:sz w:val="4"/>
                <w:szCs w:val="4"/>
              </w:rPr>
            </w:pPr>
            <w:r>
              <w:rPr>
                <w:sz w:val="4"/>
                <w:szCs w:val="4"/>
              </w:rPr>
            </w:r>
          </w:p>
        </w:tc>
      </w:tr>
      <w:tr>
        <w:trPr/>
        <w:tc>
          <w:tcPr>
            <w:tcW w:w="9446" w:type="dxa"/>
            <w:tcBorders/>
          </w:tcPr>
          <w:p>
            <w:pPr>
              <w:pStyle w:val="TableContents"/>
              <w:bidi w:val="0"/>
              <w:spacing w:before="0" w:after="0"/>
              <w:jc w:val="left"/>
              <w:rPr/>
            </w:pPr>
            <w:hyperlink w:anchor="supptoc93698_1">
              <w:r>
                <w:rPr>
                  <w:rStyle w:val="InternetLink"/>
                  <w:rFonts w:ascii="arial" w:hAnsi="arial"/>
                  <w:sz w:val="20"/>
                </w:rPr>
                <w:t>About this prospectus supplement</w:t>
              </w:r>
            </w:hyperlink>
          </w:p>
        </w:tc>
        <w:tc>
          <w:tcPr>
            <w:tcW w:w="14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490" w:type="dxa"/>
            <w:tcBorders/>
          </w:tcPr>
          <w:p>
            <w:pPr>
              <w:pStyle w:val="TableContents"/>
              <w:bidi w:val="0"/>
              <w:spacing w:before="0" w:after="283"/>
              <w:jc w:val="right"/>
              <w:rPr/>
            </w:pPr>
            <w:r>
              <w:rPr/>
              <w:t>S-ii</w:t>
            </w:r>
          </w:p>
        </w:tc>
        <w:tc>
          <w:tcPr>
            <w:tcW w:w="63" w:type="dxa"/>
            <w:tcBorders/>
          </w:tcPr>
          <w:p>
            <w:pPr>
              <w:pStyle w:val="TableContents"/>
              <w:bidi w:val="0"/>
              <w:spacing w:before="0" w:after="283"/>
              <w:jc w:val="left"/>
              <w:rPr/>
            </w:pPr>
            <w:r>
              <w:rPr/>
              <w:t> </w:t>
            </w:r>
          </w:p>
        </w:tc>
      </w:tr>
      <w:tr>
        <w:trPr>
          <w:trHeight w:val="75" w:hRule="atLeast"/>
        </w:trPr>
        <w:tc>
          <w:tcPr>
            <w:tcW w:w="9446" w:type="dxa"/>
            <w:tcBorders/>
            <w:vAlign w:val="center"/>
          </w:tcPr>
          <w:p>
            <w:pPr>
              <w:pStyle w:val="TableContents"/>
              <w:bidi w:val="0"/>
              <w:spacing w:before="0" w:after="283"/>
              <w:jc w:val="left"/>
              <w:rPr>
                <w:sz w:val="4"/>
                <w:szCs w:val="4"/>
              </w:rPr>
            </w:pPr>
            <w:r>
              <w:rPr>
                <w:sz w:val="4"/>
                <w:szCs w:val="4"/>
              </w:rPr>
            </w:r>
          </w:p>
        </w:tc>
        <w:tc>
          <w:tcPr>
            <w:tcW w:w="759" w:type="dxa"/>
            <w:gridSpan w:val="4"/>
            <w:tcBorders/>
            <w:vAlign w:val="center"/>
          </w:tcPr>
          <w:p>
            <w:pPr>
              <w:pStyle w:val="TableContents"/>
              <w:bidi w:val="0"/>
              <w:spacing w:before="0" w:after="283"/>
              <w:jc w:val="left"/>
              <w:rPr>
                <w:sz w:val="4"/>
                <w:szCs w:val="4"/>
              </w:rPr>
            </w:pPr>
            <w:r>
              <w:rPr>
                <w:sz w:val="4"/>
                <w:szCs w:val="4"/>
              </w:rPr>
            </w:r>
          </w:p>
        </w:tc>
      </w:tr>
      <w:tr>
        <w:trPr/>
        <w:tc>
          <w:tcPr>
            <w:tcW w:w="9446" w:type="dxa"/>
            <w:tcBorders/>
          </w:tcPr>
          <w:p>
            <w:pPr>
              <w:pStyle w:val="TableContents"/>
              <w:bidi w:val="0"/>
              <w:spacing w:before="0" w:after="0"/>
              <w:jc w:val="left"/>
              <w:rPr/>
            </w:pPr>
            <w:hyperlink w:anchor="supptoc93698_2">
              <w:r>
                <w:rPr>
                  <w:rStyle w:val="InternetLink"/>
                  <w:rFonts w:ascii="arial" w:hAnsi="arial"/>
                  <w:sz w:val="20"/>
                </w:rPr>
                <w:t>Prospectus supplement summary</w:t>
              </w:r>
            </w:hyperlink>
          </w:p>
        </w:tc>
        <w:tc>
          <w:tcPr>
            <w:tcW w:w="14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490" w:type="dxa"/>
            <w:tcBorders/>
          </w:tcPr>
          <w:p>
            <w:pPr>
              <w:pStyle w:val="TableContents"/>
              <w:bidi w:val="0"/>
              <w:spacing w:before="0" w:after="283"/>
              <w:jc w:val="right"/>
              <w:rPr/>
            </w:pPr>
            <w:r>
              <w:rPr/>
              <w:t>S-1</w:t>
            </w:r>
          </w:p>
        </w:tc>
        <w:tc>
          <w:tcPr>
            <w:tcW w:w="63" w:type="dxa"/>
            <w:tcBorders/>
          </w:tcPr>
          <w:p>
            <w:pPr>
              <w:pStyle w:val="TableContents"/>
              <w:bidi w:val="0"/>
              <w:spacing w:before="0" w:after="283"/>
              <w:jc w:val="left"/>
              <w:rPr/>
            </w:pPr>
            <w:r>
              <w:rPr/>
              <w:t> </w:t>
            </w:r>
          </w:p>
        </w:tc>
      </w:tr>
      <w:tr>
        <w:trPr>
          <w:trHeight w:val="75" w:hRule="atLeast"/>
        </w:trPr>
        <w:tc>
          <w:tcPr>
            <w:tcW w:w="9446" w:type="dxa"/>
            <w:tcBorders/>
            <w:vAlign w:val="center"/>
          </w:tcPr>
          <w:p>
            <w:pPr>
              <w:pStyle w:val="TableContents"/>
              <w:bidi w:val="0"/>
              <w:spacing w:before="0" w:after="283"/>
              <w:jc w:val="left"/>
              <w:rPr>
                <w:sz w:val="4"/>
                <w:szCs w:val="4"/>
              </w:rPr>
            </w:pPr>
            <w:r>
              <w:rPr>
                <w:sz w:val="4"/>
                <w:szCs w:val="4"/>
              </w:rPr>
            </w:r>
          </w:p>
        </w:tc>
        <w:tc>
          <w:tcPr>
            <w:tcW w:w="759" w:type="dxa"/>
            <w:gridSpan w:val="4"/>
            <w:tcBorders/>
            <w:vAlign w:val="center"/>
          </w:tcPr>
          <w:p>
            <w:pPr>
              <w:pStyle w:val="TableContents"/>
              <w:bidi w:val="0"/>
              <w:spacing w:before="0" w:after="283"/>
              <w:jc w:val="left"/>
              <w:rPr>
                <w:sz w:val="4"/>
                <w:szCs w:val="4"/>
              </w:rPr>
            </w:pPr>
            <w:r>
              <w:rPr>
                <w:sz w:val="4"/>
                <w:szCs w:val="4"/>
              </w:rPr>
            </w:r>
          </w:p>
        </w:tc>
      </w:tr>
      <w:tr>
        <w:trPr/>
        <w:tc>
          <w:tcPr>
            <w:tcW w:w="9446" w:type="dxa"/>
            <w:tcBorders/>
          </w:tcPr>
          <w:p>
            <w:pPr>
              <w:pStyle w:val="TableContents"/>
              <w:bidi w:val="0"/>
              <w:spacing w:before="0" w:after="0"/>
              <w:jc w:val="left"/>
              <w:rPr/>
            </w:pPr>
            <w:hyperlink w:anchor="supptoc93698_3">
              <w:r>
                <w:rPr>
                  <w:rStyle w:val="InternetLink"/>
                  <w:rFonts w:ascii="arial" w:hAnsi="arial"/>
                  <w:sz w:val="20"/>
                </w:rPr>
                <w:t>The offering</w:t>
              </w:r>
            </w:hyperlink>
          </w:p>
        </w:tc>
        <w:tc>
          <w:tcPr>
            <w:tcW w:w="14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490" w:type="dxa"/>
            <w:tcBorders/>
          </w:tcPr>
          <w:p>
            <w:pPr>
              <w:pStyle w:val="TableContents"/>
              <w:bidi w:val="0"/>
              <w:spacing w:before="0" w:after="283"/>
              <w:jc w:val="right"/>
              <w:rPr/>
            </w:pPr>
            <w:r>
              <w:rPr/>
              <w:t>S-3</w:t>
            </w:r>
          </w:p>
        </w:tc>
        <w:tc>
          <w:tcPr>
            <w:tcW w:w="63" w:type="dxa"/>
            <w:tcBorders/>
          </w:tcPr>
          <w:p>
            <w:pPr>
              <w:pStyle w:val="TableContents"/>
              <w:bidi w:val="0"/>
              <w:spacing w:before="0" w:after="283"/>
              <w:jc w:val="left"/>
              <w:rPr/>
            </w:pPr>
            <w:r>
              <w:rPr/>
              <w:t> </w:t>
            </w:r>
          </w:p>
        </w:tc>
      </w:tr>
      <w:tr>
        <w:trPr>
          <w:trHeight w:val="75" w:hRule="atLeast"/>
        </w:trPr>
        <w:tc>
          <w:tcPr>
            <w:tcW w:w="9446" w:type="dxa"/>
            <w:tcBorders/>
            <w:vAlign w:val="center"/>
          </w:tcPr>
          <w:p>
            <w:pPr>
              <w:pStyle w:val="TableContents"/>
              <w:bidi w:val="0"/>
              <w:spacing w:before="0" w:after="283"/>
              <w:jc w:val="left"/>
              <w:rPr>
                <w:sz w:val="4"/>
                <w:szCs w:val="4"/>
              </w:rPr>
            </w:pPr>
            <w:r>
              <w:rPr>
                <w:sz w:val="4"/>
                <w:szCs w:val="4"/>
              </w:rPr>
            </w:r>
          </w:p>
        </w:tc>
        <w:tc>
          <w:tcPr>
            <w:tcW w:w="759" w:type="dxa"/>
            <w:gridSpan w:val="4"/>
            <w:tcBorders/>
            <w:vAlign w:val="center"/>
          </w:tcPr>
          <w:p>
            <w:pPr>
              <w:pStyle w:val="TableContents"/>
              <w:bidi w:val="0"/>
              <w:spacing w:before="0" w:after="283"/>
              <w:jc w:val="left"/>
              <w:rPr>
                <w:sz w:val="4"/>
                <w:szCs w:val="4"/>
              </w:rPr>
            </w:pPr>
            <w:r>
              <w:rPr>
                <w:sz w:val="4"/>
                <w:szCs w:val="4"/>
              </w:rPr>
            </w:r>
          </w:p>
        </w:tc>
      </w:tr>
      <w:tr>
        <w:trPr/>
        <w:tc>
          <w:tcPr>
            <w:tcW w:w="9446" w:type="dxa"/>
            <w:tcBorders/>
          </w:tcPr>
          <w:p>
            <w:pPr>
              <w:pStyle w:val="TableContents"/>
              <w:bidi w:val="0"/>
              <w:spacing w:before="0" w:after="0"/>
              <w:jc w:val="left"/>
              <w:rPr/>
            </w:pPr>
            <w:hyperlink w:anchor="supptoc93698_4">
              <w:r>
                <w:rPr>
                  <w:rStyle w:val="InternetLink"/>
                  <w:rFonts w:ascii="arial" w:hAnsi="arial"/>
                  <w:sz w:val="20"/>
                </w:rPr>
                <w:t>Risk factors</w:t>
              </w:r>
            </w:hyperlink>
          </w:p>
        </w:tc>
        <w:tc>
          <w:tcPr>
            <w:tcW w:w="14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490" w:type="dxa"/>
            <w:tcBorders/>
          </w:tcPr>
          <w:p>
            <w:pPr>
              <w:pStyle w:val="TableContents"/>
              <w:bidi w:val="0"/>
              <w:spacing w:before="0" w:after="283"/>
              <w:jc w:val="right"/>
              <w:rPr/>
            </w:pPr>
            <w:r>
              <w:rPr/>
              <w:t>S-5</w:t>
            </w:r>
          </w:p>
        </w:tc>
        <w:tc>
          <w:tcPr>
            <w:tcW w:w="63" w:type="dxa"/>
            <w:tcBorders/>
          </w:tcPr>
          <w:p>
            <w:pPr>
              <w:pStyle w:val="TableContents"/>
              <w:bidi w:val="0"/>
              <w:spacing w:before="0" w:after="283"/>
              <w:jc w:val="left"/>
              <w:rPr/>
            </w:pPr>
            <w:r>
              <w:rPr/>
              <w:t> </w:t>
            </w:r>
          </w:p>
        </w:tc>
      </w:tr>
      <w:tr>
        <w:trPr>
          <w:trHeight w:val="75" w:hRule="atLeast"/>
        </w:trPr>
        <w:tc>
          <w:tcPr>
            <w:tcW w:w="9446" w:type="dxa"/>
            <w:tcBorders/>
            <w:vAlign w:val="center"/>
          </w:tcPr>
          <w:p>
            <w:pPr>
              <w:pStyle w:val="TableContents"/>
              <w:bidi w:val="0"/>
              <w:spacing w:before="0" w:after="283"/>
              <w:jc w:val="left"/>
              <w:rPr>
                <w:sz w:val="4"/>
                <w:szCs w:val="4"/>
              </w:rPr>
            </w:pPr>
            <w:r>
              <w:rPr>
                <w:sz w:val="4"/>
                <w:szCs w:val="4"/>
              </w:rPr>
            </w:r>
          </w:p>
        </w:tc>
        <w:tc>
          <w:tcPr>
            <w:tcW w:w="759" w:type="dxa"/>
            <w:gridSpan w:val="4"/>
            <w:tcBorders/>
            <w:vAlign w:val="center"/>
          </w:tcPr>
          <w:p>
            <w:pPr>
              <w:pStyle w:val="TableContents"/>
              <w:bidi w:val="0"/>
              <w:spacing w:before="0" w:after="283"/>
              <w:jc w:val="left"/>
              <w:rPr>
                <w:sz w:val="4"/>
                <w:szCs w:val="4"/>
              </w:rPr>
            </w:pPr>
            <w:r>
              <w:rPr>
                <w:sz w:val="4"/>
                <w:szCs w:val="4"/>
              </w:rPr>
            </w:r>
          </w:p>
        </w:tc>
      </w:tr>
      <w:tr>
        <w:trPr/>
        <w:tc>
          <w:tcPr>
            <w:tcW w:w="9446" w:type="dxa"/>
            <w:tcBorders/>
          </w:tcPr>
          <w:p>
            <w:pPr>
              <w:pStyle w:val="TableContents"/>
              <w:bidi w:val="0"/>
              <w:spacing w:before="0" w:after="0"/>
              <w:jc w:val="left"/>
              <w:rPr/>
            </w:pPr>
            <w:hyperlink w:anchor="supptoc93698_5">
              <w:r>
                <w:rPr>
                  <w:rStyle w:val="InternetLink"/>
                  <w:rFonts w:ascii="arial" w:hAnsi="arial"/>
                  <w:sz w:val="20"/>
                </w:rPr>
                <w:t>Special note regarding forward-looking statements</w:t>
              </w:r>
            </w:hyperlink>
          </w:p>
        </w:tc>
        <w:tc>
          <w:tcPr>
            <w:tcW w:w="14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490" w:type="dxa"/>
            <w:tcBorders/>
          </w:tcPr>
          <w:p>
            <w:pPr>
              <w:pStyle w:val="TableContents"/>
              <w:bidi w:val="0"/>
              <w:spacing w:before="0" w:after="283"/>
              <w:jc w:val="right"/>
              <w:rPr/>
            </w:pPr>
            <w:r>
              <w:rPr/>
              <w:t>S-10</w:t>
            </w:r>
          </w:p>
        </w:tc>
        <w:tc>
          <w:tcPr>
            <w:tcW w:w="63" w:type="dxa"/>
            <w:tcBorders/>
          </w:tcPr>
          <w:p>
            <w:pPr>
              <w:pStyle w:val="TableContents"/>
              <w:bidi w:val="0"/>
              <w:spacing w:before="0" w:after="283"/>
              <w:jc w:val="left"/>
              <w:rPr/>
            </w:pPr>
            <w:r>
              <w:rPr/>
              <w:t> </w:t>
            </w:r>
          </w:p>
        </w:tc>
      </w:tr>
      <w:tr>
        <w:trPr>
          <w:trHeight w:val="75" w:hRule="atLeast"/>
        </w:trPr>
        <w:tc>
          <w:tcPr>
            <w:tcW w:w="9446" w:type="dxa"/>
            <w:tcBorders/>
            <w:vAlign w:val="center"/>
          </w:tcPr>
          <w:p>
            <w:pPr>
              <w:pStyle w:val="TableContents"/>
              <w:bidi w:val="0"/>
              <w:spacing w:before="0" w:after="283"/>
              <w:jc w:val="left"/>
              <w:rPr>
                <w:sz w:val="4"/>
                <w:szCs w:val="4"/>
              </w:rPr>
            </w:pPr>
            <w:r>
              <w:rPr>
                <w:sz w:val="4"/>
                <w:szCs w:val="4"/>
              </w:rPr>
            </w:r>
          </w:p>
        </w:tc>
        <w:tc>
          <w:tcPr>
            <w:tcW w:w="759" w:type="dxa"/>
            <w:gridSpan w:val="4"/>
            <w:tcBorders/>
            <w:vAlign w:val="center"/>
          </w:tcPr>
          <w:p>
            <w:pPr>
              <w:pStyle w:val="TableContents"/>
              <w:bidi w:val="0"/>
              <w:spacing w:before="0" w:after="283"/>
              <w:jc w:val="left"/>
              <w:rPr>
                <w:sz w:val="4"/>
                <w:szCs w:val="4"/>
              </w:rPr>
            </w:pPr>
            <w:r>
              <w:rPr>
                <w:sz w:val="4"/>
                <w:szCs w:val="4"/>
              </w:rPr>
            </w:r>
          </w:p>
        </w:tc>
      </w:tr>
      <w:tr>
        <w:trPr/>
        <w:tc>
          <w:tcPr>
            <w:tcW w:w="9446" w:type="dxa"/>
            <w:tcBorders/>
          </w:tcPr>
          <w:p>
            <w:pPr>
              <w:pStyle w:val="TableContents"/>
              <w:bidi w:val="0"/>
              <w:spacing w:before="0" w:after="0"/>
              <w:jc w:val="left"/>
              <w:rPr/>
            </w:pPr>
            <w:hyperlink w:anchor="supptoc93698_6">
              <w:r>
                <w:rPr>
                  <w:rStyle w:val="InternetLink"/>
                  <w:rFonts w:ascii="arial" w:hAnsi="arial"/>
                  <w:sz w:val="20"/>
                </w:rPr>
                <w:t>Market and industry data</w:t>
              </w:r>
            </w:hyperlink>
          </w:p>
        </w:tc>
        <w:tc>
          <w:tcPr>
            <w:tcW w:w="14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490" w:type="dxa"/>
            <w:tcBorders/>
          </w:tcPr>
          <w:p>
            <w:pPr>
              <w:pStyle w:val="TableContents"/>
              <w:bidi w:val="0"/>
              <w:spacing w:before="0" w:after="283"/>
              <w:jc w:val="right"/>
              <w:rPr/>
            </w:pPr>
            <w:r>
              <w:rPr/>
              <w:t>S-12</w:t>
            </w:r>
          </w:p>
        </w:tc>
        <w:tc>
          <w:tcPr>
            <w:tcW w:w="63" w:type="dxa"/>
            <w:tcBorders/>
          </w:tcPr>
          <w:p>
            <w:pPr>
              <w:pStyle w:val="TableContents"/>
              <w:bidi w:val="0"/>
              <w:spacing w:before="0" w:after="283"/>
              <w:jc w:val="left"/>
              <w:rPr/>
            </w:pPr>
            <w:r>
              <w:rPr/>
              <w:t> </w:t>
            </w:r>
          </w:p>
        </w:tc>
      </w:tr>
      <w:tr>
        <w:trPr>
          <w:trHeight w:val="75" w:hRule="atLeast"/>
        </w:trPr>
        <w:tc>
          <w:tcPr>
            <w:tcW w:w="9446" w:type="dxa"/>
            <w:tcBorders/>
            <w:vAlign w:val="center"/>
          </w:tcPr>
          <w:p>
            <w:pPr>
              <w:pStyle w:val="TableContents"/>
              <w:bidi w:val="0"/>
              <w:spacing w:before="0" w:after="283"/>
              <w:jc w:val="left"/>
              <w:rPr>
                <w:sz w:val="4"/>
                <w:szCs w:val="4"/>
              </w:rPr>
            </w:pPr>
            <w:r>
              <w:rPr>
                <w:sz w:val="4"/>
                <w:szCs w:val="4"/>
              </w:rPr>
            </w:r>
          </w:p>
        </w:tc>
        <w:tc>
          <w:tcPr>
            <w:tcW w:w="759" w:type="dxa"/>
            <w:gridSpan w:val="4"/>
            <w:tcBorders/>
            <w:vAlign w:val="center"/>
          </w:tcPr>
          <w:p>
            <w:pPr>
              <w:pStyle w:val="TableContents"/>
              <w:bidi w:val="0"/>
              <w:spacing w:before="0" w:after="283"/>
              <w:jc w:val="left"/>
              <w:rPr>
                <w:sz w:val="4"/>
                <w:szCs w:val="4"/>
              </w:rPr>
            </w:pPr>
            <w:r>
              <w:rPr>
                <w:sz w:val="4"/>
                <w:szCs w:val="4"/>
              </w:rPr>
            </w:r>
          </w:p>
        </w:tc>
      </w:tr>
      <w:tr>
        <w:trPr/>
        <w:tc>
          <w:tcPr>
            <w:tcW w:w="9446" w:type="dxa"/>
            <w:tcBorders/>
          </w:tcPr>
          <w:p>
            <w:pPr>
              <w:pStyle w:val="TableContents"/>
              <w:bidi w:val="0"/>
              <w:spacing w:before="0" w:after="0"/>
              <w:jc w:val="left"/>
              <w:rPr/>
            </w:pPr>
            <w:hyperlink w:anchor="supptoc93698_7">
              <w:r>
                <w:rPr>
                  <w:rStyle w:val="InternetLink"/>
                  <w:rFonts w:ascii="arial" w:hAnsi="arial"/>
                  <w:sz w:val="20"/>
                </w:rPr>
                <w:t>Use of proceeds</w:t>
              </w:r>
            </w:hyperlink>
          </w:p>
        </w:tc>
        <w:tc>
          <w:tcPr>
            <w:tcW w:w="14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490" w:type="dxa"/>
            <w:tcBorders/>
          </w:tcPr>
          <w:p>
            <w:pPr>
              <w:pStyle w:val="TableContents"/>
              <w:bidi w:val="0"/>
              <w:spacing w:before="0" w:after="283"/>
              <w:jc w:val="right"/>
              <w:rPr/>
            </w:pPr>
            <w:r>
              <w:rPr/>
              <w:t>S-13</w:t>
            </w:r>
          </w:p>
        </w:tc>
        <w:tc>
          <w:tcPr>
            <w:tcW w:w="63" w:type="dxa"/>
            <w:tcBorders/>
          </w:tcPr>
          <w:p>
            <w:pPr>
              <w:pStyle w:val="TableContents"/>
              <w:bidi w:val="0"/>
              <w:spacing w:before="0" w:after="283"/>
              <w:jc w:val="left"/>
              <w:rPr/>
            </w:pPr>
            <w:r>
              <w:rPr/>
              <w:t> </w:t>
            </w:r>
          </w:p>
        </w:tc>
      </w:tr>
      <w:tr>
        <w:trPr>
          <w:trHeight w:val="75" w:hRule="atLeast"/>
        </w:trPr>
        <w:tc>
          <w:tcPr>
            <w:tcW w:w="9446" w:type="dxa"/>
            <w:tcBorders/>
            <w:vAlign w:val="center"/>
          </w:tcPr>
          <w:p>
            <w:pPr>
              <w:pStyle w:val="TableContents"/>
              <w:bidi w:val="0"/>
              <w:spacing w:before="0" w:after="283"/>
              <w:jc w:val="left"/>
              <w:rPr>
                <w:sz w:val="4"/>
                <w:szCs w:val="4"/>
              </w:rPr>
            </w:pPr>
            <w:r>
              <w:rPr>
                <w:sz w:val="4"/>
                <w:szCs w:val="4"/>
              </w:rPr>
            </w:r>
          </w:p>
        </w:tc>
        <w:tc>
          <w:tcPr>
            <w:tcW w:w="759" w:type="dxa"/>
            <w:gridSpan w:val="4"/>
            <w:tcBorders/>
            <w:vAlign w:val="center"/>
          </w:tcPr>
          <w:p>
            <w:pPr>
              <w:pStyle w:val="TableContents"/>
              <w:bidi w:val="0"/>
              <w:spacing w:before="0" w:after="283"/>
              <w:jc w:val="left"/>
              <w:rPr>
                <w:sz w:val="4"/>
                <w:szCs w:val="4"/>
              </w:rPr>
            </w:pPr>
            <w:r>
              <w:rPr>
                <w:sz w:val="4"/>
                <w:szCs w:val="4"/>
              </w:rPr>
            </w:r>
          </w:p>
        </w:tc>
      </w:tr>
      <w:tr>
        <w:trPr/>
        <w:tc>
          <w:tcPr>
            <w:tcW w:w="9446" w:type="dxa"/>
            <w:tcBorders/>
          </w:tcPr>
          <w:p>
            <w:pPr>
              <w:pStyle w:val="TableContents"/>
              <w:bidi w:val="0"/>
              <w:spacing w:before="0" w:after="0"/>
              <w:jc w:val="left"/>
              <w:rPr/>
            </w:pPr>
            <w:hyperlink w:anchor="supptoc93698_8">
              <w:r>
                <w:rPr>
                  <w:rStyle w:val="InternetLink"/>
                  <w:rFonts w:ascii="arial" w:hAnsi="arial"/>
                  <w:sz w:val="20"/>
                </w:rPr>
                <w:t>Capitalization</w:t>
              </w:r>
            </w:hyperlink>
          </w:p>
        </w:tc>
        <w:tc>
          <w:tcPr>
            <w:tcW w:w="14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490" w:type="dxa"/>
            <w:tcBorders/>
          </w:tcPr>
          <w:p>
            <w:pPr>
              <w:pStyle w:val="TableContents"/>
              <w:bidi w:val="0"/>
              <w:spacing w:before="0" w:after="283"/>
              <w:jc w:val="right"/>
              <w:rPr/>
            </w:pPr>
            <w:r>
              <w:rPr/>
              <w:t>S-14</w:t>
            </w:r>
          </w:p>
        </w:tc>
        <w:tc>
          <w:tcPr>
            <w:tcW w:w="63" w:type="dxa"/>
            <w:tcBorders/>
          </w:tcPr>
          <w:p>
            <w:pPr>
              <w:pStyle w:val="TableContents"/>
              <w:bidi w:val="0"/>
              <w:spacing w:before="0" w:after="283"/>
              <w:jc w:val="left"/>
              <w:rPr/>
            </w:pPr>
            <w:r>
              <w:rPr/>
              <w:t> </w:t>
            </w:r>
          </w:p>
        </w:tc>
      </w:tr>
      <w:tr>
        <w:trPr>
          <w:trHeight w:val="75" w:hRule="atLeast"/>
        </w:trPr>
        <w:tc>
          <w:tcPr>
            <w:tcW w:w="9446" w:type="dxa"/>
            <w:tcBorders/>
            <w:vAlign w:val="center"/>
          </w:tcPr>
          <w:p>
            <w:pPr>
              <w:pStyle w:val="TableContents"/>
              <w:bidi w:val="0"/>
              <w:spacing w:before="0" w:after="283"/>
              <w:jc w:val="left"/>
              <w:rPr>
                <w:sz w:val="4"/>
                <w:szCs w:val="4"/>
              </w:rPr>
            </w:pPr>
            <w:r>
              <w:rPr>
                <w:sz w:val="4"/>
                <w:szCs w:val="4"/>
              </w:rPr>
            </w:r>
          </w:p>
        </w:tc>
        <w:tc>
          <w:tcPr>
            <w:tcW w:w="759" w:type="dxa"/>
            <w:gridSpan w:val="4"/>
            <w:tcBorders/>
            <w:vAlign w:val="center"/>
          </w:tcPr>
          <w:p>
            <w:pPr>
              <w:pStyle w:val="TableContents"/>
              <w:bidi w:val="0"/>
              <w:spacing w:before="0" w:after="283"/>
              <w:jc w:val="left"/>
              <w:rPr>
                <w:sz w:val="4"/>
                <w:szCs w:val="4"/>
              </w:rPr>
            </w:pPr>
            <w:r>
              <w:rPr>
                <w:sz w:val="4"/>
                <w:szCs w:val="4"/>
              </w:rPr>
            </w:r>
          </w:p>
        </w:tc>
      </w:tr>
      <w:tr>
        <w:trPr/>
        <w:tc>
          <w:tcPr>
            <w:tcW w:w="9446" w:type="dxa"/>
            <w:tcBorders/>
          </w:tcPr>
          <w:p>
            <w:pPr>
              <w:pStyle w:val="TableContents"/>
              <w:bidi w:val="0"/>
              <w:spacing w:before="0" w:after="0"/>
              <w:jc w:val="left"/>
              <w:rPr/>
            </w:pPr>
            <w:hyperlink w:anchor="supptoc93698_9">
              <w:r>
                <w:rPr>
                  <w:rStyle w:val="InternetLink"/>
                  <w:rFonts w:ascii="arial" w:hAnsi="arial"/>
                  <w:sz w:val="20"/>
                </w:rPr>
                <w:t>Dilution</w:t>
              </w:r>
            </w:hyperlink>
          </w:p>
        </w:tc>
        <w:tc>
          <w:tcPr>
            <w:tcW w:w="14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490" w:type="dxa"/>
            <w:tcBorders/>
          </w:tcPr>
          <w:p>
            <w:pPr>
              <w:pStyle w:val="TableContents"/>
              <w:bidi w:val="0"/>
              <w:spacing w:before="0" w:after="283"/>
              <w:jc w:val="right"/>
              <w:rPr/>
            </w:pPr>
            <w:r>
              <w:rPr/>
              <w:t>S-16</w:t>
            </w:r>
          </w:p>
        </w:tc>
        <w:tc>
          <w:tcPr>
            <w:tcW w:w="63" w:type="dxa"/>
            <w:tcBorders/>
          </w:tcPr>
          <w:p>
            <w:pPr>
              <w:pStyle w:val="TableContents"/>
              <w:bidi w:val="0"/>
              <w:spacing w:before="0" w:after="283"/>
              <w:jc w:val="left"/>
              <w:rPr/>
            </w:pPr>
            <w:r>
              <w:rPr/>
              <w:t> </w:t>
            </w:r>
          </w:p>
        </w:tc>
      </w:tr>
      <w:tr>
        <w:trPr>
          <w:trHeight w:val="75" w:hRule="atLeast"/>
        </w:trPr>
        <w:tc>
          <w:tcPr>
            <w:tcW w:w="9446" w:type="dxa"/>
            <w:tcBorders/>
            <w:vAlign w:val="center"/>
          </w:tcPr>
          <w:p>
            <w:pPr>
              <w:pStyle w:val="TableContents"/>
              <w:bidi w:val="0"/>
              <w:spacing w:before="0" w:after="283"/>
              <w:jc w:val="left"/>
              <w:rPr>
                <w:sz w:val="4"/>
                <w:szCs w:val="4"/>
              </w:rPr>
            </w:pPr>
            <w:r>
              <w:rPr>
                <w:sz w:val="4"/>
                <w:szCs w:val="4"/>
              </w:rPr>
            </w:r>
          </w:p>
        </w:tc>
        <w:tc>
          <w:tcPr>
            <w:tcW w:w="759" w:type="dxa"/>
            <w:gridSpan w:val="4"/>
            <w:tcBorders/>
            <w:vAlign w:val="center"/>
          </w:tcPr>
          <w:p>
            <w:pPr>
              <w:pStyle w:val="TableContents"/>
              <w:bidi w:val="0"/>
              <w:spacing w:before="0" w:after="283"/>
              <w:jc w:val="left"/>
              <w:rPr>
                <w:sz w:val="4"/>
                <w:szCs w:val="4"/>
              </w:rPr>
            </w:pPr>
            <w:r>
              <w:rPr>
                <w:sz w:val="4"/>
                <w:szCs w:val="4"/>
              </w:rPr>
            </w:r>
          </w:p>
        </w:tc>
      </w:tr>
      <w:tr>
        <w:trPr/>
        <w:tc>
          <w:tcPr>
            <w:tcW w:w="9446" w:type="dxa"/>
            <w:tcBorders/>
          </w:tcPr>
          <w:p>
            <w:pPr>
              <w:pStyle w:val="TableContents"/>
              <w:bidi w:val="0"/>
              <w:spacing w:before="0" w:after="0"/>
              <w:jc w:val="left"/>
              <w:rPr/>
            </w:pPr>
            <w:hyperlink w:anchor="supptoc93698_10">
              <w:r>
                <w:rPr>
                  <w:rStyle w:val="InternetLink"/>
                  <w:rFonts w:ascii="arial" w:hAnsi="arial"/>
                  <w:sz w:val="20"/>
                </w:rPr>
                <w:t>Concurrent convertible note offering</w:t>
              </w:r>
            </w:hyperlink>
          </w:p>
        </w:tc>
        <w:tc>
          <w:tcPr>
            <w:tcW w:w="14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490" w:type="dxa"/>
            <w:tcBorders/>
          </w:tcPr>
          <w:p>
            <w:pPr>
              <w:pStyle w:val="TableContents"/>
              <w:bidi w:val="0"/>
              <w:spacing w:before="0" w:after="283"/>
              <w:jc w:val="right"/>
              <w:rPr/>
            </w:pPr>
            <w:r>
              <w:rPr/>
              <w:t>S-18</w:t>
            </w:r>
          </w:p>
        </w:tc>
        <w:tc>
          <w:tcPr>
            <w:tcW w:w="63" w:type="dxa"/>
            <w:tcBorders/>
          </w:tcPr>
          <w:p>
            <w:pPr>
              <w:pStyle w:val="TableContents"/>
              <w:bidi w:val="0"/>
              <w:spacing w:before="0" w:after="283"/>
              <w:jc w:val="left"/>
              <w:rPr/>
            </w:pPr>
            <w:r>
              <w:rPr/>
              <w:t> </w:t>
            </w:r>
          </w:p>
        </w:tc>
      </w:tr>
      <w:tr>
        <w:trPr>
          <w:trHeight w:val="75" w:hRule="atLeast"/>
        </w:trPr>
        <w:tc>
          <w:tcPr>
            <w:tcW w:w="9446" w:type="dxa"/>
            <w:tcBorders/>
            <w:vAlign w:val="center"/>
          </w:tcPr>
          <w:p>
            <w:pPr>
              <w:pStyle w:val="TableContents"/>
              <w:bidi w:val="0"/>
              <w:spacing w:before="0" w:after="283"/>
              <w:jc w:val="left"/>
              <w:rPr>
                <w:sz w:val="4"/>
                <w:szCs w:val="4"/>
              </w:rPr>
            </w:pPr>
            <w:r>
              <w:rPr>
                <w:sz w:val="4"/>
                <w:szCs w:val="4"/>
              </w:rPr>
            </w:r>
          </w:p>
        </w:tc>
        <w:tc>
          <w:tcPr>
            <w:tcW w:w="759" w:type="dxa"/>
            <w:gridSpan w:val="4"/>
            <w:tcBorders/>
            <w:vAlign w:val="center"/>
          </w:tcPr>
          <w:p>
            <w:pPr>
              <w:pStyle w:val="TableContents"/>
              <w:bidi w:val="0"/>
              <w:spacing w:before="0" w:after="283"/>
              <w:jc w:val="left"/>
              <w:rPr>
                <w:sz w:val="4"/>
                <w:szCs w:val="4"/>
              </w:rPr>
            </w:pPr>
            <w:r>
              <w:rPr>
                <w:sz w:val="4"/>
                <w:szCs w:val="4"/>
              </w:rPr>
            </w:r>
          </w:p>
        </w:tc>
      </w:tr>
      <w:tr>
        <w:trPr/>
        <w:tc>
          <w:tcPr>
            <w:tcW w:w="9446" w:type="dxa"/>
            <w:tcBorders/>
          </w:tcPr>
          <w:p>
            <w:pPr>
              <w:pStyle w:val="TableContents"/>
              <w:bidi w:val="0"/>
              <w:spacing w:before="0" w:after="0"/>
              <w:jc w:val="left"/>
              <w:rPr/>
            </w:pPr>
            <w:hyperlink w:anchor="supptoc93698_11">
              <w:r>
                <w:rPr>
                  <w:rStyle w:val="InternetLink"/>
                  <w:rFonts w:ascii="arial" w:hAnsi="arial"/>
                  <w:sz w:val="20"/>
                </w:rPr>
                <w:t>Material U.S. federal income tax consequences to Non-U.S. Holders</w:t>
              </w:r>
            </w:hyperlink>
          </w:p>
        </w:tc>
        <w:tc>
          <w:tcPr>
            <w:tcW w:w="14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490" w:type="dxa"/>
            <w:tcBorders/>
          </w:tcPr>
          <w:p>
            <w:pPr>
              <w:pStyle w:val="TableContents"/>
              <w:bidi w:val="0"/>
              <w:spacing w:before="0" w:after="283"/>
              <w:jc w:val="right"/>
              <w:rPr/>
            </w:pPr>
            <w:r>
              <w:rPr/>
              <w:t>S-19</w:t>
            </w:r>
          </w:p>
        </w:tc>
        <w:tc>
          <w:tcPr>
            <w:tcW w:w="63" w:type="dxa"/>
            <w:tcBorders/>
          </w:tcPr>
          <w:p>
            <w:pPr>
              <w:pStyle w:val="TableContents"/>
              <w:bidi w:val="0"/>
              <w:spacing w:before="0" w:after="283"/>
              <w:jc w:val="left"/>
              <w:rPr/>
            </w:pPr>
            <w:r>
              <w:rPr/>
              <w:t> </w:t>
            </w:r>
          </w:p>
        </w:tc>
      </w:tr>
      <w:tr>
        <w:trPr>
          <w:trHeight w:val="75" w:hRule="atLeast"/>
        </w:trPr>
        <w:tc>
          <w:tcPr>
            <w:tcW w:w="9446" w:type="dxa"/>
            <w:tcBorders/>
            <w:vAlign w:val="center"/>
          </w:tcPr>
          <w:p>
            <w:pPr>
              <w:pStyle w:val="TableContents"/>
              <w:bidi w:val="0"/>
              <w:spacing w:before="0" w:after="283"/>
              <w:jc w:val="left"/>
              <w:rPr>
                <w:sz w:val="4"/>
                <w:szCs w:val="4"/>
              </w:rPr>
            </w:pPr>
            <w:r>
              <w:rPr>
                <w:sz w:val="4"/>
                <w:szCs w:val="4"/>
              </w:rPr>
            </w:r>
          </w:p>
        </w:tc>
        <w:tc>
          <w:tcPr>
            <w:tcW w:w="759" w:type="dxa"/>
            <w:gridSpan w:val="4"/>
            <w:tcBorders/>
            <w:vAlign w:val="center"/>
          </w:tcPr>
          <w:p>
            <w:pPr>
              <w:pStyle w:val="TableContents"/>
              <w:bidi w:val="0"/>
              <w:spacing w:before="0" w:after="283"/>
              <w:jc w:val="left"/>
              <w:rPr>
                <w:sz w:val="4"/>
                <w:szCs w:val="4"/>
              </w:rPr>
            </w:pPr>
            <w:r>
              <w:rPr>
                <w:sz w:val="4"/>
                <w:szCs w:val="4"/>
              </w:rPr>
            </w:r>
          </w:p>
        </w:tc>
      </w:tr>
      <w:tr>
        <w:trPr/>
        <w:tc>
          <w:tcPr>
            <w:tcW w:w="9446" w:type="dxa"/>
            <w:tcBorders/>
          </w:tcPr>
          <w:p>
            <w:pPr>
              <w:pStyle w:val="TableContents"/>
              <w:bidi w:val="0"/>
              <w:spacing w:before="0" w:after="0"/>
              <w:jc w:val="left"/>
              <w:rPr/>
            </w:pPr>
            <w:hyperlink w:anchor="supptoc93698_12">
              <w:r>
                <w:rPr>
                  <w:rStyle w:val="InternetLink"/>
                  <w:rFonts w:ascii="arial" w:hAnsi="arial"/>
                  <w:sz w:val="20"/>
                </w:rPr>
                <w:t>Underwriting</w:t>
              </w:r>
            </w:hyperlink>
          </w:p>
        </w:tc>
        <w:tc>
          <w:tcPr>
            <w:tcW w:w="14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490" w:type="dxa"/>
            <w:tcBorders/>
          </w:tcPr>
          <w:p>
            <w:pPr>
              <w:pStyle w:val="TableContents"/>
              <w:bidi w:val="0"/>
              <w:spacing w:before="0" w:after="283"/>
              <w:jc w:val="right"/>
              <w:rPr/>
            </w:pPr>
            <w:r>
              <w:rPr/>
              <w:t>S-23</w:t>
            </w:r>
          </w:p>
        </w:tc>
        <w:tc>
          <w:tcPr>
            <w:tcW w:w="63" w:type="dxa"/>
            <w:tcBorders/>
          </w:tcPr>
          <w:p>
            <w:pPr>
              <w:pStyle w:val="TableContents"/>
              <w:bidi w:val="0"/>
              <w:spacing w:before="0" w:after="283"/>
              <w:jc w:val="left"/>
              <w:rPr/>
            </w:pPr>
            <w:r>
              <w:rPr/>
              <w:t> </w:t>
            </w:r>
          </w:p>
        </w:tc>
      </w:tr>
      <w:tr>
        <w:trPr>
          <w:trHeight w:val="75" w:hRule="atLeast"/>
        </w:trPr>
        <w:tc>
          <w:tcPr>
            <w:tcW w:w="9446" w:type="dxa"/>
            <w:tcBorders/>
            <w:vAlign w:val="center"/>
          </w:tcPr>
          <w:p>
            <w:pPr>
              <w:pStyle w:val="TableContents"/>
              <w:bidi w:val="0"/>
              <w:spacing w:before="0" w:after="283"/>
              <w:jc w:val="left"/>
              <w:rPr>
                <w:sz w:val="4"/>
                <w:szCs w:val="4"/>
              </w:rPr>
            </w:pPr>
            <w:r>
              <w:rPr>
                <w:sz w:val="4"/>
                <w:szCs w:val="4"/>
              </w:rPr>
            </w:r>
          </w:p>
        </w:tc>
        <w:tc>
          <w:tcPr>
            <w:tcW w:w="759" w:type="dxa"/>
            <w:gridSpan w:val="4"/>
            <w:tcBorders/>
            <w:vAlign w:val="center"/>
          </w:tcPr>
          <w:p>
            <w:pPr>
              <w:pStyle w:val="TableContents"/>
              <w:bidi w:val="0"/>
              <w:spacing w:before="0" w:after="283"/>
              <w:jc w:val="left"/>
              <w:rPr>
                <w:sz w:val="4"/>
                <w:szCs w:val="4"/>
              </w:rPr>
            </w:pPr>
            <w:r>
              <w:rPr>
                <w:sz w:val="4"/>
                <w:szCs w:val="4"/>
              </w:rPr>
            </w:r>
          </w:p>
        </w:tc>
      </w:tr>
      <w:tr>
        <w:trPr/>
        <w:tc>
          <w:tcPr>
            <w:tcW w:w="9446" w:type="dxa"/>
            <w:tcBorders/>
          </w:tcPr>
          <w:p>
            <w:pPr>
              <w:pStyle w:val="TableContents"/>
              <w:bidi w:val="0"/>
              <w:spacing w:before="0" w:after="0"/>
              <w:jc w:val="left"/>
              <w:rPr/>
            </w:pPr>
            <w:hyperlink w:anchor="supptoc93698_13">
              <w:r>
                <w:rPr>
                  <w:rStyle w:val="InternetLink"/>
                  <w:rFonts w:ascii="arial" w:hAnsi="arial"/>
                  <w:sz w:val="20"/>
                </w:rPr>
                <w:t>Legal matters</w:t>
              </w:r>
            </w:hyperlink>
          </w:p>
        </w:tc>
        <w:tc>
          <w:tcPr>
            <w:tcW w:w="14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490" w:type="dxa"/>
            <w:tcBorders/>
          </w:tcPr>
          <w:p>
            <w:pPr>
              <w:pStyle w:val="TableContents"/>
              <w:bidi w:val="0"/>
              <w:spacing w:before="0" w:after="283"/>
              <w:jc w:val="right"/>
              <w:rPr/>
            </w:pPr>
            <w:r>
              <w:rPr/>
              <w:t>S-35</w:t>
            </w:r>
          </w:p>
        </w:tc>
        <w:tc>
          <w:tcPr>
            <w:tcW w:w="63" w:type="dxa"/>
            <w:tcBorders/>
          </w:tcPr>
          <w:p>
            <w:pPr>
              <w:pStyle w:val="TableContents"/>
              <w:bidi w:val="0"/>
              <w:spacing w:before="0" w:after="283"/>
              <w:jc w:val="left"/>
              <w:rPr/>
            </w:pPr>
            <w:r>
              <w:rPr/>
              <w:t> </w:t>
            </w:r>
          </w:p>
        </w:tc>
      </w:tr>
      <w:tr>
        <w:trPr>
          <w:trHeight w:val="75" w:hRule="atLeast"/>
        </w:trPr>
        <w:tc>
          <w:tcPr>
            <w:tcW w:w="9446" w:type="dxa"/>
            <w:tcBorders/>
            <w:vAlign w:val="center"/>
          </w:tcPr>
          <w:p>
            <w:pPr>
              <w:pStyle w:val="TableContents"/>
              <w:bidi w:val="0"/>
              <w:spacing w:before="0" w:after="283"/>
              <w:jc w:val="left"/>
              <w:rPr>
                <w:sz w:val="4"/>
                <w:szCs w:val="4"/>
              </w:rPr>
            </w:pPr>
            <w:r>
              <w:rPr>
                <w:sz w:val="4"/>
                <w:szCs w:val="4"/>
              </w:rPr>
            </w:r>
          </w:p>
        </w:tc>
        <w:tc>
          <w:tcPr>
            <w:tcW w:w="759" w:type="dxa"/>
            <w:gridSpan w:val="4"/>
            <w:tcBorders/>
            <w:vAlign w:val="center"/>
          </w:tcPr>
          <w:p>
            <w:pPr>
              <w:pStyle w:val="TableContents"/>
              <w:bidi w:val="0"/>
              <w:spacing w:before="0" w:after="283"/>
              <w:jc w:val="left"/>
              <w:rPr>
                <w:sz w:val="4"/>
                <w:szCs w:val="4"/>
              </w:rPr>
            </w:pPr>
            <w:r>
              <w:rPr>
                <w:sz w:val="4"/>
                <w:szCs w:val="4"/>
              </w:rPr>
            </w:r>
          </w:p>
        </w:tc>
      </w:tr>
      <w:tr>
        <w:trPr/>
        <w:tc>
          <w:tcPr>
            <w:tcW w:w="9446" w:type="dxa"/>
            <w:tcBorders/>
          </w:tcPr>
          <w:p>
            <w:pPr>
              <w:pStyle w:val="TableContents"/>
              <w:bidi w:val="0"/>
              <w:spacing w:before="0" w:after="0"/>
              <w:jc w:val="left"/>
              <w:rPr/>
            </w:pPr>
            <w:hyperlink w:anchor="supptoc93698_14">
              <w:r>
                <w:rPr>
                  <w:rStyle w:val="InternetLink"/>
                  <w:rFonts w:ascii="arial" w:hAnsi="arial"/>
                  <w:sz w:val="20"/>
                </w:rPr>
                <w:t>Experts</w:t>
              </w:r>
            </w:hyperlink>
          </w:p>
        </w:tc>
        <w:tc>
          <w:tcPr>
            <w:tcW w:w="14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490" w:type="dxa"/>
            <w:tcBorders/>
          </w:tcPr>
          <w:p>
            <w:pPr>
              <w:pStyle w:val="TableContents"/>
              <w:bidi w:val="0"/>
              <w:spacing w:before="0" w:after="283"/>
              <w:jc w:val="right"/>
              <w:rPr/>
            </w:pPr>
            <w:r>
              <w:rPr/>
              <w:t>S-35</w:t>
            </w:r>
          </w:p>
        </w:tc>
        <w:tc>
          <w:tcPr>
            <w:tcW w:w="63" w:type="dxa"/>
            <w:tcBorders/>
          </w:tcPr>
          <w:p>
            <w:pPr>
              <w:pStyle w:val="TableContents"/>
              <w:bidi w:val="0"/>
              <w:spacing w:before="0" w:after="283"/>
              <w:jc w:val="left"/>
              <w:rPr/>
            </w:pPr>
            <w:r>
              <w:rPr/>
              <w:t> </w:t>
            </w:r>
          </w:p>
        </w:tc>
      </w:tr>
      <w:tr>
        <w:trPr>
          <w:trHeight w:val="75" w:hRule="atLeast"/>
        </w:trPr>
        <w:tc>
          <w:tcPr>
            <w:tcW w:w="9446" w:type="dxa"/>
            <w:tcBorders/>
            <w:vAlign w:val="center"/>
          </w:tcPr>
          <w:p>
            <w:pPr>
              <w:pStyle w:val="TableContents"/>
              <w:bidi w:val="0"/>
              <w:spacing w:before="0" w:after="283"/>
              <w:jc w:val="left"/>
              <w:rPr>
                <w:sz w:val="4"/>
                <w:szCs w:val="4"/>
              </w:rPr>
            </w:pPr>
            <w:r>
              <w:rPr>
                <w:sz w:val="4"/>
                <w:szCs w:val="4"/>
              </w:rPr>
            </w:r>
          </w:p>
        </w:tc>
        <w:tc>
          <w:tcPr>
            <w:tcW w:w="759" w:type="dxa"/>
            <w:gridSpan w:val="4"/>
            <w:tcBorders/>
            <w:vAlign w:val="center"/>
          </w:tcPr>
          <w:p>
            <w:pPr>
              <w:pStyle w:val="TableContents"/>
              <w:bidi w:val="0"/>
              <w:spacing w:before="0" w:after="283"/>
              <w:jc w:val="left"/>
              <w:rPr>
                <w:sz w:val="4"/>
                <w:szCs w:val="4"/>
              </w:rPr>
            </w:pPr>
            <w:r>
              <w:rPr>
                <w:sz w:val="4"/>
                <w:szCs w:val="4"/>
              </w:rPr>
            </w:r>
          </w:p>
        </w:tc>
      </w:tr>
      <w:tr>
        <w:trPr/>
        <w:tc>
          <w:tcPr>
            <w:tcW w:w="9446" w:type="dxa"/>
            <w:tcBorders/>
          </w:tcPr>
          <w:p>
            <w:pPr>
              <w:pStyle w:val="TableContents"/>
              <w:bidi w:val="0"/>
              <w:spacing w:before="0" w:after="0"/>
              <w:jc w:val="left"/>
              <w:rPr/>
            </w:pPr>
            <w:hyperlink w:anchor="supptoc93698_15">
              <w:r>
                <w:rPr>
                  <w:rStyle w:val="InternetLink"/>
                  <w:rFonts w:ascii="arial" w:hAnsi="arial"/>
                  <w:sz w:val="20"/>
                </w:rPr>
                <w:t>Where you can find more information; incorporation by reference</w:t>
              </w:r>
            </w:hyperlink>
          </w:p>
        </w:tc>
        <w:tc>
          <w:tcPr>
            <w:tcW w:w="14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490" w:type="dxa"/>
            <w:tcBorders/>
          </w:tcPr>
          <w:p>
            <w:pPr>
              <w:pStyle w:val="TableContents"/>
              <w:bidi w:val="0"/>
              <w:spacing w:before="0" w:after="283"/>
              <w:jc w:val="right"/>
              <w:rPr/>
            </w:pPr>
            <w:r>
              <w:rPr/>
              <w:t>S-36</w:t>
            </w:r>
          </w:p>
        </w:tc>
        <w:tc>
          <w:tcPr>
            <w:tcW w:w="63" w:type="dxa"/>
            <w:tcBorders/>
          </w:tcPr>
          <w:p>
            <w:pPr>
              <w:pStyle w:val="TableContents"/>
              <w:bidi w:val="0"/>
              <w:spacing w:before="0" w:after="283"/>
              <w:jc w:val="left"/>
              <w:rPr/>
            </w:pPr>
            <w:r>
              <w:rPr/>
              <w:t> </w:t>
            </w:r>
          </w:p>
        </w:tc>
      </w:tr>
      <w:tr>
        <w:trPr>
          <w:trHeight w:val="150" w:hRule="atLeast"/>
        </w:trPr>
        <w:tc>
          <w:tcPr>
            <w:tcW w:w="9446" w:type="dxa"/>
            <w:tcBorders/>
            <w:vAlign w:val="center"/>
          </w:tcPr>
          <w:p>
            <w:pPr>
              <w:pStyle w:val="TableContents"/>
              <w:bidi w:val="0"/>
              <w:spacing w:before="0" w:after="283"/>
              <w:jc w:val="left"/>
              <w:rPr>
                <w:sz w:val="4"/>
                <w:szCs w:val="4"/>
              </w:rPr>
            </w:pPr>
            <w:r>
              <w:rPr>
                <w:sz w:val="4"/>
                <w:szCs w:val="4"/>
              </w:rPr>
            </w:r>
          </w:p>
        </w:tc>
        <w:tc>
          <w:tcPr>
            <w:tcW w:w="759" w:type="dxa"/>
            <w:gridSpan w:val="4"/>
            <w:tcBorders/>
            <w:vAlign w:val="center"/>
          </w:tcPr>
          <w:p>
            <w:pPr>
              <w:pStyle w:val="TableContents"/>
              <w:bidi w:val="0"/>
              <w:spacing w:before="0" w:after="283"/>
              <w:jc w:val="left"/>
              <w:rPr>
                <w:sz w:val="4"/>
                <w:szCs w:val="4"/>
              </w:rPr>
            </w:pPr>
            <w:r>
              <w:rPr>
                <w:sz w:val="4"/>
                <w:szCs w:val="4"/>
              </w:rPr>
            </w:r>
          </w:p>
        </w:tc>
      </w:tr>
      <w:tr>
        <w:trPr/>
        <w:tc>
          <w:tcPr>
            <w:tcW w:w="94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50" w:type="dxa"/>
            <w:gridSpan w:val="2"/>
            <w:tcBorders/>
            <w:vAlign w:val="bottom"/>
          </w:tcPr>
          <w:p>
            <w:pPr>
              <w:pStyle w:val="TableContents"/>
              <w:bidi w:val="0"/>
              <w:spacing w:before="0" w:after="283"/>
              <w:jc w:val="right"/>
              <w:rPr>
                <w:b/>
              </w:rPr>
            </w:pPr>
            <w:r>
              <w:rPr>
                <w:b/>
              </w:rPr>
              <w:t>Page</w:t>
            </w:r>
          </w:p>
        </w:tc>
        <w:tc>
          <w:tcPr>
            <w:tcW w:w="63" w:type="dxa"/>
            <w:tcBorders/>
            <w:vAlign w:val="bottom"/>
          </w:tcPr>
          <w:p>
            <w:pPr>
              <w:pStyle w:val="TableContents"/>
              <w:bidi w:val="0"/>
              <w:spacing w:before="0" w:after="283"/>
              <w:jc w:val="left"/>
              <w:rPr/>
            </w:pPr>
            <w:r>
              <w:rPr/>
              <w:t> </w:t>
            </w:r>
          </w:p>
        </w:tc>
      </w:tr>
      <w:tr>
        <w:trPr>
          <w:trHeight w:val="75" w:hRule="atLeast"/>
        </w:trPr>
        <w:tc>
          <w:tcPr>
            <w:tcW w:w="9446" w:type="dxa"/>
            <w:tcBorders/>
            <w:vAlign w:val="center"/>
          </w:tcPr>
          <w:p>
            <w:pPr>
              <w:pStyle w:val="TableContents"/>
              <w:bidi w:val="0"/>
              <w:spacing w:before="0" w:after="283"/>
              <w:jc w:val="left"/>
              <w:rPr>
                <w:sz w:val="4"/>
                <w:szCs w:val="4"/>
              </w:rPr>
            </w:pPr>
            <w:r>
              <w:rPr>
                <w:sz w:val="4"/>
                <w:szCs w:val="4"/>
              </w:rPr>
            </w:r>
          </w:p>
        </w:tc>
        <w:tc>
          <w:tcPr>
            <w:tcW w:w="759" w:type="dxa"/>
            <w:gridSpan w:val="4"/>
            <w:tcBorders/>
            <w:vAlign w:val="center"/>
          </w:tcPr>
          <w:p>
            <w:pPr>
              <w:pStyle w:val="TableContents"/>
              <w:bidi w:val="0"/>
              <w:spacing w:before="0" w:after="283"/>
              <w:jc w:val="left"/>
              <w:rPr>
                <w:sz w:val="4"/>
                <w:szCs w:val="4"/>
              </w:rPr>
            </w:pPr>
            <w:r>
              <w:rPr>
                <w:sz w:val="4"/>
                <w:szCs w:val="4"/>
              </w:rPr>
            </w:r>
          </w:p>
        </w:tc>
      </w:tr>
      <w:tr>
        <w:trPr/>
        <w:tc>
          <w:tcPr>
            <w:tcW w:w="9446" w:type="dxa"/>
            <w:tcBorders/>
          </w:tcPr>
          <w:p>
            <w:pPr>
              <w:pStyle w:val="TableContents"/>
              <w:bidi w:val="0"/>
              <w:spacing w:before="0" w:after="283"/>
              <w:jc w:val="left"/>
              <w:rPr>
                <w:b/>
                <w:sz w:val="24"/>
              </w:rPr>
            </w:pPr>
            <w:r>
              <w:rPr>
                <w:b/>
                <w:sz w:val="24"/>
              </w:rPr>
              <w:t>Prospectus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9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75" w:hRule="atLeast"/>
        </w:trPr>
        <w:tc>
          <w:tcPr>
            <w:tcW w:w="9446" w:type="dxa"/>
            <w:tcBorders/>
            <w:vAlign w:val="center"/>
          </w:tcPr>
          <w:p>
            <w:pPr>
              <w:pStyle w:val="TableContents"/>
              <w:bidi w:val="0"/>
              <w:spacing w:before="0" w:after="283"/>
              <w:jc w:val="left"/>
              <w:rPr>
                <w:sz w:val="4"/>
                <w:szCs w:val="4"/>
              </w:rPr>
            </w:pPr>
            <w:r>
              <w:rPr>
                <w:sz w:val="4"/>
                <w:szCs w:val="4"/>
              </w:rPr>
            </w:r>
          </w:p>
        </w:tc>
        <w:tc>
          <w:tcPr>
            <w:tcW w:w="759" w:type="dxa"/>
            <w:gridSpan w:val="4"/>
            <w:tcBorders/>
            <w:vAlign w:val="center"/>
          </w:tcPr>
          <w:p>
            <w:pPr>
              <w:pStyle w:val="TableContents"/>
              <w:bidi w:val="0"/>
              <w:spacing w:before="0" w:after="283"/>
              <w:jc w:val="left"/>
              <w:rPr>
                <w:sz w:val="4"/>
                <w:szCs w:val="4"/>
              </w:rPr>
            </w:pPr>
            <w:r>
              <w:rPr>
                <w:sz w:val="4"/>
                <w:szCs w:val="4"/>
              </w:rPr>
            </w:r>
          </w:p>
        </w:tc>
      </w:tr>
      <w:tr>
        <w:trPr/>
        <w:tc>
          <w:tcPr>
            <w:tcW w:w="9446" w:type="dxa"/>
            <w:tcBorders/>
          </w:tcPr>
          <w:p>
            <w:pPr>
              <w:pStyle w:val="TableContents"/>
              <w:bidi w:val="0"/>
              <w:spacing w:before="0" w:after="0"/>
              <w:jc w:val="left"/>
              <w:rPr/>
            </w:pPr>
            <w:hyperlink w:anchor="tx93698_1">
              <w:r>
                <w:rPr>
                  <w:rStyle w:val="InternetLink"/>
                  <w:rFonts w:ascii="arial" w:hAnsi="arial"/>
                  <w:sz w:val="20"/>
                </w:rPr>
                <w:t>About This Prospectus</w:t>
              </w:r>
            </w:hyperlink>
          </w:p>
        </w:tc>
        <w:tc>
          <w:tcPr>
            <w:tcW w:w="14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490" w:type="dxa"/>
            <w:tcBorders/>
          </w:tcPr>
          <w:p>
            <w:pPr>
              <w:pStyle w:val="TableContents"/>
              <w:bidi w:val="0"/>
              <w:spacing w:before="0" w:after="283"/>
              <w:jc w:val="right"/>
              <w:rPr/>
            </w:pPr>
            <w:r>
              <w:rPr/>
              <w:t>1</w:t>
            </w:r>
          </w:p>
        </w:tc>
        <w:tc>
          <w:tcPr>
            <w:tcW w:w="63" w:type="dxa"/>
            <w:tcBorders/>
          </w:tcPr>
          <w:p>
            <w:pPr>
              <w:pStyle w:val="TableContents"/>
              <w:bidi w:val="0"/>
              <w:spacing w:before="0" w:after="283"/>
              <w:jc w:val="left"/>
              <w:rPr/>
            </w:pPr>
            <w:r>
              <w:rPr/>
              <w:t> </w:t>
            </w:r>
          </w:p>
        </w:tc>
      </w:tr>
      <w:tr>
        <w:trPr>
          <w:trHeight w:val="75" w:hRule="atLeast"/>
        </w:trPr>
        <w:tc>
          <w:tcPr>
            <w:tcW w:w="9446" w:type="dxa"/>
            <w:tcBorders/>
            <w:vAlign w:val="center"/>
          </w:tcPr>
          <w:p>
            <w:pPr>
              <w:pStyle w:val="TableContents"/>
              <w:bidi w:val="0"/>
              <w:spacing w:before="0" w:after="283"/>
              <w:jc w:val="left"/>
              <w:rPr>
                <w:sz w:val="4"/>
                <w:szCs w:val="4"/>
              </w:rPr>
            </w:pPr>
            <w:r>
              <w:rPr>
                <w:sz w:val="4"/>
                <w:szCs w:val="4"/>
              </w:rPr>
            </w:r>
          </w:p>
        </w:tc>
        <w:tc>
          <w:tcPr>
            <w:tcW w:w="759" w:type="dxa"/>
            <w:gridSpan w:val="4"/>
            <w:tcBorders/>
            <w:vAlign w:val="center"/>
          </w:tcPr>
          <w:p>
            <w:pPr>
              <w:pStyle w:val="TableContents"/>
              <w:bidi w:val="0"/>
              <w:spacing w:before="0" w:after="283"/>
              <w:jc w:val="left"/>
              <w:rPr>
                <w:sz w:val="4"/>
                <w:szCs w:val="4"/>
              </w:rPr>
            </w:pPr>
            <w:r>
              <w:rPr>
                <w:sz w:val="4"/>
                <w:szCs w:val="4"/>
              </w:rPr>
            </w:r>
          </w:p>
        </w:tc>
      </w:tr>
      <w:tr>
        <w:trPr/>
        <w:tc>
          <w:tcPr>
            <w:tcW w:w="9446" w:type="dxa"/>
            <w:tcBorders/>
          </w:tcPr>
          <w:p>
            <w:pPr>
              <w:pStyle w:val="TableContents"/>
              <w:bidi w:val="0"/>
              <w:spacing w:before="0" w:after="0"/>
              <w:jc w:val="left"/>
              <w:rPr/>
            </w:pPr>
            <w:hyperlink w:anchor="tx93698_2">
              <w:r>
                <w:rPr>
                  <w:rStyle w:val="InternetLink"/>
                  <w:rFonts w:ascii="arial" w:hAnsi="arial"/>
                  <w:sz w:val="20"/>
                </w:rPr>
                <w:t>Where You Can Find More Information; Incorporation by Reference</w:t>
              </w:r>
            </w:hyperlink>
          </w:p>
        </w:tc>
        <w:tc>
          <w:tcPr>
            <w:tcW w:w="14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490" w:type="dxa"/>
            <w:tcBorders/>
          </w:tcPr>
          <w:p>
            <w:pPr>
              <w:pStyle w:val="TableContents"/>
              <w:bidi w:val="0"/>
              <w:spacing w:before="0" w:after="283"/>
              <w:jc w:val="right"/>
              <w:rPr/>
            </w:pPr>
            <w:r>
              <w:rPr/>
              <w:t>2</w:t>
            </w:r>
          </w:p>
        </w:tc>
        <w:tc>
          <w:tcPr>
            <w:tcW w:w="63" w:type="dxa"/>
            <w:tcBorders/>
          </w:tcPr>
          <w:p>
            <w:pPr>
              <w:pStyle w:val="TableContents"/>
              <w:bidi w:val="0"/>
              <w:spacing w:before="0" w:after="283"/>
              <w:jc w:val="left"/>
              <w:rPr/>
            </w:pPr>
            <w:r>
              <w:rPr/>
              <w:t> </w:t>
            </w:r>
          </w:p>
        </w:tc>
      </w:tr>
      <w:tr>
        <w:trPr>
          <w:trHeight w:val="75" w:hRule="atLeast"/>
        </w:trPr>
        <w:tc>
          <w:tcPr>
            <w:tcW w:w="9446" w:type="dxa"/>
            <w:tcBorders/>
            <w:vAlign w:val="center"/>
          </w:tcPr>
          <w:p>
            <w:pPr>
              <w:pStyle w:val="TableContents"/>
              <w:bidi w:val="0"/>
              <w:spacing w:before="0" w:after="283"/>
              <w:jc w:val="left"/>
              <w:rPr>
                <w:sz w:val="4"/>
                <w:szCs w:val="4"/>
              </w:rPr>
            </w:pPr>
            <w:r>
              <w:rPr>
                <w:sz w:val="4"/>
                <w:szCs w:val="4"/>
              </w:rPr>
            </w:r>
          </w:p>
        </w:tc>
        <w:tc>
          <w:tcPr>
            <w:tcW w:w="759" w:type="dxa"/>
            <w:gridSpan w:val="4"/>
            <w:tcBorders/>
            <w:vAlign w:val="center"/>
          </w:tcPr>
          <w:p>
            <w:pPr>
              <w:pStyle w:val="TableContents"/>
              <w:bidi w:val="0"/>
              <w:spacing w:before="0" w:after="283"/>
              <w:jc w:val="left"/>
              <w:rPr>
                <w:sz w:val="4"/>
                <w:szCs w:val="4"/>
              </w:rPr>
            </w:pPr>
            <w:r>
              <w:rPr>
                <w:sz w:val="4"/>
                <w:szCs w:val="4"/>
              </w:rPr>
            </w:r>
          </w:p>
        </w:tc>
      </w:tr>
      <w:tr>
        <w:trPr/>
        <w:tc>
          <w:tcPr>
            <w:tcW w:w="9446" w:type="dxa"/>
            <w:tcBorders/>
          </w:tcPr>
          <w:p>
            <w:pPr>
              <w:pStyle w:val="TableContents"/>
              <w:bidi w:val="0"/>
              <w:spacing w:before="0" w:after="0"/>
              <w:jc w:val="left"/>
              <w:rPr/>
            </w:pPr>
            <w:hyperlink w:anchor="tx93698_3">
              <w:r>
                <w:rPr>
                  <w:rStyle w:val="InternetLink"/>
                  <w:rFonts w:ascii="arial" w:hAnsi="arial"/>
                  <w:sz w:val="20"/>
                </w:rPr>
                <w:t>About the Company</w:t>
              </w:r>
            </w:hyperlink>
          </w:p>
        </w:tc>
        <w:tc>
          <w:tcPr>
            <w:tcW w:w="14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490" w:type="dxa"/>
            <w:tcBorders/>
          </w:tcPr>
          <w:p>
            <w:pPr>
              <w:pStyle w:val="TableContents"/>
              <w:bidi w:val="0"/>
              <w:spacing w:before="0" w:after="283"/>
              <w:jc w:val="right"/>
              <w:rPr/>
            </w:pPr>
            <w:r>
              <w:rPr/>
              <w:t>4</w:t>
            </w:r>
          </w:p>
        </w:tc>
        <w:tc>
          <w:tcPr>
            <w:tcW w:w="63" w:type="dxa"/>
            <w:tcBorders/>
          </w:tcPr>
          <w:p>
            <w:pPr>
              <w:pStyle w:val="TableContents"/>
              <w:bidi w:val="0"/>
              <w:spacing w:before="0" w:after="283"/>
              <w:jc w:val="left"/>
              <w:rPr/>
            </w:pPr>
            <w:r>
              <w:rPr/>
              <w:t> </w:t>
            </w:r>
          </w:p>
        </w:tc>
      </w:tr>
      <w:tr>
        <w:trPr>
          <w:trHeight w:val="75" w:hRule="atLeast"/>
        </w:trPr>
        <w:tc>
          <w:tcPr>
            <w:tcW w:w="9446" w:type="dxa"/>
            <w:tcBorders/>
            <w:vAlign w:val="center"/>
          </w:tcPr>
          <w:p>
            <w:pPr>
              <w:pStyle w:val="TableContents"/>
              <w:bidi w:val="0"/>
              <w:spacing w:before="0" w:after="283"/>
              <w:jc w:val="left"/>
              <w:rPr>
                <w:sz w:val="4"/>
                <w:szCs w:val="4"/>
              </w:rPr>
            </w:pPr>
            <w:r>
              <w:rPr>
                <w:sz w:val="4"/>
                <w:szCs w:val="4"/>
              </w:rPr>
            </w:r>
          </w:p>
        </w:tc>
        <w:tc>
          <w:tcPr>
            <w:tcW w:w="759" w:type="dxa"/>
            <w:gridSpan w:val="4"/>
            <w:tcBorders/>
            <w:vAlign w:val="center"/>
          </w:tcPr>
          <w:p>
            <w:pPr>
              <w:pStyle w:val="TableContents"/>
              <w:bidi w:val="0"/>
              <w:spacing w:before="0" w:after="283"/>
              <w:jc w:val="left"/>
              <w:rPr>
                <w:sz w:val="4"/>
                <w:szCs w:val="4"/>
              </w:rPr>
            </w:pPr>
            <w:r>
              <w:rPr>
                <w:sz w:val="4"/>
                <w:szCs w:val="4"/>
              </w:rPr>
            </w:r>
          </w:p>
        </w:tc>
      </w:tr>
      <w:tr>
        <w:trPr/>
        <w:tc>
          <w:tcPr>
            <w:tcW w:w="9446" w:type="dxa"/>
            <w:tcBorders/>
          </w:tcPr>
          <w:p>
            <w:pPr>
              <w:pStyle w:val="TableContents"/>
              <w:bidi w:val="0"/>
              <w:spacing w:before="0" w:after="0"/>
              <w:jc w:val="left"/>
              <w:rPr/>
            </w:pPr>
            <w:hyperlink w:anchor="tx93698_4">
              <w:r>
                <w:rPr>
                  <w:rStyle w:val="InternetLink"/>
                  <w:rFonts w:ascii="arial" w:hAnsi="arial"/>
                  <w:sz w:val="20"/>
                </w:rPr>
                <w:t>Risk Factors</w:t>
              </w:r>
            </w:hyperlink>
          </w:p>
        </w:tc>
        <w:tc>
          <w:tcPr>
            <w:tcW w:w="14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490" w:type="dxa"/>
            <w:tcBorders/>
          </w:tcPr>
          <w:p>
            <w:pPr>
              <w:pStyle w:val="TableContents"/>
              <w:bidi w:val="0"/>
              <w:spacing w:before="0" w:after="283"/>
              <w:jc w:val="right"/>
              <w:rPr/>
            </w:pPr>
            <w:r>
              <w:rPr/>
              <w:t>5</w:t>
            </w:r>
          </w:p>
        </w:tc>
        <w:tc>
          <w:tcPr>
            <w:tcW w:w="63" w:type="dxa"/>
            <w:tcBorders/>
          </w:tcPr>
          <w:p>
            <w:pPr>
              <w:pStyle w:val="TableContents"/>
              <w:bidi w:val="0"/>
              <w:spacing w:before="0" w:after="283"/>
              <w:jc w:val="left"/>
              <w:rPr/>
            </w:pPr>
            <w:r>
              <w:rPr/>
              <w:t> </w:t>
            </w:r>
          </w:p>
        </w:tc>
      </w:tr>
      <w:tr>
        <w:trPr>
          <w:trHeight w:val="75" w:hRule="atLeast"/>
        </w:trPr>
        <w:tc>
          <w:tcPr>
            <w:tcW w:w="9446" w:type="dxa"/>
            <w:tcBorders/>
            <w:vAlign w:val="center"/>
          </w:tcPr>
          <w:p>
            <w:pPr>
              <w:pStyle w:val="TableContents"/>
              <w:bidi w:val="0"/>
              <w:spacing w:before="0" w:after="283"/>
              <w:jc w:val="left"/>
              <w:rPr>
                <w:sz w:val="4"/>
                <w:szCs w:val="4"/>
              </w:rPr>
            </w:pPr>
            <w:r>
              <w:rPr>
                <w:sz w:val="4"/>
                <w:szCs w:val="4"/>
              </w:rPr>
            </w:r>
          </w:p>
        </w:tc>
        <w:tc>
          <w:tcPr>
            <w:tcW w:w="759" w:type="dxa"/>
            <w:gridSpan w:val="4"/>
            <w:tcBorders/>
            <w:vAlign w:val="center"/>
          </w:tcPr>
          <w:p>
            <w:pPr>
              <w:pStyle w:val="TableContents"/>
              <w:bidi w:val="0"/>
              <w:spacing w:before="0" w:after="283"/>
              <w:jc w:val="left"/>
              <w:rPr>
                <w:sz w:val="4"/>
                <w:szCs w:val="4"/>
              </w:rPr>
            </w:pPr>
            <w:r>
              <w:rPr>
                <w:sz w:val="4"/>
                <w:szCs w:val="4"/>
              </w:rPr>
            </w:r>
          </w:p>
        </w:tc>
      </w:tr>
      <w:tr>
        <w:trPr/>
        <w:tc>
          <w:tcPr>
            <w:tcW w:w="9446" w:type="dxa"/>
            <w:tcBorders/>
          </w:tcPr>
          <w:p>
            <w:pPr>
              <w:pStyle w:val="TableContents"/>
              <w:bidi w:val="0"/>
              <w:spacing w:before="0" w:after="0"/>
              <w:jc w:val="left"/>
              <w:rPr/>
            </w:pPr>
            <w:hyperlink w:anchor="tx93698_5">
              <w:r>
                <w:rPr>
                  <w:rStyle w:val="InternetLink"/>
                  <w:rFonts w:ascii="arial" w:hAnsi="arial"/>
                  <w:sz w:val="20"/>
                </w:rPr>
                <w:t>Use of Proceeds</w:t>
              </w:r>
            </w:hyperlink>
          </w:p>
        </w:tc>
        <w:tc>
          <w:tcPr>
            <w:tcW w:w="14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490" w:type="dxa"/>
            <w:tcBorders/>
          </w:tcPr>
          <w:p>
            <w:pPr>
              <w:pStyle w:val="TableContents"/>
              <w:bidi w:val="0"/>
              <w:spacing w:before="0" w:after="283"/>
              <w:jc w:val="right"/>
              <w:rPr/>
            </w:pPr>
            <w:r>
              <w:rPr/>
              <w:t>6</w:t>
            </w:r>
          </w:p>
        </w:tc>
        <w:tc>
          <w:tcPr>
            <w:tcW w:w="63" w:type="dxa"/>
            <w:tcBorders/>
          </w:tcPr>
          <w:p>
            <w:pPr>
              <w:pStyle w:val="TableContents"/>
              <w:bidi w:val="0"/>
              <w:spacing w:before="0" w:after="283"/>
              <w:jc w:val="left"/>
              <w:rPr/>
            </w:pPr>
            <w:r>
              <w:rPr/>
              <w:t> </w:t>
            </w:r>
          </w:p>
        </w:tc>
      </w:tr>
      <w:tr>
        <w:trPr>
          <w:trHeight w:val="75" w:hRule="atLeast"/>
        </w:trPr>
        <w:tc>
          <w:tcPr>
            <w:tcW w:w="9446" w:type="dxa"/>
            <w:tcBorders/>
            <w:vAlign w:val="center"/>
          </w:tcPr>
          <w:p>
            <w:pPr>
              <w:pStyle w:val="TableContents"/>
              <w:bidi w:val="0"/>
              <w:spacing w:before="0" w:after="283"/>
              <w:jc w:val="left"/>
              <w:rPr>
                <w:sz w:val="4"/>
                <w:szCs w:val="4"/>
              </w:rPr>
            </w:pPr>
            <w:r>
              <w:rPr>
                <w:sz w:val="4"/>
                <w:szCs w:val="4"/>
              </w:rPr>
            </w:r>
          </w:p>
        </w:tc>
        <w:tc>
          <w:tcPr>
            <w:tcW w:w="759" w:type="dxa"/>
            <w:gridSpan w:val="4"/>
            <w:tcBorders/>
            <w:vAlign w:val="center"/>
          </w:tcPr>
          <w:p>
            <w:pPr>
              <w:pStyle w:val="TableContents"/>
              <w:bidi w:val="0"/>
              <w:spacing w:before="0" w:after="283"/>
              <w:jc w:val="left"/>
              <w:rPr>
                <w:sz w:val="4"/>
                <w:szCs w:val="4"/>
              </w:rPr>
            </w:pPr>
            <w:r>
              <w:rPr>
                <w:sz w:val="4"/>
                <w:szCs w:val="4"/>
              </w:rPr>
            </w:r>
          </w:p>
        </w:tc>
      </w:tr>
      <w:tr>
        <w:trPr/>
        <w:tc>
          <w:tcPr>
            <w:tcW w:w="9446" w:type="dxa"/>
            <w:tcBorders/>
          </w:tcPr>
          <w:p>
            <w:pPr>
              <w:pStyle w:val="TableContents"/>
              <w:bidi w:val="0"/>
              <w:spacing w:before="0" w:after="0"/>
              <w:jc w:val="left"/>
              <w:rPr/>
            </w:pPr>
            <w:hyperlink w:anchor="tx93698_6">
              <w:r>
                <w:rPr>
                  <w:rStyle w:val="InternetLink"/>
                  <w:rFonts w:ascii="arial" w:hAnsi="arial"/>
                  <w:sz w:val="20"/>
                </w:rPr>
                <w:t>Description of Capital Stock</w:t>
              </w:r>
            </w:hyperlink>
          </w:p>
        </w:tc>
        <w:tc>
          <w:tcPr>
            <w:tcW w:w="14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490" w:type="dxa"/>
            <w:tcBorders/>
          </w:tcPr>
          <w:p>
            <w:pPr>
              <w:pStyle w:val="TableContents"/>
              <w:bidi w:val="0"/>
              <w:spacing w:before="0" w:after="283"/>
              <w:jc w:val="right"/>
              <w:rPr/>
            </w:pPr>
            <w:r>
              <w:rPr/>
              <w:t>7</w:t>
            </w:r>
          </w:p>
        </w:tc>
        <w:tc>
          <w:tcPr>
            <w:tcW w:w="63" w:type="dxa"/>
            <w:tcBorders/>
          </w:tcPr>
          <w:p>
            <w:pPr>
              <w:pStyle w:val="TableContents"/>
              <w:bidi w:val="0"/>
              <w:spacing w:before="0" w:after="283"/>
              <w:jc w:val="left"/>
              <w:rPr/>
            </w:pPr>
            <w:r>
              <w:rPr/>
              <w:t> </w:t>
            </w:r>
          </w:p>
        </w:tc>
      </w:tr>
      <w:tr>
        <w:trPr>
          <w:trHeight w:val="75" w:hRule="atLeast"/>
        </w:trPr>
        <w:tc>
          <w:tcPr>
            <w:tcW w:w="9446" w:type="dxa"/>
            <w:tcBorders/>
            <w:vAlign w:val="center"/>
          </w:tcPr>
          <w:p>
            <w:pPr>
              <w:pStyle w:val="TableContents"/>
              <w:bidi w:val="0"/>
              <w:spacing w:before="0" w:after="283"/>
              <w:jc w:val="left"/>
              <w:rPr>
                <w:sz w:val="4"/>
                <w:szCs w:val="4"/>
              </w:rPr>
            </w:pPr>
            <w:r>
              <w:rPr>
                <w:sz w:val="4"/>
                <w:szCs w:val="4"/>
              </w:rPr>
            </w:r>
          </w:p>
        </w:tc>
        <w:tc>
          <w:tcPr>
            <w:tcW w:w="759" w:type="dxa"/>
            <w:gridSpan w:val="4"/>
            <w:tcBorders/>
            <w:vAlign w:val="center"/>
          </w:tcPr>
          <w:p>
            <w:pPr>
              <w:pStyle w:val="TableContents"/>
              <w:bidi w:val="0"/>
              <w:spacing w:before="0" w:after="283"/>
              <w:jc w:val="left"/>
              <w:rPr>
                <w:sz w:val="4"/>
                <w:szCs w:val="4"/>
              </w:rPr>
            </w:pPr>
            <w:r>
              <w:rPr>
                <w:sz w:val="4"/>
                <w:szCs w:val="4"/>
              </w:rPr>
            </w:r>
          </w:p>
        </w:tc>
      </w:tr>
      <w:tr>
        <w:trPr/>
        <w:tc>
          <w:tcPr>
            <w:tcW w:w="9446" w:type="dxa"/>
            <w:tcBorders/>
          </w:tcPr>
          <w:p>
            <w:pPr>
              <w:pStyle w:val="TableContents"/>
              <w:bidi w:val="0"/>
              <w:spacing w:before="0" w:after="0"/>
              <w:jc w:val="left"/>
              <w:rPr/>
            </w:pPr>
            <w:hyperlink w:anchor="tx93698_7">
              <w:r>
                <w:rPr>
                  <w:rStyle w:val="InternetLink"/>
                  <w:rFonts w:ascii="arial" w:hAnsi="arial"/>
                  <w:sz w:val="20"/>
                </w:rPr>
                <w:t>Description of Debt Securities</w:t>
              </w:r>
            </w:hyperlink>
          </w:p>
        </w:tc>
        <w:tc>
          <w:tcPr>
            <w:tcW w:w="14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490" w:type="dxa"/>
            <w:tcBorders/>
          </w:tcPr>
          <w:p>
            <w:pPr>
              <w:pStyle w:val="TableContents"/>
              <w:bidi w:val="0"/>
              <w:spacing w:before="0" w:after="283"/>
              <w:jc w:val="right"/>
              <w:rPr/>
            </w:pPr>
            <w:r>
              <w:rPr/>
              <w:t>16</w:t>
            </w:r>
          </w:p>
        </w:tc>
        <w:tc>
          <w:tcPr>
            <w:tcW w:w="63" w:type="dxa"/>
            <w:tcBorders/>
          </w:tcPr>
          <w:p>
            <w:pPr>
              <w:pStyle w:val="TableContents"/>
              <w:bidi w:val="0"/>
              <w:spacing w:before="0" w:after="283"/>
              <w:jc w:val="left"/>
              <w:rPr/>
            </w:pPr>
            <w:r>
              <w:rPr/>
              <w:t> </w:t>
            </w:r>
          </w:p>
        </w:tc>
      </w:tr>
      <w:tr>
        <w:trPr>
          <w:trHeight w:val="75" w:hRule="atLeast"/>
        </w:trPr>
        <w:tc>
          <w:tcPr>
            <w:tcW w:w="9446" w:type="dxa"/>
            <w:tcBorders/>
            <w:vAlign w:val="center"/>
          </w:tcPr>
          <w:p>
            <w:pPr>
              <w:pStyle w:val="TableContents"/>
              <w:bidi w:val="0"/>
              <w:spacing w:before="0" w:after="283"/>
              <w:jc w:val="left"/>
              <w:rPr>
                <w:sz w:val="4"/>
                <w:szCs w:val="4"/>
              </w:rPr>
            </w:pPr>
            <w:r>
              <w:rPr>
                <w:sz w:val="4"/>
                <w:szCs w:val="4"/>
              </w:rPr>
            </w:r>
          </w:p>
        </w:tc>
        <w:tc>
          <w:tcPr>
            <w:tcW w:w="759" w:type="dxa"/>
            <w:gridSpan w:val="4"/>
            <w:tcBorders/>
            <w:vAlign w:val="center"/>
          </w:tcPr>
          <w:p>
            <w:pPr>
              <w:pStyle w:val="TableContents"/>
              <w:bidi w:val="0"/>
              <w:spacing w:before="0" w:after="283"/>
              <w:jc w:val="left"/>
              <w:rPr>
                <w:sz w:val="4"/>
                <w:szCs w:val="4"/>
              </w:rPr>
            </w:pPr>
            <w:r>
              <w:rPr>
                <w:sz w:val="4"/>
                <w:szCs w:val="4"/>
              </w:rPr>
            </w:r>
          </w:p>
        </w:tc>
      </w:tr>
      <w:tr>
        <w:trPr/>
        <w:tc>
          <w:tcPr>
            <w:tcW w:w="9446" w:type="dxa"/>
            <w:tcBorders/>
          </w:tcPr>
          <w:p>
            <w:pPr>
              <w:pStyle w:val="TableContents"/>
              <w:bidi w:val="0"/>
              <w:spacing w:before="0" w:after="0"/>
              <w:jc w:val="left"/>
              <w:rPr/>
            </w:pPr>
            <w:hyperlink w:anchor="tx93698_8">
              <w:r>
                <w:rPr>
                  <w:rStyle w:val="InternetLink"/>
                  <w:rFonts w:ascii="arial" w:hAnsi="arial"/>
                  <w:sz w:val="20"/>
                </w:rPr>
                <w:t>Description of Other Securities</w:t>
              </w:r>
            </w:hyperlink>
          </w:p>
        </w:tc>
        <w:tc>
          <w:tcPr>
            <w:tcW w:w="14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490" w:type="dxa"/>
            <w:tcBorders/>
          </w:tcPr>
          <w:p>
            <w:pPr>
              <w:pStyle w:val="TableContents"/>
              <w:bidi w:val="0"/>
              <w:spacing w:before="0" w:after="283"/>
              <w:jc w:val="right"/>
              <w:rPr/>
            </w:pPr>
            <w:r>
              <w:rPr/>
              <w:t>24</w:t>
            </w:r>
          </w:p>
        </w:tc>
        <w:tc>
          <w:tcPr>
            <w:tcW w:w="63" w:type="dxa"/>
            <w:tcBorders/>
          </w:tcPr>
          <w:p>
            <w:pPr>
              <w:pStyle w:val="TableContents"/>
              <w:bidi w:val="0"/>
              <w:spacing w:before="0" w:after="283"/>
              <w:jc w:val="left"/>
              <w:rPr/>
            </w:pPr>
            <w:r>
              <w:rPr/>
              <w:t> </w:t>
            </w:r>
          </w:p>
        </w:tc>
      </w:tr>
      <w:tr>
        <w:trPr>
          <w:trHeight w:val="75" w:hRule="atLeast"/>
        </w:trPr>
        <w:tc>
          <w:tcPr>
            <w:tcW w:w="9446" w:type="dxa"/>
            <w:tcBorders/>
            <w:vAlign w:val="center"/>
          </w:tcPr>
          <w:p>
            <w:pPr>
              <w:pStyle w:val="TableContents"/>
              <w:bidi w:val="0"/>
              <w:spacing w:before="0" w:after="283"/>
              <w:jc w:val="left"/>
              <w:rPr>
                <w:sz w:val="4"/>
                <w:szCs w:val="4"/>
              </w:rPr>
            </w:pPr>
            <w:r>
              <w:rPr>
                <w:sz w:val="4"/>
                <w:szCs w:val="4"/>
              </w:rPr>
            </w:r>
          </w:p>
        </w:tc>
        <w:tc>
          <w:tcPr>
            <w:tcW w:w="759" w:type="dxa"/>
            <w:gridSpan w:val="4"/>
            <w:tcBorders/>
            <w:vAlign w:val="center"/>
          </w:tcPr>
          <w:p>
            <w:pPr>
              <w:pStyle w:val="TableContents"/>
              <w:bidi w:val="0"/>
              <w:spacing w:before="0" w:after="283"/>
              <w:jc w:val="left"/>
              <w:rPr>
                <w:sz w:val="4"/>
                <w:szCs w:val="4"/>
              </w:rPr>
            </w:pPr>
            <w:r>
              <w:rPr>
                <w:sz w:val="4"/>
                <w:szCs w:val="4"/>
              </w:rPr>
            </w:r>
          </w:p>
        </w:tc>
      </w:tr>
      <w:tr>
        <w:trPr/>
        <w:tc>
          <w:tcPr>
            <w:tcW w:w="9446" w:type="dxa"/>
            <w:tcBorders/>
          </w:tcPr>
          <w:p>
            <w:pPr>
              <w:pStyle w:val="TableContents"/>
              <w:bidi w:val="0"/>
              <w:spacing w:before="0" w:after="0"/>
              <w:jc w:val="left"/>
              <w:rPr/>
            </w:pPr>
            <w:hyperlink w:anchor="tx93698_9">
              <w:r>
                <w:rPr>
                  <w:rStyle w:val="InternetLink"/>
                  <w:rFonts w:ascii="arial" w:hAnsi="arial"/>
                  <w:sz w:val="20"/>
                </w:rPr>
                <w:t>Global Securities</w:t>
              </w:r>
            </w:hyperlink>
          </w:p>
        </w:tc>
        <w:tc>
          <w:tcPr>
            <w:tcW w:w="14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490" w:type="dxa"/>
            <w:tcBorders/>
          </w:tcPr>
          <w:p>
            <w:pPr>
              <w:pStyle w:val="TableContents"/>
              <w:bidi w:val="0"/>
              <w:spacing w:before="0" w:after="283"/>
              <w:jc w:val="right"/>
              <w:rPr/>
            </w:pPr>
            <w:r>
              <w:rPr/>
              <w:t>25</w:t>
            </w:r>
          </w:p>
        </w:tc>
        <w:tc>
          <w:tcPr>
            <w:tcW w:w="63" w:type="dxa"/>
            <w:tcBorders/>
          </w:tcPr>
          <w:p>
            <w:pPr>
              <w:pStyle w:val="TableContents"/>
              <w:bidi w:val="0"/>
              <w:spacing w:before="0" w:after="283"/>
              <w:jc w:val="left"/>
              <w:rPr/>
            </w:pPr>
            <w:r>
              <w:rPr/>
              <w:t> </w:t>
            </w:r>
          </w:p>
        </w:tc>
      </w:tr>
      <w:tr>
        <w:trPr>
          <w:trHeight w:val="75" w:hRule="atLeast"/>
        </w:trPr>
        <w:tc>
          <w:tcPr>
            <w:tcW w:w="9446" w:type="dxa"/>
            <w:tcBorders/>
            <w:vAlign w:val="center"/>
          </w:tcPr>
          <w:p>
            <w:pPr>
              <w:pStyle w:val="TableContents"/>
              <w:bidi w:val="0"/>
              <w:spacing w:before="0" w:after="283"/>
              <w:jc w:val="left"/>
              <w:rPr>
                <w:sz w:val="4"/>
                <w:szCs w:val="4"/>
              </w:rPr>
            </w:pPr>
            <w:r>
              <w:rPr>
                <w:sz w:val="4"/>
                <w:szCs w:val="4"/>
              </w:rPr>
            </w:r>
          </w:p>
        </w:tc>
        <w:tc>
          <w:tcPr>
            <w:tcW w:w="759" w:type="dxa"/>
            <w:gridSpan w:val="4"/>
            <w:tcBorders/>
            <w:vAlign w:val="center"/>
          </w:tcPr>
          <w:p>
            <w:pPr>
              <w:pStyle w:val="TableContents"/>
              <w:bidi w:val="0"/>
              <w:spacing w:before="0" w:after="283"/>
              <w:jc w:val="left"/>
              <w:rPr>
                <w:sz w:val="4"/>
                <w:szCs w:val="4"/>
              </w:rPr>
            </w:pPr>
            <w:r>
              <w:rPr>
                <w:sz w:val="4"/>
                <w:szCs w:val="4"/>
              </w:rPr>
            </w:r>
          </w:p>
        </w:tc>
      </w:tr>
      <w:tr>
        <w:trPr/>
        <w:tc>
          <w:tcPr>
            <w:tcW w:w="9446" w:type="dxa"/>
            <w:tcBorders/>
          </w:tcPr>
          <w:p>
            <w:pPr>
              <w:pStyle w:val="TableContents"/>
              <w:bidi w:val="0"/>
              <w:spacing w:before="0" w:after="0"/>
              <w:jc w:val="left"/>
              <w:rPr/>
            </w:pPr>
            <w:hyperlink w:anchor="tx93698_10">
              <w:r>
                <w:rPr>
                  <w:rStyle w:val="InternetLink"/>
                  <w:rFonts w:ascii="arial" w:hAnsi="arial"/>
                  <w:sz w:val="20"/>
                </w:rPr>
                <w:t>Plan of Distribution</w:t>
              </w:r>
            </w:hyperlink>
          </w:p>
        </w:tc>
        <w:tc>
          <w:tcPr>
            <w:tcW w:w="14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490" w:type="dxa"/>
            <w:tcBorders/>
          </w:tcPr>
          <w:p>
            <w:pPr>
              <w:pStyle w:val="TableContents"/>
              <w:bidi w:val="0"/>
              <w:spacing w:before="0" w:after="283"/>
              <w:jc w:val="right"/>
              <w:rPr/>
            </w:pPr>
            <w:r>
              <w:rPr/>
              <w:t>29</w:t>
            </w:r>
          </w:p>
        </w:tc>
        <w:tc>
          <w:tcPr>
            <w:tcW w:w="63" w:type="dxa"/>
            <w:tcBorders/>
          </w:tcPr>
          <w:p>
            <w:pPr>
              <w:pStyle w:val="TableContents"/>
              <w:bidi w:val="0"/>
              <w:spacing w:before="0" w:after="283"/>
              <w:jc w:val="left"/>
              <w:rPr/>
            </w:pPr>
            <w:r>
              <w:rPr/>
              <w:t> </w:t>
            </w:r>
          </w:p>
        </w:tc>
      </w:tr>
      <w:tr>
        <w:trPr>
          <w:trHeight w:val="75" w:hRule="atLeast"/>
        </w:trPr>
        <w:tc>
          <w:tcPr>
            <w:tcW w:w="9446" w:type="dxa"/>
            <w:tcBorders/>
            <w:vAlign w:val="center"/>
          </w:tcPr>
          <w:p>
            <w:pPr>
              <w:pStyle w:val="TableContents"/>
              <w:bidi w:val="0"/>
              <w:spacing w:before="0" w:after="283"/>
              <w:jc w:val="left"/>
              <w:rPr>
                <w:sz w:val="4"/>
                <w:szCs w:val="4"/>
              </w:rPr>
            </w:pPr>
            <w:r>
              <w:rPr>
                <w:sz w:val="4"/>
                <w:szCs w:val="4"/>
              </w:rPr>
            </w:r>
          </w:p>
        </w:tc>
        <w:tc>
          <w:tcPr>
            <w:tcW w:w="759" w:type="dxa"/>
            <w:gridSpan w:val="4"/>
            <w:tcBorders/>
            <w:vAlign w:val="center"/>
          </w:tcPr>
          <w:p>
            <w:pPr>
              <w:pStyle w:val="TableContents"/>
              <w:bidi w:val="0"/>
              <w:spacing w:before="0" w:after="283"/>
              <w:jc w:val="left"/>
              <w:rPr>
                <w:sz w:val="4"/>
                <w:szCs w:val="4"/>
              </w:rPr>
            </w:pPr>
            <w:r>
              <w:rPr>
                <w:sz w:val="4"/>
                <w:szCs w:val="4"/>
              </w:rPr>
            </w:r>
          </w:p>
        </w:tc>
      </w:tr>
      <w:tr>
        <w:trPr/>
        <w:tc>
          <w:tcPr>
            <w:tcW w:w="9446" w:type="dxa"/>
            <w:tcBorders/>
          </w:tcPr>
          <w:p>
            <w:pPr>
              <w:pStyle w:val="TableContents"/>
              <w:bidi w:val="0"/>
              <w:spacing w:before="0" w:after="0"/>
              <w:jc w:val="left"/>
              <w:rPr/>
            </w:pPr>
            <w:hyperlink w:anchor="tx93698_11">
              <w:r>
                <w:rPr>
                  <w:rStyle w:val="InternetLink"/>
                  <w:rFonts w:ascii="arial" w:hAnsi="arial"/>
                  <w:sz w:val="20"/>
                </w:rPr>
                <w:t>Legal Matters</w:t>
              </w:r>
            </w:hyperlink>
          </w:p>
        </w:tc>
        <w:tc>
          <w:tcPr>
            <w:tcW w:w="14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490" w:type="dxa"/>
            <w:tcBorders/>
          </w:tcPr>
          <w:p>
            <w:pPr>
              <w:pStyle w:val="TableContents"/>
              <w:bidi w:val="0"/>
              <w:spacing w:before="0" w:after="283"/>
              <w:jc w:val="right"/>
              <w:rPr/>
            </w:pPr>
            <w:r>
              <w:rPr/>
              <w:t>30</w:t>
            </w:r>
          </w:p>
        </w:tc>
        <w:tc>
          <w:tcPr>
            <w:tcW w:w="63" w:type="dxa"/>
            <w:tcBorders/>
          </w:tcPr>
          <w:p>
            <w:pPr>
              <w:pStyle w:val="TableContents"/>
              <w:bidi w:val="0"/>
              <w:spacing w:before="0" w:after="283"/>
              <w:jc w:val="left"/>
              <w:rPr/>
            </w:pPr>
            <w:r>
              <w:rPr/>
              <w:t> </w:t>
            </w:r>
          </w:p>
        </w:tc>
      </w:tr>
      <w:tr>
        <w:trPr>
          <w:trHeight w:val="75" w:hRule="atLeast"/>
        </w:trPr>
        <w:tc>
          <w:tcPr>
            <w:tcW w:w="9446" w:type="dxa"/>
            <w:tcBorders/>
            <w:vAlign w:val="center"/>
          </w:tcPr>
          <w:p>
            <w:pPr>
              <w:pStyle w:val="TableContents"/>
              <w:bidi w:val="0"/>
              <w:spacing w:before="0" w:after="283"/>
              <w:jc w:val="left"/>
              <w:rPr>
                <w:sz w:val="4"/>
                <w:szCs w:val="4"/>
              </w:rPr>
            </w:pPr>
            <w:r>
              <w:rPr>
                <w:sz w:val="4"/>
                <w:szCs w:val="4"/>
              </w:rPr>
            </w:r>
          </w:p>
        </w:tc>
        <w:tc>
          <w:tcPr>
            <w:tcW w:w="759" w:type="dxa"/>
            <w:gridSpan w:val="4"/>
            <w:tcBorders/>
            <w:vAlign w:val="center"/>
          </w:tcPr>
          <w:p>
            <w:pPr>
              <w:pStyle w:val="TableContents"/>
              <w:bidi w:val="0"/>
              <w:spacing w:before="0" w:after="283"/>
              <w:jc w:val="left"/>
              <w:rPr>
                <w:sz w:val="4"/>
                <w:szCs w:val="4"/>
              </w:rPr>
            </w:pPr>
            <w:r>
              <w:rPr>
                <w:sz w:val="4"/>
                <w:szCs w:val="4"/>
              </w:rPr>
            </w:r>
          </w:p>
        </w:tc>
      </w:tr>
      <w:tr>
        <w:trPr/>
        <w:tc>
          <w:tcPr>
            <w:tcW w:w="9446" w:type="dxa"/>
            <w:tcBorders/>
          </w:tcPr>
          <w:p>
            <w:pPr>
              <w:pStyle w:val="TableContents"/>
              <w:bidi w:val="0"/>
              <w:spacing w:before="0" w:after="0"/>
              <w:jc w:val="left"/>
              <w:rPr/>
            </w:pPr>
            <w:hyperlink w:anchor="tx93698_12">
              <w:r>
                <w:rPr>
                  <w:rStyle w:val="InternetLink"/>
                  <w:rFonts w:ascii="arial" w:hAnsi="arial"/>
                  <w:sz w:val="20"/>
                </w:rPr>
                <w:t>Experts</w:t>
              </w:r>
            </w:hyperlink>
          </w:p>
        </w:tc>
        <w:tc>
          <w:tcPr>
            <w:tcW w:w="14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490" w:type="dxa"/>
            <w:tcBorders/>
          </w:tcPr>
          <w:p>
            <w:pPr>
              <w:pStyle w:val="TableContents"/>
              <w:bidi w:val="0"/>
              <w:spacing w:before="0" w:after="283"/>
              <w:jc w:val="right"/>
              <w:rPr/>
            </w:pPr>
            <w:r>
              <w:rPr/>
              <w:t>30</w:t>
            </w:r>
          </w:p>
        </w:tc>
        <w:tc>
          <w:tcPr>
            <w:tcW w:w="63" w:type="dxa"/>
            <w:tcBorders/>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S-i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sz w:val="32"/>
        </w:rPr>
      </w:pPr>
      <w:bookmarkStart w:id="3" w:name="supptoc93698_1"/>
      <w:bookmarkEnd w:id="3"/>
      <w:r>
        <w:rPr>
          <w:rFonts w:ascii="arial" w:hAnsi="arial"/>
          <w:b/>
          <w:sz w:val="32"/>
        </w:rPr>
        <w:t xml:space="preserve">About this prospectus supplement </w:t>
      </w:r>
    </w:p>
    <w:p>
      <w:pPr>
        <w:pStyle w:val="TextBody"/>
        <w:bidi w:val="0"/>
        <w:spacing w:before="160" w:after="0"/>
        <w:jc w:val="left"/>
        <w:rPr>
          <w:rFonts w:ascii="arial" w:hAnsi="arial"/>
          <w:sz w:val="20"/>
        </w:rPr>
      </w:pPr>
      <w:r>
        <w:rPr>
          <w:rFonts w:ascii="arial" w:hAnsi="arial"/>
          <w:sz w:val="20"/>
        </w:rPr>
        <w:t xml:space="preserve">This document is in two parts. The first part is this prospectus supplement, which describes the specific terms of this offering of common stock and also adds to and updates information contained in the accompanying prospectus and the documents incorporated by reference into this prospectus supplement and the accompanying prospectus. The second part is the accompanying prospectus dated March 4, 2024, included in our registration statement on Form S-3 (File No. 333-277640), along with the documents incorporated by reference therein, which provides more general information, some of which may not apply to this offering. Generally, when we refer to this prospectus, we are referring to both parts of this document combined. To the extent there is a conflict between the information contained in this prospectus supplement, on the one hand, and the information contained in the accompanying prospectus or in any document incorporated by reference that was filed with the Securities and Exchange Commission, or the SEC, before the date of this prospectus supplement, on the other hand, you should rely on the information contained in this prospectus supplement. If any statement in one of these documents is inconsistent with a statement in another document having a later date—for example, a document incorporated by reference in the accompanying prospectus—the statement in the document having the later date modifies or supersedes the earlier statement. </w:t>
      </w:r>
    </w:p>
    <w:p>
      <w:pPr>
        <w:pStyle w:val="TextBody"/>
        <w:bidi w:val="0"/>
        <w:spacing w:before="160" w:after="0"/>
        <w:jc w:val="left"/>
        <w:rPr>
          <w:rFonts w:ascii="arial" w:hAnsi="arial"/>
          <w:sz w:val="20"/>
        </w:rPr>
      </w:pPr>
      <w:r>
        <w:rPr>
          <w:rFonts w:ascii="arial" w:hAnsi="arial"/>
          <w:sz w:val="20"/>
        </w:rPr>
        <w:t xml:space="preserve">This prospectus supplement and the accompanying prospectus are part of a “shelf” registration statement that we filed with the SEC. Under this shelf registration process, we may offer from time to time various securities, of which this offering of shares of our common stock is a part. Such registration statement also includes exhibits that provide more detail on the matters discussed in this prospectus supplement and the accompanying prospectus. You should read this prospectus supplement, the accompanying prospectus, including the information incorporated by reference herein and therein, the exhibits filed with the SEC, and any free writing prospectus that we have authorized for use in connection with this offering, in their entirety before making an investment decision. </w:t>
      </w:r>
    </w:p>
    <w:p>
      <w:pPr>
        <w:pStyle w:val="TextBody"/>
        <w:bidi w:val="0"/>
        <w:spacing w:before="160" w:after="0"/>
        <w:jc w:val="left"/>
        <w:rPr>
          <w:rFonts w:ascii="arial" w:hAnsi="arial"/>
          <w:sz w:val="20"/>
        </w:rPr>
      </w:pPr>
      <w:r>
        <w:rPr>
          <w:rFonts w:ascii="arial" w:hAnsi="arial"/>
          <w:sz w:val="20"/>
        </w:rPr>
        <w:t xml:space="preserve">We have not, and the underwriters have not, authorized anyone to provide you with information, or to make any representation, different from that contained or incorporated by reference in this prospectus supplement and the accompanying prospectus, along with the information contained in any free writing prospectus that we have authorized for use in connection with this offering. We and the underwriters take no responsibility for, and can provide no assurance as to the reliability of, any other information that others may give you. You should assume that the information appearing in this prospectus supplement, the accompanying prospectus, the documents incorporated by reference in this prospectus supplement and the accompanying prospectus, and in any free writing prospectus that we have authorized for use in connection with this offering is accurate only as of the respective dates of those documents, unless we indicate otherwise. Our business, financial condition, results of operations and prospects may have changed since those dates. </w:t>
      </w:r>
    </w:p>
    <w:p>
      <w:pPr>
        <w:pStyle w:val="TextBody"/>
        <w:bidi w:val="0"/>
        <w:spacing w:before="160" w:after="0"/>
        <w:jc w:val="left"/>
        <w:rPr>
          <w:rFonts w:ascii="arial" w:hAnsi="arial"/>
          <w:sz w:val="20"/>
        </w:rPr>
      </w:pPr>
      <w:r>
        <w:rPr>
          <w:rFonts w:ascii="arial" w:hAnsi="arial"/>
          <w:sz w:val="20"/>
        </w:rPr>
        <w:t xml:space="preserve">We further note that the representations, warranties and covenants made by us in any agreement that is filed as an exhibit to any document that is incorporated by reference in this prospectus supplement or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and covenants were accurate only as of the date when made; therefore, such representations, warranties and covenants should not be relied on as accurate representations of the current state of our affairs. </w:t>
      </w:r>
    </w:p>
    <w:p>
      <w:pPr>
        <w:pStyle w:val="TextBody"/>
        <w:bidi w:val="0"/>
        <w:spacing w:before="160" w:after="0"/>
        <w:jc w:val="left"/>
        <w:rPr>
          <w:rFonts w:ascii="arial" w:hAnsi="arial"/>
          <w:sz w:val="20"/>
        </w:rPr>
      </w:pPr>
      <w:r>
        <w:rPr>
          <w:rFonts w:ascii="arial" w:hAnsi="arial"/>
          <w:sz w:val="20"/>
        </w:rPr>
        <w:t xml:space="preserve">We are not, and the underwriters are not, making an offer to sell our common stock in any jurisdiction where the offer or sale is not permitted. Neither this prospectus supplement nor the accompanying prospectus constitutes, and may not be used in connection with, an offer to sell, or a solicitation of an offer to buy, any securities offered by this prospectus supplement and the accompanying prospectus by any person in any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S-ii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jurisdiction in which it is unlawful for such person to make such an offer or solicitation. You must comply with all applicable laws and regulations in force in any applicable jurisdiction and you must obtain any consent, approval or permission required by you for the purchase, offer or sale of the common stock under the laws and regulations in force in the jurisdiction to which you are subject or in which you make your purchase, offer or sale, and neither we nor the underwriters will have any responsibility therefor. </w:t>
      </w:r>
    </w:p>
    <w:p>
      <w:pPr>
        <w:pStyle w:val="TextBody"/>
        <w:bidi w:val="0"/>
        <w:spacing w:before="160" w:after="0"/>
        <w:jc w:val="left"/>
        <w:rPr>
          <w:rFonts w:ascii="arial" w:hAnsi="arial"/>
          <w:sz w:val="20"/>
        </w:rPr>
      </w:pPr>
      <w:r>
        <w:rPr>
          <w:rFonts w:ascii="arial" w:hAnsi="arial"/>
          <w:sz w:val="20"/>
        </w:rPr>
        <w:t xml:space="preserve">When we refer to “Revolution Medicines,” “our company,” “we,” “our” and “us” in this prospectus supplement, we mean Revolution Medicines, Inc. and its subsidiaries taken as a whole, unless otherwise specified. When we refer to “you,” we mean the potential holders of the securities offered hereby. </w:t>
      </w:r>
    </w:p>
    <w:p>
      <w:pPr>
        <w:pStyle w:val="TextBody"/>
        <w:bidi w:val="0"/>
        <w:spacing w:before="160" w:after="0"/>
        <w:jc w:val="left"/>
        <w:rPr>
          <w:rFonts w:ascii="arial" w:hAnsi="arial"/>
          <w:sz w:val="20"/>
        </w:rPr>
      </w:pPr>
      <w:r>
        <w:rPr>
          <w:rFonts w:ascii="arial" w:hAnsi="arial"/>
          <w:sz w:val="20"/>
        </w:rPr>
        <w:t xml:space="preserve">Revolution Medicines® and our logo are some of our trademarks used in this prospectus supplement. This prospectus supplement also includes trademarks, tradenames, and service marks that are the property of other organizations. Solely for convenience, our trademarks and tradenames referred to in this prospectus supplement may appear without the ® or  symbols, but those references are not intended to indicate, in any way, that we will not assert, to the fullest extent under applicable law, our rights, or the right of the applicable licensor to these trademarks and tradenames.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S-iii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arial" w:hAnsi="arial"/>
          <w:b/>
          <w:sz w:val="32"/>
          <w:bdr w:val="single" w:sz="2" w:space="1" w:color="000000"/>
        </w:rPr>
      </w:pPr>
      <w:bookmarkStart w:id="4" w:name="supptoc93698_2"/>
      <w:bookmarkEnd w:id="4"/>
      <w:r>
        <w:rPr>
          <w:rFonts w:ascii="arial" w:hAnsi="arial"/>
          <w:b/>
          <w:sz w:val="32"/>
          <w:bdr w:val="single" w:sz="2" w:space="1" w:color="000000"/>
        </w:rPr>
        <w:t xml:space="preserve">Prospectus supplement summary </w:t>
      </w:r>
    </w:p>
    <w:p>
      <w:pPr>
        <w:pStyle w:val="TextBody"/>
        <w:bidi w:val="0"/>
        <w:spacing w:before="160" w:after="0"/>
        <w:jc w:val="left"/>
        <w:rPr>
          <w:rFonts w:ascii="arial" w:hAnsi="arial"/>
          <w:i/>
          <w:sz w:val="20"/>
          <w:bdr w:val="single" w:sz="2" w:space="1" w:color="000000"/>
        </w:rPr>
      </w:pPr>
      <w:r>
        <w:rPr>
          <w:rFonts w:ascii="arial" w:hAnsi="arial"/>
          <w:i/>
          <w:sz w:val="20"/>
          <w:bdr w:val="single" w:sz="2" w:space="1" w:color="000000"/>
        </w:rPr>
        <w:t xml:space="preserve">This summary highlights certain information about us, this offering and selected information contained elsewhere in or incorporated by reference into this prospectus supplement or the accompanying prospectus. This summary is not complete and does not contain all of the information that you should consider before deciding whether to invest in our common stock. For a more complete understanding of our company and this offering, we encourage you to read and consider carefully the more detailed information in this prospectus supplement and the accompanying prospectus, including the information incorporated by reference herein and therein, which are described under the heading “Where you can find more information; incorporation by reference” in this prospectus supplement, and the information included in any free writing prospectus that we have authorized for use in connection with this offering. You should also carefully consider the matters discussed in the sections in this prospectus supplement and in the accompanying prospectus titled “Risk factors,” and the other information that we incorporate by reference into this prospectus supplement and the accompanying prospectus, including the section titled “Risk Factors” in our Annual Report on Form 10-K for the year ended December 31, 2025. </w:t>
      </w:r>
    </w:p>
    <w:p>
      <w:pPr>
        <w:pStyle w:val="TextBody"/>
        <w:bidi w:val="0"/>
        <w:spacing w:before="320" w:after="0"/>
        <w:jc w:val="left"/>
        <w:rPr>
          <w:rFonts w:ascii="arial" w:hAnsi="arial"/>
          <w:b/>
          <w:sz w:val="24"/>
          <w:bdr w:val="single" w:sz="2" w:space="1" w:color="000000"/>
        </w:rPr>
      </w:pPr>
      <w:r>
        <w:rPr>
          <w:rFonts w:ascii="arial" w:hAnsi="arial"/>
          <w:b/>
          <w:sz w:val="24"/>
          <w:bdr w:val="single" w:sz="2" w:space="1" w:color="000000"/>
        </w:rPr>
        <w:t xml:space="preserve">Overview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We are a clinical-stage precision oncology company developing novel targeted therapies for RAS-addicted cancers. We possess sophisticated structure-based drug discovery capabilities built upon deep chemical biology and cancer pharmacology know-how and innovative, proprietary technologies that enable the creation of small molecules tailored to unconventional binding sites. Guided by our understanding of genetic drivers and adaptive resistance mechanisms in cancer, we deploy precision medicine approaches to inform innovative monotherapy and combination regimens.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Our research and development pipeline comprises inhibitors that bind directly to RAS variants (RAS(ON) Inhibitors) that are designed to be used as monotherapy, in combination with other RAS(ON) Inhibitors and/or other therapeutic agents. </w:t>
      </w:r>
    </w:p>
    <w:p>
      <w:pPr>
        <w:pStyle w:val="TextBody"/>
        <w:bidi w:val="0"/>
        <w:spacing w:before="320" w:after="0"/>
        <w:jc w:val="left"/>
        <w:rPr>
          <w:rFonts w:ascii="arial" w:hAnsi="arial"/>
          <w:b/>
          <w:sz w:val="24"/>
          <w:bdr w:val="single" w:sz="2" w:space="1" w:color="000000"/>
        </w:rPr>
      </w:pPr>
      <w:r>
        <w:rPr>
          <w:rFonts w:ascii="arial" w:hAnsi="arial"/>
          <w:b/>
          <w:sz w:val="24"/>
          <w:bdr w:val="single" w:sz="2" w:space="1" w:color="000000"/>
        </w:rPr>
        <w:t xml:space="preserve">Corporate information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We were founded in October 2014 as a Delaware corporation. Our principal executive offices are located at 700 Saginaw Drive, Redwood City, California 94063, and our telephone number is (650) 481-6801. Our website address is www.revmed.com. The information on, or that can be accessed through, our website is not part of this prospectus supplement and is not incorporated by reference herein. We have included our website address as an inactive textual reference only. </w:t>
      </w:r>
    </w:p>
    <w:p>
      <w:pPr>
        <w:pStyle w:val="TextBody"/>
        <w:bidi w:val="0"/>
        <w:spacing w:before="320" w:after="0"/>
        <w:jc w:val="left"/>
        <w:rPr>
          <w:rFonts w:ascii="arial" w:hAnsi="arial"/>
          <w:b/>
          <w:sz w:val="24"/>
          <w:bdr w:val="single" w:sz="2" w:space="1" w:color="000000"/>
        </w:rPr>
      </w:pPr>
      <w:r>
        <w:rPr>
          <w:rFonts w:ascii="arial" w:hAnsi="arial"/>
          <w:b/>
          <w:sz w:val="24"/>
          <w:bdr w:val="single" w:sz="2" w:space="1" w:color="000000"/>
        </w:rPr>
        <w:t xml:space="preserve">Recent developments </w:t>
      </w:r>
    </w:p>
    <w:p>
      <w:pPr>
        <w:pStyle w:val="TextBody"/>
        <w:bidi w:val="0"/>
        <w:spacing w:before="160" w:after="0"/>
        <w:jc w:val="left"/>
        <w:rPr>
          <w:rFonts w:ascii="arial" w:hAnsi="arial"/>
          <w:b/>
          <w:i/>
          <w:sz w:val="20"/>
          <w:bdr w:val="single" w:sz="2" w:space="1" w:color="000000"/>
        </w:rPr>
      </w:pPr>
      <w:r>
        <w:rPr>
          <w:rFonts w:ascii="arial" w:hAnsi="arial"/>
          <w:b/>
          <w:i/>
          <w:sz w:val="20"/>
          <w:bdr w:val="single" w:sz="2" w:space="1" w:color="000000"/>
        </w:rPr>
        <w:t xml:space="preserve">Concurrent convertible note offering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Concurrently with this offering, we are offering, pursuant to a separate prospectus supplement, 0.50% convertible senior notes due 2033, which we refer to as the convertible notes, in an aggregate principal amount of $500,000,000. The completion of this offering is not contingent on the completion of the concurrent convertible note offering, and the completion of the concurrent convertible note offering is not contingent on the completion of this offering. Accordingly, you should not assume that the concurrent convertible note offering will be consummated on the terms described in this prospectus supplement, if at all, or that we will receive any additional proceeds from the concurrent convertible note offering. This prospectus supplement and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S-1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arial" w:hAnsi="arial"/>
          <w:sz w:val="20"/>
          <w:bdr w:val="single" w:sz="2" w:space="1" w:color="000000"/>
        </w:rPr>
      </w:pPr>
      <w:r>
        <w:rPr>
          <w:rFonts w:ascii="arial" w:hAnsi="arial"/>
          <w:sz w:val="20"/>
          <w:bdr w:val="single" w:sz="2" w:space="1" w:color="000000"/>
        </w:rPr>
        <w:t xml:space="preserve">the accompanying prospectus do not constitute an offer to sell, or the solicitation of an offer to buy, any of the convertible notes, or the shares of common stock, if any, issuable upon conversion of the convertible notes, we are offering in the concurrent convertible note offering. See “Concurrent convertible note offering” for additional information.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S-2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arial" w:hAnsi="arial"/>
          <w:b/>
          <w:sz w:val="32"/>
          <w:bdr w:val="single" w:sz="2" w:space="1" w:color="000000"/>
        </w:rPr>
      </w:pPr>
      <w:bookmarkStart w:id="5" w:name="supptoc93698_3"/>
      <w:bookmarkEnd w:id="5"/>
      <w:r>
        <w:rPr>
          <w:rFonts w:ascii="arial" w:hAnsi="arial"/>
          <w:b/>
          <w:sz w:val="32"/>
          <w:bdr w:val="single" w:sz="2" w:space="1" w:color="000000"/>
        </w:rPr>
        <w:t xml:space="preserve">The offering </w:t>
      </w:r>
    </w:p>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855"/>
        <w:gridCol w:w="7350"/>
      </w:tblGrid>
      <w:tr>
        <w:trPr/>
        <w:tc>
          <w:tcPr>
            <w:tcW w:w="2855" w:type="dxa"/>
            <w:tcBorders/>
          </w:tcPr>
          <w:p>
            <w:pPr>
              <w:pStyle w:val="TableContents"/>
              <w:bidi w:val="0"/>
              <w:spacing w:before="0" w:after="20"/>
              <w:jc w:val="left"/>
              <w:rPr>
                <w:rFonts w:ascii="arial" w:hAnsi="arial"/>
                <w:b/>
                <w:sz w:val="20"/>
              </w:rPr>
            </w:pPr>
            <w:r>
              <w:rPr>
                <w:rFonts w:ascii="arial" w:hAnsi="arial"/>
                <w:b/>
                <w:sz w:val="20"/>
              </w:rPr>
              <w:t xml:space="preserve">Common stock offered by us in this offering </w:t>
            </w:r>
          </w:p>
        </w:tc>
        <w:tc>
          <w:tcPr>
            <w:tcW w:w="7350" w:type="dxa"/>
            <w:tcBorders/>
          </w:tcPr>
          <w:p>
            <w:pPr>
              <w:pStyle w:val="TableContents"/>
              <w:bidi w:val="0"/>
              <w:spacing w:before="0" w:after="283"/>
              <w:jc w:val="left"/>
              <w:rPr/>
            </w:pPr>
            <w:r>
              <w:rPr/>
              <w:t xml:space="preserve">10,563,381 shares of our common stock.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857"/>
        <w:gridCol w:w="7348"/>
      </w:tblGrid>
      <w:tr>
        <w:trPr/>
        <w:tc>
          <w:tcPr>
            <w:tcW w:w="2857" w:type="dxa"/>
            <w:tcBorders/>
          </w:tcPr>
          <w:p>
            <w:pPr>
              <w:pStyle w:val="TableContents"/>
              <w:bidi w:val="0"/>
              <w:spacing w:before="0" w:after="20"/>
              <w:jc w:val="left"/>
              <w:rPr>
                <w:rFonts w:ascii="arial" w:hAnsi="arial"/>
                <w:b/>
                <w:sz w:val="20"/>
              </w:rPr>
            </w:pPr>
            <w:r>
              <w:rPr>
                <w:rFonts w:ascii="arial" w:hAnsi="arial"/>
                <w:b/>
                <w:sz w:val="20"/>
              </w:rPr>
              <w:t xml:space="preserve">Underwriters’ option to purchase additional shares of common stock </w:t>
            </w:r>
          </w:p>
        </w:tc>
        <w:tc>
          <w:tcPr>
            <w:tcW w:w="7348" w:type="dxa"/>
            <w:tcBorders/>
          </w:tcPr>
          <w:p>
            <w:pPr>
              <w:pStyle w:val="TableContents"/>
              <w:bidi w:val="0"/>
              <w:spacing w:before="0" w:after="283"/>
              <w:jc w:val="left"/>
              <w:rPr/>
            </w:pPr>
            <w:r>
              <w:rPr/>
              <w:t xml:space="preserve">We have granted the underwriters a 30-day option to purchase up to 1,584,506 additional shares of our common stock at the public offering price, less underwriting discounts and commissions.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856"/>
        <w:gridCol w:w="7349"/>
      </w:tblGrid>
      <w:tr>
        <w:trPr/>
        <w:tc>
          <w:tcPr>
            <w:tcW w:w="2856" w:type="dxa"/>
            <w:tcBorders/>
          </w:tcPr>
          <w:p>
            <w:pPr>
              <w:pStyle w:val="TableContents"/>
              <w:bidi w:val="0"/>
              <w:spacing w:before="0" w:after="20"/>
              <w:jc w:val="left"/>
              <w:rPr>
                <w:rFonts w:ascii="arial" w:hAnsi="arial"/>
                <w:b/>
                <w:sz w:val="20"/>
              </w:rPr>
            </w:pPr>
            <w:r>
              <w:rPr>
                <w:rFonts w:ascii="arial" w:hAnsi="arial"/>
                <w:b/>
                <w:sz w:val="20"/>
              </w:rPr>
              <w:t xml:space="preserve">Common stock to be outstanding after this offering </w:t>
            </w:r>
          </w:p>
        </w:tc>
        <w:tc>
          <w:tcPr>
            <w:tcW w:w="7349" w:type="dxa"/>
            <w:tcBorders/>
          </w:tcPr>
          <w:p>
            <w:pPr>
              <w:pStyle w:val="TableContents"/>
              <w:bidi w:val="0"/>
              <w:spacing w:before="0" w:after="283"/>
              <w:jc w:val="left"/>
              <w:rPr/>
            </w:pPr>
            <w:r>
              <w:rPr/>
              <w:t xml:space="preserve">207,564,782 shares (209,149,288 shares if the underwriters exercise their option to purchase additional shares of our common stock in full).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857"/>
        <w:gridCol w:w="7348"/>
      </w:tblGrid>
      <w:tr>
        <w:trPr/>
        <w:tc>
          <w:tcPr>
            <w:tcW w:w="2857" w:type="dxa"/>
            <w:tcBorders/>
          </w:tcPr>
          <w:p>
            <w:pPr>
              <w:pStyle w:val="TableContents"/>
              <w:bidi w:val="0"/>
              <w:spacing w:before="0" w:after="20"/>
              <w:jc w:val="left"/>
              <w:rPr>
                <w:rFonts w:ascii="arial" w:hAnsi="arial"/>
                <w:b/>
                <w:sz w:val="20"/>
              </w:rPr>
            </w:pPr>
            <w:r>
              <w:rPr>
                <w:rFonts w:ascii="arial" w:hAnsi="arial"/>
                <w:b/>
                <w:sz w:val="20"/>
              </w:rPr>
              <w:t xml:space="preserve">Use of proceeds </w:t>
            </w:r>
          </w:p>
        </w:tc>
        <w:tc>
          <w:tcPr>
            <w:tcW w:w="7348" w:type="dxa"/>
            <w:tcBorders/>
          </w:tcPr>
          <w:p>
            <w:pPr>
              <w:pStyle w:val="TableContents"/>
              <w:bidi w:val="0"/>
              <w:spacing w:before="0" w:after="283"/>
              <w:jc w:val="left"/>
              <w:rPr/>
            </w:pPr>
            <w:r>
              <w:rPr/>
              <w:t xml:space="preserve">We estimate that the net proceeds to us from this offering will be approximately $1,435.0 million, or approximately $1,650.4 million if the underwriters exercise their option to purchase additional shares of our common stock in full, after deducting the underwriting discounts and commissions and estimated offering expenses payable by us. We estimate that the net proceeds to us from the concurrent convertible note offering of convertible notes described below, if it is consummated, will be approximately $486.8 million, after deducting the underwriting discounts and commissions and our estimated offering expenses.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854"/>
        <w:gridCol w:w="7351"/>
      </w:tblGrid>
      <w:tr>
        <w:trPr/>
        <w:tc>
          <w:tcPr>
            <w:tcW w:w="2854" w:type="dxa"/>
            <w:tcBorders/>
            <w:vAlign w:val="center"/>
          </w:tcPr>
          <w:p>
            <w:pPr>
              <w:pStyle w:val="TableContents"/>
              <w:bidi w:val="0"/>
              <w:spacing w:before="0" w:after="283"/>
              <w:jc w:val="left"/>
              <w:rPr/>
            </w:pPr>
            <w:r>
              <w:rPr/>
              <w:t> </w:t>
            </w:r>
          </w:p>
        </w:tc>
        <w:tc>
          <w:tcPr>
            <w:tcW w:w="7351" w:type="dxa"/>
            <w:tcBorders/>
          </w:tcPr>
          <w:p>
            <w:pPr>
              <w:pStyle w:val="TableContents"/>
              <w:bidi w:val="0"/>
              <w:spacing w:before="0" w:after="283"/>
              <w:jc w:val="left"/>
              <w:rPr/>
            </w:pPr>
            <w:r>
              <w:rPr/>
              <w:t xml:space="preserve">We intend to use the net proceeds from this offering and, if it is consummated, the concurrent convertible note offering, for general corporate purposes, including research and development expenses, expenses relating to the potential commercialization of one or more of our product candidates, general and administrative expenses and capital expenditures. We may also use a portion of the net proceeds to in-license, invest in or acquire businesses, technologies, products or assets that we believe are complementary to our own, although we have no current plans, commitments or agreements with respect to any such transactions as of the date of this prospectus supplement.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858"/>
        <w:gridCol w:w="7347"/>
      </w:tblGrid>
      <w:tr>
        <w:trPr/>
        <w:tc>
          <w:tcPr>
            <w:tcW w:w="2858" w:type="dxa"/>
            <w:tcBorders/>
            <w:vAlign w:val="center"/>
          </w:tcPr>
          <w:p>
            <w:pPr>
              <w:pStyle w:val="TableContents"/>
              <w:bidi w:val="0"/>
              <w:spacing w:before="0" w:after="283"/>
              <w:jc w:val="left"/>
              <w:rPr/>
            </w:pPr>
            <w:r>
              <w:rPr/>
              <w:t> </w:t>
            </w:r>
          </w:p>
        </w:tc>
        <w:tc>
          <w:tcPr>
            <w:tcW w:w="7347" w:type="dxa"/>
            <w:tcBorders/>
          </w:tcPr>
          <w:p>
            <w:pPr>
              <w:pStyle w:val="TableContents"/>
              <w:bidi w:val="0"/>
              <w:spacing w:before="0" w:after="283"/>
              <w:jc w:val="left"/>
              <w:rPr/>
            </w:pPr>
            <w:r>
              <w:rPr/>
              <w:t xml:space="preserve">See “Use of proceeds” for additional information.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856"/>
        <w:gridCol w:w="7349"/>
      </w:tblGrid>
      <w:tr>
        <w:trPr/>
        <w:tc>
          <w:tcPr>
            <w:tcW w:w="2856" w:type="dxa"/>
            <w:tcBorders/>
          </w:tcPr>
          <w:p>
            <w:pPr>
              <w:pStyle w:val="TableContents"/>
              <w:bidi w:val="0"/>
              <w:spacing w:before="0" w:after="20"/>
              <w:jc w:val="left"/>
              <w:rPr>
                <w:rFonts w:ascii="arial" w:hAnsi="arial"/>
                <w:b/>
                <w:sz w:val="20"/>
              </w:rPr>
            </w:pPr>
            <w:r>
              <w:rPr>
                <w:rFonts w:ascii="arial" w:hAnsi="arial"/>
                <w:b/>
                <w:sz w:val="20"/>
              </w:rPr>
              <w:t xml:space="preserve">Concurrent convertible note offering </w:t>
            </w:r>
          </w:p>
        </w:tc>
        <w:tc>
          <w:tcPr>
            <w:tcW w:w="7349" w:type="dxa"/>
            <w:tcBorders/>
          </w:tcPr>
          <w:p>
            <w:pPr>
              <w:pStyle w:val="TableContents"/>
              <w:bidi w:val="0"/>
              <w:spacing w:before="0" w:after="283"/>
              <w:jc w:val="left"/>
              <w:rPr/>
            </w:pPr>
            <w:r>
              <w:rPr/>
              <w:t xml:space="preserve">Concurrently with this offering, we are offering, pursuant to a separate prospectus supplement, 0.50% convertible senior notes due 2033, which we refer to as the convertible notes, in an aggregate principal amount of $500,000,000.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856"/>
        <w:gridCol w:w="7349"/>
      </w:tblGrid>
      <w:tr>
        <w:trPr/>
        <w:tc>
          <w:tcPr>
            <w:tcW w:w="2856" w:type="dxa"/>
            <w:tcBorders/>
            <w:vAlign w:val="center"/>
          </w:tcPr>
          <w:p>
            <w:pPr>
              <w:pStyle w:val="TableContents"/>
              <w:bidi w:val="0"/>
              <w:spacing w:before="0" w:after="283"/>
              <w:jc w:val="left"/>
              <w:rPr/>
            </w:pPr>
            <w:r>
              <w:rPr/>
              <w:t> </w:t>
            </w:r>
          </w:p>
        </w:tc>
        <w:tc>
          <w:tcPr>
            <w:tcW w:w="7349" w:type="dxa"/>
            <w:tcBorders/>
          </w:tcPr>
          <w:p>
            <w:pPr>
              <w:pStyle w:val="TableContents"/>
              <w:bidi w:val="0"/>
              <w:spacing w:before="0" w:after="0"/>
              <w:jc w:val="left"/>
              <w:rPr>
                <w:rFonts w:ascii="arial" w:hAnsi="arial"/>
                <w:sz w:val="20"/>
              </w:rPr>
            </w:pPr>
            <w:r>
              <w:rPr>
                <w:rFonts w:ascii="arial" w:hAnsi="arial"/>
                <w:sz w:val="20"/>
              </w:rPr>
              <w:t xml:space="preserve">The completion of this offering is not contingent on the completion of the concurrent convertible note offering, and the completion of the concurrent convertible note offering is not contingent on the completion of this offering. Accordingly, you should not assume that the concurrent convertible note offering will be consummated on the terms described in this prospectus supplement, if at all, or that we will receive any additional proceeds from the concurrent convertible note offering. This prospectus supplement and the accompanying prospectus do not constitute an offer to sell, or the solicitation of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2856"/>
        <w:gridCol w:w="7349"/>
      </w:tblGrid>
      <w:tr>
        <w:trPr/>
        <w:tc>
          <w:tcPr>
            <w:tcW w:w="2856" w:type="dxa"/>
            <w:tcBorders/>
            <w:vAlign w:val="center"/>
          </w:tcPr>
          <w:p>
            <w:pPr>
              <w:pStyle w:val="TableContents"/>
              <w:bidi w:val="0"/>
              <w:spacing w:before="0" w:after="283"/>
              <w:jc w:val="left"/>
              <w:rPr/>
            </w:pPr>
            <w:r>
              <w:rPr/>
              <w:t> </w:t>
            </w:r>
          </w:p>
        </w:tc>
        <w:tc>
          <w:tcPr>
            <w:tcW w:w="7349" w:type="dxa"/>
            <w:tcBorders/>
          </w:tcPr>
          <w:p>
            <w:pPr>
              <w:pStyle w:val="TableContents"/>
              <w:bidi w:val="0"/>
              <w:spacing w:before="0" w:after="20"/>
              <w:jc w:val="left"/>
              <w:rPr>
                <w:rFonts w:ascii="arial" w:hAnsi="arial"/>
                <w:sz w:val="20"/>
              </w:rPr>
            </w:pPr>
            <w:r>
              <w:rPr>
                <w:rFonts w:ascii="arial" w:hAnsi="arial"/>
                <w:sz w:val="20"/>
              </w:rPr>
              <w:t xml:space="preserve">an offer to buy, any of the convertible notes, or the shares of common stock, if any, issuable upon conversion of the convertible notes, we are offering in the concurrent convertible note offering. See “Concurrent convertible note offering” for additional information.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855"/>
        <w:gridCol w:w="7350"/>
      </w:tblGrid>
      <w:tr>
        <w:trPr/>
        <w:tc>
          <w:tcPr>
            <w:tcW w:w="2855" w:type="dxa"/>
            <w:tcBorders/>
          </w:tcPr>
          <w:p>
            <w:pPr>
              <w:pStyle w:val="TableContents"/>
              <w:bidi w:val="0"/>
              <w:spacing w:before="0" w:after="20"/>
              <w:jc w:val="left"/>
              <w:rPr>
                <w:rFonts w:ascii="arial" w:hAnsi="arial"/>
                <w:b/>
                <w:sz w:val="20"/>
              </w:rPr>
            </w:pPr>
            <w:r>
              <w:rPr>
                <w:rFonts w:ascii="arial" w:hAnsi="arial"/>
                <w:b/>
                <w:sz w:val="20"/>
              </w:rPr>
              <w:t xml:space="preserve">Risk factors </w:t>
            </w:r>
          </w:p>
        </w:tc>
        <w:tc>
          <w:tcPr>
            <w:tcW w:w="7350" w:type="dxa"/>
            <w:tcBorders/>
          </w:tcPr>
          <w:p>
            <w:pPr>
              <w:pStyle w:val="TableContents"/>
              <w:bidi w:val="0"/>
              <w:spacing w:before="0" w:after="283"/>
              <w:jc w:val="left"/>
              <w:rPr/>
            </w:pPr>
            <w:r>
              <w:rPr/>
              <w:t xml:space="preserve">See “Risk factors” beginning on page S-5 of this prospectus supplement and in our Annual Report on Form 10-K for the year ended December 31, 2025, and the other information included in, or incorporated by reference into, this prospectus supplement for a discussion of certain factors you should carefully consider before deciding to invest in shares of our common stock.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857"/>
        <w:gridCol w:w="7348"/>
      </w:tblGrid>
      <w:tr>
        <w:trPr/>
        <w:tc>
          <w:tcPr>
            <w:tcW w:w="2857" w:type="dxa"/>
            <w:tcBorders/>
          </w:tcPr>
          <w:p>
            <w:pPr>
              <w:pStyle w:val="TableContents"/>
              <w:bidi w:val="0"/>
              <w:spacing w:before="0" w:after="20"/>
              <w:jc w:val="left"/>
              <w:rPr>
                <w:rFonts w:ascii="arial" w:hAnsi="arial"/>
                <w:b/>
                <w:sz w:val="20"/>
              </w:rPr>
            </w:pPr>
            <w:r>
              <w:rPr>
                <w:rFonts w:ascii="arial" w:hAnsi="arial"/>
                <w:b/>
                <w:sz w:val="20"/>
              </w:rPr>
              <w:t xml:space="preserve">Nasdaq Global Select Market symbol </w:t>
            </w:r>
          </w:p>
        </w:tc>
        <w:tc>
          <w:tcPr>
            <w:tcW w:w="7348" w:type="dxa"/>
            <w:tcBorders/>
          </w:tcPr>
          <w:p>
            <w:pPr>
              <w:pStyle w:val="TableContents"/>
              <w:bidi w:val="0"/>
              <w:spacing w:before="0" w:after="283"/>
              <w:jc w:val="left"/>
              <w:rPr/>
            </w:pPr>
            <w:r>
              <w:rPr/>
              <w:t>“</w:t>
            </w:r>
            <w:r>
              <w:rPr/>
              <w:t xml:space="preserve">RVMD.” </w:t>
            </w:r>
          </w:p>
        </w:tc>
      </w:tr>
    </w:tbl>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The number of shares of common stock to be outstanding after this offering is based on 197,001,401 shares of our common stock outstanding as of December 31, 2025, and excludes the following, in each case as of such date: </w:t>
      </w:r>
    </w:p>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17,997,616 shares of common stock issuable upon the exercise of outstanding stock options as of December 31, 2025 having a weighted-average exercise price of $ 30.45 per share;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3,892,052 shares of common stock issuable upon the vesting and settlement of outstanding restricted stock units as of December 31, 2025;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2,050,737 shares of common stock issuable upon the exercise of stock options granted after December 31, 2025, having a weighted-average exercise price of $99.88 per share;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1,733,348 shares of common stock issuable upon the vesting and settlement of restricted stock units granted after December 31, 2025;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2,335,397 shares of common stock sold through our “at the market offering” programs after December 31, 2025, having a weighted-average sales price of $98.58 per share;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2,194,318 shares of common stock issuable upon the exercise of warrants outstanding as of December 31, 2025, having an exercise price of $11.50 per 0.1112 shares;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1,395,277 shares of common stock reserved for issuance pursuant to future awards under our 2020 Incentive Award Plan, excluding the stock options and restricted stock unit grants after December 31, 2025, as well as any automatic increases in the number of shares of common stock reserved for future issuance under this plan;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5,363,603 shares of common stock reserved for issuance under our 2020 Employee Stock Purchase Plan, as well as any automatic increases in the number of shares of our common stock reserved for future issuance under this plan; and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any shares issuable upon conversion of the convertible notes in the concurrent convertible note offering. </w:t>
            </w:r>
          </w:p>
        </w:tc>
      </w:tr>
    </w:tbl>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Except as otherwise noted, all information in this prospectus supplement reflects and assumes the following: </w:t>
      </w:r>
    </w:p>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no exercise of outstanding stock options or warrants or vesting and settlement of restricted stock units after December 31, 2025; and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no exercise of the underwriters’ option to purchase additional shares of common stock.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S-4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sz w:val="32"/>
        </w:rPr>
      </w:pPr>
      <w:bookmarkStart w:id="6" w:name="supptoc93698_4"/>
      <w:bookmarkEnd w:id="6"/>
      <w:r>
        <w:rPr>
          <w:rFonts w:ascii="arial" w:hAnsi="arial"/>
          <w:b/>
          <w:sz w:val="32"/>
        </w:rPr>
        <w:t xml:space="preserve">Risk factors </w:t>
      </w:r>
    </w:p>
    <w:p>
      <w:pPr>
        <w:pStyle w:val="TextBody"/>
        <w:bidi w:val="0"/>
        <w:spacing w:before="160" w:after="0"/>
        <w:jc w:val="left"/>
        <w:rPr>
          <w:rFonts w:ascii="arial" w:hAnsi="arial"/>
          <w:i/>
          <w:sz w:val="20"/>
        </w:rPr>
      </w:pPr>
      <w:r>
        <w:rPr>
          <w:rFonts w:ascii="arial" w:hAnsi="arial"/>
          <w:i/>
          <w:sz w:val="20"/>
        </w:rPr>
        <w:t xml:space="preserve">Investing in our common stock involves risk. Before deciding whether to invest in our common stock, you should consider carefully the risks and uncertainties described below. You should also consider the risks, uncertainties and assumptions discussed under the heading “Risk factors” included in our Annual Report on Form 10-K for the year ended December 31, 2025, which is incorporated herein by reference, and which may be amended, supplemented or superseded from time to time by other reports we file with the SEC in the future. There may be other unknown or unpredictable economic, business, competitive, regulatory or other factors that could have material adverse effects on our future results. If any of these risks actually occurs, our business, business prospects, financial condition or results of operations could be seriously harmed. This could cause the trading price of our common stock to decline, resulting in a loss of all or part of your investment. Please also read carefully the section below titled “Special note regarding forward-looking statements.” </w:t>
      </w:r>
    </w:p>
    <w:p>
      <w:pPr>
        <w:pStyle w:val="TextBody"/>
        <w:bidi w:val="0"/>
        <w:spacing w:before="320" w:after="0"/>
        <w:jc w:val="left"/>
        <w:rPr>
          <w:rFonts w:ascii="arial" w:hAnsi="arial"/>
          <w:b/>
          <w:sz w:val="24"/>
        </w:rPr>
      </w:pPr>
      <w:r>
        <w:rPr>
          <w:rFonts w:ascii="arial" w:hAnsi="arial"/>
          <w:b/>
          <w:sz w:val="24"/>
        </w:rPr>
        <w:t xml:space="preserve">Risks related to this offering </w:t>
      </w:r>
    </w:p>
    <w:p>
      <w:pPr>
        <w:pStyle w:val="TextBody"/>
        <w:bidi w:val="0"/>
        <w:spacing w:before="160" w:after="0"/>
        <w:jc w:val="left"/>
        <w:rPr>
          <w:rFonts w:ascii="arial" w:hAnsi="arial"/>
          <w:b/>
          <w:i/>
          <w:sz w:val="20"/>
        </w:rPr>
      </w:pPr>
      <w:r>
        <w:rPr>
          <w:rFonts w:ascii="arial" w:hAnsi="arial"/>
          <w:b/>
          <w:i/>
          <w:sz w:val="20"/>
        </w:rPr>
        <w:t xml:space="preserve">If you purchase our common stock in this offering, you will incur immediate and substantial dilution in the book value of your shares. </w:t>
      </w:r>
    </w:p>
    <w:p>
      <w:pPr>
        <w:pStyle w:val="TextBody"/>
        <w:bidi w:val="0"/>
        <w:spacing w:before="160" w:after="0"/>
        <w:jc w:val="left"/>
        <w:rPr>
          <w:rFonts w:ascii="arial" w:hAnsi="arial"/>
          <w:sz w:val="20"/>
        </w:rPr>
      </w:pPr>
      <w:r>
        <w:rPr>
          <w:rFonts w:ascii="arial" w:hAnsi="arial"/>
          <w:sz w:val="20"/>
        </w:rPr>
        <w:t xml:space="preserve">The public offering price of our common stock is substantially higher than the as adjusted net tangible book value per share of our common stock. Therefore, if you purchase our common stock in this offering, you will pay a price per share that substantially exceeds the as adjusted net tangible book value per share after the completion of this offering. Based on the public offering price of $142.00 per share, you will experience immediate dilution of $127.57 per share (or $126.65 per share if the underwriters exercise their option to purchase additional shares of common stock in full), representing the difference between our as adjusted net tangible book value per share as of December 31, 2025 and the public offering price. Furthermore, if the underwriters exercise their option to purchase additional shares of common stock, if we raise additional capital by issuing equity securities, if outstanding options or warrants are exercised or if additional restricted stock units vest and settle, you could experience further dilution. In addition, the issuance of additional shares of our common stock, if any, upon the conversion of the convertible notes in the concurrent convertible note offering would dilute the ownership interests of our existing common stockholders. See “Dilution” for a more detailed description of the dilution to investors in the offering. </w:t>
      </w:r>
    </w:p>
    <w:p>
      <w:pPr>
        <w:pStyle w:val="TextBody"/>
        <w:bidi w:val="0"/>
        <w:spacing w:before="160" w:after="0"/>
        <w:jc w:val="left"/>
        <w:rPr>
          <w:rFonts w:ascii="arial" w:hAnsi="arial"/>
          <w:b/>
          <w:i/>
          <w:sz w:val="20"/>
        </w:rPr>
      </w:pPr>
      <w:r>
        <w:rPr>
          <w:rFonts w:ascii="arial" w:hAnsi="arial"/>
          <w:b/>
          <w:i/>
          <w:sz w:val="20"/>
        </w:rPr>
        <w:t xml:space="preserve">We have broad discretion in how we use the proceeds of this offering and may not use these proceeds effectively, which could affect our results of operations and cause our stock price to decline. </w:t>
      </w:r>
    </w:p>
    <w:p>
      <w:pPr>
        <w:pStyle w:val="TextBody"/>
        <w:bidi w:val="0"/>
        <w:spacing w:before="160" w:after="0"/>
        <w:jc w:val="left"/>
        <w:rPr>
          <w:rFonts w:ascii="arial" w:hAnsi="arial"/>
          <w:sz w:val="20"/>
        </w:rPr>
      </w:pPr>
      <w:r>
        <w:rPr>
          <w:rFonts w:ascii="arial" w:hAnsi="arial"/>
          <w:sz w:val="20"/>
        </w:rPr>
        <w:t xml:space="preserve">Although we have described in this prospectus supplement, under the caption “Use of proceeds,” how we currently intend to use the net proceeds to us from this offering and, if it is consummated, the concurrent convertible note offering, our management will have broad discretion to apply the net proceeds, and investors will rely on our judgment in spending the net proceeds with only limited information about our specific intentions for the use of the net proceeds. Our management may use the proceeds in ways that do not earn a profit or otherwise result in the creation of stockholder value. In addition, we may choose to accelerate or decelerate our spending depending on results from clinical trials and other factors. Pending our use of the proceeds, we may invest the proceeds from this offering in a manner that does not produce income or that may lose value. </w:t>
      </w:r>
    </w:p>
    <w:p>
      <w:pPr>
        <w:pStyle w:val="TextBody"/>
        <w:bidi w:val="0"/>
        <w:spacing w:before="160" w:after="0"/>
        <w:jc w:val="left"/>
        <w:rPr>
          <w:rFonts w:ascii="arial" w:hAnsi="arial"/>
          <w:b/>
          <w:i/>
          <w:sz w:val="20"/>
        </w:rPr>
      </w:pPr>
      <w:r>
        <w:rPr>
          <w:rFonts w:ascii="arial" w:hAnsi="arial"/>
          <w:b/>
          <w:i/>
          <w:sz w:val="20"/>
        </w:rPr>
        <w:t xml:space="preserve">If we sell shares of our common stock in future financings, stockholders may experience immediate dilution and, as a result, our stock price may decline. </w:t>
      </w:r>
    </w:p>
    <w:p>
      <w:pPr>
        <w:pStyle w:val="TextBody"/>
        <w:bidi w:val="0"/>
        <w:spacing w:before="160" w:after="0"/>
        <w:jc w:val="left"/>
        <w:rPr>
          <w:rFonts w:ascii="arial" w:hAnsi="arial"/>
          <w:sz w:val="20"/>
        </w:rPr>
      </w:pPr>
      <w:r>
        <w:rPr>
          <w:rFonts w:ascii="arial" w:hAnsi="arial"/>
          <w:sz w:val="20"/>
        </w:rPr>
        <w:t xml:space="preserve">We may from time to time issue additional shares of common stock at a discount from the current trading price of our common stock. As a result, our stockholders would experience immediate dilution upon the purchase of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S-5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any shares of our common stock sold at such discount. In addition, as opportunities present themselves, we may enter into financing or similar arrangements in the future, including the issuance of debt securities, preferred stock or common stock. If we issue common stock or securities convertible into common stock, including shares issuable upon conversion of the convertible notes in the concurrent convertible note offering, our stockholders would experience additional dilution and, as a result, our stock price may decline. </w:t>
      </w:r>
    </w:p>
    <w:p>
      <w:pPr>
        <w:pStyle w:val="TextBody"/>
        <w:bidi w:val="0"/>
        <w:spacing w:before="160" w:after="0"/>
        <w:jc w:val="left"/>
        <w:rPr>
          <w:rFonts w:ascii="arial" w:hAnsi="arial"/>
          <w:b/>
          <w:i/>
          <w:sz w:val="20"/>
        </w:rPr>
      </w:pPr>
      <w:r>
        <w:rPr>
          <w:rFonts w:ascii="arial" w:hAnsi="arial"/>
          <w:b/>
          <w:i/>
          <w:sz w:val="20"/>
        </w:rPr>
        <w:t xml:space="preserve">Sales of a substantial number of shares of our common stock in the public market could cause our stock price to fall. </w:t>
      </w:r>
    </w:p>
    <w:p>
      <w:pPr>
        <w:pStyle w:val="TextBody"/>
        <w:bidi w:val="0"/>
        <w:spacing w:before="160" w:after="0"/>
        <w:jc w:val="left"/>
        <w:rPr>
          <w:rFonts w:ascii="arial" w:hAnsi="arial"/>
          <w:sz w:val="20"/>
        </w:rPr>
      </w:pPr>
      <w:r>
        <w:rPr>
          <w:rFonts w:ascii="arial" w:hAnsi="arial"/>
          <w:sz w:val="20"/>
        </w:rPr>
        <w:t xml:space="preserve">If our existing stockholders sell, or indicate an intention to sell, substantial amounts of our common stock in the public market, the market price of our common stock could decline. </w:t>
      </w:r>
    </w:p>
    <w:p>
      <w:pPr>
        <w:pStyle w:val="TextBody"/>
        <w:bidi w:val="0"/>
        <w:spacing w:before="160" w:after="0"/>
        <w:jc w:val="left"/>
        <w:rPr>
          <w:rFonts w:ascii="arial" w:hAnsi="arial"/>
          <w:sz w:val="20"/>
        </w:rPr>
      </w:pPr>
      <w:r>
        <w:rPr>
          <w:rFonts w:ascii="arial" w:hAnsi="arial"/>
          <w:sz w:val="20"/>
        </w:rPr>
        <w:t xml:space="preserve">We and our executive officers and directors have entered into lock-up agreements with the underwriters under which we and they have agreed, subject to specific exceptions described in the section titled “Underwriting,” not to sell, directly or indirectly, any of our equity securities without the consent of J.P. Morgan Securities LLC, TD Securities (USA) LLC and Guggenheim Securities, LLC for a period of 45 days following the date of this prospectus supplement. When this lock-up period expires, we and our directors and executive officers could sell shares in the public market, which could cause our stock price to fall. J.P. Morgan Securities LLC, TD Securities (USA) LLC and Guggenheim Securities, LLC may, in their sole discretion, permit us and those persons who are subject to lock-up agreements to sell shares prior to the expiration of the lock-up agreements. See the description of the lock-up agreements with the underwriters of this offering in the section titled “Underwriting” for more information. Sales of a substantial number of shares upon expiration of the lock-up agreements, the perception that such sales may occur, or early release of these agreements, could cause our market price to fall or make it more difficult for you to sell your common stock at a time and price that you deem appropriate. </w:t>
      </w:r>
    </w:p>
    <w:p>
      <w:pPr>
        <w:pStyle w:val="TextBody"/>
        <w:bidi w:val="0"/>
        <w:spacing w:before="160" w:after="0"/>
        <w:jc w:val="left"/>
        <w:rPr>
          <w:rFonts w:ascii="arial" w:hAnsi="arial"/>
          <w:sz w:val="20"/>
        </w:rPr>
      </w:pPr>
      <w:r>
        <w:rPr>
          <w:rFonts w:ascii="arial" w:hAnsi="arial"/>
          <w:sz w:val="20"/>
        </w:rPr>
        <w:t xml:space="preserve">As of December 31, 2025, 28.6 million shares of common stock were subject to outstanding options, warrants or restricted stock units and were eligible, or were expected to become eligible, for sale in the public market to the extent permitted by the provisions of various vesting schedules, the lock-up agreements described in the section titled “Underwriting,” and Rule 144 and Rule 701 under the Securities Act of 1933, or the Securities Act. If these additional shares of common stock are sold, or if it is perceived that they will be sold, in the public market, the market price of our common stock could decline. </w:t>
      </w:r>
    </w:p>
    <w:p>
      <w:pPr>
        <w:pStyle w:val="TextBody"/>
        <w:bidi w:val="0"/>
        <w:spacing w:before="160" w:after="0"/>
        <w:jc w:val="left"/>
        <w:rPr>
          <w:rFonts w:ascii="arial" w:hAnsi="arial"/>
          <w:sz w:val="20"/>
        </w:rPr>
      </w:pPr>
      <w:r>
        <w:rPr>
          <w:rFonts w:ascii="arial" w:hAnsi="arial"/>
          <w:sz w:val="20"/>
        </w:rPr>
        <w:t xml:space="preserve">In addition, our Sales Agreement with TD Securities (USA) LLC provides for the offer and sale, from time to time, of up to $1,000,000,000 of shares of our common stock to the public through an “at the market offering,” as defined in Rule 415(a)(4) promulgated under the Securities Act. As of the date of this prospectus supplement, up to $855.9 million of shares of common stock remain available for issuance pursuant to the terms of our Sales Agreement with TD Securities (USA) LLC after the expiration or waiver of the lock-up period applicable to us and described under the section titled “Underwriting.” </w:t>
      </w:r>
    </w:p>
    <w:p>
      <w:pPr>
        <w:pStyle w:val="TextBody"/>
        <w:bidi w:val="0"/>
        <w:spacing w:before="320" w:after="0"/>
        <w:jc w:val="left"/>
        <w:rPr>
          <w:rFonts w:ascii="arial" w:hAnsi="arial"/>
          <w:b/>
          <w:sz w:val="24"/>
        </w:rPr>
      </w:pPr>
      <w:r>
        <w:rPr>
          <w:rFonts w:ascii="arial" w:hAnsi="arial"/>
          <w:b/>
          <w:sz w:val="24"/>
        </w:rPr>
        <w:t xml:space="preserve">Risks related to the concurrent convertible note offering </w:t>
      </w:r>
    </w:p>
    <w:p>
      <w:pPr>
        <w:pStyle w:val="TextBody"/>
        <w:bidi w:val="0"/>
        <w:spacing w:before="160" w:after="0"/>
        <w:jc w:val="left"/>
        <w:rPr>
          <w:rFonts w:ascii="arial" w:hAnsi="arial"/>
          <w:b/>
          <w:i/>
          <w:sz w:val="20"/>
        </w:rPr>
      </w:pPr>
      <w:r>
        <w:rPr>
          <w:rFonts w:ascii="arial" w:hAnsi="arial"/>
          <w:b/>
          <w:i/>
          <w:sz w:val="20"/>
        </w:rPr>
        <w:t xml:space="preserve">The issuance of shares of our common stock upon conversion of the convertible notes will dilute the ownership interests of our stockholders and could depress the trading price of our common stock. </w:t>
      </w:r>
    </w:p>
    <w:p>
      <w:pPr>
        <w:pStyle w:val="TextBody"/>
        <w:bidi w:val="0"/>
        <w:spacing w:before="160" w:after="0"/>
        <w:jc w:val="left"/>
        <w:rPr>
          <w:rFonts w:ascii="arial" w:hAnsi="arial"/>
          <w:sz w:val="20"/>
        </w:rPr>
      </w:pPr>
      <w:r>
        <w:rPr>
          <w:rFonts w:ascii="arial" w:hAnsi="arial"/>
          <w:sz w:val="20"/>
        </w:rPr>
        <w:t xml:space="preserve">Upon conversion of the convertible notes being offered in the concurrent convertible note offering, we will satisfy part or all of our conversion obligation in shares of our common stock, unless we elect to settle conversions solely in cash. The issuance of shares of our common stock upon conversion of the convertible notes will dilute the ownership interests of our stockholders, which could depress the trading price of our common stock. In addition, the market’s expectation that conversions may occur could depress the trading price of our common stock even in the absence of actual conversions. Moreover, the expectation of conversions could encourage the short selling of our common stock, which could place further downward pressure on the trading price of our common stock.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S-6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i/>
          <w:sz w:val="20"/>
        </w:rPr>
      </w:pPr>
      <w:r>
        <w:rPr>
          <w:rFonts w:ascii="arial" w:hAnsi="arial"/>
          <w:b/>
          <w:i/>
          <w:sz w:val="20"/>
        </w:rPr>
        <w:t xml:space="preserve">This offering is not contingent on the consummation of the concurrent convertible note offering, and vice versa. </w:t>
      </w:r>
    </w:p>
    <w:p>
      <w:pPr>
        <w:pStyle w:val="TextBody"/>
        <w:bidi w:val="0"/>
        <w:spacing w:before="160" w:after="0"/>
        <w:jc w:val="left"/>
        <w:rPr>
          <w:rFonts w:ascii="arial" w:hAnsi="arial"/>
          <w:sz w:val="20"/>
        </w:rPr>
      </w:pPr>
      <w:r>
        <w:rPr>
          <w:rFonts w:ascii="arial" w:hAnsi="arial"/>
          <w:sz w:val="20"/>
        </w:rPr>
        <w:t xml:space="preserve">The completion of this offering is not contingent on the completion of the concurrent convertible note offering, and the completion of the concurrent convertible note offering is not contingent on the completion of this offering. Accordingly, you should not assume that the concurrent convertible note offering will be consummated on the terms described in this prospectus supplement, if at all, or that we will receive any additional proceeds from the concurrent convertible note offering. This prospectus supplement does not constitute an offer to sell, or the solicitation of an offer to buy, any securities being offered in the concurrent convertible note offering. See the section titled “Concurrent convertible note offering.” </w:t>
      </w:r>
    </w:p>
    <w:p>
      <w:pPr>
        <w:pStyle w:val="TextBody"/>
        <w:bidi w:val="0"/>
        <w:spacing w:before="160" w:after="0"/>
        <w:jc w:val="left"/>
        <w:rPr>
          <w:rFonts w:ascii="arial" w:hAnsi="arial"/>
          <w:b/>
          <w:i/>
          <w:sz w:val="20"/>
        </w:rPr>
      </w:pPr>
      <w:r>
        <w:rPr>
          <w:rFonts w:ascii="arial" w:hAnsi="arial"/>
          <w:b/>
          <w:i/>
          <w:sz w:val="20"/>
        </w:rPr>
        <w:t xml:space="preserve">Hedging activity by investors in the convertible notes could depress the trading price of our common stock. </w:t>
      </w:r>
    </w:p>
    <w:p>
      <w:pPr>
        <w:pStyle w:val="TextBody"/>
        <w:bidi w:val="0"/>
        <w:spacing w:before="160" w:after="0"/>
        <w:jc w:val="left"/>
        <w:rPr>
          <w:rFonts w:ascii="arial" w:hAnsi="arial"/>
          <w:sz w:val="20"/>
        </w:rPr>
      </w:pPr>
      <w:r>
        <w:rPr>
          <w:rFonts w:ascii="arial" w:hAnsi="arial"/>
          <w:sz w:val="20"/>
        </w:rPr>
        <w:t xml:space="preserve">We expect that many investors in the convertible notes being offered in the concurrent convertible note offering, including potential purchasers of the convertible notes following the concurrent convertible note offering, will seek to employ a convertible note arbitrage strategy. Under this strategy, investors typically short sell a certain number of shares of our common stock and adjust their short position over time while they continue to hold the convertible notes. Investors may also implement this type of strategy by entering into swaps on our common stock in lieu of, or in addition to, short selling shares of our common stock. This market activity, or the market’s perception that it will occur, could depress the trading price of our common stock. </w:t>
      </w:r>
    </w:p>
    <w:p>
      <w:pPr>
        <w:pStyle w:val="TextBody"/>
        <w:bidi w:val="0"/>
        <w:spacing w:before="160" w:after="0"/>
        <w:jc w:val="left"/>
        <w:rPr>
          <w:rFonts w:ascii="arial" w:hAnsi="arial"/>
          <w:b/>
          <w:i/>
          <w:sz w:val="20"/>
        </w:rPr>
      </w:pPr>
      <w:r>
        <w:rPr>
          <w:rFonts w:ascii="arial" w:hAnsi="arial"/>
          <w:b/>
          <w:i/>
          <w:sz w:val="20"/>
        </w:rPr>
        <w:t xml:space="preserve">Provisions in the indenture governing the convertible notes could delay or prevent an otherwise beneficial takeover of us. </w:t>
      </w:r>
    </w:p>
    <w:p>
      <w:pPr>
        <w:pStyle w:val="TextBody"/>
        <w:bidi w:val="0"/>
        <w:spacing w:before="160" w:after="0"/>
        <w:jc w:val="left"/>
        <w:rPr>
          <w:rFonts w:ascii="arial" w:hAnsi="arial"/>
          <w:sz w:val="20"/>
        </w:rPr>
      </w:pPr>
      <w:r>
        <w:rPr>
          <w:rFonts w:ascii="arial" w:hAnsi="arial"/>
          <w:sz w:val="20"/>
        </w:rPr>
        <w:t xml:space="preserve">Certain provisions in the convertible notes and the indenture governing the convertible notes could make a third party attempt to acquire us more difficult or expensive. For example, if a takeover constitutes a “fundamental change” (which will be defined in the indenture to include certain change-of-control events and the delisting of our common stock), then noteholders will have the right to require us to repurchase their convertible notes for cash. In addition, if a takeover constitutes a “make-whole fundamental change” (which will be defined in the indenture to include, among other events, fundamental changes and certain additional business combination transactions), then we may be required to temporarily increase the conversion rate for the convertible notes. In either case, and in other cases, our obligations under the convertible notes and the indenture could increase the cost of acquiring us or otherwise discourage a third party from acquiring us, including in a transaction that holders of our convertible notes or common stock may view as favorable. </w:t>
      </w:r>
    </w:p>
    <w:p>
      <w:pPr>
        <w:pStyle w:val="TextBody"/>
        <w:bidi w:val="0"/>
        <w:spacing w:before="160" w:after="0"/>
        <w:jc w:val="left"/>
        <w:rPr>
          <w:rFonts w:ascii="arial" w:hAnsi="arial"/>
          <w:b/>
          <w:i/>
          <w:sz w:val="20"/>
        </w:rPr>
      </w:pPr>
      <w:r>
        <w:rPr>
          <w:rFonts w:ascii="arial" w:hAnsi="arial"/>
          <w:b/>
          <w:i/>
          <w:sz w:val="20"/>
        </w:rPr>
        <w:t xml:space="preserve">We may be unable to raise the funds necessary to repurchase the convertible notes for cash following a fundamental change, or to pay any cash amounts due upon conversion, and our other indebtedness may limit our ability to repurchase the convertible notes or pay cash upon their conversion. </w:t>
      </w:r>
    </w:p>
    <w:p>
      <w:pPr>
        <w:pStyle w:val="TextBody"/>
        <w:bidi w:val="0"/>
        <w:spacing w:before="160" w:after="0"/>
        <w:jc w:val="left"/>
        <w:rPr>
          <w:rFonts w:ascii="arial" w:hAnsi="arial"/>
          <w:sz w:val="20"/>
        </w:rPr>
      </w:pPr>
      <w:r>
        <w:rPr>
          <w:rFonts w:ascii="arial" w:hAnsi="arial"/>
          <w:sz w:val="20"/>
        </w:rPr>
        <w:t xml:space="preserve">Noteholders may, subject to a limited exception, require us to repurchase their convertible notes following a “fundamental change” (which will be defined in the indenture governing the convertible notes to include certain change-of-control events and the delisting of our common stock) at a cash repurchase price generally equal to the principal amount of the convertible notes to be repurchased, plus accrued and unpaid interest, if any. Upon maturity of the convertible notes, we must pay their principal amount and accrued and unpaid interest in cash, unless they have been previously repurchased, redeemed or converted. In addition, upon conversion, we will satisfy part or all of our conversion obligation in cash unless we elect to settle conversions solely in shares of our common stock. We may not have enough available cash or be able to obtain financing at the time we are required to repurchase the convertible notes or pay any cash amounts due upon their maturity or conversion. In addition, applicable law, regulatory authorities and the agreements governing our other indebtedness may restrict our ability to repurchase the convertible notes or pay any cash amounts due upon conversion. Our failure to repurchase convertible notes or to pay any cash amounts due upon their maturity or conversion when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S-7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required will constitute a default under the indenture governing the convertible notes. A default under the indenture or the fundamental change itself could also lead to a default under agreements governing our other indebtedness, including the Term Loan Credit Agreement (as defined below), which may result in that other indebtedness becoming immediately payable in full. We may not have sufficient funds to satisfy all amounts due under the other indebtedness and the convertible notes. </w:t>
      </w:r>
    </w:p>
    <w:p>
      <w:pPr>
        <w:pStyle w:val="TextBody"/>
        <w:bidi w:val="0"/>
        <w:spacing w:before="160" w:after="0"/>
        <w:jc w:val="left"/>
        <w:rPr>
          <w:rFonts w:ascii="arial" w:hAnsi="arial"/>
          <w:b/>
          <w:i/>
          <w:sz w:val="20"/>
        </w:rPr>
      </w:pPr>
      <w:r>
        <w:rPr>
          <w:rFonts w:ascii="arial" w:hAnsi="arial"/>
          <w:b/>
          <w:i/>
          <w:sz w:val="20"/>
        </w:rPr>
        <w:t xml:space="preserve">The indenture governing the convertible notes will not restrict us from incurring additional indebtedness, and the incurrence of the convertible notes and any additional indebtedness could limit the cash flow available for our operations, expose us to risks that could adversely affect our business, financial condition and results of operations. </w:t>
      </w:r>
    </w:p>
    <w:p>
      <w:pPr>
        <w:pStyle w:val="TextBody"/>
        <w:bidi w:val="0"/>
        <w:spacing w:before="160" w:after="0"/>
        <w:jc w:val="left"/>
        <w:rPr>
          <w:rFonts w:ascii="arial" w:hAnsi="arial"/>
          <w:sz w:val="20"/>
        </w:rPr>
      </w:pPr>
      <w:r>
        <w:rPr>
          <w:rFonts w:ascii="arial" w:hAnsi="arial"/>
          <w:sz w:val="20"/>
        </w:rPr>
        <w:t xml:space="preserve">As of December 31, 2025, we had no consolidated indebtedness for borrowed money and approximately $268.4 million of liabilities relating to our sale of future royalties pursuant to a revenue participation right purchase and sale agreement with Royalty Pharma Investments 2019 ICAV (the “Royalty Purchase Agreement”). We will incur $500.0 million principal amount of additional indebtedness as a result of the concurrent convertible note offering. The indenture for the convertible notes will not contain any meaningful restrictive covenants and will not prohibit us or our subsidiaries from incurring additional indebtedness in the future. Accordingly, we may incur a significant amount of additional indebtedness following the concurrent convertible note offering, if it is completed. The incurrence of indebtedness could have significant negative consequences for our stockholders and our business, results of operations and financial condition by,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increasing our vulnerability to adverse economic and industry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limiting our ability to obtain additional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requiring the dedication of a substantial portion of our cash flow from operations to service our indebtedness, which will reduce the amount of cash available for other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limiting our flexibility to plan for, or react to, changes in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diluting the interests of our existing stockholders as a result of issuing shares of our common stock upon conversion of the convertible notes;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placing us at a possible competitive disadvantage with competitors that are less leveraged than us or have better access to capital. </w:t>
            </w:r>
          </w:p>
        </w:tc>
      </w:tr>
    </w:tbl>
    <w:p>
      <w:pPr>
        <w:pStyle w:val="TextBody"/>
        <w:bidi w:val="0"/>
        <w:spacing w:before="160" w:after="0"/>
        <w:jc w:val="left"/>
        <w:rPr>
          <w:rFonts w:ascii="arial" w:hAnsi="arial"/>
          <w:sz w:val="20"/>
        </w:rPr>
      </w:pPr>
      <w:r>
        <w:rPr>
          <w:rFonts w:ascii="arial" w:hAnsi="arial"/>
          <w:sz w:val="20"/>
        </w:rPr>
        <w:t xml:space="preserve">Our business may not generate sufficient funds, and we may otherwise be unable to maintain sufficient cash reserves, to pay amounts due under our indebtedness, and our cash needs may increase in the future. In addition, our senior secured term loan agreement with Royalty Pharma Development Funding, LLC, as a lender and Wilmington Trust, National Association, as administrative agent (the “Term Loan Credit Agreement”) contains, and any future indebtedness that we may incur may contain, financial and other restrictive covenants that limit our ability to operate our business, raise capital or make payments under our other indebtedness. If we fail to comply with these covenants or to make payments under our indebtedness when due, then we would be in default under that indebtedness, which could, in turn, result in that and our other indebtedness becoming immediately payable in full. </w:t>
      </w:r>
    </w:p>
    <w:p>
      <w:pPr>
        <w:pStyle w:val="TextBody"/>
        <w:bidi w:val="0"/>
        <w:spacing w:before="160" w:after="0"/>
        <w:jc w:val="left"/>
        <w:rPr>
          <w:rFonts w:ascii="arial" w:hAnsi="arial"/>
          <w:b/>
          <w:i/>
          <w:sz w:val="20"/>
        </w:rPr>
      </w:pPr>
      <w:r>
        <w:rPr>
          <w:rFonts w:ascii="arial" w:hAnsi="arial"/>
          <w:b/>
          <w:i/>
          <w:sz w:val="20"/>
        </w:rPr>
        <w:t xml:space="preserve">The accounting method for the convertible notes could adversely affect our reported financial condition and results. </w:t>
      </w:r>
    </w:p>
    <w:p>
      <w:pPr>
        <w:pStyle w:val="TextBody"/>
        <w:bidi w:val="0"/>
        <w:spacing w:before="160" w:after="0"/>
        <w:jc w:val="left"/>
        <w:rPr>
          <w:rFonts w:ascii="arial" w:hAnsi="arial"/>
          <w:sz w:val="20"/>
        </w:rPr>
      </w:pPr>
      <w:r>
        <w:rPr>
          <w:rFonts w:ascii="arial" w:hAnsi="arial"/>
          <w:sz w:val="20"/>
        </w:rPr>
        <w:t xml:space="preserve">The accounting method for reflecting the convertible notes on our balance sheet, accruing interest expense for the convertible notes and reflecting the underlying shares of our common stock in our reported diluted earnings per share may adversely affect our reported earnings and financial condition.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S-8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In accordance with applicable accounting standards, we expect that the convertible notes we are offering pursuant to the concurrent convertible note offering will be reflected as a liability on our balance sheets, with the initial carrying amount equal to the principal amount of the convertible notes, net of issuance costs. The issuance costs will be treated as a debt discount for accounting purposes, which will be amortized into interest expense over the term of the convertible notes. As a result of this amortization, the interest expense that we expect to recognize for the convertible notes for accounting purposes will be greater than the cash interest payments we will pay on the convertible notes, which will result in lower reported income. </w:t>
      </w:r>
    </w:p>
    <w:p>
      <w:pPr>
        <w:pStyle w:val="TextBody"/>
        <w:bidi w:val="0"/>
        <w:spacing w:before="160" w:after="0"/>
        <w:jc w:val="left"/>
        <w:rPr>
          <w:rFonts w:ascii="arial" w:hAnsi="arial"/>
          <w:sz w:val="20"/>
        </w:rPr>
      </w:pPr>
      <w:r>
        <w:rPr>
          <w:rFonts w:ascii="arial" w:hAnsi="arial"/>
          <w:sz w:val="20"/>
        </w:rPr>
        <w:t xml:space="preserve">In addition, we expect that the shares underlying the convertible notes will be reflected in our diluted earnings per share using the “if converted” method. Under that method, diluted earnings per share would generally be calculated assuming that all the convertible notes were converted solely into shares of common stock at the beginning of the reporting period, unless the result would be anti-dilutive. The application of the if-converted method may reduce our reported diluted earnings per share, and accounting standards may change in the future in a manner that may adversely affect our diluted earnings per share. </w:t>
      </w:r>
    </w:p>
    <w:p>
      <w:pPr>
        <w:pStyle w:val="TextBody"/>
        <w:bidi w:val="0"/>
        <w:spacing w:before="160" w:after="0"/>
        <w:jc w:val="left"/>
        <w:rPr>
          <w:rFonts w:ascii="arial" w:hAnsi="arial"/>
          <w:sz w:val="20"/>
        </w:rPr>
      </w:pPr>
      <w:r>
        <w:rPr>
          <w:rFonts w:ascii="arial" w:hAnsi="arial"/>
          <w:sz w:val="20"/>
        </w:rPr>
        <w:t xml:space="preserve">Furthermore, if any of the conditions to the convertibility of the convertible notes is satisfied, then we may be required under applicable accounting standards to reclassify the liability carrying value of the convertible notes as a current, rather than a long-term, liability. This reclassification could be required even if no convertible noteholders convert their convertible notes and could materially reduce our reported working capital. </w:t>
      </w:r>
    </w:p>
    <w:p>
      <w:pPr>
        <w:pStyle w:val="TextBody"/>
        <w:bidi w:val="0"/>
        <w:spacing w:before="160" w:after="0"/>
        <w:jc w:val="left"/>
        <w:rPr>
          <w:rFonts w:ascii="arial" w:hAnsi="arial"/>
          <w:sz w:val="20"/>
        </w:rPr>
      </w:pPr>
      <w:r>
        <w:rPr>
          <w:rFonts w:ascii="arial" w:hAnsi="arial"/>
          <w:sz w:val="20"/>
        </w:rPr>
        <w:t xml:space="preserve">We have not reached a final determination regarding the accounting treatment for the convertible notes, and the description above is preliminary. Accordingly, we may account for the convertible notes in a manner that is significantly different than described above.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S-9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sz w:val="32"/>
        </w:rPr>
      </w:pPr>
      <w:bookmarkStart w:id="7" w:name="supptoc93698_5"/>
      <w:bookmarkEnd w:id="7"/>
      <w:r>
        <w:rPr>
          <w:rFonts w:ascii="arial" w:hAnsi="arial"/>
          <w:b/>
          <w:sz w:val="32"/>
        </w:rPr>
        <w:t xml:space="preserve">Special note regarding forward-looking statements </w:t>
      </w:r>
    </w:p>
    <w:p>
      <w:pPr>
        <w:pStyle w:val="TextBody"/>
        <w:bidi w:val="0"/>
        <w:spacing w:before="160" w:after="0"/>
        <w:jc w:val="left"/>
        <w:rPr>
          <w:rFonts w:ascii="arial" w:hAnsi="arial"/>
          <w:sz w:val="20"/>
        </w:rPr>
      </w:pPr>
      <w:r>
        <w:rPr>
          <w:rFonts w:ascii="arial" w:hAnsi="arial"/>
          <w:sz w:val="20"/>
        </w:rPr>
        <w:t xml:space="preserve">This prospectus supplement, the accompanying prospectus, including the documents incorporated by reference herein and therein, and any free writing prospectus that we have authorized for use in connection with this offering may contain “forward-looking statements” within the meaning of the Private Securities Litigation Reform Act of 1995 concerning our business, operations and financial performance and condition, as well as our plans, objectives and expectations for our business operations and financial performance and condition. Any statements contained, or incorporated by reference, herein that are not statements of historical facts may be deemed to be forward-looking statements. 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the scope, progress, results and costs of developing our product candidates or any other future product candidates, and conducting preclinical studies and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the scope, progress, results and costs related to the research and development of our pipeline;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the timing of and costs involved in obtaining and maintaining regulatory approval for any of our current or future product candidates, and any related restrictions, limitations and/or warnings in the label of an approved product candidate;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our expectations regarding the potential market size and size of the potential patient populations for our product candidates and any future product candidates, if approved for commercial 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0"/>
        <w:gridCol w:w="10005"/>
      </w:tblGrid>
      <w:tr>
        <w:trPr/>
        <w:tc>
          <w:tcPr>
            <w:tcW w:w="100"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10005" w:type="dxa"/>
            <w:tcBorders/>
          </w:tcPr>
          <w:p>
            <w:pPr>
              <w:pStyle w:val="TableContents"/>
              <w:bidi w:val="0"/>
              <w:spacing w:before="0" w:after="0"/>
              <w:jc w:val="left"/>
              <w:rPr>
                <w:rFonts w:ascii="arial" w:hAnsi="arial"/>
                <w:sz w:val="20"/>
              </w:rPr>
            </w:pPr>
            <w:r>
              <w:rPr>
                <w:rFonts w:ascii="arial" w:hAnsi="arial"/>
                <w:sz w:val="20"/>
              </w:rPr>
              <w:t xml:space="preserve">our ability to maintain and establish new collaborations, licensing or other arrangements and the financial terms of any such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our commercialization, marketing and manufacturing capabilities and expectations;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the rate and degree of market acceptance of our product candidates, as well as the pricing and reimbursement of our product candidates,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the implementation of our business model and strategic plans for our business, product candidates and technology, including additional indications which we may pursue;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the scope of protection we are able to establish and maintain for intellectual property rights covering our product candidates, including the projected term of patent protection;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our expectations regarding our ability to obtain, maintain, enforce and defend our intellectual property protection for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estimates of our expenses, future revenue, capital requirements, our needs for additional financing and our ability to obtain additional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developments and projections relating to our competitors and our industry, including competing therapies and procedures;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regulatory and legal developments in the United States and foreign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the performance of our third-party suppliers and manufacturers;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S-10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our ability to attract and retain key scientific or management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our expectations regarding the completion of, and anticipated use of the net proceeds from, this offering and the concurrent convertible note offering;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0"/>
        <w:gridCol w:w="10005"/>
      </w:tblGrid>
      <w:tr>
        <w:trPr/>
        <w:tc>
          <w:tcPr>
            <w:tcW w:w="100"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10005" w:type="dxa"/>
            <w:tcBorders/>
          </w:tcPr>
          <w:p>
            <w:pPr>
              <w:pStyle w:val="TableContents"/>
              <w:bidi w:val="0"/>
              <w:spacing w:before="0" w:after="0"/>
              <w:jc w:val="left"/>
              <w:rPr>
                <w:rFonts w:ascii="arial" w:hAnsi="arial"/>
                <w:sz w:val="20"/>
              </w:rPr>
            </w:pPr>
            <w:r>
              <w:rPr>
                <w:rFonts w:ascii="arial" w:hAnsi="arial"/>
                <w:sz w:val="20"/>
              </w:rPr>
              <w:t xml:space="preserve">other risks and uncertainties, including those listed under the caption “Risk factors” and elsewhere in this prospectus supplement, the accompanying prospectus and the documents incorporated by reference in this prospectus supplement and the accompanying prospectus. </w:t>
            </w:r>
          </w:p>
        </w:tc>
      </w:tr>
    </w:tbl>
    <w:p>
      <w:pPr>
        <w:pStyle w:val="TextBody"/>
        <w:bidi w:val="0"/>
        <w:spacing w:before="160" w:after="0"/>
        <w:jc w:val="left"/>
        <w:rPr>
          <w:rFonts w:ascii="arial" w:hAnsi="arial"/>
          <w:sz w:val="20"/>
        </w:rPr>
      </w:pPr>
      <w:r>
        <w:rPr>
          <w:rFonts w:ascii="arial" w:hAnsi="arial"/>
          <w:sz w:val="20"/>
        </w:rPr>
        <w:t xml:space="preserve">These forward-looking statements are based on management’s current expectations, estimates, forecasts and projections about our business and the industry in which we operate and management’s beliefs and assumptions and are not guarantees of future performance or development and involve known and unknown risks, uncertainties and other factors that are in some cases beyond our control. As a result, any or all of our forward-looking statements in, or incorporated by reference in, this prospectus supplement and the accompanying prospectus may turn out to be inaccurate. Factors that may cause actual results to differ materially from current expectations include, among other things, those listed under “Risk factors” and elsewhere and incorporated by reference in this prospectus supplement. Potential investors are urged to consider these factors carefully in evaluating the forward-looking statements. These forward-looking statements speak only as of the date of this prospectus supplement. Except as required by law, we assume no obligation to update or revise these forward-looking statements for any reason, even if new information becomes available in the future. You should, however, review the factors and risks we describe in the reports we will file from time to time with the SEC after the date of this prospectus supplement. See “Where you can find more information; incorporation by reference” for additional information.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S-11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sz w:val="32"/>
        </w:rPr>
      </w:pPr>
      <w:bookmarkStart w:id="8" w:name="supptoc93698_6"/>
      <w:bookmarkEnd w:id="8"/>
      <w:r>
        <w:rPr>
          <w:rFonts w:ascii="arial" w:hAnsi="arial"/>
          <w:b/>
          <w:sz w:val="32"/>
        </w:rPr>
        <w:t xml:space="preserve">Market and industry data </w:t>
      </w:r>
    </w:p>
    <w:p>
      <w:pPr>
        <w:pStyle w:val="TextBody"/>
        <w:bidi w:val="0"/>
        <w:spacing w:before="160" w:after="0"/>
        <w:jc w:val="left"/>
        <w:rPr>
          <w:rFonts w:ascii="arial" w:hAnsi="arial"/>
          <w:sz w:val="20"/>
        </w:rPr>
      </w:pPr>
      <w:r>
        <w:rPr>
          <w:rFonts w:ascii="arial" w:hAnsi="arial"/>
          <w:sz w:val="20"/>
        </w:rPr>
        <w:t xml:space="preserve">This prospectus supplement and the documents incorporated by reference herein contain estimates, projections and other information concerning our industry and our business, as well as data regarding market research, estimates and forecasts prepared by our management.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 In some cases, we do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 </w:t>
      </w:r>
    </w:p>
    <w:p>
      <w:pPr>
        <w:pStyle w:val="TextBody"/>
        <w:bidi w:val="0"/>
        <w:spacing w:before="160" w:after="0"/>
        <w:jc w:val="left"/>
        <w:rPr>
          <w:rFonts w:ascii="arial" w:hAnsi="arial"/>
          <w:sz w:val="20"/>
        </w:rPr>
      </w:pPr>
      <w:r>
        <w:rPr>
          <w:rFonts w:ascii="arial" w:hAnsi="arial"/>
          <w:sz w:val="20"/>
        </w:rPr>
        <w:t xml:space="preserve">This industry, business, market and other information involves a number of assumptions and limitations, and you are cautioned not to give undue weight to such estimates. We have not independently verified any third-party information and cannot assure you of its accuracy or completeness. Although we are responsible for all of the disclosure contained in this prospectus supplement and the documents incorporated by reference herein, and we believe the market position, market opportunity, market size and other information included in this prospectus supplement and the documents incorporated by reference herein is reliable, such information is inherently imprecise. In addition, projections, assumptions and estimates of our future performance and the future performance of the industry in which we operate are necessarily subject to a high degree of uncertainty and risk due to a variety of factors, including those described in the section titled “Risk factors” and elsewhere in this prospectus supplement and the documents incorporated by reference herein. These and other factors could cause results to differ materially from those expressed in the estimates made by the independent parties and by us.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S-12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sz w:val="32"/>
        </w:rPr>
      </w:pPr>
      <w:bookmarkStart w:id="9" w:name="supptoc93698_7"/>
      <w:bookmarkEnd w:id="9"/>
      <w:r>
        <w:rPr>
          <w:rFonts w:ascii="arial" w:hAnsi="arial"/>
          <w:b/>
          <w:sz w:val="32"/>
        </w:rPr>
        <w:t xml:space="preserve">Use of proceeds </w:t>
      </w:r>
    </w:p>
    <w:p>
      <w:pPr>
        <w:pStyle w:val="TextBody"/>
        <w:bidi w:val="0"/>
        <w:spacing w:before="160" w:after="0"/>
        <w:jc w:val="left"/>
        <w:rPr>
          <w:rFonts w:ascii="arial" w:hAnsi="arial"/>
          <w:sz w:val="20"/>
        </w:rPr>
      </w:pPr>
      <w:r>
        <w:rPr>
          <w:rFonts w:ascii="arial" w:hAnsi="arial"/>
          <w:sz w:val="20"/>
        </w:rPr>
        <w:t xml:space="preserve">We estimate that the net proceeds to us from this offering will be approximately $1,435.0 million, after deducting the underwriting discounts and commissions and estimated offering expenses payable by us. If the underwriters exercise their option to purchase additional shares of our common stock in full, we estimate that the net proceeds to us will be approximately $1,650.4 million, after deducting the underwriting discounts and commissions and estimated offering expenses payable by us. We estimate that the net proceeds to us from the concurrent convertible note offering described below, if it is consummated, will be approximately $486.8 million, after deducting the underwriting discounts and commissions and our estimated offering expenses. </w:t>
      </w:r>
    </w:p>
    <w:p>
      <w:pPr>
        <w:pStyle w:val="TextBody"/>
        <w:bidi w:val="0"/>
        <w:spacing w:before="160" w:after="0"/>
        <w:jc w:val="left"/>
        <w:rPr>
          <w:rFonts w:ascii="arial" w:hAnsi="arial"/>
          <w:sz w:val="20"/>
        </w:rPr>
      </w:pPr>
      <w:r>
        <w:rPr>
          <w:rFonts w:ascii="arial" w:hAnsi="arial"/>
          <w:sz w:val="20"/>
        </w:rPr>
        <w:t xml:space="preserve">We intend to use the net proceeds from this offering and, if it is consummated, the concurrent convertible note offering, for general corporate purposes, including research and development expenses, expenses relating to the potential commercialization of one or more of our product candidates, general and administrative expenses and capital expenditures. We may also use a portion of the net proceeds to in-license, invest in or acquire businesses, technologies, products or assets that we believe are complementary to our own, although we have no current plans, commitments or agreements with respect to any such transactions as of the date of this prospectus supplement. </w:t>
      </w:r>
    </w:p>
    <w:p>
      <w:pPr>
        <w:pStyle w:val="TextBody"/>
        <w:bidi w:val="0"/>
        <w:spacing w:before="160" w:after="0"/>
        <w:jc w:val="left"/>
        <w:rPr>
          <w:rFonts w:ascii="arial" w:hAnsi="arial"/>
          <w:sz w:val="20"/>
        </w:rPr>
      </w:pPr>
      <w:r>
        <w:rPr>
          <w:rFonts w:ascii="arial" w:hAnsi="arial"/>
          <w:sz w:val="20"/>
        </w:rPr>
        <w:t xml:space="preserve">The amounts and timing of our actual expenditures will depend on numerous factors, including our development and commercialization efforts with respect to our product candidates, as well as the amount of cash used in our operations. We therefore cannot estimate with certainty the amount of net proceeds to be used for the purposes described above. We may find it necessary or advisable to use the net proceeds for other purposes, and we will have broad discretion in the application of the net proceeds. </w:t>
      </w:r>
    </w:p>
    <w:p>
      <w:pPr>
        <w:pStyle w:val="TextBody"/>
        <w:bidi w:val="0"/>
        <w:spacing w:before="160" w:after="0"/>
        <w:jc w:val="left"/>
        <w:rPr>
          <w:rFonts w:ascii="arial" w:hAnsi="arial"/>
          <w:sz w:val="20"/>
        </w:rPr>
      </w:pPr>
      <w:r>
        <w:rPr>
          <w:rFonts w:ascii="arial" w:hAnsi="arial"/>
          <w:sz w:val="20"/>
        </w:rPr>
        <w:t xml:space="preserve">Pending the use of the net proceeds from this offering, we intend to invest the net proceeds in short-term investment-grade, interest-bearing securities.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S-13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sz w:val="32"/>
        </w:rPr>
      </w:pPr>
      <w:bookmarkStart w:id="10" w:name="supptoc93698_8"/>
      <w:bookmarkEnd w:id="10"/>
      <w:r>
        <w:rPr>
          <w:rFonts w:ascii="arial" w:hAnsi="arial"/>
          <w:b/>
          <w:sz w:val="32"/>
        </w:rPr>
        <w:t xml:space="preserve">Capitalization </w:t>
      </w:r>
    </w:p>
    <w:p>
      <w:pPr>
        <w:pStyle w:val="TextBody"/>
        <w:bidi w:val="0"/>
        <w:spacing w:before="160" w:after="0"/>
        <w:jc w:val="left"/>
        <w:rPr>
          <w:rFonts w:ascii="arial" w:hAnsi="arial"/>
          <w:sz w:val="20"/>
        </w:rPr>
      </w:pPr>
      <w:r>
        <w:rPr>
          <w:rFonts w:ascii="arial" w:hAnsi="arial"/>
          <w:sz w:val="20"/>
        </w:rPr>
        <w:t xml:space="preserve">The following table presents our cash, cash equivalents and marketable securities and our capitalization as of December 31, 2025: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202"/>
        <w:gridCol w:w="202"/>
        <w:gridCol w:w="9393"/>
      </w:tblGrid>
      <w:tr>
        <w:trPr/>
        <w:tc>
          <w:tcPr>
            <w:tcW w:w="408"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9393" w:type="dxa"/>
            <w:tcBorders/>
          </w:tcPr>
          <w:p>
            <w:pPr>
              <w:pStyle w:val="TableContents"/>
              <w:bidi w:val="0"/>
              <w:spacing w:before="0" w:after="0"/>
              <w:jc w:val="left"/>
              <w:rPr>
                <w:rFonts w:ascii="arial" w:hAnsi="arial"/>
                <w:sz w:val="20"/>
              </w:rPr>
            </w:pPr>
            <w:r>
              <w:rPr>
                <w:rFonts w:ascii="arial" w:hAnsi="arial"/>
                <w:sz w:val="20"/>
              </w:rPr>
              <w:t xml:space="preserve">on an actual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201"/>
        <w:gridCol w:w="201"/>
        <w:gridCol w:w="9398"/>
      </w:tblGrid>
      <w:tr>
        <w:trPr/>
        <w:tc>
          <w:tcPr>
            <w:tcW w:w="405" w:type="dxa"/>
            <w:tcBorders/>
            <w:vAlign w:val="center"/>
          </w:tcPr>
          <w:p>
            <w:pPr>
              <w:pStyle w:val="TableContents"/>
              <w:bidi w:val="0"/>
              <w:spacing w:before="0" w:after="283"/>
              <w:jc w:val="left"/>
              <w:rPr/>
            </w:pPr>
            <w:r>
              <w:rPr/>
              <w:t> </w:t>
            </w:r>
          </w:p>
        </w:tc>
        <w:tc>
          <w:tcPr>
            <w:tcW w:w="201" w:type="dxa"/>
            <w:tcBorders/>
          </w:tcPr>
          <w:p>
            <w:pPr>
              <w:pStyle w:val="TableContents"/>
              <w:bidi w:val="0"/>
              <w:spacing w:before="0" w:after="283"/>
              <w:jc w:val="left"/>
              <w:rPr/>
            </w:pPr>
            <w:r>
              <w:rPr/>
              <w:t></w:t>
            </w:r>
          </w:p>
        </w:tc>
        <w:tc>
          <w:tcPr>
            <w:tcW w:w="201" w:type="dxa"/>
            <w:tcBorders/>
          </w:tcPr>
          <w:p>
            <w:pPr>
              <w:pStyle w:val="TableContents"/>
              <w:bidi w:val="0"/>
              <w:spacing w:before="0" w:after="283"/>
              <w:jc w:val="left"/>
              <w:rPr/>
            </w:pPr>
            <w:r>
              <w:rPr/>
              <w:t> </w:t>
            </w:r>
          </w:p>
        </w:tc>
        <w:tc>
          <w:tcPr>
            <w:tcW w:w="9398" w:type="dxa"/>
            <w:tcBorders/>
          </w:tcPr>
          <w:p>
            <w:pPr>
              <w:pStyle w:val="TableContents"/>
              <w:bidi w:val="0"/>
              <w:spacing w:before="0" w:after="0"/>
              <w:jc w:val="left"/>
              <w:rPr>
                <w:rFonts w:ascii="arial" w:hAnsi="arial"/>
                <w:sz w:val="20"/>
              </w:rPr>
            </w:pPr>
            <w:r>
              <w:rPr>
                <w:rFonts w:ascii="arial" w:hAnsi="arial"/>
                <w:sz w:val="20"/>
              </w:rPr>
              <w:t xml:space="preserve">on an as adjusted basis to give effect to the issuance and sale of 10,563,381 shares of common stock we are offering, after deducting the underwriting discounts and commissions and our estimated offering expenses;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202"/>
        <w:gridCol w:w="202"/>
        <w:gridCol w:w="9393"/>
      </w:tblGrid>
      <w:tr>
        <w:trPr/>
        <w:tc>
          <w:tcPr>
            <w:tcW w:w="408"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9393" w:type="dxa"/>
            <w:tcBorders/>
          </w:tcPr>
          <w:p>
            <w:pPr>
              <w:pStyle w:val="TableContents"/>
              <w:bidi w:val="0"/>
              <w:spacing w:before="0" w:after="0"/>
              <w:jc w:val="left"/>
              <w:rPr>
                <w:rFonts w:ascii="arial" w:hAnsi="arial"/>
                <w:sz w:val="20"/>
              </w:rPr>
            </w:pPr>
            <w:r>
              <w:rPr>
                <w:rFonts w:ascii="arial" w:hAnsi="arial"/>
                <w:sz w:val="20"/>
              </w:rPr>
              <w:t xml:space="preserve">on a pro forma as adjusted basis to give further effect to the issuance and sale of $500,000,000 aggregate principal amount of convertible notes in the concurrent convertible note offering, after deducting the underwriting discounts and commissions and our estimated offering expenses, assuming the concurrent convertible note offering is consummated. </w:t>
            </w:r>
          </w:p>
        </w:tc>
      </w:tr>
    </w:tbl>
    <w:p>
      <w:pPr>
        <w:pStyle w:val="TextBody"/>
        <w:bidi w:val="0"/>
        <w:spacing w:before="160" w:after="0"/>
        <w:jc w:val="left"/>
        <w:rPr>
          <w:rFonts w:ascii="arial" w:hAnsi="arial"/>
          <w:sz w:val="20"/>
        </w:rPr>
      </w:pPr>
      <w:r>
        <w:rPr>
          <w:rFonts w:ascii="arial" w:hAnsi="arial"/>
          <w:sz w:val="20"/>
        </w:rPr>
        <w:t xml:space="preserve">The information in the table below is illustrative only, and our capitalization following the completion of this offering and the concurrent convertible note offering, if it is completed, will depend on the final terms of the offerings. Moreover, because the completion of this offering is not contingent on the completion of the concurrent convertible note offering, you should not assume that the concurrent convertible note offering, as reflected in the pro forma as adjusted column in the table below, will take place. </w:t>
      </w:r>
    </w:p>
    <w:p>
      <w:pPr>
        <w:pStyle w:val="TextBody"/>
        <w:bidi w:val="0"/>
        <w:spacing w:before="160" w:after="0"/>
        <w:jc w:val="left"/>
        <w:rPr>
          <w:rFonts w:ascii="arial" w:hAnsi="arial"/>
          <w:sz w:val="20"/>
        </w:rPr>
      </w:pPr>
      <w:r>
        <w:rPr>
          <w:rFonts w:ascii="arial" w:hAnsi="arial"/>
          <w:sz w:val="20"/>
        </w:rPr>
        <w:t xml:space="preserve">This table should be read in conjunction with the other information included or incorporated by reference in this prospectus supplement, including our consolidated financial statements and related notes incorporated by reference herein.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73"/>
        <w:gridCol w:w="287"/>
        <w:gridCol w:w="147"/>
        <w:gridCol w:w="1073"/>
        <w:gridCol w:w="155"/>
        <w:gridCol w:w="256"/>
        <w:gridCol w:w="147"/>
        <w:gridCol w:w="1073"/>
        <w:gridCol w:w="155"/>
        <w:gridCol w:w="256"/>
        <w:gridCol w:w="147"/>
        <w:gridCol w:w="1073"/>
        <w:gridCol w:w="163"/>
      </w:tblGrid>
      <w:tr>
        <w:trPr/>
        <w:tc>
          <w:tcPr>
            <w:tcW w:w="5273" w:type="dxa"/>
            <w:tcBorders/>
            <w:vAlign w:val="center"/>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56"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56"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5273" w:type="dxa"/>
            <w:tcBorders>
              <w:top w:val="single" w:sz="16" w:space="0" w:color="000000"/>
            </w:tcBorders>
            <w:tcMar>
              <w:top w:w="28" w:type="dxa"/>
            </w:tcMar>
            <w:vAlign w:val="center"/>
          </w:tcPr>
          <w:p>
            <w:pPr>
              <w:pStyle w:val="TableContents"/>
              <w:bidi w:val="0"/>
              <w:spacing w:before="0" w:after="283"/>
              <w:jc w:val="left"/>
              <w:rPr/>
            </w:pPr>
            <w:r>
              <w:rPr/>
              <w:t> </w:t>
            </w:r>
          </w:p>
        </w:tc>
        <w:tc>
          <w:tcPr>
            <w:tcW w:w="4932" w:type="dxa"/>
            <w:gridSpan w:val="12"/>
            <w:tcBorders>
              <w:top w:val="single" w:sz="16" w:space="0" w:color="000000"/>
            </w:tcBorders>
            <w:tcMar>
              <w:top w:w="28" w:type="dxa"/>
            </w:tcMar>
            <w:vAlign w:val="center"/>
          </w:tcPr>
          <w:p>
            <w:pPr>
              <w:pStyle w:val="TableContents"/>
              <w:bidi w:val="0"/>
              <w:spacing w:before="0" w:after="283"/>
              <w:jc w:val="left"/>
              <w:rPr/>
            </w:pPr>
            <w:r>
              <w:rPr/>
              <w:t> </w:t>
            </w:r>
          </w:p>
        </w:tc>
      </w:tr>
      <w:tr>
        <w:trPr/>
        <w:tc>
          <w:tcPr>
            <w:tcW w:w="5273"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4482" w:type="dxa"/>
            <w:gridSpan w:val="10"/>
            <w:tcBorders>
              <w:bottom w:val="single" w:sz="2" w:space="0" w:color="000000"/>
            </w:tcBorders>
            <w:tcMar>
              <w:bottom w:w="28" w:type="dxa"/>
            </w:tcMar>
            <w:vAlign w:val="bottom"/>
          </w:tcPr>
          <w:p>
            <w:pPr>
              <w:pStyle w:val="TableContents"/>
              <w:bidi w:val="0"/>
              <w:spacing w:before="0" w:after="283"/>
              <w:jc w:val="right"/>
              <w:rPr>
                <w:b/>
              </w:rPr>
            </w:pPr>
            <w:r>
              <w:rPr>
                <w:b/>
              </w:rPr>
              <w:t>As of December 31, 2025</w:t>
            </w:r>
          </w:p>
        </w:tc>
        <w:tc>
          <w:tcPr>
            <w:tcW w:w="163" w:type="dxa"/>
            <w:tcBorders/>
            <w:vAlign w:val="bottom"/>
          </w:tcPr>
          <w:p>
            <w:pPr>
              <w:pStyle w:val="TableContents"/>
              <w:bidi w:val="0"/>
              <w:spacing w:before="0" w:after="283"/>
              <w:jc w:val="left"/>
              <w:rPr/>
            </w:pPr>
            <w:r>
              <w:rPr/>
              <w:t> </w:t>
            </w:r>
          </w:p>
        </w:tc>
      </w:tr>
      <w:tr>
        <w:trPr/>
        <w:tc>
          <w:tcPr>
            <w:tcW w:w="5273" w:type="dxa"/>
            <w:tcBorders>
              <w:bottom w:val="single" w:sz="2" w:space="0" w:color="000000"/>
            </w:tcBorders>
            <w:tcMar>
              <w:bottom w:w="28" w:type="dxa"/>
            </w:tcMar>
            <w:vAlign w:val="bottom"/>
          </w:tcPr>
          <w:p>
            <w:pPr>
              <w:pStyle w:val="TableContents"/>
              <w:bidi w:val="0"/>
              <w:spacing w:before="0" w:after="283"/>
              <w:jc w:val="left"/>
              <w:rPr>
                <w:b/>
              </w:rPr>
            </w:pPr>
            <w:r>
              <w:rPr>
                <w:b/>
              </w:rPr>
              <w:t>(In thousands, except share and per share data)</w:t>
            </w:r>
          </w:p>
        </w:tc>
        <w:tc>
          <w:tcPr>
            <w:tcW w:w="287" w:type="dxa"/>
            <w:tcBorders>
              <w:bottom w:val="single" w:sz="2" w:space="0" w:color="000000"/>
            </w:tcBorders>
            <w:tcMar>
              <w:bottom w:w="28" w:type="dxa"/>
            </w:tcMar>
            <w:vAlign w:val="bottom"/>
          </w:tcPr>
          <w:p>
            <w:pPr>
              <w:pStyle w:val="TableContents"/>
              <w:bidi w:val="0"/>
              <w:spacing w:before="0" w:after="283"/>
              <w:jc w:val="left"/>
              <w:rPr/>
            </w:pPr>
            <w:r>
              <w:rPr/>
              <w:t>  </w:t>
            </w:r>
          </w:p>
        </w:tc>
        <w:tc>
          <w:tcPr>
            <w:tcW w:w="1220" w:type="dxa"/>
            <w:gridSpan w:val="2"/>
            <w:tcBorders>
              <w:bottom w:val="single" w:sz="2" w:space="0" w:color="000000"/>
            </w:tcBorders>
            <w:tcMar>
              <w:bottom w:w="28" w:type="dxa"/>
            </w:tcMar>
            <w:vAlign w:val="bottom"/>
          </w:tcPr>
          <w:p>
            <w:pPr>
              <w:pStyle w:val="TableContents"/>
              <w:bidi w:val="0"/>
              <w:spacing w:before="0" w:after="283"/>
              <w:jc w:val="right"/>
              <w:rPr>
                <w:b/>
              </w:rPr>
            </w:pPr>
            <w:r>
              <w:rPr>
                <w:b/>
              </w:rPr>
              <w:t>Actual</w:t>
            </w:r>
          </w:p>
        </w:tc>
        <w:tc>
          <w:tcPr>
            <w:tcW w:w="155" w:type="dxa"/>
            <w:tcBorders>
              <w:bottom w:val="single" w:sz="2" w:space="0" w:color="000000"/>
            </w:tcBorders>
            <w:tcMar>
              <w:bottom w:w="28" w:type="dxa"/>
            </w:tcMar>
            <w:vAlign w:val="bottom"/>
          </w:tcPr>
          <w:p>
            <w:pPr>
              <w:pStyle w:val="TableContents"/>
              <w:bidi w:val="0"/>
              <w:spacing w:before="0" w:after="283"/>
              <w:jc w:val="left"/>
              <w:rPr/>
            </w:pPr>
            <w:r>
              <w:rPr/>
              <w:t> </w:t>
            </w:r>
          </w:p>
        </w:tc>
        <w:tc>
          <w:tcPr>
            <w:tcW w:w="256" w:type="dxa"/>
            <w:tcBorders>
              <w:bottom w:val="single" w:sz="2" w:space="0" w:color="000000"/>
            </w:tcBorders>
            <w:tcMar>
              <w:bottom w:w="28" w:type="dxa"/>
            </w:tcMar>
            <w:vAlign w:val="bottom"/>
          </w:tcPr>
          <w:p>
            <w:pPr>
              <w:pStyle w:val="TableContents"/>
              <w:bidi w:val="0"/>
              <w:spacing w:before="0" w:after="283"/>
              <w:jc w:val="left"/>
              <w:rPr/>
            </w:pPr>
            <w:r>
              <w:rPr/>
              <w:t> </w:t>
            </w:r>
          </w:p>
        </w:tc>
        <w:tc>
          <w:tcPr>
            <w:tcW w:w="1220" w:type="dxa"/>
            <w:gridSpan w:val="2"/>
            <w:tcBorders>
              <w:bottom w:val="single" w:sz="2" w:space="0" w:color="000000"/>
            </w:tcBorders>
            <w:tcMar>
              <w:bottom w:w="28" w:type="dxa"/>
            </w:tcMar>
            <w:vAlign w:val="bottom"/>
          </w:tcPr>
          <w:p>
            <w:pPr>
              <w:pStyle w:val="TableContents"/>
              <w:bidi w:val="0"/>
              <w:spacing w:before="0" w:after="283"/>
              <w:jc w:val="right"/>
              <w:rPr>
                <w:b/>
              </w:rPr>
            </w:pPr>
            <w:r>
              <w:rPr>
                <w:b/>
              </w:rPr>
              <w:t>As adjusted</w:t>
            </w:r>
          </w:p>
        </w:tc>
        <w:tc>
          <w:tcPr>
            <w:tcW w:w="155" w:type="dxa"/>
            <w:tcBorders>
              <w:bottom w:val="single" w:sz="2" w:space="0" w:color="000000"/>
            </w:tcBorders>
            <w:tcMar>
              <w:bottom w:w="28" w:type="dxa"/>
            </w:tcMar>
            <w:vAlign w:val="bottom"/>
          </w:tcPr>
          <w:p>
            <w:pPr>
              <w:pStyle w:val="TableContents"/>
              <w:bidi w:val="0"/>
              <w:spacing w:before="0" w:after="283"/>
              <w:jc w:val="left"/>
              <w:rPr/>
            </w:pPr>
            <w:r>
              <w:rPr/>
              <w:t> </w:t>
            </w:r>
          </w:p>
        </w:tc>
        <w:tc>
          <w:tcPr>
            <w:tcW w:w="256" w:type="dxa"/>
            <w:tcBorders>
              <w:bottom w:val="single" w:sz="2" w:space="0" w:color="000000"/>
            </w:tcBorders>
            <w:tcMar>
              <w:bottom w:w="28" w:type="dxa"/>
            </w:tcMar>
            <w:vAlign w:val="bottom"/>
          </w:tcPr>
          <w:p>
            <w:pPr>
              <w:pStyle w:val="TableContents"/>
              <w:bidi w:val="0"/>
              <w:spacing w:before="0" w:after="283"/>
              <w:jc w:val="left"/>
              <w:rPr/>
            </w:pPr>
            <w:r>
              <w:rPr/>
              <w:t> </w:t>
            </w:r>
          </w:p>
        </w:tc>
        <w:tc>
          <w:tcPr>
            <w:tcW w:w="1220" w:type="dxa"/>
            <w:gridSpan w:val="2"/>
            <w:tcBorders>
              <w:bottom w:val="single" w:sz="2" w:space="0" w:color="000000"/>
            </w:tcBorders>
            <w:tcMar>
              <w:bottom w:w="28" w:type="dxa"/>
            </w:tcMar>
            <w:vAlign w:val="bottom"/>
          </w:tcPr>
          <w:p>
            <w:pPr>
              <w:pStyle w:val="TableContents"/>
              <w:bidi w:val="0"/>
              <w:spacing w:before="0" w:after="0"/>
              <w:jc w:val="right"/>
              <w:rPr>
                <w:rFonts w:ascii="arial" w:hAnsi="arial"/>
                <w:b/>
                <w:sz w:val="18"/>
              </w:rPr>
            </w:pPr>
            <w:r>
              <w:rPr>
                <w:rFonts w:ascii="arial" w:hAnsi="arial"/>
                <w:b/>
                <w:sz w:val="18"/>
              </w:rPr>
              <w:t>Pro forma</w:t>
            </w:r>
          </w:p>
          <w:p>
            <w:pPr>
              <w:pStyle w:val="TableContents"/>
              <w:bidi w:val="0"/>
              <w:spacing w:before="0" w:after="20"/>
              <w:jc w:val="right"/>
              <w:rPr>
                <w:rFonts w:ascii="arial" w:hAnsi="arial"/>
                <w:b/>
                <w:sz w:val="18"/>
              </w:rPr>
            </w:pPr>
            <w:r>
              <w:rPr>
                <w:rFonts w:ascii="arial" w:hAnsi="arial"/>
                <w:b/>
                <w:sz w:val="18"/>
              </w:rPr>
              <w:t>as adjusted</w:t>
            </w:r>
          </w:p>
        </w:tc>
        <w:tc>
          <w:tcPr>
            <w:tcW w:w="163"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5273" w:type="dxa"/>
            <w:tcBorders/>
            <w:shd w:fill="CCEEFF" w:val="clear"/>
          </w:tcPr>
          <w:p>
            <w:pPr>
              <w:pStyle w:val="TableContents"/>
              <w:bidi w:val="0"/>
              <w:spacing w:before="0" w:after="0"/>
              <w:jc w:val="left"/>
              <w:rPr>
                <w:rFonts w:ascii="arial" w:hAnsi="arial"/>
                <w:sz w:val="20"/>
              </w:rPr>
            </w:pPr>
            <w:r>
              <w:rPr>
                <w:rFonts w:ascii="arial" w:hAnsi="arial"/>
                <w:sz w:val="20"/>
              </w:rPr>
              <w:t>Cash, cash equivalents and marketable securities</w:t>
            </w:r>
          </w:p>
        </w:tc>
        <w:tc>
          <w:tcPr>
            <w:tcW w:w="28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1073" w:type="dxa"/>
            <w:tcBorders/>
            <w:shd w:fill="CCEEFF" w:val="clear"/>
            <w:vAlign w:val="bottom"/>
          </w:tcPr>
          <w:p>
            <w:pPr>
              <w:pStyle w:val="TableContents"/>
              <w:bidi w:val="0"/>
              <w:spacing w:before="0" w:after="283"/>
              <w:jc w:val="right"/>
              <w:rPr/>
            </w:pPr>
            <w:r>
              <w:rPr/>
              <w:t>2,025,679</w:t>
            </w:r>
          </w:p>
        </w:tc>
        <w:tc>
          <w:tcPr>
            <w:tcW w:w="155"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1073" w:type="dxa"/>
            <w:tcBorders/>
            <w:shd w:fill="CCEEFF" w:val="clear"/>
            <w:vAlign w:val="bottom"/>
          </w:tcPr>
          <w:p>
            <w:pPr>
              <w:pStyle w:val="TableContents"/>
              <w:bidi w:val="0"/>
              <w:spacing w:before="0" w:after="283"/>
              <w:jc w:val="right"/>
              <w:rPr/>
            </w:pPr>
            <w:r>
              <w:rPr/>
              <w:t>3,460,659</w:t>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1073" w:type="dxa"/>
            <w:tcBorders/>
            <w:shd w:fill="CCEEFF" w:val="clear"/>
            <w:vAlign w:val="bottom"/>
          </w:tcPr>
          <w:p>
            <w:pPr>
              <w:pStyle w:val="TableContents"/>
              <w:bidi w:val="0"/>
              <w:spacing w:before="0" w:after="283"/>
              <w:jc w:val="right"/>
              <w:rPr/>
            </w:pPr>
            <w:r>
              <w:rPr/>
              <w:t>3,947,414</w:t>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5273" w:type="dxa"/>
            <w:tcBorders/>
            <w:vAlign w:val="bottom"/>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107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107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1073"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rHeight w:val="75" w:hRule="atLeast"/>
        </w:trPr>
        <w:tc>
          <w:tcPr>
            <w:tcW w:w="5273" w:type="dxa"/>
            <w:tcBorders/>
            <w:vAlign w:val="center"/>
          </w:tcPr>
          <w:p>
            <w:pPr>
              <w:pStyle w:val="TableContents"/>
              <w:bidi w:val="0"/>
              <w:spacing w:before="0" w:after="283"/>
              <w:jc w:val="left"/>
              <w:rPr>
                <w:sz w:val="4"/>
                <w:szCs w:val="4"/>
              </w:rPr>
            </w:pPr>
            <w:r>
              <w:rPr>
                <w:sz w:val="4"/>
                <w:szCs w:val="4"/>
              </w:rPr>
            </w:r>
          </w:p>
        </w:tc>
        <w:tc>
          <w:tcPr>
            <w:tcW w:w="1662" w:type="dxa"/>
            <w:gridSpan w:val="4"/>
            <w:tcBorders/>
            <w:vAlign w:val="center"/>
          </w:tcPr>
          <w:p>
            <w:pPr>
              <w:pStyle w:val="TableContents"/>
              <w:bidi w:val="0"/>
              <w:spacing w:before="0" w:after="283"/>
              <w:jc w:val="left"/>
              <w:rPr>
                <w:sz w:val="4"/>
                <w:szCs w:val="4"/>
              </w:rPr>
            </w:pPr>
            <w:r>
              <w:rPr>
                <w:sz w:val="4"/>
                <w:szCs w:val="4"/>
              </w:rPr>
            </w:r>
          </w:p>
        </w:tc>
        <w:tc>
          <w:tcPr>
            <w:tcW w:w="1631" w:type="dxa"/>
            <w:gridSpan w:val="4"/>
            <w:tcBorders/>
            <w:vAlign w:val="center"/>
          </w:tcPr>
          <w:p>
            <w:pPr>
              <w:pStyle w:val="TableContents"/>
              <w:bidi w:val="0"/>
              <w:spacing w:before="0" w:after="283"/>
              <w:jc w:val="left"/>
              <w:rPr>
                <w:sz w:val="4"/>
                <w:szCs w:val="4"/>
              </w:rPr>
            </w:pPr>
            <w:r>
              <w:rPr>
                <w:sz w:val="4"/>
                <w:szCs w:val="4"/>
              </w:rPr>
            </w:r>
          </w:p>
        </w:tc>
        <w:tc>
          <w:tcPr>
            <w:tcW w:w="1639" w:type="dxa"/>
            <w:gridSpan w:val="4"/>
            <w:tcBorders/>
            <w:vAlign w:val="center"/>
          </w:tcPr>
          <w:p>
            <w:pPr>
              <w:pStyle w:val="TableContents"/>
              <w:bidi w:val="0"/>
              <w:spacing w:before="0" w:after="283"/>
              <w:jc w:val="left"/>
              <w:rPr>
                <w:sz w:val="4"/>
                <w:szCs w:val="4"/>
              </w:rPr>
            </w:pPr>
            <w:r>
              <w:rPr>
                <w:sz w:val="4"/>
                <w:szCs w:val="4"/>
              </w:rPr>
            </w:r>
          </w:p>
        </w:tc>
      </w:tr>
      <w:tr>
        <w:trPr/>
        <w:tc>
          <w:tcPr>
            <w:tcW w:w="5273" w:type="dxa"/>
            <w:tcBorders/>
          </w:tcPr>
          <w:p>
            <w:pPr>
              <w:pStyle w:val="TableContents"/>
              <w:bidi w:val="0"/>
              <w:spacing w:before="0" w:after="0"/>
              <w:jc w:val="left"/>
              <w:rPr>
                <w:rFonts w:ascii="arial" w:hAnsi="arial"/>
                <w:sz w:val="20"/>
              </w:rPr>
            </w:pPr>
            <w:r>
              <w:rPr>
                <w:rFonts w:ascii="arial" w:hAnsi="arial"/>
                <w:sz w:val="20"/>
              </w:rPr>
              <w:t>Debt:</w:t>
            </w:r>
          </w:p>
        </w:tc>
        <w:tc>
          <w:tcPr>
            <w:tcW w:w="287" w:type="dxa"/>
            <w:tcBorders/>
            <w:vAlign w:val="bottom"/>
          </w:tcPr>
          <w:p>
            <w:pPr>
              <w:pStyle w:val="TableContents"/>
              <w:bidi w:val="0"/>
              <w:spacing w:before="0" w:after="283"/>
              <w:jc w:val="left"/>
              <w:rPr/>
            </w:pPr>
            <w:r>
              <w:rPr/>
              <w:t>  </w:t>
            </w:r>
          </w:p>
        </w:tc>
        <w:tc>
          <w:tcPr>
            <w:tcW w:w="147" w:type="dxa"/>
            <w:tcBorders/>
          </w:tcPr>
          <w:p>
            <w:pPr>
              <w:pStyle w:val="TableContents"/>
              <w:bidi w:val="0"/>
              <w:spacing w:before="0" w:after="283"/>
              <w:jc w:val="left"/>
              <w:rPr>
                <w:sz w:val="4"/>
                <w:szCs w:val="4"/>
              </w:rPr>
            </w:pPr>
            <w:r>
              <w:rPr>
                <w:sz w:val="4"/>
                <w:szCs w:val="4"/>
              </w:rPr>
            </w:r>
          </w:p>
        </w:tc>
        <w:tc>
          <w:tcPr>
            <w:tcW w:w="1073" w:type="dxa"/>
            <w:tcBorders/>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c>
          <w:tcPr>
            <w:tcW w:w="256" w:type="dxa"/>
            <w:tcBorders/>
            <w:vAlign w:val="bottom"/>
          </w:tcPr>
          <w:p>
            <w:pPr>
              <w:pStyle w:val="TableContents"/>
              <w:bidi w:val="0"/>
              <w:spacing w:before="0" w:after="283"/>
              <w:jc w:val="left"/>
              <w:rPr/>
            </w:pPr>
            <w:r>
              <w:rPr/>
              <w:t> </w:t>
            </w:r>
          </w:p>
        </w:tc>
        <w:tc>
          <w:tcPr>
            <w:tcW w:w="147" w:type="dxa"/>
            <w:tcBorders/>
          </w:tcPr>
          <w:p>
            <w:pPr>
              <w:pStyle w:val="TableContents"/>
              <w:bidi w:val="0"/>
              <w:spacing w:before="0" w:after="283"/>
              <w:jc w:val="left"/>
              <w:rPr>
                <w:sz w:val="4"/>
                <w:szCs w:val="4"/>
              </w:rPr>
            </w:pPr>
            <w:r>
              <w:rPr>
                <w:sz w:val="4"/>
                <w:szCs w:val="4"/>
              </w:rPr>
            </w:r>
          </w:p>
        </w:tc>
        <w:tc>
          <w:tcPr>
            <w:tcW w:w="1073" w:type="dxa"/>
            <w:tcBorders/>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c>
          <w:tcPr>
            <w:tcW w:w="256" w:type="dxa"/>
            <w:tcBorders/>
            <w:vAlign w:val="bottom"/>
          </w:tcPr>
          <w:p>
            <w:pPr>
              <w:pStyle w:val="TableContents"/>
              <w:bidi w:val="0"/>
              <w:spacing w:before="0" w:after="283"/>
              <w:jc w:val="left"/>
              <w:rPr/>
            </w:pPr>
            <w:r>
              <w:rPr/>
              <w:t> </w:t>
            </w:r>
          </w:p>
        </w:tc>
        <w:tc>
          <w:tcPr>
            <w:tcW w:w="147" w:type="dxa"/>
            <w:tcBorders/>
          </w:tcPr>
          <w:p>
            <w:pPr>
              <w:pStyle w:val="TableContents"/>
              <w:bidi w:val="0"/>
              <w:spacing w:before="0" w:after="283"/>
              <w:jc w:val="left"/>
              <w:rPr>
                <w:sz w:val="4"/>
                <w:szCs w:val="4"/>
              </w:rPr>
            </w:pPr>
            <w:r>
              <w:rPr>
                <w:sz w:val="4"/>
                <w:szCs w:val="4"/>
              </w:rPr>
            </w:r>
          </w:p>
        </w:tc>
        <w:tc>
          <w:tcPr>
            <w:tcW w:w="1073" w:type="dxa"/>
            <w:tcBorders/>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5273" w:type="dxa"/>
            <w:tcBorders/>
            <w:shd w:fill="CCEEFF" w:val="clear"/>
          </w:tcPr>
          <w:p>
            <w:pPr>
              <w:pStyle w:val="TableContents"/>
              <w:bidi w:val="0"/>
              <w:spacing w:before="0" w:after="0"/>
              <w:jc w:val="left"/>
              <w:rPr>
                <w:rFonts w:ascii="arial" w:hAnsi="arial"/>
                <w:sz w:val="20"/>
              </w:rPr>
            </w:pPr>
            <w:r>
              <w:rPr>
                <w:rFonts w:ascii="arial" w:hAnsi="arial"/>
                <w:sz w:val="20"/>
              </w:rPr>
              <w:t>Principal amount of 0.50% convertible senior notes due 2033 we are offering(1)</w:t>
            </w:r>
          </w:p>
        </w:tc>
        <w:tc>
          <w:tcPr>
            <w:tcW w:w="28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1073"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1073"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1073" w:type="dxa"/>
            <w:tcBorders/>
            <w:shd w:fill="CCEEFF" w:val="clear"/>
            <w:vAlign w:val="bottom"/>
          </w:tcPr>
          <w:p>
            <w:pPr>
              <w:pStyle w:val="TableContents"/>
              <w:bidi w:val="0"/>
              <w:spacing w:before="0" w:after="283"/>
              <w:jc w:val="right"/>
              <w:rPr/>
            </w:pPr>
            <w:r>
              <w:rPr/>
              <w:t>500,000</w:t>
            </w:r>
          </w:p>
        </w:tc>
        <w:tc>
          <w:tcPr>
            <w:tcW w:w="163" w:type="dxa"/>
            <w:tcBorders/>
            <w:shd w:fill="CCEEFF" w:val="clear"/>
            <w:vAlign w:val="bottom"/>
          </w:tcPr>
          <w:p>
            <w:pPr>
              <w:pStyle w:val="TableContents"/>
              <w:bidi w:val="0"/>
              <w:spacing w:before="0" w:after="283"/>
              <w:jc w:val="left"/>
              <w:rPr/>
            </w:pPr>
            <w:r>
              <w:rPr/>
              <w:t> </w:t>
            </w:r>
          </w:p>
        </w:tc>
      </w:tr>
      <w:tr>
        <w:trPr/>
        <w:tc>
          <w:tcPr>
            <w:tcW w:w="5273" w:type="dxa"/>
            <w:tcBorders/>
            <w:vAlign w:val="bottom"/>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5273" w:type="dxa"/>
            <w:tcBorders/>
          </w:tcPr>
          <w:p>
            <w:pPr>
              <w:pStyle w:val="TableContents"/>
              <w:bidi w:val="0"/>
              <w:spacing w:before="0" w:after="0"/>
              <w:jc w:val="left"/>
              <w:rPr>
                <w:rFonts w:ascii="arial" w:hAnsi="arial"/>
                <w:sz w:val="20"/>
              </w:rPr>
            </w:pPr>
            <w:r>
              <w:rPr>
                <w:rFonts w:ascii="arial" w:hAnsi="arial"/>
                <w:sz w:val="20"/>
              </w:rPr>
              <w:t>Total debt(2)</w:t>
            </w:r>
          </w:p>
        </w:tc>
        <w:tc>
          <w:tcPr>
            <w:tcW w:w="28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500,000</w:t>
            </w:r>
          </w:p>
        </w:tc>
        <w:tc>
          <w:tcPr>
            <w:tcW w:w="163" w:type="dxa"/>
            <w:tcBorders/>
            <w:vAlign w:val="bottom"/>
          </w:tcPr>
          <w:p>
            <w:pPr>
              <w:pStyle w:val="TableContents"/>
              <w:bidi w:val="0"/>
              <w:spacing w:before="0" w:after="283"/>
              <w:jc w:val="left"/>
              <w:rPr/>
            </w:pPr>
            <w:r>
              <w:rPr/>
              <w:t> </w:t>
            </w:r>
          </w:p>
        </w:tc>
      </w:tr>
      <w:tr>
        <w:trPr/>
        <w:tc>
          <w:tcPr>
            <w:tcW w:w="5273" w:type="dxa"/>
            <w:tcBorders/>
            <w:vAlign w:val="bottom"/>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rHeight w:val="75" w:hRule="atLeast"/>
        </w:trPr>
        <w:tc>
          <w:tcPr>
            <w:tcW w:w="5273" w:type="dxa"/>
            <w:tcBorders/>
            <w:vAlign w:val="center"/>
          </w:tcPr>
          <w:p>
            <w:pPr>
              <w:pStyle w:val="TableContents"/>
              <w:bidi w:val="0"/>
              <w:spacing w:before="0" w:after="283"/>
              <w:jc w:val="left"/>
              <w:rPr>
                <w:sz w:val="4"/>
                <w:szCs w:val="4"/>
              </w:rPr>
            </w:pPr>
            <w:r>
              <w:rPr>
                <w:sz w:val="4"/>
                <w:szCs w:val="4"/>
              </w:rPr>
            </w:r>
          </w:p>
        </w:tc>
        <w:tc>
          <w:tcPr>
            <w:tcW w:w="1662" w:type="dxa"/>
            <w:gridSpan w:val="4"/>
            <w:tcBorders/>
            <w:vAlign w:val="center"/>
          </w:tcPr>
          <w:p>
            <w:pPr>
              <w:pStyle w:val="TableContents"/>
              <w:bidi w:val="0"/>
              <w:spacing w:before="0" w:after="283"/>
              <w:jc w:val="left"/>
              <w:rPr>
                <w:sz w:val="4"/>
                <w:szCs w:val="4"/>
              </w:rPr>
            </w:pPr>
            <w:r>
              <w:rPr>
                <w:sz w:val="4"/>
                <w:szCs w:val="4"/>
              </w:rPr>
            </w:r>
          </w:p>
        </w:tc>
        <w:tc>
          <w:tcPr>
            <w:tcW w:w="1631" w:type="dxa"/>
            <w:gridSpan w:val="4"/>
            <w:tcBorders/>
            <w:vAlign w:val="center"/>
          </w:tcPr>
          <w:p>
            <w:pPr>
              <w:pStyle w:val="TableContents"/>
              <w:bidi w:val="0"/>
              <w:spacing w:before="0" w:after="283"/>
              <w:jc w:val="left"/>
              <w:rPr>
                <w:sz w:val="4"/>
                <w:szCs w:val="4"/>
              </w:rPr>
            </w:pPr>
            <w:r>
              <w:rPr>
                <w:sz w:val="4"/>
                <w:szCs w:val="4"/>
              </w:rPr>
            </w:r>
          </w:p>
        </w:tc>
        <w:tc>
          <w:tcPr>
            <w:tcW w:w="1639" w:type="dxa"/>
            <w:gridSpan w:val="4"/>
            <w:tcBorders/>
            <w:vAlign w:val="center"/>
          </w:tcPr>
          <w:p>
            <w:pPr>
              <w:pStyle w:val="TableContents"/>
              <w:bidi w:val="0"/>
              <w:spacing w:before="0" w:after="283"/>
              <w:jc w:val="left"/>
              <w:rPr>
                <w:sz w:val="4"/>
                <w:szCs w:val="4"/>
              </w:rPr>
            </w:pPr>
            <w:r>
              <w:rPr>
                <w:sz w:val="4"/>
                <w:szCs w:val="4"/>
              </w:rPr>
            </w:r>
          </w:p>
        </w:tc>
      </w:tr>
      <w:tr>
        <w:trPr/>
        <w:tc>
          <w:tcPr>
            <w:tcW w:w="5273" w:type="dxa"/>
            <w:tcBorders/>
            <w:shd w:fill="CCEEFF" w:val="clear"/>
          </w:tcPr>
          <w:p>
            <w:pPr>
              <w:pStyle w:val="TableContents"/>
              <w:bidi w:val="0"/>
              <w:spacing w:before="0" w:after="0"/>
              <w:jc w:val="left"/>
              <w:rPr>
                <w:rFonts w:ascii="arial" w:hAnsi="arial"/>
                <w:sz w:val="20"/>
              </w:rPr>
            </w:pPr>
            <w:r>
              <w:rPr>
                <w:rFonts w:ascii="arial" w:hAnsi="arial"/>
                <w:sz w:val="20"/>
              </w:rPr>
              <w:t>Stockholders’ equity:</w:t>
            </w:r>
          </w:p>
        </w:tc>
        <w:tc>
          <w:tcPr>
            <w:tcW w:w="287" w:type="dxa"/>
            <w:tcBorders/>
            <w:shd w:fill="CCEEFF" w:val="clear"/>
            <w:vAlign w:val="bottom"/>
          </w:tcPr>
          <w:p>
            <w:pPr>
              <w:pStyle w:val="TableContents"/>
              <w:bidi w:val="0"/>
              <w:spacing w:before="0" w:after="283"/>
              <w:jc w:val="left"/>
              <w:rPr/>
            </w:pPr>
            <w:r>
              <w:rPr/>
              <w:t>  </w:t>
            </w:r>
          </w:p>
        </w:tc>
        <w:tc>
          <w:tcPr>
            <w:tcW w:w="147" w:type="dxa"/>
            <w:tcBorders/>
            <w:shd w:fill="CCEEFF" w:val="clear"/>
          </w:tcPr>
          <w:p>
            <w:pPr>
              <w:pStyle w:val="TableContents"/>
              <w:bidi w:val="0"/>
              <w:spacing w:before="0" w:after="283"/>
              <w:jc w:val="left"/>
              <w:rPr>
                <w:sz w:val="4"/>
                <w:szCs w:val="4"/>
              </w:rPr>
            </w:pPr>
            <w:r>
              <w:rPr>
                <w:sz w:val="4"/>
                <w:szCs w:val="4"/>
              </w:rPr>
            </w:r>
          </w:p>
        </w:tc>
        <w:tc>
          <w:tcPr>
            <w:tcW w:w="1073" w:type="dxa"/>
            <w:tcBorders/>
            <w:shd w:fill="CCEEFF" w:val="clear"/>
          </w:tcPr>
          <w:p>
            <w:pPr>
              <w:pStyle w:val="TableContents"/>
              <w:bidi w:val="0"/>
              <w:spacing w:before="0" w:after="283"/>
              <w:jc w:val="left"/>
              <w:rPr>
                <w:sz w:val="4"/>
                <w:szCs w:val="4"/>
              </w:rPr>
            </w:pPr>
            <w:r>
              <w:rPr>
                <w:sz w:val="4"/>
                <w:szCs w:val="4"/>
              </w:rPr>
            </w:r>
          </w:p>
        </w:tc>
        <w:tc>
          <w:tcPr>
            <w:tcW w:w="155" w:type="dxa"/>
            <w:tcBorders/>
            <w:shd w:fill="CCEEFF" w:val="clear"/>
          </w:tcPr>
          <w:p>
            <w:pPr>
              <w:pStyle w:val="TableContents"/>
              <w:bidi w:val="0"/>
              <w:spacing w:before="0" w:after="283"/>
              <w:jc w:val="left"/>
              <w:rPr>
                <w:sz w:val="4"/>
                <w:szCs w:val="4"/>
              </w:rPr>
            </w:pPr>
            <w:r>
              <w:rPr>
                <w:sz w:val="4"/>
                <w:szCs w:val="4"/>
              </w:rPr>
            </w:r>
          </w:p>
        </w:tc>
        <w:tc>
          <w:tcPr>
            <w:tcW w:w="256" w:type="dxa"/>
            <w:tcBorders/>
            <w:shd w:fill="CCEEFF" w:val="clear"/>
            <w:vAlign w:val="bottom"/>
          </w:tcPr>
          <w:p>
            <w:pPr>
              <w:pStyle w:val="TableContents"/>
              <w:bidi w:val="0"/>
              <w:spacing w:before="0" w:after="283"/>
              <w:jc w:val="left"/>
              <w:rPr/>
            </w:pPr>
            <w:r>
              <w:rPr/>
              <w:t> </w:t>
            </w:r>
          </w:p>
        </w:tc>
        <w:tc>
          <w:tcPr>
            <w:tcW w:w="147" w:type="dxa"/>
            <w:tcBorders/>
            <w:shd w:fill="CCEEFF" w:val="clear"/>
          </w:tcPr>
          <w:p>
            <w:pPr>
              <w:pStyle w:val="TableContents"/>
              <w:bidi w:val="0"/>
              <w:spacing w:before="0" w:after="283"/>
              <w:jc w:val="left"/>
              <w:rPr>
                <w:sz w:val="4"/>
                <w:szCs w:val="4"/>
              </w:rPr>
            </w:pPr>
            <w:r>
              <w:rPr>
                <w:sz w:val="4"/>
                <w:szCs w:val="4"/>
              </w:rPr>
            </w:r>
          </w:p>
        </w:tc>
        <w:tc>
          <w:tcPr>
            <w:tcW w:w="1073" w:type="dxa"/>
            <w:tcBorders/>
            <w:shd w:fill="CCEEFF" w:val="clear"/>
          </w:tcPr>
          <w:p>
            <w:pPr>
              <w:pStyle w:val="TableContents"/>
              <w:bidi w:val="0"/>
              <w:spacing w:before="0" w:after="283"/>
              <w:jc w:val="left"/>
              <w:rPr>
                <w:sz w:val="4"/>
                <w:szCs w:val="4"/>
              </w:rPr>
            </w:pPr>
            <w:r>
              <w:rPr>
                <w:sz w:val="4"/>
                <w:szCs w:val="4"/>
              </w:rPr>
            </w:r>
          </w:p>
        </w:tc>
        <w:tc>
          <w:tcPr>
            <w:tcW w:w="155" w:type="dxa"/>
            <w:tcBorders/>
            <w:shd w:fill="CCEEFF" w:val="clear"/>
          </w:tcPr>
          <w:p>
            <w:pPr>
              <w:pStyle w:val="TableContents"/>
              <w:bidi w:val="0"/>
              <w:spacing w:before="0" w:after="283"/>
              <w:jc w:val="left"/>
              <w:rPr>
                <w:sz w:val="4"/>
                <w:szCs w:val="4"/>
              </w:rPr>
            </w:pPr>
            <w:r>
              <w:rPr>
                <w:sz w:val="4"/>
                <w:szCs w:val="4"/>
              </w:rPr>
            </w:r>
          </w:p>
        </w:tc>
        <w:tc>
          <w:tcPr>
            <w:tcW w:w="256" w:type="dxa"/>
            <w:tcBorders/>
            <w:shd w:fill="CCEEFF" w:val="clear"/>
            <w:vAlign w:val="bottom"/>
          </w:tcPr>
          <w:p>
            <w:pPr>
              <w:pStyle w:val="TableContents"/>
              <w:bidi w:val="0"/>
              <w:spacing w:before="0" w:after="283"/>
              <w:jc w:val="left"/>
              <w:rPr/>
            </w:pPr>
            <w:r>
              <w:rPr/>
              <w:t> </w:t>
            </w:r>
          </w:p>
        </w:tc>
        <w:tc>
          <w:tcPr>
            <w:tcW w:w="147" w:type="dxa"/>
            <w:tcBorders/>
            <w:shd w:fill="CCEEFF" w:val="clear"/>
          </w:tcPr>
          <w:p>
            <w:pPr>
              <w:pStyle w:val="TableContents"/>
              <w:bidi w:val="0"/>
              <w:spacing w:before="0" w:after="283"/>
              <w:jc w:val="left"/>
              <w:rPr>
                <w:sz w:val="4"/>
                <w:szCs w:val="4"/>
              </w:rPr>
            </w:pPr>
            <w:r>
              <w:rPr>
                <w:sz w:val="4"/>
                <w:szCs w:val="4"/>
              </w:rPr>
            </w:r>
          </w:p>
        </w:tc>
        <w:tc>
          <w:tcPr>
            <w:tcW w:w="1073" w:type="dxa"/>
            <w:tcBorders/>
            <w:shd w:fill="CCEEFF" w:val="clear"/>
          </w:tcPr>
          <w:p>
            <w:pPr>
              <w:pStyle w:val="TableContents"/>
              <w:bidi w:val="0"/>
              <w:spacing w:before="0" w:after="283"/>
              <w:jc w:val="left"/>
              <w:rPr>
                <w:sz w:val="4"/>
                <w:szCs w:val="4"/>
              </w:rPr>
            </w:pPr>
            <w:r>
              <w:rPr>
                <w:sz w:val="4"/>
                <w:szCs w:val="4"/>
              </w:rPr>
            </w:r>
          </w:p>
        </w:tc>
        <w:tc>
          <w:tcPr>
            <w:tcW w:w="163" w:type="dxa"/>
            <w:tcBorders/>
            <w:shd w:fill="CCEEFF" w:val="clear"/>
          </w:tcPr>
          <w:p>
            <w:pPr>
              <w:pStyle w:val="TableContents"/>
              <w:bidi w:val="0"/>
              <w:spacing w:before="0" w:after="283"/>
              <w:jc w:val="left"/>
              <w:rPr>
                <w:sz w:val="4"/>
                <w:szCs w:val="4"/>
              </w:rPr>
            </w:pPr>
            <w:r>
              <w:rPr>
                <w:sz w:val="4"/>
                <w:szCs w:val="4"/>
              </w:rPr>
            </w:r>
          </w:p>
        </w:tc>
      </w:tr>
      <w:tr>
        <w:trPr/>
        <w:tc>
          <w:tcPr>
            <w:tcW w:w="5273" w:type="dxa"/>
            <w:tcBorders/>
          </w:tcPr>
          <w:p>
            <w:pPr>
              <w:pStyle w:val="TableContents"/>
              <w:bidi w:val="0"/>
              <w:spacing w:before="0" w:after="0"/>
              <w:jc w:val="left"/>
              <w:rPr>
                <w:rFonts w:ascii="arial" w:hAnsi="arial"/>
                <w:sz w:val="20"/>
              </w:rPr>
            </w:pPr>
            <w:r>
              <w:rPr>
                <w:rFonts w:ascii="arial" w:hAnsi="arial"/>
                <w:sz w:val="20"/>
              </w:rPr>
              <w:t>Preferred stock, $0.0001 par value per share; 10,000,000 shares authorized, no shares outstanding, actual, as adjusted and pro forma as adjusted</w:t>
            </w:r>
          </w:p>
        </w:tc>
        <w:tc>
          <w:tcPr>
            <w:tcW w:w="28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w:t>
            </w:r>
          </w:p>
        </w:tc>
        <w:tc>
          <w:tcPr>
            <w:tcW w:w="163" w:type="dxa"/>
            <w:tcBorders/>
            <w:vAlign w:val="bottom"/>
          </w:tcPr>
          <w:p>
            <w:pPr>
              <w:pStyle w:val="TableContents"/>
              <w:bidi w:val="0"/>
              <w:spacing w:before="0" w:after="283"/>
              <w:jc w:val="left"/>
              <w:rPr/>
            </w:pPr>
            <w:r>
              <w:rPr/>
              <w:t> </w:t>
            </w:r>
          </w:p>
        </w:tc>
      </w:tr>
      <w:tr>
        <w:trPr/>
        <w:tc>
          <w:tcPr>
            <w:tcW w:w="5273" w:type="dxa"/>
            <w:tcBorders/>
            <w:shd w:fill="CCEEFF" w:val="clear"/>
          </w:tcPr>
          <w:p>
            <w:pPr>
              <w:pStyle w:val="TableContents"/>
              <w:bidi w:val="0"/>
              <w:spacing w:before="0" w:after="0"/>
              <w:jc w:val="left"/>
              <w:rPr>
                <w:rFonts w:ascii="arial" w:hAnsi="arial"/>
                <w:sz w:val="20"/>
              </w:rPr>
            </w:pPr>
            <w:r>
              <w:rPr>
                <w:rFonts w:ascii="arial" w:hAnsi="arial"/>
                <w:sz w:val="20"/>
              </w:rPr>
              <w:t>Common stock, $0.0001 par value per share; 300,000,000 shares authorized; 197,001,401 shares outstanding, actual; 207,564,782 shares outstanding, as adjusted and pro forma as adjusted</w:t>
            </w:r>
          </w:p>
        </w:tc>
        <w:tc>
          <w:tcPr>
            <w:tcW w:w="28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19</w:t>
            </w:r>
          </w:p>
        </w:tc>
        <w:tc>
          <w:tcPr>
            <w:tcW w:w="155"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21</w:t>
            </w:r>
          </w:p>
        </w:tc>
        <w:tc>
          <w:tcPr>
            <w:tcW w:w="155"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21</w:t>
            </w:r>
          </w:p>
        </w:tc>
        <w:tc>
          <w:tcPr>
            <w:tcW w:w="163" w:type="dxa"/>
            <w:tcBorders/>
            <w:shd w:fill="CCEEFF" w:val="clear"/>
            <w:vAlign w:val="bottom"/>
          </w:tcPr>
          <w:p>
            <w:pPr>
              <w:pStyle w:val="TableContents"/>
              <w:bidi w:val="0"/>
              <w:spacing w:before="0" w:after="283"/>
              <w:jc w:val="left"/>
              <w:rPr/>
            </w:pPr>
            <w:r>
              <w:rPr/>
              <w:t> </w:t>
            </w:r>
          </w:p>
        </w:tc>
      </w:tr>
      <w:tr>
        <w:trPr/>
        <w:tc>
          <w:tcPr>
            <w:tcW w:w="5273" w:type="dxa"/>
            <w:tcBorders/>
          </w:tcPr>
          <w:p>
            <w:pPr>
              <w:pStyle w:val="TableContents"/>
              <w:bidi w:val="0"/>
              <w:spacing w:before="0" w:after="0"/>
              <w:jc w:val="left"/>
              <w:rPr>
                <w:rFonts w:ascii="arial" w:hAnsi="arial"/>
                <w:sz w:val="20"/>
              </w:rPr>
            </w:pPr>
            <w:r>
              <w:rPr>
                <w:rFonts w:ascii="arial" w:hAnsi="arial"/>
                <w:sz w:val="20"/>
              </w:rPr>
              <w:t>Additional paid-in capital</w:t>
            </w:r>
          </w:p>
        </w:tc>
        <w:tc>
          <w:tcPr>
            <w:tcW w:w="28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4,497,143</w:t>
            </w:r>
          </w:p>
        </w:tc>
        <w:tc>
          <w:tcPr>
            <w:tcW w:w="155"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5,932,121</w:t>
            </w:r>
          </w:p>
        </w:tc>
        <w:tc>
          <w:tcPr>
            <w:tcW w:w="155"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5,932,121</w:t>
            </w:r>
          </w:p>
        </w:tc>
        <w:tc>
          <w:tcPr>
            <w:tcW w:w="163" w:type="dxa"/>
            <w:tcBorders/>
            <w:vAlign w:val="bottom"/>
          </w:tcPr>
          <w:p>
            <w:pPr>
              <w:pStyle w:val="TableContents"/>
              <w:bidi w:val="0"/>
              <w:spacing w:before="0" w:after="283"/>
              <w:jc w:val="left"/>
              <w:rPr/>
            </w:pPr>
            <w:r>
              <w:rPr/>
              <w:t> </w:t>
            </w:r>
          </w:p>
        </w:tc>
      </w:tr>
      <w:tr>
        <w:trPr/>
        <w:tc>
          <w:tcPr>
            <w:tcW w:w="5273" w:type="dxa"/>
            <w:tcBorders/>
            <w:shd w:fill="CCEEFF" w:val="clear"/>
          </w:tcPr>
          <w:p>
            <w:pPr>
              <w:pStyle w:val="TableContents"/>
              <w:bidi w:val="0"/>
              <w:spacing w:before="0" w:after="0"/>
              <w:jc w:val="left"/>
              <w:rPr>
                <w:rFonts w:ascii="arial" w:hAnsi="arial"/>
                <w:sz w:val="20"/>
              </w:rPr>
            </w:pPr>
            <w:r>
              <w:rPr>
                <w:rFonts w:ascii="arial" w:hAnsi="arial"/>
                <w:sz w:val="20"/>
              </w:rPr>
              <w:t>Accumulated other comprehensive income</w:t>
            </w:r>
          </w:p>
        </w:tc>
        <w:tc>
          <w:tcPr>
            <w:tcW w:w="28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3,237</w:t>
            </w:r>
          </w:p>
        </w:tc>
        <w:tc>
          <w:tcPr>
            <w:tcW w:w="155"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3,237</w:t>
            </w:r>
          </w:p>
        </w:tc>
        <w:tc>
          <w:tcPr>
            <w:tcW w:w="155"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3,237</w:t>
            </w:r>
          </w:p>
        </w:tc>
        <w:tc>
          <w:tcPr>
            <w:tcW w:w="163" w:type="dxa"/>
            <w:tcBorders/>
            <w:shd w:fill="CCEEFF" w:val="clear"/>
            <w:vAlign w:val="bottom"/>
          </w:tcPr>
          <w:p>
            <w:pPr>
              <w:pStyle w:val="TableContents"/>
              <w:bidi w:val="0"/>
              <w:spacing w:before="0" w:after="283"/>
              <w:jc w:val="left"/>
              <w:rPr/>
            </w:pPr>
            <w:r>
              <w:rPr/>
              <w:t> </w:t>
            </w:r>
          </w:p>
        </w:tc>
      </w:tr>
      <w:tr>
        <w:trPr/>
        <w:tc>
          <w:tcPr>
            <w:tcW w:w="5273" w:type="dxa"/>
            <w:tcBorders/>
          </w:tcPr>
          <w:p>
            <w:pPr>
              <w:pStyle w:val="TableContents"/>
              <w:bidi w:val="0"/>
              <w:spacing w:before="0" w:after="0"/>
              <w:jc w:val="left"/>
              <w:rPr>
                <w:rFonts w:ascii="arial" w:hAnsi="arial"/>
                <w:sz w:val="20"/>
              </w:rPr>
            </w:pPr>
            <w:r>
              <w:rPr>
                <w:rFonts w:ascii="arial" w:hAnsi="arial"/>
                <w:sz w:val="20"/>
              </w:rPr>
              <w:t>Accumulated deficit</w:t>
            </w:r>
          </w:p>
        </w:tc>
        <w:tc>
          <w:tcPr>
            <w:tcW w:w="28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(2,869,102</w:t>
            </w:r>
          </w:p>
        </w:tc>
        <w:tc>
          <w:tcPr>
            <w:tcW w:w="155"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(2,869,102</w:t>
            </w:r>
          </w:p>
        </w:tc>
        <w:tc>
          <w:tcPr>
            <w:tcW w:w="155"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(2,869,102</w:t>
            </w:r>
          </w:p>
        </w:tc>
        <w:tc>
          <w:tcPr>
            <w:tcW w:w="163" w:type="dxa"/>
            <w:tcBorders/>
            <w:vAlign w:val="bottom"/>
          </w:tcPr>
          <w:p>
            <w:pPr>
              <w:pStyle w:val="TableContents"/>
              <w:bidi w:val="0"/>
              <w:spacing w:before="0" w:after="283"/>
              <w:jc w:val="left"/>
              <w:rPr/>
            </w:pPr>
            <w:r>
              <w:rPr/>
              <w:t>) </w:t>
            </w:r>
          </w:p>
        </w:tc>
      </w:tr>
      <w:tr>
        <w:trPr/>
        <w:tc>
          <w:tcPr>
            <w:tcW w:w="5273" w:type="dxa"/>
            <w:tcBorders/>
            <w:vAlign w:val="bottom"/>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5273" w:type="dxa"/>
            <w:tcBorders/>
            <w:shd w:fill="CCEEFF" w:val="clear"/>
          </w:tcPr>
          <w:p>
            <w:pPr>
              <w:pStyle w:val="TableContents"/>
              <w:bidi w:val="0"/>
              <w:spacing w:before="0" w:after="0"/>
              <w:jc w:val="left"/>
              <w:rPr>
                <w:rFonts w:ascii="arial" w:hAnsi="arial"/>
                <w:sz w:val="20"/>
              </w:rPr>
            </w:pPr>
            <w:r>
              <w:rPr>
                <w:rFonts w:ascii="arial" w:hAnsi="arial"/>
                <w:sz w:val="20"/>
              </w:rPr>
              <w:t>Total stockholders’ equity</w:t>
            </w:r>
          </w:p>
        </w:tc>
        <w:tc>
          <w:tcPr>
            <w:tcW w:w="28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1,631,297</w:t>
            </w:r>
          </w:p>
        </w:tc>
        <w:tc>
          <w:tcPr>
            <w:tcW w:w="155"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3,066,277</w:t>
            </w:r>
          </w:p>
        </w:tc>
        <w:tc>
          <w:tcPr>
            <w:tcW w:w="155"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3,066,277</w:t>
            </w:r>
          </w:p>
        </w:tc>
        <w:tc>
          <w:tcPr>
            <w:tcW w:w="163" w:type="dxa"/>
            <w:tcBorders/>
            <w:shd w:fill="CCEEFF" w:val="clear"/>
            <w:vAlign w:val="bottom"/>
          </w:tcPr>
          <w:p>
            <w:pPr>
              <w:pStyle w:val="TableContents"/>
              <w:bidi w:val="0"/>
              <w:spacing w:before="0" w:after="283"/>
              <w:jc w:val="left"/>
              <w:rPr/>
            </w:pPr>
            <w:r>
              <w:rPr/>
              <w:t> </w:t>
            </w:r>
          </w:p>
        </w:tc>
      </w:tr>
      <w:tr>
        <w:trPr/>
        <w:tc>
          <w:tcPr>
            <w:tcW w:w="5273" w:type="dxa"/>
            <w:tcBorders/>
            <w:vAlign w:val="bottom"/>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5273" w:type="dxa"/>
            <w:tcBorders/>
          </w:tcPr>
          <w:p>
            <w:pPr>
              <w:pStyle w:val="TableContents"/>
              <w:bidi w:val="0"/>
              <w:spacing w:before="0" w:after="0"/>
              <w:jc w:val="left"/>
              <w:rPr>
                <w:rFonts w:ascii="arial" w:hAnsi="arial"/>
                <w:sz w:val="20"/>
              </w:rPr>
            </w:pPr>
            <w:r>
              <w:rPr>
                <w:rFonts w:ascii="arial" w:hAnsi="arial"/>
                <w:sz w:val="20"/>
              </w:rPr>
              <w:t>Total capitalization</w:t>
            </w:r>
          </w:p>
        </w:tc>
        <w:tc>
          <w:tcPr>
            <w:tcW w:w="28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1073" w:type="dxa"/>
            <w:tcBorders/>
            <w:vAlign w:val="bottom"/>
          </w:tcPr>
          <w:p>
            <w:pPr>
              <w:pStyle w:val="TableContents"/>
              <w:bidi w:val="0"/>
              <w:spacing w:before="0" w:after="283"/>
              <w:jc w:val="right"/>
              <w:rPr/>
            </w:pPr>
            <w:r>
              <w:rPr/>
              <w:t>1,631,297</w:t>
            </w:r>
          </w:p>
        </w:tc>
        <w:tc>
          <w:tcPr>
            <w:tcW w:w="155"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1073" w:type="dxa"/>
            <w:tcBorders/>
            <w:vAlign w:val="bottom"/>
          </w:tcPr>
          <w:p>
            <w:pPr>
              <w:pStyle w:val="TableContents"/>
              <w:bidi w:val="0"/>
              <w:spacing w:before="0" w:after="283"/>
              <w:jc w:val="right"/>
              <w:rPr/>
            </w:pPr>
            <w:r>
              <w:rPr/>
              <w:t>3,066,277</w:t>
            </w:r>
          </w:p>
        </w:tc>
        <w:tc>
          <w:tcPr>
            <w:tcW w:w="155" w:type="dxa"/>
            <w:tcBorders/>
            <w:vAlign w:val="bottom"/>
          </w:tcPr>
          <w:p>
            <w:pPr>
              <w:pStyle w:val="TableContents"/>
              <w:bidi w:val="0"/>
              <w:spacing w:before="0" w:after="283"/>
              <w:jc w:val="left"/>
              <w:rPr>
                <w:sz w:val="4"/>
                <w:szCs w:val="4"/>
              </w:rPr>
            </w:pPr>
            <w:r>
              <w:rPr>
                <w:sz w:val="4"/>
                <w:szCs w:val="4"/>
              </w:rPr>
            </w:r>
          </w:p>
        </w:tc>
        <w:tc>
          <w:tcPr>
            <w:tcW w:w="25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1073" w:type="dxa"/>
            <w:tcBorders/>
            <w:vAlign w:val="bottom"/>
          </w:tcPr>
          <w:p>
            <w:pPr>
              <w:pStyle w:val="TableContents"/>
              <w:bidi w:val="0"/>
              <w:spacing w:before="0" w:after="283"/>
              <w:jc w:val="right"/>
              <w:rPr/>
            </w:pPr>
            <w:r>
              <w:rPr/>
              <w:t>3,566,277</w:t>
            </w:r>
          </w:p>
        </w:tc>
        <w:tc>
          <w:tcPr>
            <w:tcW w:w="163" w:type="dxa"/>
            <w:tcBorders/>
            <w:vAlign w:val="bottom"/>
          </w:tcPr>
          <w:p>
            <w:pPr>
              <w:pStyle w:val="TableContents"/>
              <w:bidi w:val="0"/>
              <w:spacing w:before="0" w:after="283"/>
              <w:jc w:val="left"/>
              <w:rPr>
                <w:sz w:val="4"/>
                <w:szCs w:val="4"/>
              </w:rPr>
            </w:pPr>
            <w:r>
              <w:rPr>
                <w:sz w:val="4"/>
                <w:szCs w:val="4"/>
              </w:rPr>
            </w:r>
          </w:p>
        </w:tc>
      </w:tr>
      <w:tr>
        <w:trPr/>
        <w:tc>
          <w:tcPr>
            <w:tcW w:w="5273" w:type="dxa"/>
            <w:tcBorders/>
            <w:vAlign w:val="bottom"/>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107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107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1073"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10042" w:type="dxa"/>
            <w:gridSpan w:val="12"/>
            <w:tcBorders/>
          </w:tcPr>
          <w:p>
            <w:pPr>
              <w:pStyle w:val="TableContents"/>
              <w:pBdr>
                <w:bottom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S-14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215"/>
        <w:gridCol w:w="104"/>
        <w:gridCol w:w="9886"/>
      </w:tblGrid>
      <w:tr>
        <w:trPr/>
        <w:tc>
          <w:tcPr>
            <w:tcW w:w="215" w:type="dxa"/>
            <w:tcBorders/>
          </w:tcPr>
          <w:p>
            <w:pPr>
              <w:pStyle w:val="TableContents"/>
              <w:bidi w:val="0"/>
              <w:spacing w:before="0" w:after="283"/>
              <w:jc w:val="left"/>
              <w:rPr/>
            </w:pPr>
            <w:r>
              <w:rPr/>
              <w:t>(1)</w:t>
            </w:r>
          </w:p>
        </w:tc>
        <w:tc>
          <w:tcPr>
            <w:tcW w:w="104" w:type="dxa"/>
            <w:tcBorders/>
          </w:tcPr>
          <w:p>
            <w:pPr>
              <w:pStyle w:val="TableContents"/>
              <w:bidi w:val="0"/>
              <w:spacing w:before="0" w:after="283"/>
              <w:jc w:val="left"/>
              <w:rPr/>
            </w:pPr>
            <w:r>
              <w:rPr/>
              <w:t> </w:t>
            </w:r>
          </w:p>
        </w:tc>
        <w:tc>
          <w:tcPr>
            <w:tcW w:w="9886" w:type="dxa"/>
            <w:tcBorders/>
          </w:tcPr>
          <w:p>
            <w:pPr>
              <w:pStyle w:val="TableContents"/>
              <w:bidi w:val="0"/>
              <w:spacing w:before="0" w:after="283"/>
              <w:jc w:val="left"/>
              <w:rPr/>
            </w:pPr>
            <w:r>
              <w:rPr/>
              <w:t xml:space="preserve">The amounts shown in the table above for the notes being offered in the concurrent convertible note offering represent their principal amount. However, we expect that the initial liability carrying amount of the notes for accounting purposes will be recorded net of issuance costs, which will be treated as a debt discount for accounting purposes and amortized into interest expense over the term of the notes. As a result of this amortization, the interest expense that we expect to recognize for the notes for accounting purposes will be greater than the cash interest payments we will pay on the notes, which will result in lower reported net income or larger reported net loss.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1"/>
        <w:gridCol w:w="105"/>
        <w:gridCol w:w="9879"/>
      </w:tblGrid>
      <w:tr>
        <w:trPr/>
        <w:tc>
          <w:tcPr>
            <w:tcW w:w="221" w:type="dxa"/>
            <w:tcBorders/>
          </w:tcPr>
          <w:p>
            <w:pPr>
              <w:pStyle w:val="TableContents"/>
              <w:bidi w:val="0"/>
              <w:spacing w:before="0" w:after="283"/>
              <w:jc w:val="left"/>
              <w:rPr/>
            </w:pPr>
            <w:r>
              <w:rPr/>
              <w:t>(2)</w:t>
            </w:r>
          </w:p>
        </w:tc>
        <w:tc>
          <w:tcPr>
            <w:tcW w:w="105" w:type="dxa"/>
            <w:tcBorders/>
          </w:tcPr>
          <w:p>
            <w:pPr>
              <w:pStyle w:val="TableContents"/>
              <w:bidi w:val="0"/>
              <w:spacing w:before="0" w:after="283"/>
              <w:jc w:val="left"/>
              <w:rPr/>
            </w:pPr>
            <w:r>
              <w:rPr/>
              <w:t> </w:t>
            </w:r>
          </w:p>
        </w:tc>
        <w:tc>
          <w:tcPr>
            <w:tcW w:w="9879" w:type="dxa"/>
            <w:tcBorders/>
          </w:tcPr>
          <w:p>
            <w:pPr>
              <w:pStyle w:val="TableContents"/>
              <w:bidi w:val="0"/>
              <w:spacing w:before="0" w:after="283"/>
              <w:jc w:val="left"/>
              <w:rPr/>
            </w:pPr>
            <w:r>
              <w:rPr/>
              <w:t xml:space="preserve">Excludes $268.4 million of liabilities relating to our sale of future royalties pursuant to the Royalty Purchase Agreement.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S-15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sz w:val="32"/>
        </w:rPr>
      </w:pPr>
      <w:bookmarkStart w:id="11" w:name="supptoc93698_9"/>
      <w:bookmarkEnd w:id="11"/>
      <w:r>
        <w:rPr>
          <w:rFonts w:ascii="arial" w:hAnsi="arial"/>
          <w:b/>
          <w:sz w:val="32"/>
        </w:rPr>
        <w:t xml:space="preserve">Dilution </w:t>
      </w:r>
    </w:p>
    <w:p>
      <w:pPr>
        <w:pStyle w:val="TextBody"/>
        <w:bidi w:val="0"/>
        <w:spacing w:before="160" w:after="0"/>
        <w:jc w:val="left"/>
        <w:rPr>
          <w:rFonts w:ascii="arial" w:hAnsi="arial"/>
          <w:sz w:val="20"/>
        </w:rPr>
      </w:pPr>
      <w:r>
        <w:rPr>
          <w:rFonts w:ascii="arial" w:hAnsi="arial"/>
          <w:sz w:val="20"/>
        </w:rPr>
        <w:t xml:space="preserve">If you invest in our common stock in this offering, your interest will be immediately diluted to the extent of the difference between the public offering price per share of our common stock in this offering and the as adjusted net tangible book value per share of our common stock after this offering. </w:t>
      </w:r>
    </w:p>
    <w:p>
      <w:pPr>
        <w:pStyle w:val="TextBody"/>
        <w:bidi w:val="0"/>
        <w:spacing w:before="160" w:after="0"/>
        <w:jc w:val="left"/>
        <w:rPr>
          <w:rFonts w:ascii="arial" w:hAnsi="arial"/>
          <w:sz w:val="20"/>
        </w:rPr>
      </w:pPr>
      <w:r>
        <w:rPr>
          <w:rFonts w:ascii="arial" w:hAnsi="arial"/>
          <w:sz w:val="20"/>
        </w:rPr>
        <w:t xml:space="preserve">Our net tangible book value as of December 31, 2025 was approximately $1.6 billion, or $7.92 per share. Net tangible book value per share is determined by dividing our total tangible assets, less total liabilities, by the number of shares of our common stock outstanding as of December 31, 2025. </w:t>
      </w:r>
    </w:p>
    <w:p>
      <w:pPr>
        <w:pStyle w:val="TextBody"/>
        <w:bidi w:val="0"/>
        <w:spacing w:before="160" w:after="0"/>
        <w:jc w:val="left"/>
        <w:rPr>
          <w:rFonts w:ascii="arial" w:hAnsi="arial"/>
          <w:sz w:val="20"/>
        </w:rPr>
      </w:pPr>
      <w:r>
        <w:rPr>
          <w:rFonts w:ascii="arial" w:hAnsi="arial"/>
          <w:sz w:val="20"/>
        </w:rPr>
        <w:t xml:space="preserve">After giving effect to the sale of 10,563,381 shares of common stock in this offering by us at the public offering price of $142.00 per share, and after deducting the underwriting discounts and commissions and estimated offering expenses payable by us, our as adjusted net tangible book value as of December 31, 2025 would have been $2,995.9 million, or $14.43 per share. This represents an immediate increase in net tangible book value of $6.51 per share to existing stockholders and an immediate dilution of $127.57 per share to investors participating in this offering, as illustrated in the following table on a per share basis: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800"/>
        <w:gridCol w:w="321"/>
        <w:gridCol w:w="140"/>
        <w:gridCol w:w="680"/>
        <w:gridCol w:w="60"/>
        <w:gridCol w:w="321"/>
        <w:gridCol w:w="140"/>
        <w:gridCol w:w="680"/>
        <w:gridCol w:w="63"/>
      </w:tblGrid>
      <w:tr>
        <w:trPr/>
        <w:tc>
          <w:tcPr>
            <w:tcW w:w="7800"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7800" w:type="dxa"/>
            <w:tcBorders>
              <w:top w:val="single" w:sz="16" w:space="0" w:color="000000"/>
            </w:tcBorders>
            <w:shd w:fill="CCEEFF" w:val="clear"/>
            <w:tcMar>
              <w:top w:w="28" w:type="dxa"/>
            </w:tcMar>
          </w:tcPr>
          <w:p>
            <w:pPr>
              <w:pStyle w:val="TableContents"/>
              <w:bidi w:val="0"/>
              <w:spacing w:before="0" w:after="0"/>
              <w:jc w:val="left"/>
              <w:rPr>
                <w:rFonts w:ascii="arial" w:hAnsi="arial"/>
                <w:sz w:val="20"/>
              </w:rPr>
            </w:pPr>
            <w:r>
              <w:rPr>
                <w:rFonts w:ascii="arial" w:hAnsi="arial"/>
                <w:sz w:val="20"/>
              </w:rPr>
              <w:t>Public offering price per share</w:t>
            </w:r>
          </w:p>
        </w:tc>
        <w:tc>
          <w:tcPr>
            <w:tcW w:w="321" w:type="dxa"/>
            <w:tcBorders>
              <w:top w:val="single" w:sz="16" w:space="0" w:color="000000"/>
            </w:tcBorders>
            <w:shd w:fill="CCEEFF" w:val="clear"/>
            <w:tcMar>
              <w:top w:w="28" w:type="dxa"/>
            </w:tcMar>
            <w:vAlign w:val="bottom"/>
          </w:tcPr>
          <w:p>
            <w:pPr>
              <w:pStyle w:val="TableContents"/>
              <w:bidi w:val="0"/>
              <w:spacing w:before="0" w:after="283"/>
              <w:jc w:val="left"/>
              <w:rPr/>
            </w:pPr>
            <w:r>
              <w:rPr/>
              <w:t>  </w:t>
            </w:r>
          </w:p>
        </w:tc>
        <w:tc>
          <w:tcPr>
            <w:tcW w:w="140" w:type="dxa"/>
            <w:tcBorders>
              <w:top w:val="single" w:sz="16" w:space="0" w:color="000000"/>
            </w:tcBorders>
            <w:shd w:fill="CCEEFF" w:val="clear"/>
            <w:tcMar>
              <w:top w:w="28" w:type="dxa"/>
            </w:tcMar>
            <w:vAlign w:val="bottom"/>
          </w:tcPr>
          <w:p>
            <w:pPr>
              <w:pStyle w:val="TableContents"/>
              <w:bidi w:val="0"/>
              <w:spacing w:before="0" w:after="283"/>
              <w:jc w:val="left"/>
              <w:rPr/>
            </w:pPr>
            <w:r>
              <w:rPr/>
              <w:t> </w:t>
            </w:r>
          </w:p>
        </w:tc>
        <w:tc>
          <w:tcPr>
            <w:tcW w:w="680" w:type="dxa"/>
            <w:tcBorders>
              <w:top w:val="single" w:sz="16" w:space="0" w:color="000000"/>
            </w:tcBorders>
            <w:shd w:fill="CCEEFF" w:val="clear"/>
            <w:tcMar>
              <w:top w:w="28" w:type="dxa"/>
            </w:tcMar>
            <w:vAlign w:val="bottom"/>
          </w:tcPr>
          <w:p>
            <w:pPr>
              <w:pStyle w:val="TableContents"/>
              <w:bidi w:val="0"/>
              <w:spacing w:before="0" w:after="283"/>
              <w:jc w:val="left"/>
              <w:rPr/>
            </w:pPr>
            <w:r>
              <w:rPr/>
              <w:t> </w:t>
            </w:r>
          </w:p>
        </w:tc>
        <w:tc>
          <w:tcPr>
            <w:tcW w:w="60" w:type="dxa"/>
            <w:tcBorders>
              <w:top w:val="single" w:sz="16" w:space="0" w:color="000000"/>
            </w:tcBorders>
            <w:shd w:fill="CCEEFF" w:val="clear"/>
            <w:tcMar>
              <w:top w:w="28" w:type="dxa"/>
            </w:tcMar>
            <w:vAlign w:val="bottom"/>
          </w:tcPr>
          <w:p>
            <w:pPr>
              <w:pStyle w:val="TableContents"/>
              <w:bidi w:val="0"/>
              <w:spacing w:before="0" w:after="283"/>
              <w:jc w:val="left"/>
              <w:rPr/>
            </w:pPr>
            <w:r>
              <w:rPr/>
              <w:t> </w:t>
            </w:r>
          </w:p>
        </w:tc>
        <w:tc>
          <w:tcPr>
            <w:tcW w:w="321" w:type="dxa"/>
            <w:tcBorders>
              <w:top w:val="single" w:sz="16" w:space="0" w:color="000000"/>
            </w:tcBorders>
            <w:shd w:fill="CCEEFF" w:val="clear"/>
            <w:tcMar>
              <w:top w:w="28" w:type="dxa"/>
            </w:tcMar>
            <w:vAlign w:val="bottom"/>
          </w:tcPr>
          <w:p>
            <w:pPr>
              <w:pStyle w:val="TableContents"/>
              <w:bidi w:val="0"/>
              <w:spacing w:before="0" w:after="283"/>
              <w:jc w:val="left"/>
              <w:rPr/>
            </w:pPr>
            <w:r>
              <w:rPr/>
              <w:t>  </w:t>
            </w:r>
          </w:p>
        </w:tc>
        <w:tc>
          <w:tcPr>
            <w:tcW w:w="140" w:type="dxa"/>
            <w:tcBorders>
              <w:top w:val="single" w:sz="16" w:space="0" w:color="000000"/>
            </w:tcBorders>
            <w:shd w:fill="CCEEFF" w:val="clear"/>
            <w:tcMar>
              <w:top w:w="28" w:type="dxa"/>
            </w:tcMar>
            <w:vAlign w:val="bottom"/>
          </w:tcPr>
          <w:p>
            <w:pPr>
              <w:pStyle w:val="TableContents"/>
              <w:bidi w:val="0"/>
              <w:spacing w:before="0" w:after="283"/>
              <w:jc w:val="left"/>
              <w:rPr/>
            </w:pPr>
            <w:r>
              <w:rPr/>
              <w:t>$</w:t>
            </w:r>
          </w:p>
        </w:tc>
        <w:tc>
          <w:tcPr>
            <w:tcW w:w="680" w:type="dxa"/>
            <w:tcBorders>
              <w:top w:val="single" w:sz="16" w:space="0" w:color="000000"/>
            </w:tcBorders>
            <w:shd w:fill="CCEEFF" w:val="clear"/>
            <w:tcMar>
              <w:top w:w="28" w:type="dxa"/>
            </w:tcMar>
            <w:vAlign w:val="bottom"/>
          </w:tcPr>
          <w:p>
            <w:pPr>
              <w:pStyle w:val="TableContents"/>
              <w:bidi w:val="0"/>
              <w:spacing w:before="0" w:after="283"/>
              <w:jc w:val="right"/>
              <w:rPr/>
            </w:pPr>
            <w:r>
              <w:rPr/>
              <w:t>142.00</w:t>
            </w:r>
          </w:p>
        </w:tc>
        <w:tc>
          <w:tcPr>
            <w:tcW w:w="63" w:type="dxa"/>
            <w:tcBorders>
              <w:top w:val="single" w:sz="16" w:space="0" w:color="000000"/>
            </w:tcBorders>
            <w:shd w:fill="CCEEFF" w:val="clear"/>
            <w:tcMar>
              <w:top w:w="28" w:type="dxa"/>
            </w:tcMar>
            <w:vAlign w:val="bottom"/>
          </w:tcPr>
          <w:p>
            <w:pPr>
              <w:pStyle w:val="TableContents"/>
              <w:bidi w:val="0"/>
              <w:spacing w:before="0" w:after="283"/>
              <w:jc w:val="left"/>
              <w:rPr/>
            </w:pPr>
            <w:r>
              <w:rPr/>
              <w:t> </w:t>
            </w:r>
          </w:p>
        </w:tc>
      </w:tr>
      <w:tr>
        <w:trPr/>
        <w:tc>
          <w:tcPr>
            <w:tcW w:w="7800" w:type="dxa"/>
            <w:tcBorders/>
          </w:tcPr>
          <w:p>
            <w:pPr>
              <w:pStyle w:val="TableContents"/>
              <w:bidi w:val="0"/>
              <w:spacing w:before="0" w:after="0"/>
              <w:jc w:val="left"/>
              <w:rPr>
                <w:rFonts w:ascii="arial" w:hAnsi="arial"/>
                <w:sz w:val="20"/>
              </w:rPr>
            </w:pPr>
            <w:r>
              <w:rPr>
                <w:rFonts w:ascii="arial" w:hAnsi="arial"/>
                <w:sz w:val="20"/>
              </w:rPr>
              <w:t>Historical net tangible book value per share as of December 31, 2025</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0" w:type="dxa"/>
            <w:tcBorders/>
            <w:vAlign w:val="bottom"/>
          </w:tcPr>
          <w:p>
            <w:pPr>
              <w:pStyle w:val="TableContents"/>
              <w:bidi w:val="0"/>
              <w:spacing w:before="0" w:after="283"/>
              <w:jc w:val="right"/>
              <w:rPr/>
            </w:pPr>
            <w:r>
              <w:rPr/>
              <w:t> </w:t>
            </w:r>
            <w:r>
              <w:rPr/>
              <w:t>7.92</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7800" w:type="dxa"/>
            <w:tcBorders/>
            <w:shd w:fill="CCEEFF" w:val="clear"/>
          </w:tcPr>
          <w:p>
            <w:pPr>
              <w:pStyle w:val="TableContents"/>
              <w:bidi w:val="0"/>
              <w:spacing w:before="0" w:after="0"/>
              <w:jc w:val="left"/>
              <w:rPr>
                <w:rFonts w:ascii="arial" w:hAnsi="arial"/>
                <w:sz w:val="20"/>
              </w:rPr>
            </w:pPr>
            <w:r>
              <w:rPr>
                <w:rFonts w:ascii="arial" w:hAnsi="arial"/>
                <w:sz w:val="20"/>
              </w:rPr>
              <w:t>Increase in net tangible book value per share attributable to this offering</w:t>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6.51</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7800"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7800" w:type="dxa"/>
            <w:tcBorders/>
          </w:tcPr>
          <w:p>
            <w:pPr>
              <w:pStyle w:val="TableContents"/>
              <w:bidi w:val="0"/>
              <w:spacing w:before="0" w:after="0"/>
              <w:jc w:val="left"/>
              <w:rPr>
                <w:rFonts w:ascii="arial" w:hAnsi="arial"/>
                <w:sz w:val="20"/>
              </w:rPr>
            </w:pPr>
            <w:r>
              <w:rPr>
                <w:rFonts w:ascii="arial" w:hAnsi="arial"/>
                <w:sz w:val="20"/>
              </w:rPr>
              <w:t>As adjusted net tangible book value per share after giving effect to this offering</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14.43</w:t>
            </w:r>
          </w:p>
        </w:tc>
        <w:tc>
          <w:tcPr>
            <w:tcW w:w="63" w:type="dxa"/>
            <w:tcBorders/>
            <w:vAlign w:val="bottom"/>
          </w:tcPr>
          <w:p>
            <w:pPr>
              <w:pStyle w:val="TableContents"/>
              <w:bidi w:val="0"/>
              <w:spacing w:before="0" w:after="283"/>
              <w:jc w:val="left"/>
              <w:rPr/>
            </w:pPr>
            <w:r>
              <w:rPr/>
              <w:t> </w:t>
            </w:r>
          </w:p>
        </w:tc>
      </w:tr>
      <w:tr>
        <w:trPr/>
        <w:tc>
          <w:tcPr>
            <w:tcW w:w="7800"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800" w:type="dxa"/>
            <w:tcBorders/>
            <w:shd w:fill="CCEEFF" w:val="clear"/>
          </w:tcPr>
          <w:p>
            <w:pPr>
              <w:pStyle w:val="TableContents"/>
              <w:bidi w:val="0"/>
              <w:spacing w:before="0" w:after="0"/>
              <w:jc w:val="left"/>
              <w:rPr>
                <w:rFonts w:ascii="arial" w:hAnsi="arial"/>
                <w:sz w:val="20"/>
              </w:rPr>
            </w:pPr>
            <w:r>
              <w:rPr>
                <w:rFonts w:ascii="arial" w:hAnsi="arial"/>
                <w:sz w:val="20"/>
              </w:rPr>
              <w:t>Dilution per share to new investors participating in this offering</w:t>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127.57</w:t>
            </w:r>
          </w:p>
        </w:tc>
        <w:tc>
          <w:tcPr>
            <w:tcW w:w="63" w:type="dxa"/>
            <w:tcBorders/>
            <w:shd w:fill="CCEEFF" w:val="clear"/>
            <w:vAlign w:val="bottom"/>
          </w:tcPr>
          <w:p>
            <w:pPr>
              <w:pStyle w:val="TableContents"/>
              <w:bidi w:val="0"/>
              <w:spacing w:before="0" w:after="283"/>
              <w:jc w:val="left"/>
              <w:rPr/>
            </w:pPr>
            <w:r>
              <w:rPr/>
              <w:t> </w:t>
            </w:r>
          </w:p>
        </w:tc>
      </w:tr>
      <w:tr>
        <w:trPr/>
        <w:tc>
          <w:tcPr>
            <w:tcW w:w="7800"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10142" w:type="dxa"/>
            <w:gridSpan w:val="8"/>
            <w:tcBorders/>
          </w:tcPr>
          <w:p>
            <w:pPr>
              <w:pStyle w:val="TableContents"/>
              <w:pBdr>
                <w:bottom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sz w:val="20"/>
        </w:rPr>
        <w:t xml:space="preserve">If the underwriters exercise in full their option to purchase additional shares of common stock, as adjusted net tangible book value after this offering would increase to $15.35 per share, and there would be an immediate dilution of $126.65 per share to new investors. </w:t>
      </w:r>
    </w:p>
    <w:p>
      <w:pPr>
        <w:pStyle w:val="TextBody"/>
        <w:bidi w:val="0"/>
        <w:spacing w:before="160" w:after="0"/>
        <w:jc w:val="left"/>
        <w:rPr>
          <w:rFonts w:ascii="arial" w:hAnsi="arial"/>
          <w:sz w:val="20"/>
        </w:rPr>
      </w:pPr>
      <w:r>
        <w:rPr>
          <w:rFonts w:ascii="arial" w:hAnsi="arial"/>
          <w:sz w:val="20"/>
        </w:rPr>
        <w:t xml:space="preserve">The foregoing table and calculations exclude the following shares as of December 31, 2025: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17,997,616 shares of common stock issuable upon the exercise of outstanding stock options as of December 31, 2025 having a weighted-average exercise price of $30.45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3,892,052 shares of common stock issuable upon the vesting and settlement of outstanding restricted stock units as of December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2,050,737 shares of common stock issuable upon the exercise of stock options granted after December 31, 2025, having a weighted-average exercise price of $99.88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1,733,348 shares of common stock issuable upon the vesting and settlement of restricted stock units granted after December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2,335,397 shares of common stock sold through our “at the market offering” programs after December 31, 2025, having a weighted-average sales price of $98.58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2,194,318 shares of common stock issuable upon the exercise of warrants outstanding as of December 31, 2025, having an exercise price of $11.50 per 0.1112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1,395,277 shares of common stock reserved for issuance pursuant to future awards under our 2020 Incentive Award Plan, excluding the stock options and restricted stock unit grants after December 31, 2025, as well as any automatic increases in the number of shares of common stock reserved for future issuance under this plan;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S-16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5,363,603 shares of common stock reserved for issuance under our 2020 Employee Stock Purchase Plan, as well as any automatic increases in the number of shares of our common stock reserved for future issuance under this plan;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any shares of our common stock issuable upon conversion of the convertible notes in the concurrent convertible note offering. </w:t>
            </w:r>
          </w:p>
        </w:tc>
      </w:tr>
    </w:tbl>
    <w:p>
      <w:pPr>
        <w:pStyle w:val="TextBody"/>
        <w:bidi w:val="0"/>
        <w:spacing w:before="160" w:after="0"/>
        <w:jc w:val="left"/>
        <w:rPr>
          <w:rFonts w:ascii="arial" w:hAnsi="arial"/>
          <w:sz w:val="20"/>
        </w:rPr>
      </w:pPr>
      <w:r>
        <w:rPr>
          <w:rFonts w:ascii="arial" w:hAnsi="arial"/>
          <w:sz w:val="20"/>
        </w:rPr>
        <w:t xml:space="preserve">To the extent that outstanding options or warrants are exercised, outstanding restricted stock units are settled, shares are issued upon the conversion of the convertible notes or our common stock is issued pursuant to other outstanding commitments, investors purchasing our common stock in this offering may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existing stockholders.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S-17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sz w:val="32"/>
        </w:rPr>
      </w:pPr>
      <w:bookmarkStart w:id="12" w:name="supptoc93698_10"/>
      <w:bookmarkEnd w:id="12"/>
      <w:r>
        <w:rPr>
          <w:rFonts w:ascii="arial" w:hAnsi="arial"/>
          <w:b/>
          <w:sz w:val="32"/>
        </w:rPr>
        <w:t xml:space="preserve">Concurrent convertible note offering </w:t>
      </w:r>
    </w:p>
    <w:p>
      <w:pPr>
        <w:pStyle w:val="TextBody"/>
        <w:bidi w:val="0"/>
        <w:spacing w:before="160" w:after="0"/>
        <w:jc w:val="left"/>
        <w:rPr>
          <w:rFonts w:ascii="arial" w:hAnsi="arial"/>
          <w:sz w:val="20"/>
        </w:rPr>
      </w:pPr>
      <w:r>
        <w:rPr>
          <w:rFonts w:ascii="arial" w:hAnsi="arial"/>
          <w:sz w:val="20"/>
        </w:rPr>
        <w:t xml:space="preserve">Concurrently with this offering, we are offering, pursuant to a separate prospectus supplement, 0.50% convertible senior notes due 2033, which we refer to as the convertible notes, in an aggregate principal amount of $500,000,000. We estimate that the net proceeds to us from the concurrent convertible note offering, if it is consummated, will be approximately $486.8 million, after deducting the underwriting discounts and commissions and our estimated offering expenses. </w:t>
      </w:r>
    </w:p>
    <w:p>
      <w:pPr>
        <w:pStyle w:val="TextBody"/>
        <w:bidi w:val="0"/>
        <w:spacing w:before="160" w:after="0"/>
        <w:jc w:val="left"/>
        <w:rPr>
          <w:rFonts w:ascii="arial" w:hAnsi="arial"/>
          <w:sz w:val="20"/>
        </w:rPr>
      </w:pPr>
      <w:r>
        <w:rPr>
          <w:rFonts w:ascii="arial" w:hAnsi="arial"/>
          <w:sz w:val="20"/>
        </w:rPr>
        <w:t xml:space="preserve">The completion of this offering is not contingent on the completion of the concurrent convertible note offering, and the completion of the concurrent convertible note offering is not contingent on the completion of this offering. Accordingly, you should not assume that the concurrent convertible note offering will be consummated on the terms described in this prospectus supplement, if at all, or that we will receive any additional proceeds from the concurrent convertible note offering. This prospectus supplement and the accompanying prospectus do not constitute an offer to sell, or the solicitation of an offer to buy, any of the convertible notes, or the shares of common stock, if any, issuable upon conversion of the convertible notes, we are offering in the concurrent convertible note offering. </w:t>
      </w:r>
    </w:p>
    <w:p>
      <w:pPr>
        <w:pStyle w:val="TextBody"/>
        <w:bidi w:val="0"/>
        <w:spacing w:before="160" w:after="0"/>
        <w:jc w:val="left"/>
        <w:rPr>
          <w:rFonts w:ascii="arial" w:hAnsi="arial"/>
          <w:sz w:val="20"/>
        </w:rPr>
      </w:pPr>
      <w:r>
        <w:rPr>
          <w:rFonts w:ascii="arial" w:hAnsi="arial"/>
          <w:sz w:val="20"/>
        </w:rPr>
        <w:t xml:space="preserve">The convertible notes will be our senior, unsecured obligations and will accrue interest at a rate of 0.50% per annum, payable semi-annually in arrears on May 1 and November 1 of each year, beginning on November 1, 2026. The convertible notes will mature on May 1, 2033, unless earlier repurchased, redeemed or converted. Before February 1, 2033, noteholders will have the right to convert their convertible notes only upon the occurrence of certain events. From and including February 1, 2033, noteholders may convert their convertible notes at any time at their election until the close of business on the second scheduled trading day immediately before the maturity date. We will settle conversions by paying or delivering, as applicable, consideration that consists, at our election, of cash, shares of our common stock or a combination of cash and shares of our common stock. The initial conversion rate is 5.0302 shares of common stock per $1,000 principal amount of convertible notes, which represents an initial conversion price of approximately $198.80 per share of common stock. The conversion rate and conversion price will be subject to adjustment upon the occurrence of certain events. If a “make-whole fundamental change” (which will be defined in the indenture governing the convertible notes to include certain business combination transactions involving us, the delisting of our common stock and the calling of the convertible notes for redemption) occurs, then we will in certain circumstances increase the conversion rate for a specified period of time. In the case of a make-whole fundamental change resulting from the calling of any convertible notes for redemption, the increased conversion rate, if any, will apply only to the convertible notes called for redemption. </w:t>
      </w:r>
    </w:p>
    <w:p>
      <w:pPr>
        <w:pStyle w:val="TextBody"/>
        <w:bidi w:val="0"/>
        <w:spacing w:before="160" w:after="0"/>
        <w:jc w:val="left"/>
        <w:rPr>
          <w:rFonts w:ascii="arial" w:hAnsi="arial"/>
          <w:sz w:val="20"/>
        </w:rPr>
      </w:pPr>
      <w:r>
        <w:rPr>
          <w:rFonts w:ascii="arial" w:hAnsi="arial"/>
          <w:sz w:val="20"/>
        </w:rPr>
        <w:t xml:space="preserve">The convertible notes will be redeemable, in whole or in part (subject to certain limitations described below), at our option at any time, and from time to time, on or after May 6, 2030 and on or before the 31st scheduled trading day immediately before the maturity date, at a cash redemption price equal to the principal amount of the convertible notes to be redeemed, plus accrued and unpaid interest, if any, to, but excluding, the redemption date, but only if the last reported sale price per share of our common stock exceeds 130% of the conversion price for a specified period of time. However, we may not redeem less than all of the outstanding convertible notes unless at least $100.0 million aggregate principal amount of convertible notes are outstanding and not called for redemption as of the time we send the related redemption notice. </w:t>
      </w:r>
    </w:p>
    <w:p>
      <w:pPr>
        <w:pStyle w:val="TextBody"/>
        <w:bidi w:val="0"/>
        <w:spacing w:before="160" w:after="0"/>
        <w:jc w:val="left"/>
        <w:rPr>
          <w:rFonts w:ascii="arial" w:hAnsi="arial"/>
          <w:sz w:val="20"/>
        </w:rPr>
      </w:pPr>
      <w:r>
        <w:rPr>
          <w:rFonts w:ascii="arial" w:hAnsi="arial"/>
          <w:sz w:val="20"/>
        </w:rPr>
        <w:t xml:space="preserve">If a “fundamental change” (which will be defined in the indenture governing the convertible notes to include certain change-of-control events and the delisting of our common stock) occurs, then, subject to a limited exception, noteholders may require us to repurchase their convertible notes for cash. The repurchase price will be equal to the principal amount of the convertible notes to be repurchased, plus accrued and unpaid interest, if any, to, but excluding, the fundamental change repurchase date.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S-18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sz w:val="32"/>
        </w:rPr>
      </w:pPr>
      <w:bookmarkStart w:id="13" w:name="supptoc93698_11"/>
      <w:bookmarkEnd w:id="13"/>
      <w:r>
        <w:rPr>
          <w:rFonts w:ascii="arial" w:hAnsi="arial"/>
          <w:b/>
          <w:sz w:val="32"/>
        </w:rPr>
        <w:t xml:space="preserve">Material U.S. federal income tax consequences to Non-U.S. Holders </w:t>
      </w:r>
    </w:p>
    <w:p>
      <w:pPr>
        <w:pStyle w:val="TextBody"/>
        <w:bidi w:val="0"/>
        <w:spacing w:before="160" w:after="0"/>
        <w:jc w:val="left"/>
        <w:rPr>
          <w:rFonts w:ascii="arial" w:hAnsi="arial"/>
          <w:sz w:val="20"/>
        </w:rPr>
      </w:pPr>
      <w:r>
        <w:rPr>
          <w:rFonts w:ascii="arial" w:hAnsi="arial"/>
          <w:sz w:val="20"/>
        </w:rPr>
        <w:t xml:space="preserve">The following discussion is a summary of the material U.S. federal income tax consequences to Non-U.S. Holders (as defined below) of the purchase, ownership and disposition of our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or the Code, Treasury Regulations promulgated thereunder, judicial decisions, and published rulings and administrative pronouncements of the U.S. Internal Revenue Service, or the IRS, in each case in effect as of the date hereof. These authorities may change or be subject to differing interpretations. Any such change or differing interpretation may be applied retroactively in a manner that could adversely affect a Non-U.S. Holder.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common stock. </w:t>
      </w:r>
    </w:p>
    <w:p>
      <w:pPr>
        <w:pStyle w:val="TextBody"/>
        <w:bidi w:val="0"/>
        <w:spacing w:before="160" w:after="0"/>
        <w:jc w:val="left"/>
        <w:rPr>
          <w:rFonts w:ascii="arial" w:hAnsi="arial"/>
          <w:sz w:val="20"/>
        </w:rPr>
      </w:pPr>
      <w:r>
        <w:rPr>
          <w:rFonts w:ascii="arial" w:hAnsi="arial"/>
          <w:sz w:val="20"/>
        </w:rPr>
        <w:t xml:space="preserve">This discussion is limited to Non-U.S. Holders that hold our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and the alternative minimum tax. In addition, it does not address consequences relevant to Non-U.S. Holders subject to special rules, including, without limitation: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U.S. expatriates and former citizens or long-term residents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persons holding our common stock as part of a hedge, straddle or other risk reduction strategy or as part of a conversion transaction or other integrated investment;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banks, insurance companies and other 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brokers, dealers or traders in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pPr>
            <w:r>
              <w:rPr/>
              <w:t>“</w:t>
            </w:r>
            <w:r>
              <w:rPr>
                <w:rFonts w:ascii="arial" w:hAnsi="arial"/>
                <w:sz w:val="20"/>
              </w:rPr>
              <w:t xml:space="preserve">controlled foreign corporations,” “foreign controlled foreign corporations,” “passive foreign investment companies” and corporations that accumulate earnings to avoid U.S. federal income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partnerships or other entities or arrangements treated as partnerships for U.S. federal income tax purposes (and investors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tax-exempt organizations or governmental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persons deemed to sell our common stock under the constructive sale provisions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persons who hold or receive our common stock pursuant to the exercise of any employee stock option or otherwise as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tax-qualified retirement plans;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qualified foreign pension funds” as defined in Section 897(l)(2) of the Code and entities all of the interests of which are held by qualified foreign pension funds. </w:t>
            </w:r>
          </w:p>
        </w:tc>
      </w:tr>
    </w:tbl>
    <w:p>
      <w:pPr>
        <w:pStyle w:val="TextBody"/>
        <w:bidi w:val="0"/>
        <w:spacing w:before="160" w:after="0"/>
        <w:jc w:val="left"/>
        <w:rPr>
          <w:rFonts w:ascii="arial" w:hAnsi="arial"/>
          <w:sz w:val="20"/>
        </w:rPr>
      </w:pPr>
      <w:r>
        <w:rPr>
          <w:rFonts w:ascii="arial" w:hAnsi="arial"/>
          <w:sz w:val="20"/>
        </w:rPr>
        <w:t xml:space="preserve">If an entity or arrangement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S-19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sz w:val="20"/>
        </w:rPr>
      </w:pPr>
      <w:r>
        <w:rPr>
          <w:rFonts w:ascii="arial" w:hAnsi="arial"/>
          <w:b/>
          <w:sz w:val="20"/>
        </w:rPr>
        <w:t xml:space="preserve">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COMMON STOCK ARISING UNDER THE U.S. FEDERAL ESTATE OR GIFT TAX LAWS OR UNDER THE LAWS OF ANY STATE, LOCAL OR NON-U.S. TAXING JURISDICTION OR UNDER ANY APPLICABLE INCOME TAX TREATY. </w:t>
      </w:r>
    </w:p>
    <w:p>
      <w:pPr>
        <w:pStyle w:val="TextBody"/>
        <w:bidi w:val="0"/>
        <w:spacing w:before="320" w:after="0"/>
        <w:jc w:val="left"/>
        <w:rPr>
          <w:rFonts w:ascii="arial" w:hAnsi="arial"/>
          <w:b/>
          <w:sz w:val="24"/>
        </w:rPr>
      </w:pPr>
      <w:r>
        <w:rPr>
          <w:rFonts w:ascii="arial" w:hAnsi="arial"/>
          <w:b/>
          <w:sz w:val="24"/>
        </w:rPr>
        <w:t xml:space="preserve">Definition of a Non-U.S. Holder </w:t>
      </w:r>
    </w:p>
    <w:p>
      <w:pPr>
        <w:pStyle w:val="TextBody"/>
        <w:bidi w:val="0"/>
        <w:spacing w:before="160" w:after="0"/>
        <w:jc w:val="left"/>
        <w:rPr>
          <w:rFonts w:ascii="arial" w:hAnsi="arial"/>
          <w:sz w:val="20"/>
        </w:rPr>
      </w:pPr>
      <w:r>
        <w:rPr>
          <w:rFonts w:ascii="arial" w:hAnsi="arial"/>
          <w:sz w:val="20"/>
        </w:rPr>
        <w:t xml:space="preserve">For purposes of this discussion, a “Non-U.S. Holder” is any beneficial owner of our common stock that is neither a “U.S. person” nor an entity treated as a partnership for U.S. federal income tax purposes. A U.S. person is any person that, for U.S. federal income tax purposes, is or is treated as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an estate, the income of which is subject to U.S. federal income tax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a trust that (1) is subject to the primary supervision of a U.S. court and all substantial decisions of which are subject to the control of one or more “United States persons” (within the meaning of Section 7701(a)(30) of the Code), or (2) has a valid election in effect to be treated as a United States person for U.S. federal income tax purposes. </w:t>
            </w:r>
          </w:p>
        </w:tc>
      </w:tr>
    </w:tbl>
    <w:p>
      <w:pPr>
        <w:pStyle w:val="TextBody"/>
        <w:bidi w:val="0"/>
        <w:spacing w:before="320" w:after="0"/>
        <w:jc w:val="left"/>
        <w:rPr>
          <w:rFonts w:ascii="arial" w:hAnsi="arial"/>
          <w:b/>
          <w:sz w:val="24"/>
        </w:rPr>
      </w:pPr>
      <w:r>
        <w:rPr>
          <w:rFonts w:ascii="arial" w:hAnsi="arial"/>
          <w:b/>
          <w:sz w:val="24"/>
        </w:rPr>
        <w:t xml:space="preserve">Distributions </w:t>
      </w:r>
    </w:p>
    <w:p>
      <w:pPr>
        <w:pStyle w:val="TextBody"/>
        <w:bidi w:val="0"/>
        <w:spacing w:before="160" w:after="0"/>
        <w:jc w:val="left"/>
        <w:rPr>
          <w:rFonts w:ascii="arial" w:hAnsi="arial"/>
          <w:sz w:val="20"/>
        </w:rPr>
      </w:pPr>
      <w:r>
        <w:rPr>
          <w:rFonts w:ascii="arial" w:hAnsi="arial"/>
          <w:sz w:val="20"/>
        </w:rPr>
        <w:t xml:space="preserve">We have never declared or paid cash dividends on our common stock, and we do not anticipate paying any cash dividends in the foreseeable future. However, if we do make distributions of cash or property on our common stock (other than certain pro rata distributions of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below under “—Sale or other taxable disposition.” Because we may not know the extent to which a distribution is a dividend for U.S. federal income tax purposes at the time it is made, for purposes of the withholding rules discussed below we or the applicable withholding agent may treat the entire distribution as a dividend. </w:t>
      </w:r>
    </w:p>
    <w:p>
      <w:pPr>
        <w:pStyle w:val="TextBody"/>
        <w:bidi w:val="0"/>
        <w:spacing w:before="160" w:after="0"/>
        <w:jc w:val="left"/>
        <w:rPr>
          <w:rFonts w:ascii="arial" w:hAnsi="arial"/>
          <w:sz w:val="20"/>
        </w:rPr>
      </w:pPr>
      <w:r>
        <w:rPr>
          <w:rFonts w:ascii="arial" w:hAnsi="arial"/>
          <w:sz w:val="20"/>
        </w:rPr>
        <w:t xml:space="preserve">Subject to the discussion below regarding effectively connected income, dividends paid to a Non-U.S. Holder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tax treaties. </w:t>
      </w:r>
    </w:p>
    <w:p>
      <w:pPr>
        <w:pStyle w:val="TextBody"/>
        <w:bidi w:val="0"/>
        <w:spacing w:before="160" w:after="0"/>
        <w:jc w:val="left"/>
        <w:rPr>
          <w:rFonts w:ascii="arial" w:hAnsi="arial"/>
          <w:sz w:val="20"/>
        </w:rPr>
      </w:pPr>
      <w:r>
        <w:rPr>
          <w:rFonts w:ascii="arial" w:hAnsi="arial"/>
          <w:sz w:val="20"/>
        </w:rPr>
        <w:t xml:space="preserve">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S-20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the dividends are effectively connected with the Non-U.S. Holder’s conduct of a trade or business within the United States. </w:t>
      </w:r>
    </w:p>
    <w:p>
      <w:pPr>
        <w:pStyle w:val="TextBody"/>
        <w:bidi w:val="0"/>
        <w:spacing w:before="160" w:after="0"/>
        <w:jc w:val="left"/>
        <w:rPr>
          <w:rFonts w:ascii="arial" w:hAnsi="arial"/>
          <w:sz w:val="20"/>
        </w:rPr>
      </w:pPr>
      <w:r>
        <w:rPr>
          <w:rFonts w:ascii="arial" w:hAnsi="arial"/>
          <w:sz w:val="20"/>
        </w:rPr>
        <w:t xml:space="preserve">Any such effectively connected dividends will be subject to U.S. federal income tax on a net income basis at the regular rates applicable to U.S. persons.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 </w:t>
      </w:r>
    </w:p>
    <w:p>
      <w:pPr>
        <w:pStyle w:val="TextBody"/>
        <w:bidi w:val="0"/>
        <w:spacing w:before="320" w:after="0"/>
        <w:jc w:val="left"/>
        <w:rPr>
          <w:rFonts w:ascii="arial" w:hAnsi="arial"/>
          <w:b/>
          <w:sz w:val="24"/>
        </w:rPr>
      </w:pPr>
      <w:r>
        <w:rPr>
          <w:rFonts w:ascii="arial" w:hAnsi="arial"/>
          <w:b/>
          <w:sz w:val="24"/>
        </w:rPr>
        <w:t xml:space="preserve">Sale or other taxable disposition </w:t>
      </w:r>
    </w:p>
    <w:p>
      <w:pPr>
        <w:pStyle w:val="TextBody"/>
        <w:bidi w:val="0"/>
        <w:spacing w:before="160" w:after="0"/>
        <w:jc w:val="left"/>
        <w:rPr>
          <w:rFonts w:ascii="arial" w:hAnsi="arial"/>
          <w:sz w:val="20"/>
        </w:rPr>
      </w:pPr>
      <w:r>
        <w:rPr>
          <w:rFonts w:ascii="arial" w:hAnsi="arial"/>
          <w:sz w:val="20"/>
        </w:rPr>
        <w:t xml:space="preserve">A Non-U.S. Holder generally will not be subject to U.S. federal income tax on any gain realized upon the sale or other taxable disposition of our common stock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the gain is effectively connected with the Non-U.S. Holder’s conduct of a trade or business within the United States (and, if required by an applicable income tax treaty, the Non-U.S. Holder maintains a permanent establishment in the United States to which such gain is attributable);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the Non-U.S. Holder is a nonresident alien individual present in the United States for 183 days or more during the taxable year of the disposition and certain other requirements are met;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our common stock constitutes a U.S. real property interest, or a USRPI, by reason of our status as a U.S. real property holding corporation, or a USRPHC, for U.S. federal income tax purposes. </w:t>
            </w:r>
          </w:p>
        </w:tc>
      </w:tr>
    </w:tbl>
    <w:p>
      <w:pPr>
        <w:pStyle w:val="TextBody"/>
        <w:bidi w:val="0"/>
        <w:spacing w:before="160" w:after="0"/>
        <w:jc w:val="left"/>
        <w:rPr>
          <w:rFonts w:ascii="arial" w:hAnsi="arial"/>
          <w:sz w:val="20"/>
        </w:rPr>
      </w:pPr>
      <w:r>
        <w:rPr>
          <w:rFonts w:ascii="arial" w:hAnsi="arial"/>
          <w:sz w:val="20"/>
        </w:rPr>
        <w:t xml:space="preserve">Gain described in the first bullet point above generally will be subject to U.S. federal income tax on a net income basis at the regular rates applicable to U.S. persons. A Non-U.S. Holder that is a corporation also may be subject to a branch profits tax at a rate of 30% (or such lower rate specified by an applicable income tax treaty) on such effectively connected gain, as adjusted for certain items. </w:t>
      </w:r>
    </w:p>
    <w:p>
      <w:pPr>
        <w:pStyle w:val="TextBody"/>
        <w:bidi w:val="0"/>
        <w:spacing w:before="160" w:after="0"/>
        <w:jc w:val="left"/>
        <w:rPr>
          <w:rFonts w:ascii="arial" w:hAnsi="arial"/>
          <w:sz w:val="20"/>
        </w:rPr>
      </w:pPr>
      <w:r>
        <w:rPr>
          <w:rFonts w:ascii="arial" w:hAnsi="arial"/>
          <w:sz w:val="20"/>
        </w:rPr>
        <w:t xml:space="preserve">A Non-U.S. Holder described in the second bullet point above will be subject to U.S. federal income tax at a rate of 30% (or such lower rate specified by an applicable income tax treaty) on gain realized upon the sale or other taxable disposition of our common stock, which gain may be offset by certain U.S. source capital losses of the Non-U.S. Holder (even though the individual is not considered a resident of the United States), provided the Non-U.S. Holder has timely filed U.S. federal income tax returns with respect to such losses. </w:t>
      </w:r>
    </w:p>
    <w:p>
      <w:pPr>
        <w:pStyle w:val="TextBody"/>
        <w:bidi w:val="0"/>
        <w:spacing w:before="160" w:after="0"/>
        <w:jc w:val="left"/>
        <w:rPr>
          <w:rFonts w:ascii="arial" w:hAnsi="arial"/>
          <w:sz w:val="20"/>
        </w:rPr>
      </w:pPr>
      <w:r>
        <w:rPr>
          <w:rFonts w:ascii="arial" w:hAnsi="arial"/>
          <w:sz w:val="20"/>
        </w:rPr>
        <w:t xml:space="preserve">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of our common stock by a Non-U.S. Holder will not be subject to U.S. federal income tax if our common stock is “regularly traded,” as defined by applicable Treasury Regulations, on an established securities market, and such Non-U.S. Holder owned, actually and constructively, 5% or less of our common stock throughout the shorter of the five-year period ending on the date of the sale or other taxable disposition or the Non-U.S. Holder’s holding period. </w:t>
      </w:r>
    </w:p>
    <w:p>
      <w:pPr>
        <w:pStyle w:val="TextBody"/>
        <w:bidi w:val="0"/>
        <w:spacing w:before="160" w:after="0"/>
        <w:jc w:val="left"/>
        <w:rPr>
          <w:rFonts w:ascii="arial" w:hAnsi="arial"/>
          <w:sz w:val="20"/>
        </w:rPr>
      </w:pPr>
      <w:r>
        <w:rPr>
          <w:rFonts w:ascii="arial" w:hAnsi="arial"/>
          <w:sz w:val="20"/>
        </w:rPr>
        <w:t xml:space="preserve">Non-U.S. Holders should consult their tax advisors regarding any applicable tax treaties that may provide for different rules. </w:t>
      </w:r>
    </w:p>
    <w:p>
      <w:pPr>
        <w:pStyle w:val="TextBody"/>
        <w:bidi w:val="0"/>
        <w:spacing w:before="320" w:after="0"/>
        <w:jc w:val="left"/>
        <w:rPr>
          <w:rFonts w:ascii="arial" w:hAnsi="arial"/>
          <w:b/>
          <w:sz w:val="24"/>
        </w:rPr>
      </w:pPr>
      <w:r>
        <w:rPr>
          <w:rFonts w:ascii="arial" w:hAnsi="arial"/>
          <w:b/>
          <w:sz w:val="24"/>
        </w:rPr>
        <w:t xml:space="preserve">Information reporting and backup withholding </w:t>
      </w:r>
    </w:p>
    <w:p>
      <w:pPr>
        <w:pStyle w:val="TextBody"/>
        <w:bidi w:val="0"/>
        <w:spacing w:before="160" w:after="0"/>
        <w:jc w:val="left"/>
        <w:rPr>
          <w:rFonts w:ascii="arial" w:hAnsi="arial"/>
          <w:sz w:val="20"/>
        </w:rPr>
      </w:pPr>
      <w:r>
        <w:rPr>
          <w:rFonts w:ascii="arial" w:hAnsi="arial"/>
          <w:sz w:val="20"/>
        </w:rPr>
        <w:t xml:space="preserve">Payments of dividends on our common stock will not be subject to backup withholding, provided the Non-U.S. Holder certifies its non-U.S. status, such as by furnishing a valid IRS Form W-8BEN, W-8BEN-E or W-8ECI, or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S-21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otherwise establishes an exemption. However, information returns are required to be filed with the IRS in connection with any distributions on our common stock paid to the Non-U.S. Holder, regardless of whether such distributions constitute dividends or whether any tax was actually withheld. In addition, proceeds of the sale or other taxable disposition of our common stock within the United States or conducted through certain U.S.-related brokers generally will not be subject to backup withholding or information reporting if the applicable withholding agent receives the certification described above or the Non-U.S. Holder otherwise establishes an exemption. Proceeds of a disposition of our common stock conducted through a non-U.S. office of a non-U.S. broker that does not have certain enumerated relationships with the United States generally will not be subject to backup withholding or information reporting. </w:t>
      </w:r>
    </w:p>
    <w:p>
      <w:pPr>
        <w:pStyle w:val="TextBody"/>
        <w:bidi w:val="0"/>
        <w:spacing w:before="160" w:after="0"/>
        <w:jc w:val="left"/>
        <w:rPr>
          <w:rFonts w:ascii="arial" w:hAnsi="arial"/>
          <w:sz w:val="20"/>
        </w:rPr>
      </w:pPr>
      <w:r>
        <w:rPr>
          <w:rFonts w:ascii="arial" w:hAnsi="arial"/>
          <w:sz w:val="20"/>
        </w:rPr>
        <w:t xml:space="preserve">Copies of information returns that are filed with the IRS may also be made available under the provisions of an applicable treaty or agreement to the tax authorities of the country in which the Non-U.S. Holder resides or is established. </w:t>
      </w:r>
    </w:p>
    <w:p>
      <w:pPr>
        <w:pStyle w:val="TextBody"/>
        <w:bidi w:val="0"/>
        <w:spacing w:before="160" w:after="0"/>
        <w:jc w:val="left"/>
        <w:rPr>
          <w:rFonts w:ascii="arial" w:hAnsi="arial"/>
          <w:sz w:val="20"/>
        </w:rPr>
      </w:pPr>
      <w:r>
        <w:rPr>
          <w:rFonts w:ascii="arial" w:hAnsi="arial"/>
          <w:sz w:val="20"/>
        </w:rPr>
        <w:t xml:space="preserve">Backup withholding is not an additional tax. Any amounts withheld under the backup withholding rules may be allowed as a refund or a credit against a Non-U.S. Holder’s U.S. federal income tax liability, provided the required information is timely furnished to the IRS. </w:t>
      </w:r>
    </w:p>
    <w:p>
      <w:pPr>
        <w:pStyle w:val="TextBody"/>
        <w:bidi w:val="0"/>
        <w:spacing w:before="320" w:after="0"/>
        <w:jc w:val="left"/>
        <w:rPr>
          <w:rFonts w:ascii="arial" w:hAnsi="arial"/>
          <w:b/>
          <w:sz w:val="24"/>
        </w:rPr>
      </w:pPr>
      <w:r>
        <w:rPr>
          <w:rFonts w:ascii="arial" w:hAnsi="arial"/>
          <w:b/>
          <w:sz w:val="24"/>
        </w:rPr>
        <w:t xml:space="preserve">Additional withholding tax on payments made to foreign accounts </w:t>
      </w:r>
    </w:p>
    <w:p>
      <w:pPr>
        <w:pStyle w:val="TextBody"/>
        <w:bidi w:val="0"/>
        <w:spacing w:before="160" w:after="0"/>
        <w:jc w:val="left"/>
        <w:rPr>
          <w:rFonts w:ascii="arial" w:hAnsi="arial"/>
          <w:sz w:val="20"/>
        </w:rPr>
      </w:pPr>
      <w:r>
        <w:rPr>
          <w:rFonts w:ascii="arial" w:hAnsi="arial"/>
          <w:sz w:val="20"/>
        </w:rPr>
        <w:t xml:space="preserve">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and, subject to the proposed Treasury Regulations discussed below, gross proceeds from the sale or other disposition of, our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 </w:t>
      </w:r>
    </w:p>
    <w:p>
      <w:pPr>
        <w:pStyle w:val="TextBody"/>
        <w:bidi w:val="0"/>
        <w:spacing w:before="160" w:after="0"/>
        <w:jc w:val="left"/>
        <w:rPr>
          <w:rFonts w:ascii="arial" w:hAnsi="arial"/>
          <w:sz w:val="20"/>
        </w:rPr>
      </w:pPr>
      <w:r>
        <w:rPr>
          <w:rFonts w:ascii="arial" w:hAnsi="arial"/>
          <w:sz w:val="20"/>
        </w:rPr>
        <w:t xml:space="preserve">Under the applicable Treasury Regulations and administrative guidance, withholding under FATCA generally applies to payments of dividends on our common stock. While withholding under FATCA would have applied also to payments of gross proceeds from the sale or other disposition of our common stock on or after January 1, 2019, proposed Treasury Regulations eliminate FATCA withholding on payments of gross proceeds entirely. Taxpayers generally may rely on these proposed Treasury Regulations until final Treasury Regulations are issued. </w:t>
      </w:r>
    </w:p>
    <w:p>
      <w:pPr>
        <w:pStyle w:val="TextBody"/>
        <w:bidi w:val="0"/>
        <w:spacing w:before="160" w:after="0"/>
        <w:jc w:val="left"/>
        <w:rPr>
          <w:rFonts w:ascii="arial" w:hAnsi="arial"/>
          <w:sz w:val="20"/>
        </w:rPr>
      </w:pPr>
      <w:r>
        <w:rPr>
          <w:rFonts w:ascii="arial" w:hAnsi="arial"/>
          <w:sz w:val="20"/>
        </w:rPr>
        <w:t xml:space="preserve">Prospective investors should consult their tax advisors regarding the potential application of withholding under FATCA to their investment in our common stock.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S-22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sz w:val="32"/>
        </w:rPr>
      </w:pPr>
      <w:bookmarkStart w:id="14" w:name="supptoc93698_12"/>
      <w:bookmarkEnd w:id="14"/>
      <w:r>
        <w:rPr>
          <w:rFonts w:ascii="arial" w:hAnsi="arial"/>
          <w:b/>
          <w:sz w:val="32"/>
        </w:rPr>
        <w:t xml:space="preserve">Underwriting </w:t>
      </w:r>
    </w:p>
    <w:p>
      <w:pPr>
        <w:pStyle w:val="TextBody"/>
        <w:bidi w:val="0"/>
        <w:spacing w:before="160" w:after="0"/>
        <w:jc w:val="left"/>
        <w:rPr>
          <w:rFonts w:ascii="arial" w:hAnsi="arial"/>
          <w:sz w:val="20"/>
        </w:rPr>
      </w:pPr>
      <w:r>
        <w:rPr>
          <w:rFonts w:ascii="arial" w:hAnsi="arial"/>
          <w:sz w:val="20"/>
        </w:rPr>
        <w:t xml:space="preserve">We are offering the shares of common stock described in this prospectus supplement through a number of underwriters. </w:t>
      </w:r>
    </w:p>
    <w:p>
      <w:pPr>
        <w:pStyle w:val="TextBody"/>
        <w:bidi w:val="0"/>
        <w:spacing w:before="160" w:after="0"/>
        <w:jc w:val="left"/>
        <w:rPr>
          <w:rFonts w:ascii="arial" w:hAnsi="arial"/>
          <w:sz w:val="20"/>
        </w:rPr>
      </w:pPr>
      <w:r>
        <w:rPr>
          <w:rFonts w:ascii="arial" w:hAnsi="arial"/>
          <w:sz w:val="20"/>
        </w:rPr>
        <w:t xml:space="preserve">J.P. Morgan Securities LLC, TD Securities (USA) LLC and Guggenheim Securities, LLC are acting as book-running managers of the offering and as representatives of the underwriters. We have entered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supplement, the number of shares of common stock listed next to its name in the following table: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859"/>
        <w:gridCol w:w="121"/>
        <w:gridCol w:w="60"/>
        <w:gridCol w:w="1103"/>
        <w:gridCol w:w="62"/>
      </w:tblGrid>
      <w:tr>
        <w:trPr/>
        <w:tc>
          <w:tcPr>
            <w:tcW w:w="885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8859" w:type="dxa"/>
            <w:tcBorders>
              <w:top w:val="single" w:sz="16" w:space="0" w:color="000000"/>
            </w:tcBorders>
            <w:tcMar>
              <w:top w:w="28" w:type="dxa"/>
            </w:tcMar>
            <w:vAlign w:val="center"/>
          </w:tcPr>
          <w:p>
            <w:pPr>
              <w:pStyle w:val="TableContents"/>
              <w:bidi w:val="0"/>
              <w:spacing w:before="0" w:after="283"/>
              <w:jc w:val="left"/>
              <w:rPr/>
            </w:pPr>
            <w:r>
              <w:rPr/>
              <w:t> </w:t>
            </w:r>
          </w:p>
        </w:tc>
        <w:tc>
          <w:tcPr>
            <w:tcW w:w="1346"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8859" w:type="dxa"/>
            <w:tcBorders>
              <w:bottom w:val="single" w:sz="2" w:space="0" w:color="000000"/>
            </w:tcBorders>
            <w:tcMar>
              <w:bottom w:w="28" w:type="dxa"/>
            </w:tcMar>
            <w:vAlign w:val="bottom"/>
          </w:tcPr>
          <w:p>
            <w:pPr>
              <w:pStyle w:val="TableContents"/>
              <w:bidi w:val="0"/>
              <w:spacing w:before="0" w:after="283"/>
              <w:jc w:val="left"/>
              <w:rPr>
                <w:b/>
              </w:rPr>
            </w:pPr>
            <w:r>
              <w:rPr>
                <w:b/>
              </w:rPr>
              <w:t>Name</w:t>
            </w:r>
          </w:p>
        </w:tc>
        <w:tc>
          <w:tcPr>
            <w:tcW w:w="121" w:type="dxa"/>
            <w:tcBorders>
              <w:bottom w:val="single" w:sz="2" w:space="0" w:color="000000"/>
            </w:tcBorders>
            <w:tcMar>
              <w:bottom w:w="28" w:type="dxa"/>
            </w:tcMar>
            <w:vAlign w:val="bottom"/>
          </w:tcPr>
          <w:p>
            <w:pPr>
              <w:pStyle w:val="TableContents"/>
              <w:bidi w:val="0"/>
              <w:spacing w:before="0" w:after="283"/>
              <w:jc w:val="left"/>
              <w:rPr/>
            </w:pPr>
            <w:r>
              <w:rPr/>
              <w:t>  </w:t>
            </w:r>
          </w:p>
        </w:tc>
        <w:tc>
          <w:tcPr>
            <w:tcW w:w="1163" w:type="dxa"/>
            <w:gridSpan w:val="2"/>
            <w:tcBorders>
              <w:bottom w:val="single" w:sz="2" w:space="0" w:color="000000"/>
            </w:tcBorders>
            <w:tcMar>
              <w:bottom w:w="28" w:type="dxa"/>
            </w:tcMar>
            <w:vAlign w:val="bottom"/>
          </w:tcPr>
          <w:p>
            <w:pPr>
              <w:pStyle w:val="TableContents"/>
              <w:bidi w:val="0"/>
              <w:spacing w:before="0" w:after="0"/>
              <w:jc w:val="right"/>
              <w:rPr>
                <w:rFonts w:ascii="SimHei" w:hAnsi="SimHei"/>
                <w:b/>
                <w:sz w:val="18"/>
              </w:rPr>
            </w:pPr>
            <w:r>
              <w:rPr>
                <w:rFonts w:ascii="SimHei" w:hAnsi="SimHei"/>
                <w:b/>
                <w:sz w:val="18"/>
              </w:rPr>
              <w:t>Number of</w:t>
            </w:r>
          </w:p>
          <w:p>
            <w:pPr>
              <w:pStyle w:val="TableContents"/>
              <w:bidi w:val="0"/>
              <w:spacing w:before="0" w:after="20"/>
              <w:jc w:val="right"/>
              <w:rPr>
                <w:rFonts w:ascii="SimHei" w:hAnsi="SimHei"/>
                <w:b/>
                <w:sz w:val="18"/>
              </w:rPr>
            </w:pPr>
            <w:r>
              <w:rPr>
                <w:rFonts w:ascii="SimHei" w:hAnsi="SimHei"/>
                <w:b/>
                <w:sz w:val="18"/>
              </w:rPr>
              <w:t>shares</w:t>
            </w:r>
          </w:p>
        </w:tc>
        <w:tc>
          <w:tcPr>
            <w:tcW w:w="62"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8859" w:type="dxa"/>
            <w:tcBorders/>
            <w:shd w:fill="CCEEFF" w:val="clear"/>
          </w:tcPr>
          <w:p>
            <w:pPr>
              <w:pStyle w:val="TableContents"/>
              <w:bidi w:val="0"/>
              <w:spacing w:before="0" w:after="0"/>
              <w:jc w:val="left"/>
              <w:rPr>
                <w:rFonts w:ascii="arial" w:hAnsi="arial"/>
                <w:sz w:val="20"/>
              </w:rPr>
            </w:pPr>
            <w:r>
              <w:rPr>
                <w:rFonts w:ascii="arial" w:hAnsi="arial"/>
                <w:sz w:val="20"/>
              </w:rPr>
              <w:t>J.P. Morgan Securities LLC</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4,225,353</w:t>
            </w:r>
          </w:p>
        </w:tc>
        <w:tc>
          <w:tcPr>
            <w:tcW w:w="62" w:type="dxa"/>
            <w:tcBorders/>
            <w:shd w:fill="CCEEFF" w:val="clear"/>
            <w:vAlign w:val="bottom"/>
          </w:tcPr>
          <w:p>
            <w:pPr>
              <w:pStyle w:val="TableContents"/>
              <w:bidi w:val="0"/>
              <w:spacing w:before="0" w:after="283"/>
              <w:jc w:val="left"/>
              <w:rPr/>
            </w:pPr>
            <w:r>
              <w:rPr/>
              <w:t> </w:t>
            </w:r>
          </w:p>
        </w:tc>
      </w:tr>
      <w:tr>
        <w:trPr/>
        <w:tc>
          <w:tcPr>
            <w:tcW w:w="8859" w:type="dxa"/>
            <w:tcBorders/>
          </w:tcPr>
          <w:p>
            <w:pPr>
              <w:pStyle w:val="TableContents"/>
              <w:bidi w:val="0"/>
              <w:spacing w:before="0" w:after="0"/>
              <w:jc w:val="left"/>
              <w:rPr>
                <w:rFonts w:ascii="arial" w:hAnsi="arial"/>
                <w:sz w:val="20"/>
              </w:rPr>
            </w:pPr>
            <w:r>
              <w:rPr>
                <w:rFonts w:ascii="arial" w:hAnsi="arial"/>
                <w:sz w:val="20"/>
              </w:rPr>
              <w:t>TD Securities (USA) LLC</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3,908,451</w:t>
            </w:r>
          </w:p>
        </w:tc>
        <w:tc>
          <w:tcPr>
            <w:tcW w:w="62" w:type="dxa"/>
            <w:tcBorders/>
            <w:vAlign w:val="bottom"/>
          </w:tcPr>
          <w:p>
            <w:pPr>
              <w:pStyle w:val="TableContents"/>
              <w:bidi w:val="0"/>
              <w:spacing w:before="0" w:after="283"/>
              <w:jc w:val="left"/>
              <w:rPr/>
            </w:pPr>
            <w:r>
              <w:rPr/>
              <w:t> </w:t>
            </w:r>
          </w:p>
        </w:tc>
      </w:tr>
      <w:tr>
        <w:trPr/>
        <w:tc>
          <w:tcPr>
            <w:tcW w:w="8859" w:type="dxa"/>
            <w:tcBorders/>
            <w:shd w:fill="CCEEFF" w:val="clear"/>
          </w:tcPr>
          <w:p>
            <w:pPr>
              <w:pStyle w:val="TableContents"/>
              <w:bidi w:val="0"/>
              <w:spacing w:before="0" w:after="0"/>
              <w:jc w:val="left"/>
              <w:rPr>
                <w:rFonts w:ascii="arial" w:hAnsi="arial"/>
                <w:sz w:val="20"/>
              </w:rPr>
            </w:pPr>
            <w:r>
              <w:rPr>
                <w:rFonts w:ascii="arial" w:hAnsi="arial"/>
                <w:sz w:val="20"/>
              </w:rPr>
              <w:t>Guggenheim Securities, LLC</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2,112,676</w:t>
            </w:r>
          </w:p>
        </w:tc>
        <w:tc>
          <w:tcPr>
            <w:tcW w:w="62" w:type="dxa"/>
            <w:tcBorders/>
            <w:shd w:fill="CCEEFF" w:val="clear"/>
            <w:vAlign w:val="bottom"/>
          </w:tcPr>
          <w:p>
            <w:pPr>
              <w:pStyle w:val="TableContents"/>
              <w:bidi w:val="0"/>
              <w:spacing w:before="0" w:after="283"/>
              <w:jc w:val="left"/>
              <w:rPr/>
            </w:pPr>
            <w:r>
              <w:rPr/>
              <w:t> </w:t>
            </w:r>
          </w:p>
        </w:tc>
      </w:tr>
      <w:tr>
        <w:trPr/>
        <w:tc>
          <w:tcPr>
            <w:tcW w:w="8859" w:type="dxa"/>
            <w:tcBorders/>
          </w:tcPr>
          <w:p>
            <w:pPr>
              <w:pStyle w:val="TableContents"/>
              <w:bidi w:val="0"/>
              <w:spacing w:before="0" w:after="0"/>
              <w:jc w:val="left"/>
              <w:rPr>
                <w:rFonts w:ascii="arial" w:hAnsi="arial"/>
                <w:sz w:val="20"/>
              </w:rPr>
            </w:pPr>
            <w:r>
              <w:rPr>
                <w:rFonts w:ascii="arial" w:hAnsi="arial"/>
                <w:sz w:val="20"/>
              </w:rPr>
              <w:t>LifeSci Capital LLC</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316,901</w:t>
            </w:r>
          </w:p>
        </w:tc>
        <w:tc>
          <w:tcPr>
            <w:tcW w:w="62" w:type="dxa"/>
            <w:tcBorders/>
            <w:vAlign w:val="bottom"/>
          </w:tcPr>
          <w:p>
            <w:pPr>
              <w:pStyle w:val="TableContents"/>
              <w:bidi w:val="0"/>
              <w:spacing w:before="0" w:after="283"/>
              <w:jc w:val="left"/>
              <w:rPr/>
            </w:pPr>
            <w:r>
              <w:rPr/>
              <w:t> </w:t>
            </w:r>
          </w:p>
        </w:tc>
      </w:tr>
      <w:tr>
        <w:trPr/>
        <w:tc>
          <w:tcPr>
            <w:tcW w:w="8859"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rHeight w:val="75" w:hRule="atLeast"/>
        </w:trPr>
        <w:tc>
          <w:tcPr>
            <w:tcW w:w="8859" w:type="dxa"/>
            <w:tcBorders/>
            <w:vAlign w:val="center"/>
          </w:tcPr>
          <w:p>
            <w:pPr>
              <w:pStyle w:val="TableContents"/>
              <w:bidi w:val="0"/>
              <w:spacing w:before="0" w:after="283"/>
              <w:jc w:val="left"/>
              <w:rPr>
                <w:sz w:val="4"/>
                <w:szCs w:val="4"/>
              </w:rPr>
            </w:pPr>
            <w:r>
              <w:rPr>
                <w:sz w:val="4"/>
                <w:szCs w:val="4"/>
              </w:rPr>
            </w:r>
          </w:p>
        </w:tc>
        <w:tc>
          <w:tcPr>
            <w:tcW w:w="1346" w:type="dxa"/>
            <w:gridSpan w:val="4"/>
            <w:tcBorders/>
            <w:vAlign w:val="center"/>
          </w:tcPr>
          <w:p>
            <w:pPr>
              <w:pStyle w:val="TableContents"/>
              <w:bidi w:val="0"/>
              <w:spacing w:before="0" w:after="283"/>
              <w:jc w:val="left"/>
              <w:rPr>
                <w:sz w:val="4"/>
                <w:szCs w:val="4"/>
              </w:rPr>
            </w:pPr>
            <w:r>
              <w:rPr>
                <w:sz w:val="4"/>
                <w:szCs w:val="4"/>
              </w:rPr>
            </w:r>
          </w:p>
        </w:tc>
      </w:tr>
      <w:tr>
        <w:trPr/>
        <w:tc>
          <w:tcPr>
            <w:tcW w:w="8859" w:type="dxa"/>
            <w:tcBorders/>
            <w:shd w:fill="CCEEFF" w:val="clear"/>
          </w:tcPr>
          <w:p>
            <w:pPr>
              <w:pStyle w:val="TableContents"/>
              <w:bidi w:val="0"/>
              <w:spacing w:before="0" w:after="0"/>
              <w:jc w:val="left"/>
              <w:rPr>
                <w:rFonts w:ascii="arial" w:hAnsi="arial"/>
                <w:sz w:val="20"/>
              </w:rPr>
            </w:pPr>
            <w:r>
              <w:rPr>
                <w:rFonts w:ascii="arial" w:hAnsi="arial"/>
                <w:sz w:val="20"/>
              </w:rPr>
              <w:t>Total</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1103" w:type="dxa"/>
            <w:tcBorders/>
            <w:shd w:fill="CCEEFF" w:val="clear"/>
          </w:tcPr>
          <w:p>
            <w:pPr>
              <w:pStyle w:val="TableContents"/>
              <w:bidi w:val="0"/>
              <w:spacing w:before="0" w:after="283"/>
              <w:jc w:val="right"/>
              <w:rPr/>
            </w:pPr>
            <w:r>
              <w:rPr/>
              <w:t>10,563,381</w:t>
            </w:r>
          </w:p>
        </w:tc>
        <w:tc>
          <w:tcPr>
            <w:tcW w:w="62" w:type="dxa"/>
            <w:tcBorders/>
            <w:shd w:fill="CCEEFF" w:val="clear"/>
          </w:tcPr>
          <w:p>
            <w:pPr>
              <w:pStyle w:val="TableContents"/>
              <w:bidi w:val="0"/>
              <w:spacing w:before="0" w:after="283"/>
              <w:jc w:val="left"/>
              <w:rPr/>
            </w:pPr>
            <w:r>
              <w:rPr/>
              <w:t> </w:t>
            </w:r>
          </w:p>
        </w:tc>
      </w:tr>
      <w:tr>
        <w:trPr/>
        <w:tc>
          <w:tcPr>
            <w:tcW w:w="8859"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3"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10143" w:type="dxa"/>
            <w:gridSpan w:val="4"/>
            <w:tcBorders/>
          </w:tcPr>
          <w:p>
            <w:pPr>
              <w:pStyle w:val="TableContents"/>
              <w:pBdr>
                <w:bottom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sz w:val="20"/>
        </w:rPr>
        <w:t xml:space="preserve">The underwriters are committed to purchase all the shares of common stock offered by us if they purchase any shares. The underwriting agreement also provides that if an underwriter defaults, the purchase commitments of non-defaulting underwriters may also be increased or the offering may be terminated. </w:t>
      </w:r>
    </w:p>
    <w:p>
      <w:pPr>
        <w:pStyle w:val="TextBody"/>
        <w:bidi w:val="0"/>
        <w:spacing w:before="160" w:after="0"/>
        <w:jc w:val="left"/>
        <w:rPr>
          <w:rFonts w:ascii="arial" w:hAnsi="arial"/>
          <w:sz w:val="20"/>
        </w:rPr>
      </w:pPr>
      <w:r>
        <w:rPr>
          <w:rFonts w:ascii="arial" w:hAnsi="arial"/>
          <w:sz w:val="20"/>
        </w:rPr>
        <w:t xml:space="preserve">The underwriters propose to offer the common stock directly to the public at the public offering price set forth on the cover page of this prospectus supplement and to certain dealers at that price less a concession not in excess of $3.621 per share. After the initial offering of the shares to the public, if all of the shares of common stock are not sold at the public offering price, the underwriters may change the offering price and the other selling terms. Sales of shares made outside of the United States may be made by affiliates of the underwriters. </w:t>
      </w:r>
    </w:p>
    <w:p>
      <w:pPr>
        <w:pStyle w:val="TextBody"/>
        <w:bidi w:val="0"/>
        <w:spacing w:before="160" w:after="0"/>
        <w:jc w:val="left"/>
        <w:rPr>
          <w:rFonts w:ascii="arial" w:hAnsi="arial"/>
          <w:sz w:val="20"/>
        </w:rPr>
      </w:pPr>
      <w:r>
        <w:rPr>
          <w:rFonts w:ascii="arial" w:hAnsi="arial"/>
          <w:sz w:val="20"/>
        </w:rPr>
        <w:t xml:space="preserve">The underwriters have an option to purchase up to 1,584,506 additional shares of common stock from us to cover sales of shares by the underwriters which exceed the number of shares specified in the table above. The underwriters have 30 days from the date of this prospectus supplement to exercise this option to purchase additional shares of common stock. If any shares are purchased with this option to purchase additional shares of common stock, the underwriters will purchase shares in approximately the same proportion as shown in the table above. If any additional shares of common stock are purchased, the underwriters will offer the additional shares of common stock on the same terms as those on which the shares are being offered. </w:t>
      </w:r>
    </w:p>
    <w:p>
      <w:pPr>
        <w:pStyle w:val="TextBody"/>
        <w:bidi w:val="0"/>
        <w:spacing w:before="160" w:after="0"/>
        <w:jc w:val="left"/>
        <w:rPr>
          <w:rFonts w:ascii="arial" w:hAnsi="arial"/>
          <w:sz w:val="20"/>
        </w:rPr>
      </w:pPr>
      <w:r>
        <w:rPr>
          <w:rFonts w:ascii="arial" w:hAnsi="arial"/>
          <w:sz w:val="20"/>
        </w:rPr>
        <w:t xml:space="preserve">The underwriting fee is equal to the public offering price per share of common stock less the amount paid by the underwriters to us per share of common stock. The underwriting fee is $6.035 per share of common stock. The following table shows the per share and total underwriting discounts and commissions to be paid to the underwriters assuming both no exercise and full exercise of the underwriters’ option to purchase additional shares of common stock.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88"/>
        <w:gridCol w:w="226"/>
        <w:gridCol w:w="143"/>
        <w:gridCol w:w="1228"/>
        <w:gridCol w:w="60"/>
        <w:gridCol w:w="226"/>
        <w:gridCol w:w="143"/>
        <w:gridCol w:w="1228"/>
        <w:gridCol w:w="63"/>
      </w:tblGrid>
      <w:tr>
        <w:trPr/>
        <w:tc>
          <w:tcPr>
            <w:tcW w:w="6888"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6888" w:type="dxa"/>
            <w:tcBorders>
              <w:top w:val="single" w:sz="16" w:space="0" w:color="000000"/>
            </w:tcBorders>
            <w:tcMar>
              <w:top w:w="28" w:type="dxa"/>
            </w:tcMar>
            <w:vAlign w:val="center"/>
          </w:tcPr>
          <w:p>
            <w:pPr>
              <w:pStyle w:val="TableContents"/>
              <w:bidi w:val="0"/>
              <w:spacing w:before="0" w:after="283"/>
              <w:jc w:val="left"/>
              <w:rPr/>
            </w:pPr>
            <w:r>
              <w:rPr/>
              <w:t> </w:t>
            </w:r>
          </w:p>
        </w:tc>
        <w:tc>
          <w:tcPr>
            <w:tcW w:w="1657"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660"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6888" w:type="dxa"/>
            <w:tcBorders>
              <w:bottom w:val="single" w:sz="2" w:space="0" w:color="000000"/>
            </w:tcBorders>
            <w:tcMar>
              <w:bottom w:w="28" w:type="dxa"/>
            </w:tcMar>
            <w:vAlign w:val="bottom"/>
          </w:tcPr>
          <w:p>
            <w:pPr>
              <w:pStyle w:val="TableContents"/>
              <w:bidi w:val="0"/>
              <w:spacing w:before="0" w:after="283"/>
              <w:jc w:val="left"/>
              <w:rPr/>
            </w:pPr>
            <w:r>
              <w:rPr/>
              <w:t>  </w:t>
            </w:r>
          </w:p>
        </w:tc>
        <w:tc>
          <w:tcPr>
            <w:tcW w:w="226" w:type="dxa"/>
            <w:tcBorders>
              <w:bottom w:val="single" w:sz="2" w:space="0" w:color="000000"/>
            </w:tcBorders>
            <w:tcMar>
              <w:bottom w:w="28" w:type="dxa"/>
            </w:tcMar>
            <w:vAlign w:val="bottom"/>
          </w:tcPr>
          <w:p>
            <w:pPr>
              <w:pStyle w:val="TableContents"/>
              <w:bidi w:val="0"/>
              <w:spacing w:before="0" w:after="283"/>
              <w:jc w:val="left"/>
              <w:rPr/>
            </w:pPr>
            <w:r>
              <w:rPr/>
              <w:t>  </w:t>
            </w:r>
          </w:p>
        </w:tc>
        <w:tc>
          <w:tcPr>
            <w:tcW w:w="1371" w:type="dxa"/>
            <w:gridSpan w:val="2"/>
            <w:tcBorders>
              <w:bottom w:val="single" w:sz="2" w:space="0" w:color="000000"/>
            </w:tcBorders>
            <w:tcMar>
              <w:bottom w:w="28" w:type="dxa"/>
            </w:tcMar>
            <w:vAlign w:val="bottom"/>
          </w:tcPr>
          <w:p>
            <w:pPr>
              <w:pStyle w:val="TableContents"/>
              <w:bidi w:val="0"/>
              <w:spacing w:before="0" w:after="0"/>
              <w:jc w:val="right"/>
              <w:rPr>
                <w:rFonts w:ascii="arial" w:hAnsi="arial"/>
                <w:b/>
                <w:sz w:val="18"/>
              </w:rPr>
            </w:pPr>
            <w:r>
              <w:rPr>
                <w:rFonts w:ascii="arial" w:hAnsi="arial"/>
                <w:b/>
                <w:sz w:val="18"/>
              </w:rPr>
              <w:t>Without</w:t>
              <w:br/>
              <w:t>exercise of</w:t>
            </w:r>
          </w:p>
          <w:p>
            <w:pPr>
              <w:pStyle w:val="TableContents"/>
              <w:bidi w:val="0"/>
              <w:spacing w:before="0" w:after="0"/>
              <w:jc w:val="right"/>
              <w:rPr>
                <w:rFonts w:ascii="arial" w:hAnsi="arial"/>
                <w:b/>
                <w:sz w:val="18"/>
              </w:rPr>
            </w:pPr>
            <w:r>
              <w:rPr>
                <w:rFonts w:ascii="arial" w:hAnsi="arial"/>
                <w:b/>
                <w:sz w:val="18"/>
              </w:rPr>
              <w:t>option to</w:t>
            </w:r>
          </w:p>
          <w:p>
            <w:pPr>
              <w:pStyle w:val="TableContents"/>
              <w:bidi w:val="0"/>
              <w:spacing w:before="0" w:after="0"/>
              <w:jc w:val="right"/>
              <w:rPr>
                <w:rFonts w:ascii="arial" w:hAnsi="arial"/>
                <w:b/>
                <w:sz w:val="18"/>
              </w:rPr>
            </w:pPr>
            <w:r>
              <w:rPr>
                <w:rFonts w:ascii="arial" w:hAnsi="arial"/>
                <w:b/>
                <w:sz w:val="18"/>
              </w:rPr>
              <w:t>purchase</w:t>
            </w:r>
          </w:p>
          <w:p>
            <w:pPr>
              <w:pStyle w:val="TableContents"/>
              <w:bidi w:val="0"/>
              <w:spacing w:before="0" w:after="0"/>
              <w:jc w:val="right"/>
              <w:rPr>
                <w:rFonts w:ascii="arial" w:hAnsi="arial"/>
                <w:b/>
                <w:sz w:val="18"/>
              </w:rPr>
            </w:pPr>
            <w:r>
              <w:rPr>
                <w:rFonts w:ascii="arial" w:hAnsi="arial"/>
                <w:b/>
                <w:sz w:val="18"/>
              </w:rPr>
              <w:t>additional</w:t>
            </w:r>
          </w:p>
          <w:p>
            <w:pPr>
              <w:pStyle w:val="TableContents"/>
              <w:bidi w:val="0"/>
              <w:spacing w:before="0" w:after="20"/>
              <w:jc w:val="right"/>
              <w:rPr>
                <w:rFonts w:ascii="arial" w:hAnsi="arial"/>
                <w:b/>
                <w:sz w:val="18"/>
              </w:rPr>
            </w:pPr>
            <w:r>
              <w:rPr>
                <w:rFonts w:ascii="arial" w:hAnsi="arial"/>
                <w:b/>
                <w:sz w:val="18"/>
              </w:rPr>
              <w:t>shares</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26" w:type="dxa"/>
            <w:tcBorders>
              <w:bottom w:val="single" w:sz="2" w:space="0" w:color="000000"/>
            </w:tcBorders>
            <w:tcMar>
              <w:bottom w:w="28" w:type="dxa"/>
            </w:tcMar>
            <w:vAlign w:val="bottom"/>
          </w:tcPr>
          <w:p>
            <w:pPr>
              <w:pStyle w:val="TableContents"/>
              <w:bidi w:val="0"/>
              <w:spacing w:before="0" w:after="283"/>
              <w:jc w:val="left"/>
              <w:rPr/>
            </w:pPr>
            <w:r>
              <w:rPr/>
              <w:t>  </w:t>
            </w:r>
          </w:p>
        </w:tc>
        <w:tc>
          <w:tcPr>
            <w:tcW w:w="1371" w:type="dxa"/>
            <w:gridSpan w:val="2"/>
            <w:tcBorders>
              <w:bottom w:val="single" w:sz="2" w:space="0" w:color="000000"/>
            </w:tcBorders>
            <w:tcMar>
              <w:bottom w:w="28" w:type="dxa"/>
            </w:tcMar>
            <w:vAlign w:val="bottom"/>
          </w:tcPr>
          <w:p>
            <w:pPr>
              <w:pStyle w:val="TableContents"/>
              <w:bidi w:val="0"/>
              <w:spacing w:before="0" w:after="0"/>
              <w:jc w:val="right"/>
              <w:rPr>
                <w:rFonts w:ascii="arial" w:hAnsi="arial"/>
                <w:b/>
                <w:sz w:val="18"/>
              </w:rPr>
            </w:pPr>
            <w:r>
              <w:rPr>
                <w:rFonts w:ascii="arial" w:hAnsi="arial"/>
                <w:b/>
                <w:sz w:val="18"/>
              </w:rPr>
              <w:t>With full</w:t>
              <w:br/>
              <w:t>exercise of</w:t>
            </w:r>
          </w:p>
          <w:p>
            <w:pPr>
              <w:pStyle w:val="TableContents"/>
              <w:bidi w:val="0"/>
              <w:spacing w:before="0" w:after="0"/>
              <w:jc w:val="right"/>
              <w:rPr>
                <w:rFonts w:ascii="arial" w:hAnsi="arial"/>
                <w:b/>
                <w:sz w:val="18"/>
              </w:rPr>
            </w:pPr>
            <w:r>
              <w:rPr>
                <w:rFonts w:ascii="arial" w:hAnsi="arial"/>
                <w:b/>
                <w:sz w:val="18"/>
              </w:rPr>
              <w:t>option to</w:t>
            </w:r>
          </w:p>
          <w:p>
            <w:pPr>
              <w:pStyle w:val="TableContents"/>
              <w:bidi w:val="0"/>
              <w:spacing w:before="0" w:after="0"/>
              <w:jc w:val="right"/>
              <w:rPr>
                <w:rFonts w:ascii="arial" w:hAnsi="arial"/>
                <w:b/>
                <w:sz w:val="18"/>
              </w:rPr>
            </w:pPr>
            <w:r>
              <w:rPr>
                <w:rFonts w:ascii="arial" w:hAnsi="arial"/>
                <w:b/>
                <w:sz w:val="18"/>
              </w:rPr>
              <w:t>purchase</w:t>
            </w:r>
          </w:p>
          <w:p>
            <w:pPr>
              <w:pStyle w:val="TableContents"/>
              <w:bidi w:val="0"/>
              <w:spacing w:before="0" w:after="0"/>
              <w:jc w:val="right"/>
              <w:rPr>
                <w:rFonts w:ascii="arial" w:hAnsi="arial"/>
                <w:b/>
                <w:sz w:val="18"/>
              </w:rPr>
            </w:pPr>
            <w:r>
              <w:rPr>
                <w:rFonts w:ascii="arial" w:hAnsi="arial"/>
                <w:b/>
                <w:sz w:val="18"/>
              </w:rPr>
              <w:t>additional</w:t>
            </w:r>
          </w:p>
          <w:p>
            <w:pPr>
              <w:pStyle w:val="TableContents"/>
              <w:bidi w:val="0"/>
              <w:spacing w:before="0" w:after="20"/>
              <w:jc w:val="right"/>
              <w:rPr>
                <w:rFonts w:ascii="arial" w:hAnsi="arial"/>
                <w:b/>
                <w:sz w:val="18"/>
              </w:rPr>
            </w:pPr>
            <w:r>
              <w:rPr>
                <w:rFonts w:ascii="arial" w:hAnsi="arial"/>
                <w:b/>
                <w:sz w:val="18"/>
              </w:rPr>
              <w:t>shares</w:t>
            </w:r>
          </w:p>
        </w:tc>
        <w:tc>
          <w:tcPr>
            <w:tcW w:w="63"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6888" w:type="dxa"/>
            <w:tcBorders/>
            <w:shd w:fill="CCEEFF" w:val="clear"/>
          </w:tcPr>
          <w:p>
            <w:pPr>
              <w:pStyle w:val="TableContents"/>
              <w:bidi w:val="0"/>
              <w:spacing w:before="0" w:after="0"/>
              <w:jc w:val="left"/>
              <w:rPr>
                <w:rFonts w:ascii="arial" w:hAnsi="arial"/>
                <w:sz w:val="20"/>
              </w:rPr>
            </w:pPr>
            <w:r>
              <w:rPr>
                <w:rFonts w:ascii="arial" w:hAnsi="arial"/>
                <w:sz w:val="20"/>
              </w:rPr>
              <w:t>Per share</w:t>
            </w:r>
          </w:p>
        </w:tc>
        <w:tc>
          <w:tcPr>
            <w:tcW w:w="226"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1228" w:type="dxa"/>
            <w:tcBorders/>
            <w:shd w:fill="CCEEFF" w:val="clear"/>
            <w:vAlign w:val="bottom"/>
          </w:tcPr>
          <w:p>
            <w:pPr>
              <w:pStyle w:val="TableContents"/>
              <w:bidi w:val="0"/>
              <w:spacing w:before="0" w:after="283"/>
              <w:jc w:val="right"/>
              <w:rPr/>
            </w:pPr>
            <w:r>
              <w:rPr/>
              <w:t>6.035</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1228" w:type="dxa"/>
            <w:tcBorders/>
            <w:shd w:fill="CCEEFF" w:val="clear"/>
            <w:vAlign w:val="bottom"/>
          </w:tcPr>
          <w:p>
            <w:pPr>
              <w:pStyle w:val="TableContents"/>
              <w:bidi w:val="0"/>
              <w:spacing w:before="0" w:after="283"/>
              <w:jc w:val="right"/>
              <w:rPr/>
            </w:pPr>
            <w:r>
              <w:rPr/>
              <w:t>6.035</w:t>
            </w:r>
          </w:p>
        </w:tc>
        <w:tc>
          <w:tcPr>
            <w:tcW w:w="63" w:type="dxa"/>
            <w:tcBorders/>
            <w:shd w:fill="CCEEFF" w:val="clear"/>
            <w:vAlign w:val="bottom"/>
          </w:tcPr>
          <w:p>
            <w:pPr>
              <w:pStyle w:val="TableContents"/>
              <w:bidi w:val="0"/>
              <w:spacing w:before="0" w:after="283"/>
              <w:jc w:val="left"/>
              <w:rPr/>
            </w:pPr>
            <w:r>
              <w:rPr/>
              <w:t> </w:t>
            </w:r>
          </w:p>
        </w:tc>
      </w:tr>
      <w:tr>
        <w:trPr/>
        <w:tc>
          <w:tcPr>
            <w:tcW w:w="6888"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888" w:type="dxa"/>
            <w:tcBorders/>
          </w:tcPr>
          <w:p>
            <w:pPr>
              <w:pStyle w:val="TableContents"/>
              <w:bidi w:val="0"/>
              <w:spacing w:before="0" w:after="0"/>
              <w:jc w:val="left"/>
              <w:rPr>
                <w:rFonts w:ascii="arial" w:hAnsi="arial"/>
                <w:sz w:val="20"/>
              </w:rPr>
            </w:pPr>
            <w:r>
              <w:rPr>
                <w:rFonts w:ascii="arial" w:hAnsi="arial"/>
                <w:sz w:val="20"/>
              </w:rPr>
              <w:t>Total</w:t>
            </w:r>
          </w:p>
        </w:tc>
        <w:tc>
          <w:tcPr>
            <w:tcW w:w="226"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1228" w:type="dxa"/>
            <w:tcBorders/>
            <w:vAlign w:val="bottom"/>
          </w:tcPr>
          <w:p>
            <w:pPr>
              <w:pStyle w:val="TableContents"/>
              <w:bidi w:val="0"/>
              <w:spacing w:before="0" w:after="283"/>
              <w:jc w:val="right"/>
              <w:rPr/>
            </w:pPr>
            <w:r>
              <w:rPr/>
              <w:t>63,750,004</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1228" w:type="dxa"/>
            <w:tcBorders/>
            <w:vAlign w:val="bottom"/>
          </w:tcPr>
          <w:p>
            <w:pPr>
              <w:pStyle w:val="TableContents"/>
              <w:bidi w:val="0"/>
              <w:spacing w:before="0" w:after="283"/>
              <w:jc w:val="right"/>
              <w:rPr/>
            </w:pPr>
            <w:r>
              <w:rPr/>
              <w:t>73,312,498</w:t>
            </w:r>
          </w:p>
        </w:tc>
        <w:tc>
          <w:tcPr>
            <w:tcW w:w="63" w:type="dxa"/>
            <w:tcBorders/>
            <w:vAlign w:val="bottom"/>
          </w:tcPr>
          <w:p>
            <w:pPr>
              <w:pStyle w:val="TableContents"/>
              <w:bidi w:val="0"/>
              <w:spacing w:before="0" w:after="283"/>
              <w:jc w:val="left"/>
              <w:rPr/>
            </w:pPr>
            <w:r>
              <w:rPr/>
              <w:t> </w:t>
            </w:r>
          </w:p>
        </w:tc>
      </w:tr>
      <w:tr>
        <w:trPr/>
        <w:tc>
          <w:tcPr>
            <w:tcW w:w="6888"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double" w:sz="6" w:space="1" w:color="000000"/>
              </w:pBdr>
              <w:bidi w:val="0"/>
              <w:spacing w:before="0" w:after="0"/>
              <w:jc w:val="left"/>
              <w:rPr/>
            </w:pPr>
            <w:r>
              <w:rPr/>
              <w:t> </w:t>
            </w:r>
          </w:p>
        </w:tc>
        <w:tc>
          <w:tcPr>
            <w:tcW w:w="2885" w:type="dxa"/>
            <w:gridSpan w:val="5"/>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10142" w:type="dxa"/>
            <w:gridSpan w:val="8"/>
            <w:tcBorders/>
          </w:tcPr>
          <w:p>
            <w:pPr>
              <w:pStyle w:val="TableContents"/>
              <w:pBdr>
                <w:bottom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S-23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We estimate that the total expenses of this offering, including registration, filing and listing fees, printing fees and legal and accounting expenses, but excluding the underwriting discounts and commissions, will be approximately $1,270,000. We have agreed to reimburse the underwriters for expenses of up to $25,000 relating to the clearance of this offering with the Financial Industry Regulatory Authority. In addition, the underwriters have agreed to reimburse us for a portion of our out-of-pocket expenses in connection with the offering. </w:t>
      </w:r>
    </w:p>
    <w:p>
      <w:pPr>
        <w:pStyle w:val="TextBody"/>
        <w:bidi w:val="0"/>
        <w:spacing w:before="160" w:after="0"/>
        <w:jc w:val="left"/>
        <w:rPr>
          <w:rFonts w:ascii="arial" w:hAnsi="arial"/>
          <w:sz w:val="20"/>
        </w:rPr>
      </w:pPr>
      <w:r>
        <w:rPr>
          <w:rFonts w:ascii="arial" w:hAnsi="arial"/>
          <w:sz w:val="20"/>
        </w:rPr>
        <w:t xml:space="preserve">A prospectus supplement in electronic format may be made available on the websites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 </w:t>
      </w:r>
    </w:p>
    <w:p>
      <w:pPr>
        <w:pStyle w:val="TextBody"/>
        <w:bidi w:val="0"/>
        <w:spacing w:before="160" w:after="0"/>
        <w:jc w:val="left"/>
        <w:rPr>
          <w:rFonts w:ascii="arial" w:hAnsi="arial"/>
          <w:sz w:val="20"/>
        </w:rPr>
      </w:pPr>
      <w:r>
        <w:rPr>
          <w:rFonts w:ascii="arial" w:hAnsi="arial"/>
          <w:sz w:val="20"/>
        </w:rPr>
        <w:t xml:space="preserve">We have agreed that we will not (i) offer, pledge, announce the intention to sell, sell, contract to sell, sell any option or contract to purchase, purchase any option or contract to sell, grant any option, right or warrant to purchase, lend, or otherwise transfer or dispose of, directly or indirectly, or file with the SEC a registration statement under the Securities Act, relating to, any shares of our common stock or any securities convertible into or exchangeable or exercisable for any shares of our common stock, or publicly disclose the intention to make any offer, sale, pledge, disposition or filing, or (ii) enter into any swap or other arrangement that transfers all or a portion of the economic consequences associated with the ownership of any shares of common stock or any such other securities (regardless of whether any of these transactions are to be settled by the delivery of shares of common stock or such other securities, in cash or otherwise), in each case without the prior written consent of J.P. Morgan Securities LLC, TD Securities (USA) LLC and Guggenheim Securities, LLC for a period of 45 days after the date of this prospectus supplement, other than the shares of our common stock to be sold hereunder, the convertible notes to be sold and any shares of our common stock issued upon conversion of the convertible notes offered in the concurrent convertible note offering, any shares of our common stock issued upon the exercise of options granted under our existing stock-based compensation plans or outstanding warrants described in this prospectus supplement, any shares of our common stock sold pursuant to our Sales Agreement, dated February 25, 2026, with TD Securities (USA) LLC, provided that no sales under such agreement shall be made prior to the 30th day after the date of this prospectus supplement, and shares of our common stock issued in connection with mergers, acquisitions or commercial or strategic transactions not to exceed 5% of the number of shares of our common stock outstanding immediately after the issuance and sale of the shares offered hereby. </w:t>
      </w:r>
    </w:p>
    <w:p>
      <w:pPr>
        <w:pStyle w:val="TextBody"/>
        <w:bidi w:val="0"/>
        <w:spacing w:before="160" w:after="0"/>
        <w:jc w:val="left"/>
        <w:rPr>
          <w:rFonts w:ascii="arial" w:hAnsi="arial"/>
          <w:sz w:val="20"/>
        </w:rPr>
      </w:pPr>
      <w:r>
        <w:rPr>
          <w:rFonts w:ascii="arial" w:hAnsi="arial"/>
          <w:sz w:val="20"/>
        </w:rPr>
        <w:t xml:space="preserve">Our directors and executive officers have entered into lock-up agreements with the underwriters prior to the commencement of this offering pursuant to which each of these persons or entities, with limited exceptions, for a period of 45 days after the date of this prospectus supplement, may not, without the prior written consent of J.P. Morgan Securities LLC, TD Securities (USA) LLC and Guggenheim Securities, LLC, (1) offer, pledge, announce the intention to sell, sell, contract to sell, sell any option or contract to purchase, purchase any option or contract to sell, grant any option, right or warrant to purchase, or otherwise transfer or dispose of, directly or indirectly, any shares of our common stock or any securities convertible into or exercisable or exchangeable for our common stock (including, without limitation, common stock or such other securities which may be deemed to be beneficially owned by such directors and executive officers in accordance with the rules and regulations of the SEC and securities which may be issued upon exercise of a stock option or warrant) or (2) enter into any swap or other agreement that transfers, in whole or in part, any of the economic consequences of ownership of the common stock or such other securities, whether any such transaction described in clause (1) or (2) above is to be settled by delivery of common stock or such other securities, in cash or otherwise, or (3) make any demand for or exercise any right with respect to the registration of any shares of our common stock or any security convertible into or exercisable or exchangeable for our common stock.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S-24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The lock-up restrictions described in the immediately preceding paragraph are subject to specified exceptions, including among other items: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subject to certain limitations, transfers as a bona fide gift or gifts;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subject to certain limitations, transfers by will, other testamentary document or intestacy;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subject to certain limitations, transfers to any trust for the direct or indirect benefit of the transferor or the immediate family of the transferor, or if the transferor is a trust, to a trustor or beneficiary of the trust, or to the estate of a beneficiary of such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subject to certain limitations, transfers to a partnership, limited liability company or other entity of which the transferor and/or the immediate family of the transferor are the legal and beneficial owner of all of the outstanding equity securities or similar interests;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subject to certain limitations, if the transferor is a corporation, partnership, limited liability company, trust or other business entity, transfers as part of a distribution to the members, partners, stockholders or other equityholders of the transferor, or to another corporation, partnership, limited liability company, trust or other business entity that is an affiliate of the transferor, or to any investment fund or other entity controlling, controlled by, managing or managed by or under common control with the transferor or its affiliates;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subject to certain limitations, transfers by operation of law pursuant to a qualified domestic order, divorce settlement, divorce decree, separation agreement or other court order;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transfers to us from an employee or other service provider in connection with death, disability or termination of employment or service, in each case, of such employee or service provider;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subject to certain limitations, transfers to us (or sales on the open market limited to restricted stock unit vesting or settlement events) to cover tax withholdings upon a vesting, exercise or settlement event of any equity award outstanding as of the date of this prospectus supplement and granted under a stock incentive plan, stock purchase plan or other equity award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subject to certain limitations, transfers to us by way of cashless exercise of an option to purchase common stock granted under a stock incentive plan, stock purchase plan or other equity award plan or described in this prospectus supplement (including the documents incorporated by reference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transfers pursuant to a bona fide third-party tender offer, merger, consolidation or other similar transaction made to all holders of our common stock involving a change of control that has been approved by our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subject to certain limitations, the establishment of a trading plan pursuant to Rule 10b5-1 of the Exchange 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subject to certain limitations, in connection with sales or other transfers of shares of our common stock made pursuant to a trading plan that complies with Rule 10b5-1 under the Exchange Act that was entered into before the stockholder entered into the lock-up agreement. </w:t>
            </w:r>
          </w:p>
        </w:tc>
      </w:tr>
    </w:tbl>
    <w:p>
      <w:pPr>
        <w:pStyle w:val="TextBody"/>
        <w:bidi w:val="0"/>
        <w:spacing w:before="160" w:after="0"/>
        <w:jc w:val="left"/>
        <w:rPr>
          <w:rFonts w:ascii="arial" w:hAnsi="arial"/>
          <w:sz w:val="20"/>
        </w:rPr>
      </w:pPr>
      <w:r>
        <w:rPr>
          <w:rFonts w:ascii="arial" w:hAnsi="arial"/>
          <w:sz w:val="20"/>
        </w:rPr>
        <w:t xml:space="preserve">J.P. Morgan Securities LLC, TD Securities (USA) LLC and Guggenheim Securities, LLC, in their sole discretion, may release the common stock subject to the lock-up agreements described above in whole or in part at any time with or without notice. </w:t>
      </w:r>
    </w:p>
    <w:p>
      <w:pPr>
        <w:pStyle w:val="TextBody"/>
        <w:bidi w:val="0"/>
        <w:spacing w:before="160" w:after="0"/>
        <w:jc w:val="left"/>
        <w:rPr>
          <w:rFonts w:ascii="arial" w:hAnsi="arial"/>
          <w:sz w:val="20"/>
        </w:rPr>
      </w:pPr>
      <w:r>
        <w:rPr>
          <w:rFonts w:ascii="arial" w:hAnsi="arial"/>
          <w:sz w:val="20"/>
        </w:rPr>
        <w:t xml:space="preserve">We have agreed to indemnify the underwriters against certain liabilities, including liabilities under the Securities Act.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S-25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Our common stock is listed on the Nasdaq Global Select Market under the symbol “RVMD.” </w:t>
      </w:r>
    </w:p>
    <w:p>
      <w:pPr>
        <w:pStyle w:val="TextBody"/>
        <w:bidi w:val="0"/>
        <w:spacing w:before="160" w:after="0"/>
        <w:jc w:val="left"/>
        <w:rPr>
          <w:rFonts w:ascii="arial" w:hAnsi="arial"/>
          <w:sz w:val="20"/>
        </w:rPr>
      </w:pPr>
      <w:r>
        <w:rPr>
          <w:rFonts w:ascii="arial" w:hAnsi="arial"/>
          <w:sz w:val="20"/>
        </w:rPr>
        <w:t xml:space="preserve">In connection with this offering, the underwriters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the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of common stock referred to above, or may be “naked” shorts, which are short positions in excess of that amount. The underwriters may close out any covered short position either by exercising their option to purchase additional shares of common stock, in whole or in part, or by purchasing shares in the open market. In making this determination, the underwriters will consider, among other things, the price of shares available for purchase in the open market compared to the price at which the underwriters may purchase shares of common stock through the option to purchase additional shares of common stock.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of common stock in the open market to cover the position. </w:t>
      </w:r>
    </w:p>
    <w:p>
      <w:pPr>
        <w:pStyle w:val="TextBody"/>
        <w:bidi w:val="0"/>
        <w:spacing w:before="160" w:after="0"/>
        <w:jc w:val="left"/>
        <w:rPr>
          <w:rFonts w:ascii="arial" w:hAnsi="arial"/>
          <w:sz w:val="20"/>
        </w:rPr>
      </w:pPr>
      <w:r>
        <w:rPr>
          <w:rFonts w:ascii="arial" w:hAnsi="arial"/>
          <w:sz w:val="20"/>
        </w:rPr>
        <w:t xml:space="preserve">The underwriters have advised us that, pursuant to Regulation M of the Securities Exchange Act of 1934, as amended,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underwriting discount received by them. </w:t>
      </w:r>
    </w:p>
    <w:p>
      <w:pPr>
        <w:pStyle w:val="TextBody"/>
        <w:bidi w:val="0"/>
        <w:spacing w:before="160" w:after="0"/>
        <w:jc w:val="left"/>
        <w:rPr>
          <w:rFonts w:ascii="arial" w:hAnsi="arial"/>
          <w:sz w:val="20"/>
        </w:rPr>
      </w:pPr>
      <w:r>
        <w:rPr>
          <w:rFonts w:ascii="arial" w:hAnsi="arial"/>
          <w:sz w:val="20"/>
        </w:rPr>
        <w:t xml:space="preserve">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 these transactions on the Nasdaq Global Select Market, in the over-the-counter market or otherwise. </w:t>
      </w:r>
    </w:p>
    <w:p>
      <w:pPr>
        <w:pStyle w:val="TextBody"/>
        <w:bidi w:val="0"/>
        <w:spacing w:before="320" w:after="0"/>
        <w:jc w:val="left"/>
        <w:rPr>
          <w:rFonts w:ascii="arial" w:hAnsi="arial"/>
          <w:b/>
          <w:sz w:val="24"/>
        </w:rPr>
      </w:pPr>
      <w:r>
        <w:rPr>
          <w:rFonts w:ascii="arial" w:hAnsi="arial"/>
          <w:b/>
          <w:sz w:val="24"/>
        </w:rPr>
        <w:t xml:space="preserve">Other Relationships </w:t>
      </w:r>
    </w:p>
    <w:p>
      <w:pPr>
        <w:pStyle w:val="TextBody"/>
        <w:bidi w:val="0"/>
        <w:spacing w:before="160" w:after="0"/>
        <w:jc w:val="left"/>
        <w:rPr>
          <w:rFonts w:ascii="arial" w:hAnsi="arial"/>
          <w:sz w:val="20"/>
        </w:rPr>
      </w:pPr>
      <w:r>
        <w:rPr>
          <w:rFonts w:ascii="arial" w:hAnsi="arial"/>
          <w:sz w:val="20"/>
        </w:rPr>
        <w:t xml:space="preserve">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For example, each of the underwriters is serving as an underwriter in the concurrent convertible notes offering. Additionally, TD Securities (USA) LLC is the sales agent under our sales agreement, dated February 25, 2026, between us and TD Securities (USA) LLC (the “Sales Agreement”). Under the Sales Agreement, we may offer and sell, from time to time, shares of our common stock through TD Securities (USA) LLC through an “at the market offering,” as defined in Rule 415(a)(4) promulgated under the Securities Act.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S-26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sz w:val="24"/>
        </w:rPr>
      </w:pPr>
      <w:r>
        <w:rPr>
          <w:rFonts w:ascii="arial" w:hAnsi="arial"/>
          <w:b/>
          <w:sz w:val="24"/>
        </w:rPr>
        <w:t xml:space="preserve">Concurrent Convertible Note Offering </w:t>
      </w:r>
    </w:p>
    <w:p>
      <w:pPr>
        <w:pStyle w:val="TextBody"/>
        <w:bidi w:val="0"/>
        <w:spacing w:before="160" w:after="0"/>
        <w:jc w:val="left"/>
        <w:rPr>
          <w:rFonts w:ascii="arial" w:hAnsi="arial"/>
          <w:sz w:val="20"/>
        </w:rPr>
      </w:pPr>
      <w:r>
        <w:rPr>
          <w:rFonts w:ascii="arial" w:hAnsi="arial"/>
          <w:sz w:val="20"/>
        </w:rPr>
        <w:t xml:space="preserve">Concurrently with this offering, we are offering, pursuant to a separate prospectus supplement, an aggregate principal amount of $500,000,000 of 0.50% convertible senior notes due 2033. The completion of this offering is not contingent on the completion of the concurrent convertible note offering, and the completion of the concurrent convertible note offering is not contingent on the completion of this offering. Accordingly, you should not assume that the concurrent convertible note offering will be consummated on the terms described in this prospectus supplement, if at all, or that we will receive any additional proceeds from the concurrent convertible note offering. This prospectus supplement and the accompanying prospectus do not constitute an offer to sell, or the solicitation of an offer to buy, any of the convertible notes, or the shares of common stock, if any, issuable upon conversion of the convertible notes, we are offering in the concurrent convertible note offering. See “Concurrent convertible note offering” for additional information. </w:t>
      </w:r>
    </w:p>
    <w:p>
      <w:pPr>
        <w:pStyle w:val="TextBody"/>
        <w:bidi w:val="0"/>
        <w:spacing w:before="320" w:after="0"/>
        <w:jc w:val="left"/>
        <w:rPr>
          <w:rFonts w:ascii="arial" w:hAnsi="arial"/>
          <w:b/>
          <w:sz w:val="24"/>
        </w:rPr>
      </w:pPr>
      <w:r>
        <w:rPr>
          <w:rFonts w:ascii="arial" w:hAnsi="arial"/>
          <w:b/>
          <w:sz w:val="24"/>
        </w:rPr>
        <w:t xml:space="preserve">Selling restrictions </w:t>
      </w:r>
    </w:p>
    <w:p>
      <w:pPr>
        <w:pStyle w:val="TextBody"/>
        <w:bidi w:val="0"/>
        <w:spacing w:before="160" w:after="0"/>
        <w:jc w:val="left"/>
        <w:rPr>
          <w:rFonts w:ascii="arial" w:hAnsi="arial"/>
          <w:b/>
          <w:i/>
          <w:sz w:val="20"/>
        </w:rPr>
      </w:pPr>
      <w:r>
        <w:rPr>
          <w:rFonts w:ascii="arial" w:hAnsi="arial"/>
          <w:b/>
          <w:i/>
          <w:sz w:val="20"/>
        </w:rPr>
        <w:t xml:space="preserve">General </w:t>
      </w:r>
    </w:p>
    <w:p>
      <w:pPr>
        <w:pStyle w:val="TextBody"/>
        <w:bidi w:val="0"/>
        <w:spacing w:before="160" w:after="0"/>
        <w:jc w:val="left"/>
        <w:rPr>
          <w:rFonts w:ascii="arial" w:hAnsi="arial"/>
          <w:sz w:val="20"/>
        </w:rPr>
      </w:pPr>
      <w:r>
        <w:rPr>
          <w:rFonts w:ascii="arial" w:hAnsi="arial"/>
          <w:sz w:val="20"/>
        </w:rPr>
        <w:t xml:space="preserve">Other than in the United States, no action has been taken by us or the underwriters that would permit a public offering of the securities offered by this prospectus supplement in any jurisdiction where action for that purpose is required. The securities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securities offered by this prospectus supplement in any jurisdiction in which such an offer or a solicitation is unlawful. </w:t>
      </w:r>
    </w:p>
    <w:p>
      <w:pPr>
        <w:pStyle w:val="TextBody"/>
        <w:bidi w:val="0"/>
        <w:spacing w:before="160" w:after="0"/>
        <w:jc w:val="left"/>
        <w:rPr>
          <w:rFonts w:ascii="arial" w:hAnsi="arial"/>
          <w:b/>
          <w:i/>
          <w:sz w:val="20"/>
        </w:rPr>
      </w:pPr>
      <w:r>
        <w:rPr>
          <w:rFonts w:ascii="arial" w:hAnsi="arial"/>
          <w:b/>
          <w:i/>
          <w:sz w:val="20"/>
        </w:rPr>
        <w:t xml:space="preserve">Notice to prospective investors in the European Economic Area </w:t>
      </w:r>
    </w:p>
    <w:p>
      <w:pPr>
        <w:pStyle w:val="TextBody"/>
        <w:bidi w:val="0"/>
        <w:spacing w:before="160" w:after="0"/>
        <w:jc w:val="left"/>
        <w:rPr>
          <w:rFonts w:ascii="arial" w:hAnsi="arial"/>
          <w:sz w:val="20"/>
        </w:rPr>
      </w:pPr>
      <w:r>
        <w:rPr>
          <w:rFonts w:ascii="arial" w:hAnsi="arial"/>
          <w:sz w:val="20"/>
        </w:rPr>
        <w:t xml:space="preserve">In relation to each Member State of the European Economic Area, each a Relevant State, no securities have been offered or will be offered pursuant to the offering to the public in that Relevant State prior to the publication of a prospectus in relation to the securities which has been approved by the competent authority in that Relevant State or, where appropriate, approved in another Relevant State and notified to the competent authority in that Relevant State, all in accordance with the Prospectus Regulation, except that offers of securities may be made to the public in that Relevant State at any time under the following exemptions under the Prospectus Regulation: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(a)</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to any qualified investor as defined under Article 2 of the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102"/>
        <w:gridCol w:w="9797"/>
      </w:tblGrid>
      <w:tr>
        <w:trPr/>
        <w:tc>
          <w:tcPr>
            <w:tcW w:w="306" w:type="dxa"/>
            <w:tcBorders/>
          </w:tcPr>
          <w:p>
            <w:pPr>
              <w:pStyle w:val="TableContents"/>
              <w:bidi w:val="0"/>
              <w:spacing w:before="0" w:after="283"/>
              <w:jc w:val="left"/>
              <w:rPr/>
            </w:pPr>
            <w:r>
              <w:rPr/>
              <w:t>(b)</w:t>
            </w:r>
          </w:p>
        </w:tc>
        <w:tc>
          <w:tcPr>
            <w:tcW w:w="102" w:type="dxa"/>
            <w:tcBorders/>
          </w:tcPr>
          <w:p>
            <w:pPr>
              <w:pStyle w:val="TableContents"/>
              <w:bidi w:val="0"/>
              <w:spacing w:before="0" w:after="283"/>
              <w:jc w:val="left"/>
              <w:rPr/>
            </w:pPr>
            <w:r>
              <w:rPr/>
              <w:t> </w:t>
            </w:r>
          </w:p>
        </w:tc>
        <w:tc>
          <w:tcPr>
            <w:tcW w:w="9797" w:type="dxa"/>
            <w:tcBorders/>
          </w:tcPr>
          <w:p>
            <w:pPr>
              <w:pStyle w:val="TableContents"/>
              <w:bidi w:val="0"/>
              <w:spacing w:before="0" w:after="283"/>
              <w:jc w:val="left"/>
              <w:rPr/>
            </w:pPr>
            <w:r>
              <w:rPr/>
              <w:t xml:space="preserve">to fewer than 150 natural or legal persons (other than qualified investors as defined under Article 2 of the Prospectus Regulation), subject to obtaining the prior consent of the underwriters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101"/>
        <w:gridCol w:w="9798"/>
      </w:tblGrid>
      <w:tr>
        <w:trPr/>
        <w:tc>
          <w:tcPr>
            <w:tcW w:w="306" w:type="dxa"/>
            <w:tcBorders/>
          </w:tcPr>
          <w:p>
            <w:pPr>
              <w:pStyle w:val="TableContents"/>
              <w:bidi w:val="0"/>
              <w:spacing w:before="0" w:after="283"/>
              <w:jc w:val="left"/>
              <w:rPr/>
            </w:pPr>
            <w:r>
              <w:rPr/>
              <w:t>(c)</w:t>
            </w:r>
          </w:p>
        </w:tc>
        <w:tc>
          <w:tcPr>
            <w:tcW w:w="101"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in any other circumstances falling within Article 1(4) of the Prospectus Regulation; </w:t>
            </w:r>
          </w:p>
        </w:tc>
      </w:tr>
    </w:tbl>
    <w:p>
      <w:pPr>
        <w:pStyle w:val="TextBody"/>
        <w:bidi w:val="0"/>
        <w:spacing w:before="160" w:after="0"/>
        <w:jc w:val="left"/>
        <w:rPr>
          <w:rFonts w:ascii="arial" w:hAnsi="arial"/>
          <w:sz w:val="20"/>
        </w:rPr>
      </w:pPr>
      <w:r>
        <w:rPr>
          <w:rFonts w:ascii="arial" w:hAnsi="arial"/>
          <w:sz w:val="20"/>
        </w:rPr>
        <w:t xml:space="preserve">provided that no such offer of securities shall require us or any underwriter to publish a prospectus pursuant to Article 3 of the Prospectus Regulation or supplement a prospectus pursuant to Article 23 of the Prospectus Regulation or publish an Annex IX document pursuant to Article 1(4) of the Prospectus Regulation. </w:t>
      </w:r>
    </w:p>
    <w:p>
      <w:pPr>
        <w:pStyle w:val="TextBody"/>
        <w:bidi w:val="0"/>
        <w:spacing w:before="160" w:after="0"/>
        <w:jc w:val="left"/>
        <w:rPr>
          <w:rFonts w:ascii="arial" w:hAnsi="arial"/>
          <w:sz w:val="20"/>
        </w:rPr>
      </w:pPr>
      <w:r>
        <w:rPr>
          <w:rFonts w:ascii="arial" w:hAnsi="arial"/>
          <w:sz w:val="20"/>
        </w:rPr>
        <w:t xml:space="preserve">For the purposes of this provision, the expression an “offer to the public” in relation to securities in any Relevant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S-27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i/>
          <w:sz w:val="20"/>
        </w:rPr>
      </w:pPr>
      <w:r>
        <w:rPr>
          <w:rFonts w:ascii="arial" w:hAnsi="arial"/>
          <w:b/>
          <w:i/>
          <w:sz w:val="20"/>
        </w:rPr>
        <w:t xml:space="preserve">Notice to prospective investors in the United Kingdom </w:t>
      </w:r>
    </w:p>
    <w:p>
      <w:pPr>
        <w:pStyle w:val="TextBody"/>
        <w:bidi w:val="0"/>
        <w:spacing w:before="160" w:after="0"/>
        <w:jc w:val="left"/>
        <w:rPr>
          <w:rFonts w:ascii="arial" w:hAnsi="arial"/>
          <w:sz w:val="20"/>
        </w:rPr>
      </w:pPr>
      <w:r>
        <w:rPr>
          <w:rFonts w:ascii="arial" w:hAnsi="arial"/>
          <w:sz w:val="20"/>
        </w:rPr>
        <w:t xml:space="preserve">No securities have been offered or will be offered pursuant to the offering to the public in the United Kingdom except that the securities may be offered to the public in the United Kingdom at any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102"/>
        <w:gridCol w:w="9797"/>
      </w:tblGrid>
      <w:tr>
        <w:trPr/>
        <w:tc>
          <w:tcPr>
            <w:tcW w:w="306" w:type="dxa"/>
            <w:tcBorders/>
          </w:tcPr>
          <w:p>
            <w:pPr>
              <w:pStyle w:val="TableContents"/>
              <w:bidi w:val="0"/>
              <w:spacing w:before="0" w:after="283"/>
              <w:jc w:val="left"/>
              <w:rPr/>
            </w:pPr>
            <w:r>
              <w:rPr/>
              <w:t>(a)</w:t>
            </w:r>
          </w:p>
        </w:tc>
        <w:tc>
          <w:tcPr>
            <w:tcW w:w="102" w:type="dxa"/>
            <w:tcBorders/>
          </w:tcPr>
          <w:p>
            <w:pPr>
              <w:pStyle w:val="TableContents"/>
              <w:bidi w:val="0"/>
              <w:spacing w:before="0" w:after="283"/>
              <w:jc w:val="left"/>
              <w:rPr/>
            </w:pPr>
            <w:r>
              <w:rPr/>
              <w:t> </w:t>
            </w:r>
          </w:p>
        </w:tc>
        <w:tc>
          <w:tcPr>
            <w:tcW w:w="9797" w:type="dxa"/>
            <w:tcBorders/>
          </w:tcPr>
          <w:p>
            <w:pPr>
              <w:pStyle w:val="TableContents"/>
              <w:bidi w:val="0"/>
              <w:spacing w:before="0" w:after="283"/>
              <w:jc w:val="left"/>
              <w:rPr/>
            </w:pPr>
            <w:r>
              <w:rPr/>
              <w:t xml:space="preserve">where (i) the offer is conditional on the admission of the securities to trading on the London Stock Exchange plc’s main market (in reliance on the exception in paragraph 6(a) of Schedule 1 of the POATR) or (ii) the securities being offered are at the time of the offer already admitted to trading on London Stock Exchange plc’s main market (in reliance on the exception in paragraph 6(b) of Schedule 1 of the POATR);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left"/>
              <w:rPr/>
            </w:pPr>
            <w:r>
              <w:rPr/>
              <w:t>(b)</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283"/>
              <w:jc w:val="left"/>
              <w:rPr/>
            </w:pPr>
            <w:r>
              <w:rPr/>
              <w:t xml:space="preserve">to any qualified investor as defined in paragraph 15 of Schedule 1 of the POATR;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(c)</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to fewer than 150 persons (other than qualified investors as defined in paragraph 15 of Schedule 1 of the POATR), subject to obtaining the prior consent of underwriters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(d)</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in any other circumstances falling within Part 1 of Schedule 1 of the POATR. </w:t>
            </w:r>
          </w:p>
        </w:tc>
      </w:tr>
    </w:tbl>
    <w:p>
      <w:pPr>
        <w:pStyle w:val="TextBody"/>
        <w:bidi w:val="0"/>
        <w:spacing w:before="160" w:after="0"/>
        <w:jc w:val="left"/>
        <w:rPr>
          <w:rFonts w:ascii="arial" w:hAnsi="arial"/>
          <w:sz w:val="20"/>
        </w:rPr>
      </w:pPr>
      <w:r>
        <w:rPr>
          <w:rFonts w:ascii="arial" w:hAnsi="arial"/>
          <w:sz w:val="20"/>
        </w:rPr>
        <w:t xml:space="preserve">For the purposes of this provision, the expression an “offer to the public” in relation to the securities in the United Kingdom means the communication to any person which presents sufficient information on: (a) the securities to be offered; and (b) the terms on which they are to be offered, to enable an investor to decide to buy or subscribe for the securities and the expression “POATR” means the Public Offers and Admissions to Trading Regulations 2024. </w:t>
      </w:r>
    </w:p>
    <w:p>
      <w:pPr>
        <w:pStyle w:val="TextBody"/>
        <w:bidi w:val="0"/>
        <w:spacing w:before="160" w:after="0"/>
        <w:jc w:val="left"/>
        <w:rPr>
          <w:rFonts w:ascii="arial" w:hAnsi="arial"/>
          <w:sz w:val="20"/>
        </w:rPr>
      </w:pPr>
      <w:r>
        <w:rPr>
          <w:rFonts w:ascii="arial" w:hAnsi="arial"/>
          <w:sz w:val="20"/>
        </w:rPr>
        <w:t xml:space="preserve">In addition, this prospectus supplement and the accompanying prospectus are only being distributed to, and are only directed at, and any investment or investment activity to which this prospectus supplement and the accompanying prospectus relate are available only to, and will be engaged in only with, persons who are outside the United Kingdom or persons in the United Kingdom (i) having professional experience in matters relating to investments who fall within the definition of “investment professionals” in Article 19(5) of the Financial Services and Markets Act 2000 (Financial Promotion) Order 2005, or the Order; or (ii) who are high net worth entities falling within Article 49(2)(a) to (d) of the Order (all such persons together being referred to as “relevant persons”). Persons who are not relevant persons should not take any action on the basis of this prospectus supplement and the accompanying prospectus and should not act or rely on them. </w:t>
      </w:r>
    </w:p>
    <w:p>
      <w:pPr>
        <w:pStyle w:val="TextBody"/>
        <w:bidi w:val="0"/>
        <w:spacing w:before="160" w:after="0"/>
        <w:jc w:val="left"/>
        <w:rPr>
          <w:rFonts w:ascii="arial" w:hAnsi="arial"/>
          <w:b/>
          <w:i/>
          <w:sz w:val="20"/>
        </w:rPr>
      </w:pPr>
      <w:r>
        <w:rPr>
          <w:rFonts w:ascii="arial" w:hAnsi="arial"/>
          <w:b/>
          <w:i/>
          <w:sz w:val="20"/>
        </w:rPr>
        <w:t xml:space="preserve">Notice to prospective investors in Canada </w:t>
      </w:r>
    </w:p>
    <w:p>
      <w:pPr>
        <w:pStyle w:val="TextBody"/>
        <w:bidi w:val="0"/>
        <w:spacing w:before="160" w:after="0"/>
        <w:jc w:val="left"/>
        <w:rPr>
          <w:rFonts w:ascii="arial" w:hAnsi="arial"/>
          <w:sz w:val="20"/>
        </w:rPr>
      </w:pPr>
      <w:r>
        <w:rPr>
          <w:rFonts w:ascii="arial" w:hAnsi="arial"/>
          <w:sz w:val="20"/>
        </w:rPr>
        <w:t xml:space="preserve">The securities may be sold in Canada only to purchasers purchasing, or deemed to be purchasing, as principal that are accredited investors, as defined in National Instrument 45-106 </w:t>
      </w:r>
      <w:r>
        <w:rPr>
          <w:rFonts w:ascii="arial" w:hAnsi="arial"/>
          <w:i/>
          <w:sz w:val="20"/>
        </w:rPr>
        <w:t>Prospectus Exemptions</w:t>
      </w:r>
      <w:r>
        <w:rPr>
          <w:rFonts w:ascii="arial" w:hAnsi="arial"/>
          <w:sz w:val="20"/>
        </w:rPr>
        <w:t xml:space="preserve"> or subsection 73.3(1) of the </w:t>
      </w:r>
      <w:r>
        <w:rPr>
          <w:rFonts w:ascii="arial" w:hAnsi="arial"/>
          <w:i/>
          <w:sz w:val="20"/>
        </w:rPr>
        <w:t>Securities Act</w:t>
      </w:r>
      <w:r>
        <w:rPr>
          <w:rFonts w:ascii="arial" w:hAnsi="arial"/>
          <w:sz w:val="20"/>
        </w:rPr>
        <w:t xml:space="preserve"> (Ontario), and are permitted clients, as defined in National Instrument 31-103 </w:t>
      </w:r>
      <w:r>
        <w:rPr>
          <w:rFonts w:ascii="arial" w:hAnsi="arial"/>
          <w:i/>
          <w:sz w:val="20"/>
        </w:rPr>
        <w:t>Registration Requirements, Exemptions and Ongoing Registrant Obligations</w:t>
      </w:r>
      <w:r>
        <w:rPr>
          <w:rFonts w:ascii="arial" w:hAnsi="arial"/>
          <w:sz w:val="20"/>
        </w:rPr>
        <w:t xml:space="preserve">. Any resale of the securities must be made in accordance with an exemption from, or in a transaction not subject to, the prospectus requirements of applicable securities laws. </w:t>
      </w:r>
    </w:p>
    <w:p>
      <w:pPr>
        <w:pStyle w:val="TextBody"/>
        <w:bidi w:val="0"/>
        <w:spacing w:before="160" w:after="0"/>
        <w:jc w:val="left"/>
        <w:rPr>
          <w:rFonts w:ascii="arial" w:hAnsi="arial"/>
          <w:sz w:val="20"/>
        </w:rPr>
      </w:pPr>
      <w:r>
        <w:rPr>
          <w:rFonts w:ascii="arial" w:hAnsi="arial"/>
          <w:sz w:val="20"/>
        </w:rPr>
        <w:t xml:space="preserve">Securities legislation in certain provinces or territories of Canada may provide a purchaser with remedies for rescission or damages if this prospectus supplement or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160" w:after="0"/>
        <w:jc w:val="left"/>
        <w:rPr>
          <w:rFonts w:ascii="arial" w:hAnsi="arial"/>
          <w:sz w:val="20"/>
        </w:rPr>
      </w:pPr>
      <w:r>
        <w:rPr>
          <w:rFonts w:ascii="arial" w:hAnsi="arial"/>
          <w:sz w:val="20"/>
        </w:rPr>
        <w:t xml:space="preserve">Pursuant to section 3A.3 of National Instrument 33-105 </w:t>
      </w:r>
      <w:r>
        <w:rPr>
          <w:rFonts w:ascii="arial" w:hAnsi="arial"/>
          <w:i/>
          <w:sz w:val="20"/>
        </w:rPr>
        <w:t>Underwriting Conflicts</w:t>
      </w:r>
      <w:r>
        <w:rPr>
          <w:rFonts w:ascii="arial" w:hAnsi="arial"/>
          <w:sz w:val="20"/>
        </w:rPr>
        <w:t xml:space="preserve">, or NI 33-105, the underwriters are not required to comply with the disclosure requirements of NI 33-105 regarding underwriter conflicts of interest in connection with this offering.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S-28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i/>
          <w:sz w:val="20"/>
        </w:rPr>
      </w:pPr>
      <w:r>
        <w:rPr>
          <w:rFonts w:ascii="arial" w:hAnsi="arial"/>
          <w:b/>
          <w:i/>
          <w:sz w:val="20"/>
        </w:rPr>
        <w:t xml:space="preserve">Notice to prospective investors in Switzerland </w:t>
      </w:r>
    </w:p>
    <w:p>
      <w:pPr>
        <w:pStyle w:val="TextBody"/>
        <w:bidi w:val="0"/>
        <w:spacing w:before="160" w:after="0"/>
        <w:jc w:val="left"/>
        <w:rPr>
          <w:rFonts w:ascii="arial" w:hAnsi="arial"/>
          <w:sz w:val="20"/>
        </w:rPr>
      </w:pPr>
      <w:r>
        <w:rPr>
          <w:rFonts w:ascii="arial" w:hAnsi="arial"/>
          <w:sz w:val="20"/>
        </w:rPr>
        <w:t xml:space="preserve">The securities may not be publicly offered in Switzerland and will not be listed on the SIX Swiss Exchange, or the SIX, or on any other stock exchange or regulated trading facility in Switzerland. This document does not constitute a prospectus within the meaning of, and has been prepared without regard to the disclosure standards for issuing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securities or the offering may be publicly distributed or otherwise made publicly available in Switzerland. </w:t>
      </w:r>
    </w:p>
    <w:p>
      <w:pPr>
        <w:pStyle w:val="TextBody"/>
        <w:bidi w:val="0"/>
        <w:spacing w:before="160" w:after="0"/>
        <w:jc w:val="left"/>
        <w:rPr>
          <w:rFonts w:ascii="arial" w:hAnsi="arial"/>
          <w:sz w:val="20"/>
        </w:rPr>
      </w:pPr>
      <w:r>
        <w:rPr>
          <w:rFonts w:ascii="arial" w:hAnsi="arial"/>
          <w:sz w:val="20"/>
        </w:rPr>
        <w:t xml:space="preserve">Neither this document nor any other offering or marketing material relating to the offering, the Company, or the securities have been or will be filed with or approved by any Swiss regulatory authority. In particular, this document will not be filed with, and the offer of securities will not be supervised by, the Swiss Financial Market Supervisory Authority, and the offer of securities has not been and will not be authorized under the Swiss Federal Act on Collective Investment Schemes, or the CISA. The investor protection afforded to acquirers of interests in collective investment schemes under the CISA does not extend to acquirers of securities. </w:t>
      </w:r>
    </w:p>
    <w:p>
      <w:pPr>
        <w:pStyle w:val="TextBody"/>
        <w:bidi w:val="0"/>
        <w:spacing w:before="160" w:after="0"/>
        <w:jc w:val="left"/>
        <w:rPr>
          <w:rFonts w:ascii="arial" w:hAnsi="arial"/>
          <w:b/>
          <w:i/>
          <w:sz w:val="20"/>
        </w:rPr>
      </w:pPr>
      <w:r>
        <w:rPr>
          <w:rFonts w:ascii="arial" w:hAnsi="arial"/>
          <w:b/>
          <w:i/>
          <w:sz w:val="20"/>
        </w:rPr>
        <w:t xml:space="preserve">Notice to prospective investors in the Dubai International Financial Centre, or the DIFC </w:t>
      </w:r>
    </w:p>
    <w:p>
      <w:pPr>
        <w:pStyle w:val="TextBody"/>
        <w:bidi w:val="0"/>
        <w:spacing w:before="160" w:after="0"/>
        <w:jc w:val="left"/>
        <w:rPr>
          <w:rFonts w:ascii="arial" w:hAnsi="arial"/>
          <w:sz w:val="20"/>
        </w:rPr>
      </w:pPr>
      <w:r>
        <w:rPr>
          <w:rFonts w:ascii="arial" w:hAnsi="arial"/>
          <w:sz w:val="20"/>
        </w:rPr>
        <w:t xml:space="preserve">This prospectus supplement and the accompanying prospectus relate to an Exempt Offer in accordance with the Markets Rules 2012 of the Dubai Financial Services Authority, or the DFSA. This prospectus supplement and the accompanying prospectus are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or the accompanying prospectus nor taken steps to verify the information set forth herein and has no responsibility for this prospectus supplement or the accompanying prospectus. The securities to which this prospectus supplement and the accompanying prospectus relate may be illiquid and/or subject to restrictions on their resale. Prospective purchasers of the securities offered should conduct their own due diligence on the securities. If you do not understand the contents of this prospectus supplement and the accompanying prospectus, you should consult an authorized financial advisor. </w:t>
      </w:r>
    </w:p>
    <w:p>
      <w:pPr>
        <w:pStyle w:val="TextBody"/>
        <w:bidi w:val="0"/>
        <w:spacing w:before="160" w:after="0"/>
        <w:jc w:val="left"/>
        <w:rPr>
          <w:rFonts w:ascii="arial" w:hAnsi="arial"/>
          <w:sz w:val="20"/>
        </w:rPr>
      </w:pPr>
      <w:r>
        <w:rPr>
          <w:rFonts w:ascii="arial" w:hAnsi="arial"/>
          <w:sz w:val="20"/>
        </w:rPr>
        <w:t xml:space="preserve">In relation to its use in the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 </w:t>
      </w:r>
    </w:p>
    <w:p>
      <w:pPr>
        <w:pStyle w:val="TextBody"/>
        <w:bidi w:val="0"/>
        <w:spacing w:before="160" w:after="0"/>
        <w:jc w:val="left"/>
        <w:rPr>
          <w:rFonts w:ascii="arial" w:hAnsi="arial"/>
          <w:b/>
          <w:i/>
          <w:sz w:val="20"/>
        </w:rPr>
      </w:pPr>
      <w:r>
        <w:rPr>
          <w:rFonts w:ascii="arial" w:hAnsi="arial"/>
          <w:b/>
          <w:i/>
          <w:sz w:val="20"/>
        </w:rPr>
        <w:t xml:space="preserve">Notice to prospective investors in the United Arab Emirates </w:t>
      </w:r>
    </w:p>
    <w:p>
      <w:pPr>
        <w:pStyle w:val="TextBody"/>
        <w:bidi w:val="0"/>
        <w:spacing w:before="160" w:after="0"/>
        <w:jc w:val="left"/>
        <w:rPr>
          <w:rFonts w:ascii="arial" w:hAnsi="arial"/>
          <w:sz w:val="20"/>
        </w:rPr>
      </w:pPr>
      <w:r>
        <w:rPr>
          <w:rFonts w:ascii="arial" w:hAnsi="arial"/>
          <w:sz w:val="20"/>
        </w:rPr>
        <w:t xml:space="preserve">The securities have not been, and are not being, publicly offered, sold, promoted or advertised in the United Arab Emirates (including the DIFC) other than in compliance with the laws of the United Arab Emirates (and the DIFC) governing the issue, offering and sale of securities. Further, this prospectus supplement and the accompanying prospectus do not constitute a public offer of securities in the United Arab Emirates (including the DIFC) and is not intended to be a public offer. This prospectus supplement and the accompanying prospectus have not been approved by or filed with the Central Bank of the United Arab Emirates, the Securities and Commodities Authority, Financial Services Regulatory Authority or the DFSA. </w:t>
      </w:r>
    </w:p>
    <w:p>
      <w:pPr>
        <w:pStyle w:val="TextBody"/>
        <w:bidi w:val="0"/>
        <w:spacing w:before="160" w:after="0"/>
        <w:jc w:val="left"/>
        <w:rPr>
          <w:rFonts w:ascii="arial" w:hAnsi="arial"/>
          <w:b/>
          <w:i/>
          <w:sz w:val="20"/>
        </w:rPr>
      </w:pPr>
      <w:r>
        <w:rPr>
          <w:rFonts w:ascii="arial" w:hAnsi="arial"/>
          <w:b/>
          <w:i/>
          <w:sz w:val="20"/>
        </w:rPr>
        <w:t xml:space="preserve">Notice to prospective investors in Australia </w:t>
      </w:r>
    </w:p>
    <w:p>
      <w:pPr>
        <w:pStyle w:val="TextBody"/>
        <w:bidi w:val="0"/>
        <w:spacing w:before="160" w:after="0"/>
        <w:jc w:val="left"/>
        <w:rPr>
          <w:rFonts w:ascii="arial" w:hAnsi="arial"/>
          <w:sz w:val="20"/>
        </w:rPr>
      </w:pPr>
      <w:r>
        <w:rPr>
          <w:rFonts w:ascii="arial" w:hAnsi="arial"/>
          <w:sz w:val="20"/>
        </w:rPr>
        <w:t xml:space="preserve">This prospectus supplement and the accompanying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do not constitute a disclosure document or a prospectus under Chapter 6D.2 of the Corporations Act 2001 (Cth), or the Corporations Act;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S-29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have not been, and will not be, lodged with the Australian Securities and Investments Commission, or the ASIC, as a disclosure document for the purposes of the Corporations Act and does not purport to include the information required of a disclosure document for the purposes of the Corporations 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may only be provided in Australia to select investors who are able to demonstrate that they fall within one or more of the categories of investors, available under section 708 of the Corporations Act, or Exempt Investors. </w:t>
            </w:r>
          </w:p>
        </w:tc>
      </w:tr>
    </w:tbl>
    <w:p>
      <w:pPr>
        <w:pStyle w:val="TextBody"/>
        <w:bidi w:val="0"/>
        <w:spacing w:before="160" w:after="0"/>
        <w:jc w:val="left"/>
        <w:rPr>
          <w:rFonts w:ascii="arial" w:hAnsi="arial"/>
          <w:sz w:val="20"/>
        </w:rPr>
      </w:pPr>
      <w:r>
        <w:rPr>
          <w:rFonts w:ascii="arial" w:hAnsi="arial"/>
          <w:sz w:val="20"/>
        </w:rPr>
        <w:t xml:space="preserve">The securities may not be directly or indirectly offered for subscription or purchased or sold, and no invitations to subscribe for or buy the securities may be issued, and no draft or definitive offering memorandum, advertisement or other offering material relating to any securities may be distributed in Australia, except where disclosure to investors is not required under Chapter 6D of the Corporations Act or is otherwise in compliance with all applicable Australian laws and regulations. By submitting an application for the securities, you represent and warrant to us that you are an Exempt Investor. </w:t>
      </w:r>
    </w:p>
    <w:p>
      <w:pPr>
        <w:pStyle w:val="TextBody"/>
        <w:bidi w:val="0"/>
        <w:spacing w:before="160" w:after="0"/>
        <w:jc w:val="left"/>
        <w:rPr>
          <w:rFonts w:ascii="arial" w:hAnsi="arial"/>
          <w:sz w:val="20"/>
        </w:rPr>
      </w:pPr>
      <w:r>
        <w:rPr>
          <w:rFonts w:ascii="arial" w:hAnsi="arial"/>
          <w:sz w:val="20"/>
        </w:rPr>
        <w:t xml:space="preserve">As any offering of securities under this prospectus supplement and the accompanying prospectus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securities, you undertake to us that you will not, for a period of 12 months from the date of issue of the securities, offer, transfer, assign or otherwise alienate those securities to investors in Australia except in circumstances where disclosure to investors is not required under Chapter 6D.2 of the Corporations Act or where a compliant disclosure document is prepared and lodged with ASIC. </w:t>
      </w:r>
    </w:p>
    <w:p>
      <w:pPr>
        <w:pStyle w:val="TextBody"/>
        <w:bidi w:val="0"/>
        <w:spacing w:before="160" w:after="0"/>
        <w:jc w:val="left"/>
        <w:rPr>
          <w:rFonts w:ascii="arial" w:hAnsi="arial"/>
          <w:b/>
          <w:i/>
          <w:sz w:val="20"/>
        </w:rPr>
      </w:pPr>
      <w:r>
        <w:rPr>
          <w:rFonts w:ascii="arial" w:hAnsi="arial"/>
          <w:b/>
          <w:i/>
          <w:sz w:val="20"/>
        </w:rPr>
        <w:t xml:space="preserve">Notice to prospective investors in Japan </w:t>
      </w:r>
    </w:p>
    <w:p>
      <w:pPr>
        <w:pStyle w:val="TextBody"/>
        <w:bidi w:val="0"/>
        <w:spacing w:before="80" w:after="0"/>
        <w:jc w:val="left"/>
        <w:rPr>
          <w:rFonts w:ascii="arial" w:hAnsi="arial"/>
          <w:sz w:val="20"/>
        </w:rPr>
      </w:pPr>
      <w:r>
        <w:rPr>
          <w:rFonts w:ascii="arial" w:hAnsi="arial"/>
          <w:sz w:val="20"/>
        </w:rPr>
        <w:t xml:space="preserve">The securities have not been and will not be registered pursuant to Article 4, Paragraph 1 of the Financial Instruments and Exchange Act. Accordingly, none of the securities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 </w:t>
      </w:r>
    </w:p>
    <w:p>
      <w:pPr>
        <w:pStyle w:val="TextBody"/>
        <w:bidi w:val="0"/>
        <w:spacing w:before="160" w:after="0"/>
        <w:jc w:val="left"/>
        <w:rPr>
          <w:rFonts w:ascii="arial" w:hAnsi="arial"/>
          <w:b/>
          <w:i/>
          <w:sz w:val="20"/>
        </w:rPr>
      </w:pPr>
      <w:r>
        <w:rPr>
          <w:rFonts w:ascii="arial" w:hAnsi="arial"/>
          <w:b/>
          <w:i/>
          <w:sz w:val="20"/>
        </w:rPr>
        <w:t xml:space="preserve">Notice to prospective investors in Hong Kong </w:t>
      </w:r>
    </w:p>
    <w:p>
      <w:pPr>
        <w:pStyle w:val="TextBody"/>
        <w:bidi w:val="0"/>
        <w:spacing w:before="160" w:after="0"/>
        <w:jc w:val="left"/>
        <w:rPr>
          <w:rFonts w:ascii="arial" w:hAnsi="arial"/>
          <w:sz w:val="20"/>
        </w:rPr>
      </w:pPr>
      <w:r>
        <w:rPr>
          <w:rFonts w:ascii="arial" w:hAnsi="arial"/>
          <w:sz w:val="20"/>
        </w:rPr>
        <w:t xml:space="preserve">The securities have not been offered or sold and will not be offered or sold in Hong Kong, by means of any document, other than (a) to “professional investors” as defined in the Securities and Futures Ordinance (Cap. 571 of the Laws of Hong Kong), or the SFO, of Hong Kong and any rules made thereunder; or (b) in other circumstances which do not result in the document being a “prospectus” as defined in the Companies (Winding Up and Miscellaneous Provisions) Ordinance (Cap. 32) of Hong Kong, or the CO, or which do not constitute an offer to the public within the meaning of the CO. No advertisement, invitation or document relating to the securities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securities which are or are intended to be disposed of only to persons outside Hong Kong or only to “professional investors” as defined in the SFO and any rules made thereunder. </w:t>
      </w:r>
    </w:p>
    <w:p>
      <w:pPr>
        <w:pStyle w:val="TextBody"/>
        <w:bidi w:val="0"/>
        <w:spacing w:before="160" w:after="0"/>
        <w:jc w:val="left"/>
        <w:rPr>
          <w:rFonts w:ascii="arial" w:hAnsi="arial"/>
          <w:b/>
          <w:i/>
          <w:sz w:val="20"/>
        </w:rPr>
      </w:pPr>
      <w:r>
        <w:rPr>
          <w:rFonts w:ascii="arial" w:hAnsi="arial"/>
          <w:b/>
          <w:i/>
          <w:sz w:val="20"/>
        </w:rPr>
        <w:t xml:space="preserve">Notice to prospective investors in Singapore </w:t>
      </w:r>
    </w:p>
    <w:p>
      <w:pPr>
        <w:pStyle w:val="TextBody"/>
        <w:bidi w:val="0"/>
        <w:spacing w:before="160" w:after="0"/>
        <w:jc w:val="left"/>
        <w:rPr>
          <w:rFonts w:ascii="arial" w:hAnsi="arial"/>
          <w:sz w:val="20"/>
        </w:rPr>
      </w:pPr>
      <w:r>
        <w:rPr>
          <w:rFonts w:ascii="arial" w:hAnsi="arial"/>
          <w:sz w:val="20"/>
        </w:rPr>
        <w:t xml:space="preserve">This prospectus supplement has not been registered as a prospectus with the Monetary Authority of Singapore. Accordingly, this prospectus and any other document or material in connection with the offer or sale, or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S-30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invitation for subscription or purchase, of shares may not be circulated or distributed, nor may the shares be offered or sold, or be made the subject of an invitation for subscription or purchase, whether directly or indirectly, to any person in Singapore other than (i) to an institutional investor (as defined in Section 4A of the Securities and Futures Act (Chapter 289) of Singapore, as modified or amended from time to time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w:t>
      </w:r>
    </w:p>
    <w:p>
      <w:pPr>
        <w:pStyle w:val="TextBody"/>
        <w:bidi w:val="0"/>
        <w:spacing w:before="160" w:after="0"/>
        <w:jc w:val="left"/>
        <w:rPr>
          <w:rFonts w:ascii="arial" w:hAnsi="arial"/>
          <w:sz w:val="20"/>
        </w:rPr>
      </w:pPr>
      <w:r>
        <w:rPr>
          <w:rFonts w:ascii="arial" w:hAnsi="arial"/>
          <w:sz w:val="20"/>
        </w:rPr>
        <w:t xml:space="preserve">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six months after that corporation has acquired the shares under Section 275 of the SFA except: (a) to an institutional investor under Section 274 of the SFA or to a relevant person (as defined in Section 275(2) of the SFA), (b) where such transfer arises from an offer in that corporation’s securities pursuant to Section 275(1A) of the SFA, (c) where no consideration is or will be given for the transfer, (d) where the transfer is by operation of law, (e) as specified in Section 276(7) of the SFA, or (f) as specified in Regulation 32 of the Securities and Futures (Offers of Investments) (Shares and Debentures) Regulations 2005 of Singapore (“Regulation 32”). </w:t>
      </w:r>
    </w:p>
    <w:p>
      <w:pPr>
        <w:pStyle w:val="TextBody"/>
        <w:bidi w:val="0"/>
        <w:spacing w:before="160" w:after="0"/>
        <w:jc w:val="left"/>
        <w:rPr>
          <w:rFonts w:ascii="arial" w:hAnsi="arial"/>
          <w:sz w:val="20"/>
        </w:rPr>
      </w:pPr>
      <w:r>
        <w:rPr>
          <w:rFonts w:ascii="arial" w:hAnsi="arial"/>
          <w:sz w:val="20"/>
        </w:rPr>
        <w:t xml:space="preserve">Where the shares of common stock are subscribed or purchased under Section 275 of the SFA by a relevant person which is a trust (where the trustee is not an accredited investor) whose sole purpose is to hold investments and each beneficiary of the trust is an accredited investor, the beneficiaries’ rights and interest (howsoever described) in that trust shall not be transferable for six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 </w:t>
      </w:r>
    </w:p>
    <w:p>
      <w:pPr>
        <w:pStyle w:val="TextBody"/>
        <w:bidi w:val="0"/>
        <w:spacing w:before="160" w:after="0"/>
        <w:jc w:val="left"/>
        <w:rPr>
          <w:rFonts w:ascii="arial" w:hAnsi="arial"/>
          <w:sz w:val="20"/>
        </w:rPr>
      </w:pPr>
      <w:r>
        <w:rPr>
          <w:rFonts w:ascii="arial" w:hAnsi="arial"/>
          <w:sz w:val="20"/>
        </w:rPr>
        <w:t xml:space="preserve">Solely for the purposes of our obligations pursuant to Section 309B of the SFA, we have determined, and hereby notify all relevant persons (as defined in the Securities and Futures (Capital Markets Products) Regulations 2018 (“CMP Regulations”)) that the shares are “prescribed capital markets products” (as defined in the CMP Regulations 2018) and Excluded Investment Products (as defined in MAS Notice SFA 04-N12: Notice on the Sale of Investment Products and MAS Notice FAA-N16: Notice on Recommendations on Investment Products). </w:t>
      </w:r>
    </w:p>
    <w:p>
      <w:pPr>
        <w:pStyle w:val="TextBody"/>
        <w:bidi w:val="0"/>
        <w:spacing w:before="160" w:after="0"/>
        <w:jc w:val="left"/>
        <w:rPr>
          <w:rFonts w:ascii="arial" w:hAnsi="arial"/>
          <w:b/>
          <w:i/>
          <w:sz w:val="20"/>
        </w:rPr>
      </w:pPr>
      <w:r>
        <w:rPr>
          <w:rFonts w:ascii="arial" w:hAnsi="arial"/>
          <w:b/>
          <w:i/>
          <w:sz w:val="20"/>
        </w:rPr>
        <w:t xml:space="preserve">Notice to prospective investors in Bermuda </w:t>
      </w:r>
    </w:p>
    <w:p>
      <w:pPr>
        <w:pStyle w:val="TextBody"/>
        <w:bidi w:val="0"/>
        <w:spacing w:before="160" w:after="0"/>
        <w:jc w:val="left"/>
        <w:rPr>
          <w:rFonts w:ascii="arial" w:hAnsi="arial"/>
          <w:sz w:val="20"/>
        </w:rPr>
      </w:pPr>
      <w:r>
        <w:rPr>
          <w:rFonts w:ascii="arial" w:hAnsi="arial"/>
          <w:sz w:val="20"/>
        </w:rPr>
        <w:t xml:space="preserve">The securities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 </w:t>
      </w:r>
    </w:p>
    <w:p>
      <w:pPr>
        <w:pStyle w:val="TextBody"/>
        <w:bidi w:val="0"/>
        <w:spacing w:before="160" w:after="0"/>
        <w:jc w:val="left"/>
        <w:rPr>
          <w:rFonts w:ascii="arial" w:hAnsi="arial"/>
          <w:b/>
          <w:i/>
          <w:sz w:val="20"/>
        </w:rPr>
      </w:pPr>
      <w:r>
        <w:rPr>
          <w:rFonts w:ascii="arial" w:hAnsi="arial"/>
          <w:b/>
          <w:i/>
          <w:sz w:val="20"/>
        </w:rPr>
        <w:t xml:space="preserve">Notice to prospective investors in Saudi Arabia </w:t>
      </w:r>
    </w:p>
    <w:p>
      <w:pPr>
        <w:pStyle w:val="TextBody"/>
        <w:bidi w:val="0"/>
        <w:spacing w:before="160" w:after="0"/>
        <w:jc w:val="left"/>
        <w:rPr>
          <w:rFonts w:ascii="arial" w:hAnsi="arial"/>
          <w:sz w:val="20"/>
        </w:rPr>
      </w:pPr>
      <w:r>
        <w:rPr>
          <w:rFonts w:ascii="arial" w:hAnsi="arial"/>
          <w:sz w:val="20"/>
        </w:rPr>
        <w:t xml:space="preserve">This document may not be distributed in the Kingdom of Saudi Arabia except to such persons as are permitted under the Rules on the Offer of Securities and Continuing Obligations Regulations as issued by the board of the Saudi Arabian Capital Market Authority, or CMA, pursuant to resolution number 3-123-2017 dated 27 December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S-31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2017, as amended, or the CMA Regulations.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authorized financial adviser. </w:t>
      </w:r>
    </w:p>
    <w:p>
      <w:pPr>
        <w:pStyle w:val="TextBody"/>
        <w:bidi w:val="0"/>
        <w:spacing w:before="160" w:after="0"/>
        <w:jc w:val="left"/>
        <w:rPr>
          <w:rFonts w:ascii="arial" w:hAnsi="arial"/>
          <w:b/>
          <w:i/>
          <w:sz w:val="20"/>
        </w:rPr>
      </w:pPr>
      <w:r>
        <w:rPr>
          <w:rFonts w:ascii="arial" w:hAnsi="arial"/>
          <w:b/>
          <w:i/>
          <w:sz w:val="20"/>
        </w:rPr>
        <w:t xml:space="preserve">Notice to prospective investors in the British Virgin Islands </w:t>
      </w:r>
    </w:p>
    <w:p>
      <w:pPr>
        <w:pStyle w:val="TextBody"/>
        <w:bidi w:val="0"/>
        <w:spacing w:before="160" w:after="0"/>
        <w:jc w:val="left"/>
        <w:rPr>
          <w:rFonts w:ascii="arial" w:hAnsi="arial"/>
          <w:sz w:val="20"/>
        </w:rPr>
      </w:pPr>
      <w:r>
        <w:rPr>
          <w:rFonts w:ascii="arial" w:hAnsi="arial"/>
          <w:sz w:val="20"/>
        </w:rPr>
        <w:t xml:space="preserve">The securities are not being, and may not be, offered to the public or to any person in the British Virgin Islands for purchase or subscription by or on behalf of us. The securities may be offered to companies incorporated under the BVI Business Companies Act, 2004 (British Virgin Islands), or BVI Companies, but only where the offer will be made to, and received by, the relevant BVI Company entirely outside of the British Virgin Islands. </w:t>
      </w:r>
    </w:p>
    <w:p>
      <w:pPr>
        <w:pStyle w:val="TextBody"/>
        <w:bidi w:val="0"/>
        <w:spacing w:before="160" w:after="0"/>
        <w:jc w:val="left"/>
        <w:rPr>
          <w:rFonts w:ascii="arial" w:hAnsi="arial"/>
          <w:b/>
          <w:i/>
          <w:sz w:val="20"/>
        </w:rPr>
      </w:pPr>
      <w:r>
        <w:rPr>
          <w:rFonts w:ascii="arial" w:hAnsi="arial"/>
          <w:b/>
          <w:i/>
          <w:sz w:val="20"/>
        </w:rPr>
        <w:t xml:space="preserve">Notice to prospective investors in China </w:t>
      </w:r>
    </w:p>
    <w:p>
      <w:pPr>
        <w:pStyle w:val="TextBody"/>
        <w:bidi w:val="0"/>
        <w:spacing w:before="160" w:after="0"/>
        <w:jc w:val="left"/>
        <w:rPr>
          <w:rFonts w:ascii="arial" w:hAnsi="arial"/>
          <w:sz w:val="20"/>
        </w:rPr>
      </w:pPr>
      <w:r>
        <w:rPr>
          <w:rFonts w:ascii="arial" w:hAnsi="arial"/>
          <w:sz w:val="20"/>
        </w:rPr>
        <w:t xml:space="preserve">This prospectus supplement and the accompanying prospectus will not be circulated or distributed in the People’s Republic of China, or the PRC, and the securities will not be offered or sold, and will not be offered or sold to any person for re-offering or resale directly or indirectly to any residents of the PRC (for such purposes, not including the Hong Kong and Macau Special Administrative Regions or Taiwan), except pursuant to any applicable laws and regulations of the PRC. Neither this prospectus supplement, the accompanying prospectus nor any advertisement or other offering material may be distributed or published in the PRC, except under circumstances that will result in compliance with applicable laws and regulations. </w:t>
      </w:r>
    </w:p>
    <w:p>
      <w:pPr>
        <w:pStyle w:val="TextBody"/>
        <w:bidi w:val="0"/>
        <w:spacing w:before="160" w:after="0"/>
        <w:jc w:val="left"/>
        <w:rPr>
          <w:rFonts w:ascii="SimHei" w:hAnsi="SimHei"/>
          <w:b/>
          <w:i/>
          <w:sz w:val="20"/>
        </w:rPr>
      </w:pPr>
      <w:r>
        <w:rPr>
          <w:rFonts w:ascii="SimHei" w:hAnsi="SimHei"/>
          <w:b/>
          <w:i/>
          <w:sz w:val="20"/>
        </w:rPr>
        <w:t xml:space="preserve">Notice to prospective investors in Korea </w:t>
      </w:r>
    </w:p>
    <w:p>
      <w:pPr>
        <w:pStyle w:val="TextBody"/>
        <w:bidi w:val="0"/>
        <w:spacing w:before="160" w:after="0"/>
        <w:jc w:val="left"/>
        <w:rPr>
          <w:rFonts w:ascii="arial" w:hAnsi="arial"/>
          <w:sz w:val="20"/>
        </w:rPr>
      </w:pPr>
      <w:r>
        <w:rPr>
          <w:rFonts w:ascii="arial" w:hAnsi="arial"/>
          <w:sz w:val="20"/>
        </w:rPr>
        <w:t xml:space="preserve">The securities have not been and will not be registered under the Financial Investments Services and Capital Markets Act of Korea and the decrees and regulations thereunder, or the FSCMA, and the securities have been and will be offered in Korea as a private placement under the FSCMA. None of the securities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or the FETL. The securities have not been listed on any securities exchanges in Korea, including, without limitation, the Korea Exchange in Korea. Furthermore, the purchaser of the securities shall comply with all applicable regulatory requirements (including but not limited to requirements under the FETL) in connection with the purchase of the securities. By the purchase of the securities, the relevant holder thereof will be deemed to represent and warrant that if it is in Korea or is a resident of Korea, it purchased the securities pursuant to the applicable laws and regulations of Korea. </w:t>
      </w:r>
    </w:p>
    <w:p>
      <w:pPr>
        <w:pStyle w:val="TextBody"/>
        <w:bidi w:val="0"/>
        <w:spacing w:before="160" w:after="0"/>
        <w:jc w:val="left"/>
        <w:rPr>
          <w:rFonts w:ascii="SimHei" w:hAnsi="SimHei"/>
          <w:b/>
          <w:i/>
          <w:sz w:val="20"/>
        </w:rPr>
      </w:pPr>
      <w:r>
        <w:rPr>
          <w:rFonts w:ascii="SimHei" w:hAnsi="SimHei"/>
          <w:b/>
          <w:i/>
          <w:sz w:val="20"/>
        </w:rPr>
        <w:t xml:space="preserve">Notice to prospective investors in Malaysia </w:t>
      </w:r>
    </w:p>
    <w:p>
      <w:pPr>
        <w:pStyle w:val="TextBody"/>
        <w:bidi w:val="0"/>
        <w:spacing w:before="160" w:after="0"/>
        <w:jc w:val="left"/>
        <w:rPr>
          <w:rFonts w:ascii="arial" w:hAnsi="arial"/>
          <w:sz w:val="20"/>
        </w:rPr>
      </w:pPr>
      <w:r>
        <w:rPr>
          <w:rFonts w:ascii="arial" w:hAnsi="arial"/>
          <w:sz w:val="20"/>
        </w:rPr>
        <w:t xml:space="preserve">No prospectus or other offering material or document in connection with the offer and sale of the securities has been or will be registered with the Securities Commission of Malaysia, or the Commission, for the Commission’s approval pursuant to the Capital Markets and Services Act 2007. Accordingly, this prospectus supplement and any other document or material in connection with the offer or sale, or invitation for subscription or purchase, of the securities may not be circulated or distributed, nor may the securities be offered or sold, or be made the subject of an invitation for subscription or purchase, whether directly or indirectly, to persons in Malaysia other than (i) a closed end fund approved by the Commission, (ii) a holder of a Capital Markets Services Licence, (iii) a person who acquires the securities, as principal, if the offer is on terms that the securities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S-32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annum in the preceding twelve months, (vi) an individual who, jointly with his or her spouse, has a gross annual income of RM400,000 (or its equivalent in foreign currencies), per annum in the preceding twelve months, (vii) a corporation with total net assets exceeding RM10 million (or its equivalent in foreign currencies) based on the last audited accounts, (viii) a partnership with total net 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 person as may be specified by the Commission; provided that, in each of the preceding categories (i) to (xi), the distribution of the securities is made by a holder of a Capital Markets Services Licence who carries on the business of dealing in securities. The distribution in Malaysia of this prospectus supplement and the accompanying prospectus is subject to Malaysian laws. This prospectus supplement and the accompanying prospectus do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 </w:t>
      </w:r>
    </w:p>
    <w:p>
      <w:pPr>
        <w:pStyle w:val="TextBody"/>
        <w:bidi w:val="0"/>
        <w:spacing w:before="160" w:after="0"/>
        <w:jc w:val="left"/>
        <w:rPr>
          <w:rFonts w:ascii="SimHei" w:hAnsi="SimHei"/>
          <w:b/>
          <w:i/>
          <w:sz w:val="20"/>
        </w:rPr>
      </w:pPr>
      <w:r>
        <w:rPr>
          <w:rFonts w:ascii="SimHei" w:hAnsi="SimHei"/>
          <w:b/>
          <w:i/>
          <w:sz w:val="20"/>
        </w:rPr>
        <w:t xml:space="preserve">Notice to prospective investors in Taiwan </w:t>
      </w:r>
    </w:p>
    <w:p>
      <w:pPr>
        <w:pStyle w:val="TextBody"/>
        <w:bidi w:val="0"/>
        <w:spacing w:before="160" w:after="0"/>
        <w:jc w:val="left"/>
        <w:rPr>
          <w:rFonts w:ascii="arial" w:hAnsi="arial"/>
          <w:sz w:val="20"/>
        </w:rPr>
      </w:pPr>
      <w:r>
        <w:rPr>
          <w:rFonts w:ascii="arial" w:hAnsi="arial"/>
          <w:sz w:val="20"/>
        </w:rPr>
        <w:t xml:space="preserve">The securities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securities in Taiwan. </w:t>
      </w:r>
    </w:p>
    <w:p>
      <w:pPr>
        <w:pStyle w:val="TextBody"/>
        <w:bidi w:val="0"/>
        <w:spacing w:before="160" w:after="0"/>
        <w:jc w:val="left"/>
        <w:rPr>
          <w:rFonts w:ascii="arial" w:hAnsi="arial"/>
          <w:b/>
          <w:i/>
          <w:sz w:val="20"/>
        </w:rPr>
      </w:pPr>
      <w:r>
        <w:rPr>
          <w:rFonts w:ascii="arial" w:hAnsi="arial"/>
          <w:b/>
          <w:i/>
          <w:sz w:val="20"/>
        </w:rPr>
        <w:t xml:space="preserve">Notice to prospective investors in South Africa </w:t>
      </w:r>
    </w:p>
    <w:p>
      <w:pPr>
        <w:pStyle w:val="TextBody"/>
        <w:bidi w:val="0"/>
        <w:spacing w:before="160" w:after="0"/>
        <w:jc w:val="left"/>
        <w:rPr>
          <w:rFonts w:ascii="arial" w:hAnsi="arial"/>
          <w:sz w:val="20"/>
        </w:rPr>
      </w:pPr>
      <w:r>
        <w:rPr>
          <w:rFonts w:ascii="arial" w:hAnsi="arial"/>
          <w:sz w:val="20"/>
        </w:rPr>
        <w:t xml:space="preserve">Due to restrictions under the securities laws of South Africa, no “offer to the public” (as such term is defined in the South African Companies Act, No. 71 of 2008 (as amended or re-enacted), or the South African Companies Act) is being made in connection with the issue of the securities in South Africa. Accordingly, this document does not, nor is it intended to, constitute a “registered prospectus” (as that term is defined in the South African Companies Act) prepared and registered under the South African Companies Act and has not been approved by, and/or filed with, the South African Companies and Intellectual Property Commission or any other regulatory authority in South Africa. The securities are not offered, and the offer shall not be transferred, sold, renounced or delivered, in South Africa or to a person with an address in South Africa, unless one or other of the following exemptions stipulated in section 96 (1) of the South African Companies Act applies: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92"/>
        <w:gridCol w:w="121"/>
        <w:gridCol w:w="8192"/>
      </w:tblGrid>
      <w:tr>
        <w:trPr/>
        <w:tc>
          <w:tcPr>
            <w:tcW w:w="189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8192" w:type="dxa"/>
            <w:tcBorders/>
            <w:vAlign w:val="center"/>
          </w:tcPr>
          <w:p>
            <w:pPr>
              <w:pStyle w:val="TableContents"/>
              <w:bidi w:val="0"/>
              <w:spacing w:before="0" w:after="283"/>
              <w:jc w:val="left"/>
              <w:rPr>
                <w:sz w:val="4"/>
                <w:szCs w:val="4"/>
              </w:rPr>
            </w:pPr>
            <w:r>
              <w:rPr>
                <w:sz w:val="4"/>
                <w:szCs w:val="4"/>
              </w:rPr>
            </w:r>
          </w:p>
        </w:tc>
      </w:tr>
      <w:tr>
        <w:trPr/>
        <w:tc>
          <w:tcPr>
            <w:tcW w:w="1892" w:type="dxa"/>
            <w:tcBorders/>
          </w:tcPr>
          <w:p>
            <w:pPr>
              <w:pStyle w:val="TableContents"/>
              <w:bidi w:val="0"/>
              <w:spacing w:before="0" w:after="283"/>
              <w:jc w:val="left"/>
              <w:rPr/>
            </w:pPr>
            <w:r>
              <w:rPr/>
              <w:t>Section 96  (1) (a)</w:t>
            </w:r>
          </w:p>
        </w:tc>
        <w:tc>
          <w:tcPr>
            <w:tcW w:w="121" w:type="dxa"/>
            <w:tcBorders/>
            <w:vAlign w:val="bottom"/>
          </w:tcPr>
          <w:p>
            <w:pPr>
              <w:pStyle w:val="TableContents"/>
              <w:bidi w:val="0"/>
              <w:spacing w:before="0" w:after="283"/>
              <w:jc w:val="left"/>
              <w:rPr/>
            </w:pPr>
            <w:r>
              <w:rPr/>
              <w:t>  </w:t>
            </w:r>
          </w:p>
        </w:tc>
        <w:tc>
          <w:tcPr>
            <w:tcW w:w="8192" w:type="dxa"/>
            <w:tcBorders/>
          </w:tcPr>
          <w:p>
            <w:pPr>
              <w:pStyle w:val="TableContents"/>
              <w:bidi w:val="0"/>
              <w:spacing w:before="0" w:after="0"/>
              <w:jc w:val="left"/>
              <w:rPr>
                <w:rFonts w:ascii="arial" w:hAnsi="arial"/>
                <w:sz w:val="20"/>
              </w:rPr>
            </w:pPr>
            <w:r>
              <w:rPr>
                <w:rFonts w:ascii="arial" w:hAnsi="arial"/>
                <w:sz w:val="20"/>
              </w:rPr>
              <w:t>the offer, transfer, sale, renunciation or delivery is to:</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(i)   persons whose ordinary business, or part of whose ordinary business, is to deal in securities, as principal or agent;</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(ii)   the South African Public Investment Corporation;</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(iii)  persons or entities regulated by the Reserve Bank of South Africa;</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(iv)  authorized financial service providers under South African law;</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(v)   financial institutions recognized as such under South African law;</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(vi)  a wholly-owned subsidiary of any person or entity contemplated in (iii), (iv) or (v), acting as agent in the capacity of an authorized portfolio manager for a pension fund, or as manager for a collective investment scheme (in each case duly registered as such under South African law); or</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(vii)   any combination of persons in (i) to (vi); or</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S-33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771"/>
        <w:gridCol w:w="123"/>
        <w:gridCol w:w="8311"/>
      </w:tblGrid>
      <w:tr>
        <w:trPr/>
        <w:tc>
          <w:tcPr>
            <w:tcW w:w="1771"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8311"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1771" w:type="dxa"/>
            <w:tcBorders/>
            <w:vAlign w:val="center"/>
          </w:tcPr>
          <w:p>
            <w:pPr>
              <w:pStyle w:val="TableContents"/>
              <w:bidi w:val="0"/>
              <w:spacing w:before="0" w:after="283"/>
              <w:jc w:val="left"/>
              <w:rPr>
                <w:sz w:val="4"/>
                <w:szCs w:val="4"/>
              </w:rPr>
            </w:pPr>
            <w:r>
              <w:rPr>
                <w:sz w:val="4"/>
                <w:szCs w:val="4"/>
              </w:rPr>
            </w:r>
          </w:p>
        </w:tc>
        <w:tc>
          <w:tcPr>
            <w:tcW w:w="8434" w:type="dxa"/>
            <w:gridSpan w:val="2"/>
            <w:tcBorders/>
            <w:vAlign w:val="center"/>
          </w:tcPr>
          <w:p>
            <w:pPr>
              <w:pStyle w:val="TableContents"/>
              <w:bidi w:val="0"/>
              <w:spacing w:before="0" w:after="283"/>
              <w:jc w:val="left"/>
              <w:rPr>
                <w:sz w:val="4"/>
                <w:szCs w:val="4"/>
              </w:rPr>
            </w:pPr>
            <w:r>
              <w:rPr>
                <w:sz w:val="4"/>
                <w:szCs w:val="4"/>
              </w:rPr>
            </w:r>
          </w:p>
        </w:tc>
      </w:tr>
      <w:tr>
        <w:trPr/>
        <w:tc>
          <w:tcPr>
            <w:tcW w:w="1771" w:type="dxa"/>
            <w:tcBorders/>
          </w:tcPr>
          <w:p>
            <w:pPr>
              <w:pStyle w:val="TableContents"/>
              <w:bidi w:val="0"/>
              <w:spacing w:before="0" w:after="283"/>
              <w:jc w:val="left"/>
              <w:rPr/>
            </w:pPr>
            <w:r>
              <w:rPr/>
              <w:t>Section 96 (1) (b)</w:t>
            </w:r>
          </w:p>
        </w:tc>
        <w:tc>
          <w:tcPr>
            <w:tcW w:w="123" w:type="dxa"/>
            <w:tcBorders/>
            <w:vAlign w:val="bottom"/>
          </w:tcPr>
          <w:p>
            <w:pPr>
              <w:pStyle w:val="TableContents"/>
              <w:bidi w:val="0"/>
              <w:spacing w:before="0" w:after="283"/>
              <w:jc w:val="left"/>
              <w:rPr/>
            </w:pPr>
            <w:r>
              <w:rPr/>
              <w:t>  </w:t>
            </w:r>
          </w:p>
        </w:tc>
        <w:tc>
          <w:tcPr>
            <w:tcW w:w="8311" w:type="dxa"/>
            <w:tcBorders/>
          </w:tcPr>
          <w:p>
            <w:pPr>
              <w:pStyle w:val="TableContents"/>
              <w:bidi w:val="0"/>
              <w:spacing w:before="0" w:after="283"/>
              <w:jc w:val="left"/>
              <w:rPr/>
            </w:pPr>
            <w:r>
              <w:rPr/>
              <w:t>the total contemplated acquisition cost of the securities, for any single addressee acting as principal is equal to or greater than ZAR1,000,000 or such higher amount as may be promulgated by notice in the Government Gazette of South Africa pursuant to section 96(2)(a) of the South African Companies Act.</w:t>
            </w:r>
          </w:p>
        </w:tc>
      </w:tr>
    </w:tbl>
    <w:p>
      <w:pPr>
        <w:pStyle w:val="TextBody"/>
        <w:bidi w:val="0"/>
        <w:spacing w:before="160" w:after="0"/>
        <w:jc w:val="left"/>
        <w:rPr>
          <w:rFonts w:ascii="arial" w:hAnsi="arial"/>
          <w:sz w:val="20"/>
        </w:rPr>
      </w:pPr>
      <w:r>
        <w:rPr>
          <w:rFonts w:ascii="arial" w:hAnsi="arial"/>
          <w:sz w:val="20"/>
        </w:rPr>
        <w:t xml:space="preserve">Information made available in this prospectus supplement and the accompanying prospectus should not be considered as “advice” as defined in the South African Financial Advisory and Intermediary Services Act, 2002. </w:t>
      </w:r>
    </w:p>
    <w:p>
      <w:pPr>
        <w:pStyle w:val="TextBody"/>
        <w:bidi w:val="0"/>
        <w:spacing w:before="160" w:after="0"/>
        <w:jc w:val="left"/>
        <w:rPr>
          <w:rFonts w:ascii="arial" w:hAnsi="arial"/>
          <w:b/>
          <w:i/>
          <w:sz w:val="20"/>
        </w:rPr>
      </w:pPr>
      <w:r>
        <w:rPr>
          <w:rFonts w:ascii="arial" w:hAnsi="arial"/>
          <w:b/>
          <w:i/>
          <w:sz w:val="20"/>
        </w:rPr>
        <w:t xml:space="preserve">Notice to prospective investors in Israel </w:t>
      </w:r>
    </w:p>
    <w:p>
      <w:pPr>
        <w:pStyle w:val="TextBody"/>
        <w:bidi w:val="0"/>
        <w:spacing w:before="160" w:after="0"/>
        <w:jc w:val="left"/>
        <w:rPr>
          <w:rFonts w:ascii="arial" w:hAnsi="arial"/>
          <w:sz w:val="20"/>
        </w:rPr>
      </w:pPr>
      <w:r>
        <w:rPr>
          <w:rFonts w:ascii="arial" w:hAnsi="arial"/>
          <w:sz w:val="20"/>
        </w:rPr>
        <w:t xml:space="preserve">This document does not constitute a prospectus under the Israeli Securities Law, 5728-1968, or the Securities Law, and has not been filed with or approved by the Israel Securities Authority. In Israel, this prospectus supplement and the accompanying prospectus are being distributed only to, and is directed only at, and any offer of the securities is directed only at, (i) a limited number of persons in accordance with the Israeli Securities Law and (ii)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S-34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sz w:val="32"/>
        </w:rPr>
      </w:pPr>
      <w:bookmarkStart w:id="15" w:name="supptoc93698_13"/>
      <w:bookmarkEnd w:id="15"/>
      <w:r>
        <w:rPr>
          <w:rFonts w:ascii="arial" w:hAnsi="arial"/>
          <w:b/>
          <w:sz w:val="32"/>
        </w:rPr>
        <w:t xml:space="preserve">Legal matters </w:t>
      </w:r>
    </w:p>
    <w:p>
      <w:pPr>
        <w:pStyle w:val="TextBody"/>
        <w:bidi w:val="0"/>
        <w:spacing w:before="160" w:after="0"/>
        <w:jc w:val="left"/>
        <w:rPr>
          <w:rFonts w:ascii="arial" w:hAnsi="arial"/>
          <w:sz w:val="20"/>
        </w:rPr>
      </w:pPr>
      <w:r>
        <w:rPr>
          <w:rFonts w:ascii="arial" w:hAnsi="arial"/>
          <w:sz w:val="20"/>
        </w:rPr>
        <w:t xml:space="preserve">The validity of the issuance of our common stock offered in this prospectus supplement will be passed upon for us by Latham &amp; Watkins LLP, Menlo Park, California. Davis Polk &amp; Wardwell LLP, Redwood City, California, is acting as counsel for the underwriters in connection with this offering. Certain attorneys affiliated with Latham &amp; Watkins LLP own shares of our common stock representing in the aggregate less than 1% of the outstanding shares of our common stock. </w:t>
      </w:r>
    </w:p>
    <w:p>
      <w:pPr>
        <w:pStyle w:val="TextBody"/>
        <w:bidi w:val="0"/>
        <w:spacing w:before="320" w:after="0"/>
        <w:jc w:val="left"/>
        <w:rPr>
          <w:rFonts w:ascii="arial" w:hAnsi="arial"/>
          <w:b/>
          <w:sz w:val="32"/>
        </w:rPr>
      </w:pPr>
      <w:bookmarkStart w:id="16" w:name="supptoc93698_14"/>
      <w:bookmarkEnd w:id="16"/>
      <w:r>
        <w:rPr>
          <w:rFonts w:ascii="arial" w:hAnsi="arial"/>
          <w:b/>
          <w:sz w:val="32"/>
        </w:rPr>
        <w:t xml:space="preserve">Experts </w:t>
      </w:r>
    </w:p>
    <w:p>
      <w:pPr>
        <w:pStyle w:val="TextBody"/>
        <w:bidi w:val="0"/>
        <w:spacing w:before="160" w:after="0"/>
        <w:jc w:val="left"/>
        <w:rPr>
          <w:rFonts w:ascii="arial" w:hAnsi="arial"/>
          <w:sz w:val="20"/>
        </w:rPr>
      </w:pPr>
      <w:r>
        <w:rPr>
          <w:rFonts w:ascii="arial" w:hAnsi="arial"/>
          <w:sz w:val="20"/>
        </w:rPr>
        <w:t xml:space="preserve">The financial statements and management’s assessment of the effectiveness of internal control over financial reporting (which is included in Management’s annual report on internal control over financial reporting) incorporated in this prospectus by reference to the Annual Report on Form 10-K for the year ended December 31, 2025 have been so incorporated in reliance on the report of PricewaterhouseCoopers LLP, an independent registered public accounting firm, given on the authority of said firm as experts in auditing and accounting.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S-35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sz w:val="32"/>
        </w:rPr>
      </w:pPr>
      <w:bookmarkStart w:id="17" w:name="supptoc93698_15"/>
      <w:bookmarkEnd w:id="17"/>
      <w:r>
        <w:rPr>
          <w:rFonts w:ascii="arial" w:hAnsi="arial"/>
          <w:b/>
          <w:sz w:val="32"/>
        </w:rPr>
        <w:t xml:space="preserve">Where you can find more information; incorporation by reference </w:t>
      </w:r>
    </w:p>
    <w:p>
      <w:pPr>
        <w:pStyle w:val="TextBody"/>
        <w:bidi w:val="0"/>
        <w:spacing w:before="160" w:after="0"/>
        <w:jc w:val="left"/>
        <w:rPr>
          <w:rFonts w:ascii="arial" w:hAnsi="arial"/>
          <w:b/>
          <w:sz w:val="24"/>
        </w:rPr>
      </w:pPr>
      <w:r>
        <w:rPr>
          <w:rFonts w:ascii="arial" w:hAnsi="arial"/>
          <w:b/>
          <w:sz w:val="24"/>
        </w:rPr>
        <w:t xml:space="preserve">Available information </w:t>
      </w:r>
    </w:p>
    <w:p>
      <w:pPr>
        <w:pStyle w:val="TextBody"/>
        <w:bidi w:val="0"/>
        <w:spacing w:before="160" w:after="0"/>
        <w:jc w:val="left"/>
        <w:rPr>
          <w:rFonts w:ascii="arial" w:hAnsi="arial"/>
          <w:sz w:val="20"/>
        </w:rPr>
      </w:pPr>
      <w:r>
        <w:rPr>
          <w:rFonts w:ascii="arial" w:hAnsi="arial"/>
          <w:sz w:val="20"/>
        </w:rPr>
        <w:t xml:space="preserve">We filed with the SEC a registration statement on Form S-3 (File No. 333-277640) under the Securities Act with respect to the shares of common stock offered hereby. This prospectus supplement and the accompanying prospectus, which constitute a part of the registration statement, do not contain all of the information set forth in the registration statement or the exhibits filed with the registration statement. For further information about us and the common stock offered hereby, we refer you to the registration statement and the exhibits filed with the registration statement. Statements contained in this prospectus supplement and the accompanying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 </w:t>
      </w:r>
    </w:p>
    <w:p>
      <w:pPr>
        <w:pStyle w:val="TextBody"/>
        <w:bidi w:val="0"/>
        <w:spacing w:before="160" w:after="0"/>
        <w:jc w:val="left"/>
        <w:rPr>
          <w:rFonts w:ascii="arial" w:hAnsi="arial"/>
          <w:sz w:val="20"/>
        </w:rPr>
      </w:pPr>
      <w:r>
        <w:rPr>
          <w:rFonts w:ascii="arial" w:hAnsi="arial"/>
          <w:sz w:val="20"/>
        </w:rPr>
        <w:t xml:space="preserve">We are subject to the information and reporting requirements of the Securities Exchange Act of 1934, as amended, or the Exchange Act, and, in accordance with this law, are required to file periodic reports, proxy statements and other information with the SEC. We file annual, quarterly and current reports, proxy statements and other information with the SEC. Our SEC filings are available to the public at the SEC’s website at www.sec.gov. </w:t>
      </w:r>
    </w:p>
    <w:p>
      <w:pPr>
        <w:pStyle w:val="TextBody"/>
        <w:bidi w:val="0"/>
        <w:spacing w:before="320" w:after="0"/>
        <w:jc w:val="left"/>
        <w:rPr>
          <w:rFonts w:ascii="arial" w:hAnsi="arial"/>
          <w:b/>
          <w:sz w:val="24"/>
        </w:rPr>
      </w:pPr>
      <w:r>
        <w:rPr>
          <w:rFonts w:ascii="arial" w:hAnsi="arial"/>
          <w:b/>
          <w:sz w:val="24"/>
        </w:rPr>
        <w:t xml:space="preserve">Incorporation by reference </w:t>
      </w:r>
    </w:p>
    <w:p>
      <w:pPr>
        <w:pStyle w:val="TextBody"/>
        <w:bidi w:val="0"/>
        <w:spacing w:before="160" w:after="0"/>
        <w:jc w:val="left"/>
        <w:rPr>
          <w:rFonts w:ascii="arial" w:hAnsi="arial"/>
          <w:sz w:val="20"/>
        </w:rPr>
      </w:pPr>
      <w:r>
        <w:rPr>
          <w:rFonts w:ascii="arial" w:hAnsi="arial"/>
          <w:sz w:val="20"/>
        </w:rPr>
        <w:t xml:space="preserve">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supplement and the accompanying prospectus, and information that we file later with the SEC will automatically update and supersede this information. We filed a registration statement on Form S-3 (File No. 333-277640) under the Securities Act with the SEC with respect to the securities being offered pursuant to this prospectus supplement and the accompanying prospectus. This prospectus supplement and the accompanying prospectus omit certain information contained in the registration statement, as permitted by the SEC. You should refer to the registration statement, including the exhibits, for further information about us and the securities being offered pursuant to this prospectus supplement and the accompanying prospectus. Statements in this prospectus supplement and the accompanying prospectus regarding the provisions of certain documents filed with, or incorporated by reference in, the registration statement are not necessarily complete, and each statement is qualified in all respects by that reference. We incorporate by reference the documents listed below and any future information filed (rather than furnished) with the SEC under Sections 13(a), 13(c), 14, or 15(d) of the Exchange Act between the date of this prospectus supplement and the termination of this offering, provided, however, that we are not incorporating any information furnished under Item 2.02 or Item 7.01 of any current report on Form 8-K: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pPr>
            <w:r>
              <w:rPr>
                <w:rFonts w:ascii="arial" w:hAnsi="arial"/>
                <w:sz w:val="20"/>
              </w:rPr>
              <w:t xml:space="preserve">our Annual Report on </w:t>
            </w:r>
            <w:hyperlink r:id="rId3">
              <w:r>
                <w:rPr>
                  <w:rStyle w:val="InternetLink"/>
                  <w:rFonts w:ascii="arial" w:hAnsi="arial"/>
                  <w:sz w:val="20"/>
                </w:rPr>
                <w:t>Form 10-K</w:t>
              </w:r>
            </w:hyperlink>
            <w:r>
              <w:rPr>
                <w:rFonts w:ascii="arial" w:hAnsi="arial"/>
                <w:sz w:val="20"/>
              </w:rPr>
              <w:t xml:space="preserve"> for the year ended December 31, 2025, filed with the SEC on February 25,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pPr>
            <w:r>
              <w:rPr>
                <w:rFonts w:ascii="arial" w:hAnsi="arial"/>
                <w:sz w:val="20"/>
              </w:rPr>
              <w:t xml:space="preserve">our Current Report on </w:t>
            </w:r>
            <w:hyperlink r:id="rId4">
              <w:r>
                <w:rPr>
                  <w:rStyle w:val="InternetLink"/>
                  <w:rFonts w:ascii="arial" w:hAnsi="arial"/>
                  <w:sz w:val="20"/>
                </w:rPr>
                <w:t>Form 8-K</w:t>
              </w:r>
            </w:hyperlink>
            <w:r>
              <w:rPr>
                <w:rFonts w:ascii="arial" w:hAnsi="arial"/>
                <w:sz w:val="20"/>
              </w:rPr>
              <w:t xml:space="preserve">, filed with the SEC on April 13, 2026;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pPr>
            <w:r>
              <w:rPr>
                <w:rFonts w:ascii="arial" w:hAnsi="arial"/>
                <w:sz w:val="20"/>
              </w:rPr>
              <w:t xml:space="preserve">the description of our common stock contained in our “Description of Registrant’s Securities Registered pursuant to Section 12 of the Securities Exchange Act of 1934” filed with the SEC on February 25, 2026 as </w:t>
            </w:r>
            <w:hyperlink r:id="rId5">
              <w:r>
                <w:rPr>
                  <w:rStyle w:val="InternetLink"/>
                  <w:rFonts w:ascii="arial" w:hAnsi="arial"/>
                  <w:sz w:val="20"/>
                </w:rPr>
                <w:t>Exhibit 4.3</w:t>
              </w:r>
            </w:hyperlink>
            <w:r>
              <w:rPr>
                <w:rFonts w:ascii="arial" w:hAnsi="arial"/>
                <w:sz w:val="20"/>
              </w:rPr>
              <w:t xml:space="preserve"> of our Annual Report on Form 10-K for the year ended December 31, 2025, including any amendment or reports filed for the purposes of updating this description. </w:t>
            </w:r>
          </w:p>
        </w:tc>
      </w:tr>
    </w:tbl>
    <w:p>
      <w:pPr>
        <w:pStyle w:val="TextBody"/>
        <w:bidi w:val="0"/>
        <w:spacing w:before="160" w:after="0"/>
        <w:jc w:val="left"/>
        <w:rPr>
          <w:rFonts w:ascii="arial" w:hAnsi="arial"/>
          <w:sz w:val="20"/>
        </w:rPr>
      </w:pPr>
      <w:r>
        <w:rPr>
          <w:rFonts w:ascii="arial" w:hAnsi="arial"/>
          <w:sz w:val="20"/>
        </w:rPr>
        <w:t xml:space="preserve">Any statement contained in this prospectus supplement and the accompanying prospectus, or in a document all or a portion of which is incorporated by reference, shall be modified or superseded for purposes of this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S-36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prospectus supplement to the extent that a statement contained in this prospectus supplement and the accompanying prospectus and any related free writing prospectus or any document incorporated by reference modifies or supersedes such statement. Any such statement so modified or superseded shall not, except as so modified or superseded, constitute a part of this prospectus supplement and the accompanying prospectus. </w:t>
      </w:r>
    </w:p>
    <w:p>
      <w:pPr>
        <w:pStyle w:val="TextBody"/>
        <w:bidi w:val="0"/>
        <w:spacing w:before="160" w:after="0"/>
        <w:jc w:val="left"/>
        <w:rPr>
          <w:rFonts w:ascii="arial" w:hAnsi="arial"/>
          <w:sz w:val="20"/>
        </w:rPr>
      </w:pPr>
      <w:r>
        <w:rPr>
          <w:rFonts w:ascii="arial" w:hAnsi="arial"/>
          <w:sz w:val="20"/>
        </w:rPr>
        <w:t xml:space="preserve">Upon request, we will provide, without charge, to each person, including any beneficial owner, to whom a copy of this prospectus supplement and the accompanying prospectus is delivered a copy of the documents incorporated by reference into this prospectus supplement. You may request a copy of these filings, and any exhibits we have specifically incorporated by reference as an exhibit in this prospectus supplement and the accompanying prospectus, at no cost by writing or telephoning us at the following: </w:t>
      </w:r>
    </w:p>
    <w:p>
      <w:pPr>
        <w:pStyle w:val="TextBody"/>
        <w:bidi w:val="0"/>
        <w:spacing w:before="160" w:after="0"/>
        <w:jc w:val="center"/>
        <w:rPr>
          <w:rFonts w:ascii="arial" w:hAnsi="arial"/>
          <w:sz w:val="20"/>
        </w:rPr>
      </w:pPr>
      <w:r>
        <w:rPr>
          <w:rFonts w:ascii="arial" w:hAnsi="arial"/>
          <w:sz w:val="20"/>
        </w:rPr>
        <w:t xml:space="preserve">Revolution Medicines, Inc. </w:t>
      </w:r>
    </w:p>
    <w:p>
      <w:pPr>
        <w:pStyle w:val="TextBody"/>
        <w:bidi w:val="0"/>
        <w:spacing w:before="0" w:after="0"/>
        <w:jc w:val="center"/>
        <w:rPr>
          <w:rFonts w:ascii="arial" w:hAnsi="arial"/>
          <w:sz w:val="20"/>
        </w:rPr>
      </w:pPr>
      <w:r>
        <w:rPr>
          <w:rFonts w:ascii="arial" w:hAnsi="arial"/>
          <w:sz w:val="20"/>
        </w:rPr>
        <w:t xml:space="preserve">700 Saginaw Drive </w:t>
      </w:r>
    </w:p>
    <w:p>
      <w:pPr>
        <w:pStyle w:val="TextBody"/>
        <w:bidi w:val="0"/>
        <w:spacing w:before="0" w:after="0"/>
        <w:jc w:val="center"/>
        <w:rPr>
          <w:rFonts w:ascii="arial" w:hAnsi="arial"/>
          <w:sz w:val="20"/>
        </w:rPr>
      </w:pPr>
      <w:r>
        <w:rPr>
          <w:rFonts w:ascii="arial" w:hAnsi="arial"/>
          <w:sz w:val="20"/>
        </w:rPr>
        <w:t xml:space="preserve">Redwood City, California 94063 </w:t>
      </w:r>
    </w:p>
    <w:p>
      <w:pPr>
        <w:pStyle w:val="TextBody"/>
        <w:bidi w:val="0"/>
        <w:spacing w:before="0" w:after="0"/>
        <w:jc w:val="center"/>
        <w:rPr>
          <w:rFonts w:ascii="arial" w:hAnsi="arial"/>
          <w:sz w:val="20"/>
        </w:rPr>
      </w:pPr>
      <w:r>
        <w:rPr>
          <w:rFonts w:ascii="arial" w:hAnsi="arial"/>
          <w:sz w:val="20"/>
        </w:rPr>
        <w:t xml:space="preserve">(650) 481-6801 </w:t>
      </w:r>
    </w:p>
    <w:p>
      <w:pPr>
        <w:pStyle w:val="TextBody"/>
        <w:bidi w:val="0"/>
        <w:spacing w:before="160" w:after="0"/>
        <w:jc w:val="left"/>
        <w:rPr>
          <w:rFonts w:ascii="arial" w:hAnsi="arial"/>
          <w:sz w:val="20"/>
        </w:rPr>
      </w:pPr>
      <w:r>
        <w:rPr>
          <w:rFonts w:ascii="arial" w:hAnsi="arial"/>
          <w:sz w:val="20"/>
        </w:rPr>
        <w:t xml:space="preserve">You may also access these documents free of charge on the SEC’s website at www.sec.gov or on the “Investors” page of our website at www.revmed.com. Other than such documents, information contained on our website is not incorporated by reference into this prospectus supplement and the accompanying prospectus, and you should not consider any information on, or that can be accessed from, our website as part of this prospectus supplement or the accompanying prospectus. </w:t>
      </w:r>
    </w:p>
    <w:p>
      <w:pPr>
        <w:pStyle w:val="TextBody"/>
        <w:bidi w:val="0"/>
        <w:spacing w:before="160" w:after="0"/>
        <w:jc w:val="left"/>
        <w:rPr>
          <w:rFonts w:ascii="arial" w:hAnsi="arial"/>
          <w:sz w:val="20"/>
        </w:rPr>
      </w:pPr>
      <w:r>
        <w:rPr>
          <w:rFonts w:ascii="arial" w:hAnsi="arial"/>
          <w:sz w:val="20"/>
        </w:rPr>
        <w:t xml:space="preserve">This prospectus supplement and the accompanying prospectus are part of a registration statement we filed with the SEC. We have incorporated exhibits into this registration statement. You should read the exhibits carefully for provisions that may be important to you.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593340" cy="79629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6"/>
                    <a:stretch>
                      <a:fillRect/>
                    </a:stretch>
                  </pic:blipFill>
                  <pic:spPr bwMode="auto">
                    <a:xfrm>
                      <a:off x="0" y="0"/>
                      <a:ext cx="2593340" cy="79629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Revolution Medicines, Inc.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center"/>
        <w:rPr>
          <w:rFonts w:ascii="Times New Roman" w:hAnsi="Times New Roman"/>
          <w:b/>
          <w:sz w:val="28"/>
        </w:rPr>
      </w:pPr>
      <w:r>
        <w:rPr>
          <w:rFonts w:ascii="Times New Roman" w:hAnsi="Times New Roman"/>
          <w:b/>
          <w:sz w:val="28"/>
        </w:rPr>
        <w:t xml:space="preserve">Units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We may offer and sell the securities identified above from time to time in one or more offerings. This prospectus provides you with a general description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together with the documents we incorporate by reference, before you invest in any of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OUR SECURITIES INVOLVES RISKS. SEE THE SECTION ENTITLED “</w:t>
      </w:r>
      <w:hyperlink w:anchor="tx93698_4">
        <w:r>
          <w:rPr>
            <w:rStyle w:val="InternetLink"/>
            <w:rFonts w:ascii="Times New Roman" w:hAnsi="Times New Roman"/>
            <w:b/>
            <w:sz w:val="24"/>
          </w:rPr>
          <w:t>RISK FACTORS</w:t>
        </w:r>
      </w:hyperlink>
      <w:r>
        <w:rPr>
          <w:rFonts w:ascii="Times New Roman" w:hAnsi="Times New Roman"/>
          <w:b/>
          <w:sz w:val="24"/>
        </w:rPr>
        <w:t xml:space="preserve">” ON PAGE 5 OF THIS PROSPECTUS AND ANY SIMILAR SECTION CONTAINED IN THE APPLICABLE PROSPECTUS SUPPLEMENT CONCERNING FACTORS YOU SHOULD CONSIDER BEFORE INVESTING IN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and public warrants are listed on the Nasdaq Global Select Market under the symbol “RVMD” and “RVMDW,” respectively. On February 29, 2024, the last reported sale price of our common stock on the Nasdaq Global Select Market was $29.48 per share and the last reported sale price of our public warrants on the Nasdaq Global Select Market was $0.2053 per warrant. None of the other securities we may offer are currently traded on any securities exchange. The applicable prospectus supplement and any related free writing prospectus will contain information, where applicable, as to any other listing on the Nasdaq Global Select Market or any securities market or exchange of the securities covered by the prospectus supplement and any related free writing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March 4, 2024.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49"/>
        <w:gridCol w:w="170"/>
        <w:gridCol w:w="60"/>
        <w:gridCol w:w="264"/>
        <w:gridCol w:w="62"/>
      </w:tblGrid>
      <w:tr>
        <w:trPr/>
        <w:tc>
          <w:tcPr>
            <w:tcW w:w="9649"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649" w:type="dxa"/>
            <w:tcBorders/>
            <w:vAlign w:val="bottom"/>
          </w:tcPr>
          <w:p>
            <w:pPr>
              <w:pStyle w:val="TableContents"/>
              <w:bidi w:val="0"/>
              <w:spacing w:before="0" w:after="0"/>
              <w:jc w:val="left"/>
              <w:rPr/>
            </w:pPr>
            <w:hyperlink w:anchor="tx93698_1">
              <w:r>
                <w:rPr>
                  <w:rStyle w:val="InternetLink"/>
                  <w:rFonts w:ascii="Times New Roman" w:hAnsi="Times New Roman"/>
                  <w:sz w:val="20"/>
                </w:rPr>
                <w:t>ABOUT THIS PROSPECTUS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649" w:type="dxa"/>
            <w:tcBorders/>
            <w:vAlign w:val="bottom"/>
          </w:tcPr>
          <w:p>
            <w:pPr>
              <w:pStyle w:val="TableContents"/>
              <w:bidi w:val="0"/>
              <w:spacing w:before="0" w:after="0"/>
              <w:jc w:val="left"/>
              <w:rPr/>
            </w:pPr>
            <w:hyperlink w:anchor="tx93698_2">
              <w:r>
                <w:rPr>
                  <w:rStyle w:val="InternetLink"/>
                  <w:rFonts w:ascii="Times New Roman" w:hAnsi="Times New Roman"/>
                  <w:sz w:val="20"/>
                </w:rPr>
                <w:t>WHERE YOU CAN FIND MORE INFORMATION; INCORPORATION BY REFERENCE</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649" w:type="dxa"/>
            <w:tcBorders/>
            <w:vAlign w:val="bottom"/>
          </w:tcPr>
          <w:p>
            <w:pPr>
              <w:pStyle w:val="TableContents"/>
              <w:bidi w:val="0"/>
              <w:spacing w:before="0" w:after="0"/>
              <w:jc w:val="left"/>
              <w:rPr/>
            </w:pPr>
            <w:hyperlink w:anchor="tx93698_3">
              <w:r>
                <w:rPr>
                  <w:rStyle w:val="InternetLink"/>
                  <w:rFonts w:ascii="Times New Roman" w:hAnsi="Times New Roman"/>
                  <w:sz w:val="20"/>
                </w:rPr>
                <w:t>ABOUT THE COMPANY</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649" w:type="dxa"/>
            <w:tcBorders/>
            <w:vAlign w:val="bottom"/>
          </w:tcPr>
          <w:p>
            <w:pPr>
              <w:pStyle w:val="TableContents"/>
              <w:bidi w:val="0"/>
              <w:spacing w:before="0" w:after="0"/>
              <w:jc w:val="left"/>
              <w:rPr/>
            </w:pPr>
            <w:hyperlink w:anchor="tx93698_4">
              <w:r>
                <w:rPr>
                  <w:rStyle w:val="InternetLink"/>
                  <w:rFonts w:ascii="Times New Roman" w:hAnsi="Times New Roman"/>
                  <w:sz w:val="20"/>
                </w:rPr>
                <w:t>RISK FACTORS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649" w:type="dxa"/>
            <w:tcBorders/>
            <w:vAlign w:val="bottom"/>
          </w:tcPr>
          <w:p>
            <w:pPr>
              <w:pStyle w:val="TableContents"/>
              <w:bidi w:val="0"/>
              <w:spacing w:before="0" w:after="0"/>
              <w:jc w:val="left"/>
              <w:rPr/>
            </w:pPr>
            <w:hyperlink w:anchor="tx93698_5">
              <w:r>
                <w:rPr>
                  <w:rStyle w:val="InternetLink"/>
                  <w:rFonts w:ascii="Times New Roman" w:hAnsi="Times New Roman"/>
                  <w:sz w:val="20"/>
                </w:rPr>
                <w:t>USE OF PROCEEDS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649" w:type="dxa"/>
            <w:tcBorders/>
            <w:vAlign w:val="bottom"/>
          </w:tcPr>
          <w:p>
            <w:pPr>
              <w:pStyle w:val="TableContents"/>
              <w:bidi w:val="0"/>
              <w:spacing w:before="0" w:after="0"/>
              <w:jc w:val="left"/>
              <w:rPr/>
            </w:pPr>
            <w:hyperlink w:anchor="tx93698_6">
              <w:r>
                <w:rPr>
                  <w:rStyle w:val="InternetLink"/>
                  <w:rFonts w:ascii="Times New Roman" w:hAnsi="Times New Roman"/>
                  <w:sz w:val="20"/>
                </w:rPr>
                <w:t>DESCRIPTION OF CAPITAL STOCK</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649" w:type="dxa"/>
            <w:tcBorders/>
            <w:vAlign w:val="bottom"/>
          </w:tcPr>
          <w:p>
            <w:pPr>
              <w:pStyle w:val="TableContents"/>
              <w:bidi w:val="0"/>
              <w:spacing w:before="0" w:after="0"/>
              <w:jc w:val="left"/>
              <w:rPr/>
            </w:pPr>
            <w:hyperlink w:anchor="tx93698_7">
              <w:r>
                <w:rPr>
                  <w:rStyle w:val="InternetLink"/>
                  <w:rFonts w:ascii="Times New Roman" w:hAnsi="Times New Roman"/>
                  <w:sz w:val="20"/>
                </w:rPr>
                <w:t>DESCRIPTION OF DEBT SECURITIES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c>
          <w:tcPr>
            <w:tcW w:w="9649" w:type="dxa"/>
            <w:tcBorders/>
            <w:vAlign w:val="bottom"/>
          </w:tcPr>
          <w:p>
            <w:pPr>
              <w:pStyle w:val="TableContents"/>
              <w:bidi w:val="0"/>
              <w:spacing w:before="0" w:after="0"/>
              <w:jc w:val="left"/>
              <w:rPr/>
            </w:pPr>
            <w:hyperlink w:anchor="tx93698_8">
              <w:r>
                <w:rPr>
                  <w:rStyle w:val="InternetLink"/>
                  <w:rFonts w:ascii="Times New Roman" w:hAnsi="Times New Roman"/>
                  <w:sz w:val="20"/>
                </w:rPr>
                <w:t>DESCRIPTION OF OTHER SECURITIES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c>
          <w:tcPr>
            <w:tcW w:w="9649" w:type="dxa"/>
            <w:tcBorders/>
            <w:vAlign w:val="bottom"/>
          </w:tcPr>
          <w:p>
            <w:pPr>
              <w:pStyle w:val="TableContents"/>
              <w:bidi w:val="0"/>
              <w:spacing w:before="0" w:after="0"/>
              <w:jc w:val="left"/>
              <w:rPr/>
            </w:pPr>
            <w:hyperlink w:anchor="tx93698_9">
              <w:r>
                <w:rPr>
                  <w:rStyle w:val="InternetLink"/>
                  <w:rFonts w:ascii="Times New Roman" w:hAnsi="Times New Roman"/>
                  <w:sz w:val="20"/>
                </w:rPr>
                <w:t>GLOBAL SECURITIES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r>
        <w:trPr/>
        <w:tc>
          <w:tcPr>
            <w:tcW w:w="9649" w:type="dxa"/>
            <w:tcBorders/>
            <w:vAlign w:val="bottom"/>
          </w:tcPr>
          <w:p>
            <w:pPr>
              <w:pStyle w:val="TableContents"/>
              <w:bidi w:val="0"/>
              <w:spacing w:before="0" w:after="0"/>
              <w:jc w:val="left"/>
              <w:rPr/>
            </w:pPr>
            <w:hyperlink w:anchor="tx93698_10">
              <w:r>
                <w:rPr>
                  <w:rStyle w:val="InternetLink"/>
                  <w:rFonts w:ascii="Times New Roman" w:hAnsi="Times New Roman"/>
                  <w:sz w:val="20"/>
                </w:rPr>
                <w:t>PLAN OF DISTRIBUTION</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c>
          <w:tcPr>
            <w:tcW w:w="9649" w:type="dxa"/>
            <w:tcBorders/>
            <w:vAlign w:val="bottom"/>
          </w:tcPr>
          <w:p>
            <w:pPr>
              <w:pStyle w:val="TableContents"/>
              <w:bidi w:val="0"/>
              <w:spacing w:before="0" w:after="0"/>
              <w:jc w:val="left"/>
              <w:rPr/>
            </w:pPr>
            <w:hyperlink w:anchor="tx93698_11">
              <w:r>
                <w:rPr>
                  <w:rStyle w:val="InternetLink"/>
                  <w:rFonts w:ascii="Times New Roman" w:hAnsi="Times New Roman"/>
                  <w:sz w:val="20"/>
                </w:rPr>
                <w:t>LEGAL MATTERS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r>
        <w:trPr/>
        <w:tc>
          <w:tcPr>
            <w:tcW w:w="9649" w:type="dxa"/>
            <w:tcBorders/>
            <w:vAlign w:val="bottom"/>
          </w:tcPr>
          <w:p>
            <w:pPr>
              <w:pStyle w:val="TableContents"/>
              <w:bidi w:val="0"/>
              <w:spacing w:before="0" w:after="0"/>
              <w:jc w:val="left"/>
              <w:rPr/>
            </w:pPr>
            <w:hyperlink w:anchor="tx93698_12">
              <w:r>
                <w:rPr>
                  <w:rStyle w:val="InternetLink"/>
                  <w:rFonts w:ascii="Times New Roman" w:hAnsi="Times New Roman"/>
                  <w:sz w:val="20"/>
                </w:rPr>
                <w:t>EXPERTS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8" w:name="tx93698_1"/>
      <w:bookmarkEnd w:id="18"/>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filed with the U.S. Securities and Exchange Commission (the “SEC”), as a “well-known seasoned issuer” as defined in Rule 405 under the Securities Act of 1933, as amended, using a “shelf” registration process. By using a shelf registration statement, we may sell securities from time to time and in one or more offerings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provided that, if any statement in one of these documents is inconsistent with a statement in another document having a later date—for example, a document incorporated by reference in this prospectus or any prospectus supplement—the statement in the document having the later date modifies or supersedes the earlier statement. Before purchasing any securities, you should carefully read both this prospectus and the applicable prospectus supplement (and any applicable free writing prospectuses), together with the additional information described under the heading “Where You Can Find More Information; 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We have not authorized anyone to provide you with any information or to make any representations other than those contained in, or incorporated by reference into,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 </w:t>
      </w:r>
    </w:p>
    <w:p>
      <w:pPr>
        <w:pStyle w:val="TextBody"/>
        <w:bidi w:val="0"/>
        <w:spacing w:before="240" w:after="0"/>
        <w:jc w:val="left"/>
        <w:rPr>
          <w:rFonts w:ascii="Times New Roman" w:hAnsi="Times New Roman"/>
          <w:sz w:val="20"/>
        </w:rPr>
      </w:pPr>
      <w:r>
        <w:rPr>
          <w:rFonts w:ascii="Times New Roman" w:hAnsi="Times New Roman"/>
          <w:sz w:val="20"/>
        </w:rPr>
        <w:t xml:space="preserve">When we refer to “Revolution Medicines,” “we,” “our,” “us” and the “Company” in this prospectus, we mean Revolution Medicines, Inc. and its subsidiaries taken as a whole, unless otherwise specified. When we refer to “you,” we mean the potential holders of the applicable series of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also includes trademarks, tradenames, and service marks that are the property of other organizations. Solely for convenience, trademarks and tradenames referred to in this prospectus appear without the ® or  symbols, but those references are not intended to indicate, in any way, that we will not assert, to the fullest extent under applicable law, our rights, or that right of the applicable owner will not assert its rights to these trademarks and tradenames.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9" w:name="tx93698_2"/>
      <w:bookmarkEnd w:id="19"/>
      <w:r>
        <w:rPr>
          <w:rFonts w:ascii="Times New Roman" w:hAnsi="Times New Roman"/>
          <w:b/>
          <w:sz w:val="20"/>
        </w:rPr>
        <w:t xml:space="preserve">WHERE YOU CAN FIND MORE INFORMATION; INCORPORATION BY REFERENCE </w:t>
      </w:r>
    </w:p>
    <w:p>
      <w:pPr>
        <w:pStyle w:val="TextBody"/>
        <w:bidi w:val="0"/>
        <w:spacing w:before="240" w:after="0"/>
        <w:jc w:val="left"/>
        <w:rPr>
          <w:rFonts w:ascii="Times New Roman" w:hAnsi="Times New Roman"/>
          <w:b/>
          <w:sz w:val="20"/>
        </w:rPr>
      </w:pPr>
      <w:r>
        <w:rPr>
          <w:rFonts w:ascii="Times New Roman" w:hAnsi="Times New Roman"/>
          <w:b/>
          <w:sz w:val="20"/>
        </w:rPr>
        <w:t xml:space="preserve">Available Information </w:t>
      </w:r>
    </w:p>
    <w:p>
      <w:pPr>
        <w:pStyle w:val="TextBody"/>
        <w:bidi w:val="0"/>
        <w:spacing w:before="120" w:after="0"/>
        <w:jc w:val="left"/>
        <w:rPr>
          <w:rFonts w:ascii="Times New Roman" w:hAnsi="Times New Roman"/>
          <w:sz w:val="20"/>
        </w:rPr>
      </w:pPr>
      <w:r>
        <w:rPr>
          <w:rFonts w:ascii="Times New Roman" w:hAnsi="Times New Roman"/>
          <w:sz w:val="20"/>
        </w:rPr>
        <w:t xml:space="preserve">We file reports, proxy statements and other information with the SEC. The SEC maintains a website that contains reports, proxy and information statements and other information about issuers, such as us, who file electronically with the SEC. The address of that website is </w:t>
      </w:r>
      <w:r>
        <w:rPr>
          <w:rFonts w:ascii="Times New Roman" w:hAnsi="Times New Roman"/>
          <w:i/>
          <w:sz w:val="20"/>
        </w:rPr>
        <w:t>www.sec.gov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Our website address is </w:t>
      </w:r>
      <w:r>
        <w:rPr>
          <w:rFonts w:ascii="Times New Roman" w:hAnsi="Times New Roman"/>
          <w:i/>
          <w:sz w:val="20"/>
        </w:rPr>
        <w:t>www.revmed.com</w:t>
      </w:r>
      <w:r>
        <w:rPr>
          <w:rFonts w:ascii="Times New Roman" w:hAnsi="Times New Roman"/>
          <w:sz w:val="20"/>
        </w:rPr>
        <w:t xml:space="preserve">. The information on, or accessible through, our website, however, is not, and should not be deemed to be, a part of this prospectus or any prospectus supplement. We have included our website address as an inactive textual reference only.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of which this prospectus forms a part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w:t>
      </w:r>
    </w:p>
    <w:p>
      <w:pPr>
        <w:pStyle w:val="TextBody"/>
        <w:bidi w:val="0"/>
        <w:spacing w:before="360" w:after="0"/>
        <w:jc w:val="left"/>
        <w:rPr>
          <w:rFonts w:ascii="Times New Roman" w:hAnsi="Times New Roman"/>
          <w:b/>
          <w:sz w:val="20"/>
        </w:rPr>
      </w:pPr>
      <w:r>
        <w:rPr>
          <w:rFonts w:ascii="Times New Roman" w:hAnsi="Times New Roman"/>
          <w:b/>
          <w:sz w:val="20"/>
        </w:rPr>
        <w:t xml:space="preserve">Incorporation by Reference </w:t>
      </w:r>
    </w:p>
    <w:p>
      <w:pPr>
        <w:pStyle w:val="TextBody"/>
        <w:bidi w:val="0"/>
        <w:spacing w:before="120" w:after="0"/>
        <w:jc w:val="left"/>
        <w:rPr>
          <w:rFonts w:ascii="Times New Roman" w:hAnsi="Times New Roman"/>
          <w:sz w:val="20"/>
        </w:rPr>
      </w:pPr>
      <w:r>
        <w:rPr>
          <w:rFonts w:ascii="Times New Roman" w:hAnsi="Times New Roman"/>
          <w:sz w:val="20"/>
        </w:rPr>
        <w:t xml:space="preserve">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 </w:t>
      </w:r>
    </w:p>
    <w:p>
      <w:pPr>
        <w:pStyle w:val="TextBody"/>
        <w:bidi w:val="0"/>
        <w:spacing w:before="240" w:after="0"/>
        <w:jc w:val="left"/>
        <w:rPr>
          <w:rFonts w:ascii="Times New Roman" w:hAnsi="Times New Roman"/>
          <w:sz w:val="20"/>
        </w:rPr>
      </w:pPr>
      <w:r>
        <w:rPr>
          <w:rFonts w:ascii="Times New Roman" w:hAnsi="Times New Roman"/>
          <w:sz w:val="20"/>
        </w:rPr>
        <w:t xml:space="preserve">We incorporate by reference our documents listed below and any future filings made by us with the SEC under Sections 13(a), 13(c), 14 or 15(d) of the Securities Exchange Act of 1934, as amended, which we refer to as the “Exchange Act” in this prospectus, between the date of this prospectus and the termination of the offering of the securities described in this prospectus. We are not, however, incorporating by reference any documents or portions thereof, whether specifically listed below or filed in the future, that are not deemed “filed” with the SEC, including any Compensation Committee report, Audit Committee report, performance graph or any information furnished pursuant to Items 2.02 or 7.01 of Form 8-K or related exhibits furnished pursuant to Item 9.01 of Form 8-K.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accompanying prospectus supplement incorporate by reference the documents set forth below that have previously been filed with the SEC: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7">
              <w:r>
                <w:rPr>
                  <w:rStyle w:val="InternetLink"/>
                  <w:rFonts w:ascii="Times New Roman" w:hAnsi="Times New Roman"/>
                  <w:sz w:val="20"/>
                </w:rPr>
                <w:t>Form 10-K</w:t>
              </w:r>
            </w:hyperlink>
            <w:r>
              <w:rPr>
                <w:rFonts w:ascii="Times New Roman" w:hAnsi="Times New Roman"/>
                <w:sz w:val="20"/>
              </w:rPr>
              <w:t xml:space="preserve"> for the year ended December 31, 2023, filed with the SEC on February 26,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contained in </w:t>
            </w:r>
            <w:hyperlink r:id="rId8">
              <w:r>
                <w:rPr>
                  <w:rStyle w:val="InternetLink"/>
                  <w:rFonts w:ascii="Times New Roman" w:hAnsi="Times New Roman"/>
                  <w:sz w:val="20"/>
                </w:rPr>
                <w:t>Exhibit 4.3</w:t>
              </w:r>
            </w:hyperlink>
            <w:r>
              <w:rPr>
                <w:rFonts w:ascii="Times New Roman" w:hAnsi="Times New Roman"/>
                <w:sz w:val="20"/>
              </w:rPr>
              <w:t xml:space="preserve"> of our Annual Report on Form 10-K for the year ended December 31, 2023, filed with the SEC on February 26, 2024, including any amendment or reports filed for the purposes of updating this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reports and other documents we subsequently file pursuant to Section 13(a), 13(c), 14 or 15(d) of the Exchange Act prior to the termination of this offering, but excluding any information furnished to, rather than filed with, the SEC, will also be incorporated by reference into this prospectus and deemed to be part of this prospectus from the date of the filing of such reports and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You may request a free copy of any of the documents incorporated by reference in this prospectus by writing or telephoning us at the following address: </w:t>
      </w:r>
    </w:p>
    <w:p>
      <w:pPr>
        <w:pStyle w:val="TextBody"/>
        <w:bidi w:val="0"/>
        <w:spacing w:before="240" w:after="0"/>
        <w:jc w:val="center"/>
        <w:rPr>
          <w:rFonts w:ascii="Times New Roman" w:hAnsi="Times New Roman"/>
          <w:sz w:val="20"/>
        </w:rPr>
      </w:pPr>
      <w:r>
        <w:rPr>
          <w:rFonts w:ascii="Times New Roman" w:hAnsi="Times New Roman"/>
          <w:sz w:val="20"/>
        </w:rPr>
        <w:t xml:space="preserve">Revolution Medicines, Inc. </w:t>
      </w:r>
    </w:p>
    <w:p>
      <w:pPr>
        <w:pStyle w:val="TextBody"/>
        <w:bidi w:val="0"/>
        <w:spacing w:before="0" w:after="0"/>
        <w:jc w:val="center"/>
        <w:rPr>
          <w:rFonts w:ascii="Times New Roman" w:hAnsi="Times New Roman"/>
          <w:sz w:val="20"/>
        </w:rPr>
      </w:pPr>
      <w:r>
        <w:rPr>
          <w:rFonts w:ascii="Times New Roman" w:hAnsi="Times New Roman"/>
          <w:sz w:val="20"/>
        </w:rPr>
        <w:t xml:space="preserve">700 Saginaw Drive </w:t>
      </w:r>
    </w:p>
    <w:p>
      <w:pPr>
        <w:pStyle w:val="TextBody"/>
        <w:bidi w:val="0"/>
        <w:spacing w:before="0" w:after="0"/>
        <w:jc w:val="center"/>
        <w:rPr>
          <w:rFonts w:ascii="Times New Roman" w:hAnsi="Times New Roman"/>
          <w:sz w:val="20"/>
        </w:rPr>
      </w:pPr>
      <w:r>
        <w:rPr>
          <w:rFonts w:ascii="Times New Roman" w:hAnsi="Times New Roman"/>
          <w:sz w:val="20"/>
        </w:rPr>
        <w:t xml:space="preserve">Redwood City, California 94063 </w:t>
      </w:r>
    </w:p>
    <w:p>
      <w:pPr>
        <w:pStyle w:val="TextBody"/>
        <w:bidi w:val="0"/>
        <w:spacing w:before="0" w:after="0"/>
        <w:jc w:val="center"/>
        <w:rPr>
          <w:rFonts w:ascii="Times New Roman" w:hAnsi="Times New Roman"/>
          <w:sz w:val="20"/>
        </w:rPr>
      </w:pPr>
      <w:r>
        <w:rPr>
          <w:rFonts w:ascii="Times New Roman" w:hAnsi="Times New Roman"/>
          <w:sz w:val="20"/>
        </w:rPr>
        <w:t xml:space="preserve">(650) 481-6801 </w:t>
      </w:r>
    </w:p>
    <w:p>
      <w:pPr>
        <w:pStyle w:val="TextBody"/>
        <w:bidi w:val="0"/>
        <w:spacing w:before="0" w:after="0"/>
        <w:jc w:val="center"/>
        <w:rPr>
          <w:rFonts w:ascii="Times New Roman" w:hAnsi="Times New Roman"/>
          <w:sz w:val="20"/>
        </w:rPr>
      </w:pPr>
      <w:r>
        <w:rPr>
          <w:rFonts w:ascii="Times New Roman" w:hAnsi="Times New Roman"/>
          <w:sz w:val="20"/>
        </w:rPr>
        <w:t xml:space="preserve">Attention: Investor Relations </w:t>
      </w:r>
    </w:p>
    <w:p>
      <w:pPr>
        <w:pStyle w:val="TextBody"/>
        <w:bidi w:val="0"/>
        <w:spacing w:before="240" w:after="0"/>
        <w:jc w:val="left"/>
        <w:rPr>
          <w:rFonts w:ascii="Times New Roman" w:hAnsi="Times New Roman"/>
          <w:sz w:val="20"/>
        </w:rPr>
      </w:pPr>
      <w:r>
        <w:rPr>
          <w:rFonts w:ascii="Times New Roman" w:hAnsi="Times New Roman"/>
          <w:sz w:val="20"/>
        </w:rPr>
        <w:t xml:space="preserve">Exhibits to the filings will not be sent, however, unless those exhibits have specifically been incorporated by reference in this prospectus or any accompanying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0" w:name="tx93698_3"/>
      <w:bookmarkEnd w:id="20"/>
      <w:r>
        <w:rPr>
          <w:rFonts w:ascii="Times New Roman" w:hAnsi="Times New Roman"/>
          <w:b/>
          <w:sz w:val="20"/>
        </w:rPr>
        <w:t xml:space="preserve">ABOUT THE COMPANY </w:t>
      </w:r>
    </w:p>
    <w:p>
      <w:pPr>
        <w:pStyle w:val="TextBody"/>
        <w:bidi w:val="0"/>
        <w:spacing w:before="240" w:after="0"/>
        <w:jc w:val="left"/>
        <w:rPr>
          <w:rFonts w:ascii="Times New Roman" w:hAnsi="Times New Roman"/>
          <w:sz w:val="20"/>
        </w:rPr>
      </w:pPr>
      <w:r>
        <w:rPr>
          <w:rFonts w:ascii="Times New Roman" w:hAnsi="Times New Roman"/>
          <w:sz w:val="20"/>
        </w:rPr>
        <w:t xml:space="preserve">We are a clinical-stage precision oncology company developing novel targeted therapies for RAS-addicted cancers. We possess sophisticated structure-based drug discovery capabilities built upon deep chemical biology and cancer pharmacology know-how and innovative, proprietary technologies that enable the creation of small molecules tailored to unconventional binding sites. Guided by our understanding of genetic drivers and adaptive resistance mechanisms in cancer, we deploy precision medicine approaches to inform innovative monotherapy and combination regimens. </w:t>
      </w:r>
    </w:p>
    <w:p>
      <w:pPr>
        <w:pStyle w:val="TextBody"/>
        <w:bidi w:val="0"/>
        <w:spacing w:before="240" w:after="0"/>
        <w:jc w:val="left"/>
        <w:rPr>
          <w:rFonts w:ascii="Times New Roman" w:hAnsi="Times New Roman"/>
          <w:sz w:val="20"/>
        </w:rPr>
      </w:pPr>
      <w:r>
        <w:rPr>
          <w:rFonts w:ascii="Times New Roman" w:hAnsi="Times New Roman"/>
          <w:sz w:val="20"/>
        </w:rPr>
        <w:t xml:space="preserve">Our research and development pipeline comprises RAS(ON) inhibitors that bind directly to RAS variants, which we refer to as RAS(ON) Inhibitors, and RAS companion inhibitors that target key nodes in the RAS pathway or associated pathways, which we refer to as RAS Companion Inhibitors. Our RAS(ON) Inhibitors are designed to be used as monotherapy, in combination with other RAS(ON) Inhibitors and/or in combination with RAS Companion Inhibitors or other therapeutic agents. Our RAS Companion Inhibitors are designed primarily for combination treatment strategies centered on our RAS(ON) Inhibitors. </w:t>
      </w:r>
    </w:p>
    <w:p>
      <w:pPr>
        <w:pStyle w:val="TextBody"/>
        <w:bidi w:val="0"/>
        <w:spacing w:before="240" w:after="0"/>
        <w:jc w:val="left"/>
        <w:rPr>
          <w:rFonts w:ascii="Times New Roman" w:hAnsi="Times New Roman"/>
          <w:sz w:val="20"/>
        </w:rPr>
      </w:pPr>
      <w:r>
        <w:rPr>
          <w:rFonts w:ascii="Times New Roman" w:hAnsi="Times New Roman"/>
          <w:sz w:val="20"/>
        </w:rPr>
        <w:t xml:space="preserve">We were founded in October 2014 as a Delaware corporation. Our principal executive offices are located at 700 Saginaw Drive, Redwood City, California 94063, and our telephone number is (650) 481-6801. Our website address is </w:t>
      </w:r>
      <w:r>
        <w:rPr>
          <w:rFonts w:ascii="Times New Roman" w:hAnsi="Times New Roman"/>
          <w:i/>
          <w:sz w:val="20"/>
        </w:rPr>
        <w:t>www.revmed.com</w:t>
      </w:r>
      <w:r>
        <w:rPr>
          <w:rFonts w:ascii="Times New Roman" w:hAnsi="Times New Roman"/>
          <w:sz w:val="20"/>
        </w:rPr>
        <w:t xml:space="preserve">. The information on, or that can be accessed through, our website is not part of this prospectus and is not incorporated by reference herein. We have included our website address as an inactive textual reference only.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1" w:name="tx93698_4"/>
      <w:bookmarkEnd w:id="21"/>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Investment in any securities offered pursuant to this prospectus and the applicable prospectus supplement involves risks. You should carefully consider the risk factors incorporated by reference to our most recent Annual Report on Form 10-K and any subsequent Quarterly Reports on Form 10-Q or Current Reports on Form 8-K we file after the date of this prospectus, and all other information contained or incorporated by reference into this prospectus, as updated by our subsequent filings under the Exchange Act, and the risk factors and other information contained in the applicable prospectus supplement and any applicable free writing prospectus before acquiring any of such securities. The occurrence of any of these risks might cause you to lose all or part of your investment in the offered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2" w:name="tx93698_5"/>
      <w:bookmarkEnd w:id="22"/>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net proceeds from the sale of the securities as set forth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3" w:name="tx93698_6"/>
      <w:bookmarkEnd w:id="23"/>
      <w:r>
        <w:rPr>
          <w:rFonts w:ascii="Times New Roman" w:hAnsi="Times New Roman"/>
          <w:b/>
          <w:sz w:val="20"/>
        </w:rPr>
        <w:t xml:space="preserve">DESCRIPTION OF CAPITAL STOCK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summary describes our capital stock and is a summary and does not purport to be complete. It is subject to and qualified in its entirety by reference to our amended and restated certificate of incorporation; our amended and restated bylaws; our amended and restated investors’ rights agreement to which we and certain of our stockholders are parties; the warrant-related documents described herein and the earn-out related documents described herein, each of which are incorporated by reference as exhibits to the registration statement of which this prospectus forms a part, and by applicable law. We encourage you to read our amended and restated certificate of incorporation; our amended and restated bylaws; our amended and restated investors’ rights agreement; the warrant-related documents described herein; the earn-out related documents described herein and the applicable provisions of Delaware law for more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Our authorized capital stock consists of 310,000,000 shares, consisting of 300,000,000 shares of common stock, $0.0001 par value, and 10,000,000 shares of preferred stock, $0.0001 par value.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Each holder of our common stock is entitled to one vote for each share on all matters submitted to a vote of the stockholders, including the election of directors. Our stockholders do not have cumulative voting rights in the election of directors. Accordingly, holders of a majority of the voting shares are able to elect all of the directors. In addition, the affirmative vote of holders of 66-2/3% of the voting power of all of the then outstanding voting stock is required to take certain actions, including amending certain provisions of our amended and restated certificate of incorporation, such as the provisions relating to amending our amended and restated bylaws, the classified board and director liability.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Subject to preferences that may be applicable to any then outstanding preferred stock, holders of our common stock are entitled to receive dividends, if any, as may be declared from time to time by our board of directors out of legally available funds.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Liquidation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our liquidation, dissolution or winding up, holders of our common stock are entitled to share ratably in the net assets legally available for distribution to stockholders after the payment of all of our debts and other liabilities and the satisfaction of any liquidation preference granted to the holders of any then outstanding shares of preferred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Rights and Preferences </w:t>
      </w:r>
    </w:p>
    <w:p>
      <w:pPr>
        <w:pStyle w:val="TextBody"/>
        <w:bidi w:val="0"/>
        <w:spacing w:before="120" w:after="0"/>
        <w:jc w:val="left"/>
        <w:rPr>
          <w:rFonts w:ascii="Times New Roman" w:hAnsi="Times New Roman"/>
          <w:sz w:val="20"/>
        </w:rPr>
      </w:pPr>
      <w:r>
        <w:rPr>
          <w:rFonts w:ascii="Times New Roman" w:hAnsi="Times New Roman"/>
          <w:sz w:val="20"/>
        </w:rPr>
        <w:t xml:space="preserve">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Fully Paid and Nonassessable </w:t>
      </w:r>
    </w:p>
    <w:p>
      <w:pPr>
        <w:pStyle w:val="TextBody"/>
        <w:bidi w:val="0"/>
        <w:spacing w:before="120" w:after="0"/>
        <w:jc w:val="left"/>
        <w:rPr>
          <w:rFonts w:ascii="Times New Roman" w:hAnsi="Times New Roman"/>
          <w:sz w:val="20"/>
        </w:rPr>
      </w:pPr>
      <w:r>
        <w:rPr>
          <w:rFonts w:ascii="Times New Roman" w:hAnsi="Times New Roman"/>
          <w:sz w:val="20"/>
        </w:rPr>
        <w:t xml:space="preserve">All of our outstanding shares of common stock are fully paid and nonassessable.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Warrants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Public Warrants </w:t>
      </w:r>
    </w:p>
    <w:p>
      <w:pPr>
        <w:pStyle w:val="TextBody"/>
        <w:bidi w:val="0"/>
        <w:spacing w:before="120" w:after="0"/>
        <w:jc w:val="left"/>
        <w:rPr>
          <w:rFonts w:ascii="Times New Roman" w:hAnsi="Times New Roman"/>
          <w:sz w:val="20"/>
        </w:rPr>
      </w:pPr>
      <w:r>
        <w:rPr>
          <w:rFonts w:ascii="Times New Roman" w:hAnsi="Times New Roman"/>
          <w:sz w:val="20"/>
        </w:rPr>
        <w:t xml:space="preserve">Each of our public warrants entitles the registered holder thereof to purchase 0.1112 shares of our common stock at an exercise price of $11.50 per such fractional share, subject to adjustment as discussed below. Pursuant to that certain Warrant Agreement, dated April 6, 2021, between EQRx, Inc. (“EQRx”) and Continental Stock Transfer &amp; Trust Company (the “Warrant Agreement”), a warrant holder may exercise its public warrants only for a whole number of shares of common stock. If, upon exercise of the public warrants, a holder would be entitled to receive a fractional interest in a share, we will, upon exercise, round down to the nearest whole number the number of shares of common stock to be issued to the warrant holder. The public warrants expire December 17, 2026, at 5:00 p.m., New York City time, or earlier upon redemption or liquidation. </w:t>
      </w:r>
    </w:p>
    <w:p>
      <w:pPr>
        <w:pStyle w:val="TextBody"/>
        <w:bidi w:val="0"/>
        <w:spacing w:before="240" w:after="0"/>
        <w:jc w:val="left"/>
        <w:rPr>
          <w:rFonts w:ascii="Times New Roman" w:hAnsi="Times New Roman"/>
          <w:sz w:val="20"/>
        </w:rPr>
      </w:pPr>
      <w:r>
        <w:rPr>
          <w:rFonts w:ascii="Times New Roman" w:hAnsi="Times New Roman"/>
          <w:sz w:val="20"/>
        </w:rPr>
        <w:t xml:space="preserve">We are not obligated to deliver any shares of common stock pursuant to the exercise of a public warrant and have no obligation to settle such public warrant exercise unless a registration statement under the Securities Act of 1933, as amended (the “Securities Act”) with respect to the shares of common stock underlying the public warrants is then effective and a prospectus relating thereto is current, subject to our satisfying our obligations described below with respect to registration. No public warrant will be exercisable for cash or on a cashless basis, and we will not be obligated to issue any shares to holders seeking to exercise their public warrants, unless the issuance of the shares upon such public warrant exercise is registered or qualified under the securities laws of the state of the exercising holder, or an exemption is available. In the event that the conditions in the two immediately preceding sentences are not satisfied with respect to a public warrant, the holder of such public warrant will not be entitled to exercise such public warrant and such public warrant may have no value and expire worthless. </w:t>
      </w:r>
    </w:p>
    <w:p>
      <w:pPr>
        <w:pStyle w:val="TextBody"/>
        <w:bidi w:val="0"/>
        <w:spacing w:before="240" w:after="0"/>
        <w:jc w:val="left"/>
        <w:rPr>
          <w:rFonts w:ascii="Times New Roman" w:hAnsi="Times New Roman"/>
          <w:sz w:val="20"/>
        </w:rPr>
      </w:pPr>
      <w:r>
        <w:rPr>
          <w:rFonts w:ascii="Times New Roman" w:hAnsi="Times New Roman"/>
          <w:sz w:val="20"/>
        </w:rPr>
        <w:t xml:space="preserve">During any period when we have failed to maintain an effective registration statement covering the shares of common stock issuable upon exercise of the public warrants, warrant holders have the right to exercise public warrants on a “cashless basis” in accordance with the provisions of the Warrant Agreement. Notwithstanding the above, if our common stock is at the time of any exercise of a public warrant not listed on a national securities exchange such that it satisfies the definition of a “covered security” under Section 18(b)(1) of the Securities Act, we may, at our option, require holders of public warrants who exercise their public warrants to do so on a “cashless basis” in accordance with Section 3(a)(9) of the Securities Act (or any successor rule). </w:t>
      </w:r>
    </w:p>
    <w:p>
      <w:pPr>
        <w:pStyle w:val="TextBody"/>
        <w:bidi w:val="0"/>
        <w:spacing w:before="240" w:after="0"/>
        <w:jc w:val="left"/>
        <w:rPr>
          <w:rFonts w:ascii="Times New Roman" w:hAnsi="Times New Roman"/>
          <w:sz w:val="20"/>
        </w:rPr>
      </w:pPr>
      <w:r>
        <w:rPr>
          <w:rFonts w:ascii="Times New Roman" w:hAnsi="Times New Roman"/>
          <w:i/>
          <w:sz w:val="20"/>
        </w:rPr>
        <w:t>Redemption of Warrants When the Price per Share of Common Stock Equals or Exceeds $161.87</w:t>
      </w:r>
      <w:r>
        <w:rPr>
          <w:rFonts w:ascii="Times New Roman" w:hAnsi="Times New Roman"/>
          <w:sz w:val="20"/>
        </w:rPr>
        <w:t xml:space="preserve"> — We may redeem the outstanding public warrants: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whole and not in part;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2"/>
        <w:gridCol w:w="9290"/>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price of $0.01 per public warrant;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not less than 30 days’ prior written notice of redemption to each warrant holder;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and only if, the closing price of the common stock equals or exceeds $161.87 per share (as adjusted) for any 20 trading days within a 30-trading day period ending three trading days before sending the notice of redemption to warrant holders.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and when the public warrants become redeemable, we may exercise our redemption right even if we are unable to register or qualify the underlying securities for sale under all applicable state securities laws. </w:t>
      </w:r>
    </w:p>
    <w:p>
      <w:pPr>
        <w:pStyle w:val="TextBody"/>
        <w:bidi w:val="0"/>
        <w:spacing w:before="240" w:after="0"/>
        <w:jc w:val="left"/>
        <w:rPr>
          <w:rFonts w:ascii="Times New Roman" w:hAnsi="Times New Roman"/>
          <w:sz w:val="20"/>
        </w:rPr>
      </w:pPr>
      <w:r>
        <w:rPr>
          <w:rFonts w:ascii="Times New Roman" w:hAnsi="Times New Roman"/>
          <w:i/>
          <w:sz w:val="20"/>
        </w:rPr>
        <w:t>Redemption of Warrants When the Price per Share of Common Stock Equals or Exceeds $89.93</w:t>
      </w:r>
      <w:r>
        <w:rPr>
          <w:rFonts w:ascii="Times New Roman" w:hAnsi="Times New Roman"/>
          <w:sz w:val="20"/>
        </w:rPr>
        <w:t xml:space="preserve"> — We may redeem the outstanding public warrants: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whole and not in part;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$0.10 per public warrant upon a minimum of 30 days’ prior written notice of redemption provided that holders will be able to exercise their public warrants on a cashless basis prior to redemption and receive that number of shares based on the redemption date and the fair market value of our common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and only if, the closing price of our common stock equals or exceeds $89.93 per share (as adjusted) for any 20 trading days within the 30-trading day period ending three trading days before we send the notice of redemption to the warrant holders;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closing price of our common stock for any 20 trading days within a 30-trading day period ending three trading days before we send notice of redemption to the warrant holders is less than $161.87 per share (as adjusted), the private warrants (as defined below) must also be concurrently called for redemption on the same terms as the outstanding public warrants, as described above.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foregoing conditions are satisfied, and we issue a notice of redemption of the public warrants, each warrant holder will be entitled to exercise its public warrant prior to the scheduled redemption date. However, the price of our common stock may fall below the $161.87 redemption trigger price as well as the warrant exercise price after the redemption notice is issued. </w:t>
      </w:r>
    </w:p>
    <w:p>
      <w:pPr>
        <w:pStyle w:val="TextBody"/>
        <w:bidi w:val="0"/>
        <w:spacing w:before="240" w:after="0"/>
        <w:jc w:val="left"/>
        <w:rPr>
          <w:rFonts w:ascii="Times New Roman" w:hAnsi="Times New Roman"/>
          <w:sz w:val="20"/>
        </w:rPr>
      </w:pPr>
      <w:r>
        <w:rPr>
          <w:rFonts w:ascii="Times New Roman" w:hAnsi="Times New Roman"/>
          <w:i/>
          <w:sz w:val="20"/>
        </w:rPr>
        <w:t>Redemption Procedures and Cashless Exercise</w:t>
      </w:r>
      <w:r>
        <w:rPr>
          <w:rFonts w:ascii="Times New Roman" w:hAnsi="Times New Roman"/>
          <w:sz w:val="20"/>
        </w:rPr>
        <w:t xml:space="preserve">. If we call the public warrants for redemption as described above, our management will have the option to require any holder that wishes to exercise its public warrant to do so on a “cashless basis.” In determining whether to require all holders to exercise their public warrants on a “cashless basis,” our management will consider, among other factors, its cash position, the number of public warrants that are outstanding and the dilutive effect on our stockholders of issuing the maximum number of shares of common stock issuable upon the exercise of the public warrants. If our management takes advantage of this option, all holders of public warrants would pay the exercise price by surrendering their public warrants for that number of shares of common stock equal to the quotient obtained by dividing (x) the product of the number of shares of common stock underlying the public warrants, multiplied by the difference between the exercise price of the public warrants and the “fair market value” (defined below) by (y) the fair market value. The “fair market value” means the average reported last sale price of our common stock for the ten trading days ending on the third trading day prior to the date on which the notice of redemption is sent to the holders of public warrants. If our management takes advantage of this option, the notice of redemption will contain the information necessary to calculate the number of shares of common stock to be received upon exercise of the public warrants, including the “fair market value” in such case. Requiring a cashless exercise in this manner will reduce the number of shares to be issued and thereby lessen the dilutive effect of a warrant redemption. </w:t>
      </w:r>
    </w:p>
    <w:p>
      <w:pPr>
        <w:pStyle w:val="TextBody"/>
        <w:bidi w:val="0"/>
        <w:spacing w:before="240" w:after="0"/>
        <w:jc w:val="left"/>
        <w:rPr>
          <w:rFonts w:ascii="Times New Roman" w:hAnsi="Times New Roman"/>
          <w:sz w:val="20"/>
        </w:rPr>
      </w:pPr>
      <w:r>
        <w:rPr>
          <w:rFonts w:ascii="Times New Roman" w:hAnsi="Times New Roman"/>
          <w:sz w:val="20"/>
        </w:rPr>
        <w:t xml:space="preserve">A holder of a public warrant may notify us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4.9% or 9.8% (as specified by the holder) of the shares of our common stock outstanding immediately after giving effect to such exercise. </w:t>
      </w:r>
    </w:p>
    <w:p>
      <w:pPr>
        <w:pStyle w:val="TextBody"/>
        <w:bidi w:val="0"/>
        <w:spacing w:before="240" w:after="0"/>
        <w:jc w:val="left"/>
        <w:rPr>
          <w:rFonts w:ascii="Times New Roman" w:hAnsi="Times New Roman"/>
          <w:sz w:val="20"/>
        </w:rPr>
      </w:pPr>
      <w:r>
        <w:rPr>
          <w:rFonts w:ascii="Times New Roman" w:hAnsi="Times New Roman"/>
          <w:i/>
          <w:sz w:val="20"/>
        </w:rPr>
        <w:t>Anti-dilution Adjustments</w:t>
      </w:r>
      <w:r>
        <w:rPr>
          <w:rFonts w:ascii="Times New Roman" w:hAnsi="Times New Roman"/>
          <w:sz w:val="20"/>
        </w:rPr>
        <w:t xml:space="preserve">. If the number of outstanding shares of common stock is increased by a stock dividend payable in shares of common stock, or by a split-up of shares of common stock or other similar event, then, on the effective date of such stock dividend, split-up or similar event, the number of shares of common stock issuable on exercise of each public warrant will be increased in proportion to such increase in the outstanding shares of common stock. A rights offering to holders of common stock entitling holders to purchase shares of common stock at a price less than the fair market value (defined below) will be deemed a stock dividend of a number of shares of common stock equal to the product of (i) the number of shares of common stock actually sold in such rights offering (or issuable under any other equity securities sold in such rights offering that are convertible into or exercisable for common stock) and (ii) one (1) minus the quotient of (x) the price per share of common stock paid in such rights offering divided by (y) the fair market value. For these purposes, (i) if the rights offering is for securities convertible into or exercisable for common stock, in determining the price payable for common stock, there will be taken into account any consideration received for such rights, as well as any additional amount payable upon exercise or conversion and (ii) the “fair market value” means the volume weighted average price of common stock as reported during the ten (10) trading day period ending on the trading day prior to the first date on which the shares of common stock trade on the applicable exchange or in the applicable market, regular way, without the right to receive such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addition, if we, at any time while the public warrants are outstanding and unexpired, pay a dividend or make a distribution in cash, securities or other assets to the holders of common stock on account of such shares of common stock (or other shares of our capital stock into which the public warrants are convertible), other than (a) as described above or (b) certain ordinary cash dividends, then the public warrant exercise price will be decreased, effective immediately after the effective date of such event, by the amount of cash and/or the fair market value as determined by our board of directors in good faith of any securities or other assets paid on each share of common stock in respect of such event. </w:t>
      </w:r>
    </w:p>
    <w:p>
      <w:pPr>
        <w:pStyle w:val="TextBody"/>
        <w:bidi w:val="0"/>
        <w:spacing w:before="240" w:after="0"/>
        <w:jc w:val="left"/>
        <w:rPr>
          <w:rFonts w:ascii="Times New Roman" w:hAnsi="Times New Roman"/>
          <w:sz w:val="20"/>
        </w:rPr>
      </w:pPr>
      <w:r>
        <w:rPr>
          <w:rFonts w:ascii="Times New Roman" w:hAnsi="Times New Roman"/>
          <w:sz w:val="20"/>
        </w:rPr>
        <w:t xml:space="preserve">If the number of outstanding shares of our common stock is decreased by a consolidation, combination, reverse stock split or reclassification of shares of common stock or other similar event, then, on the effective date of such consolidation, combination, reverse stock split, reclassification or similar event, the number of shares of common stock issuable on exercise of each public warrant will be decreased in proportion to such decrease in outstanding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Whenever the number of shares of common stock purchasable upon the exercise of the warrants is adjusted, as described above, the public warrant exercise price will be adjusted (to the nearest cent) by multiplying the warrant exercise price immediately prior to such adjustment by a fraction (x) the numerator of which will be the number of shares of common stock purchasable upon the exercise of the public warrants immediately prior to such adjustment, and (y) the denominator of which will be the number of shares of common stock so purchasable immediately thereafter. </w:t>
      </w:r>
    </w:p>
    <w:p>
      <w:pPr>
        <w:pStyle w:val="TextBody"/>
        <w:bidi w:val="0"/>
        <w:spacing w:before="240" w:after="0"/>
        <w:jc w:val="left"/>
        <w:rPr>
          <w:rFonts w:ascii="Times New Roman" w:hAnsi="Times New Roman"/>
          <w:sz w:val="20"/>
        </w:rPr>
      </w:pPr>
      <w:r>
        <w:rPr>
          <w:rFonts w:ascii="Times New Roman" w:hAnsi="Times New Roman"/>
          <w:sz w:val="20"/>
        </w:rPr>
        <w:t xml:space="preserve">In case of any reclassification or reorganization of the outstanding shares of common stock (other than those described above or that solely affects the par value of such shares of common stock), or in the case of any merger or consolidation of us with or into another corporation (other than a consolidation or merger in which we are the continuing corporation and that does not result in any reclassification or reorganization of the outstanding shares of our common stock), or in the case of any sale or conveyance to another corporation or entity of the assets or other property of us as an entirety or substantially as an entirety in connection with which we are dissolved, the holders of the public warrants will thereafter have the right to purchase and receive, upon the basis and upon the terms and conditions specified in the public warrants and in lieu of the shares of our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public warrant will become exercisable will be deemed to be the weighted average of the kind and amount received per share by such holders in such consolidation or merger that affirmatively make such election, and if a tender, exchange or redemption offer has been made to and accepted by such holders (other than a tender, exchange or redemption offer made by us in connection with redemption rights held by our stockholders) under circumstances in which, upon completion of such tender or exchange offer, the maker thereof, together with members of any group (within the meaning of Rule 13d-5(b)(1) under the Exchange Act (or any successor rule)) of which such maker is a part, and together with any affiliate or associate of such maker (within the meaning of Rule 12b-2 under the Exchange Act (or any successor rule)) and any members of any such group of which any such affiliate or associate is a part, own beneficially (within the meaning of Rule 13d-3 under the Exchange Act (or any successor rule)) more than 50% of the outstanding shares of common stock, the holder of a public warrant will be entitled to receive the highest amount of cash, securities or other property to which such holder would actually have been entitled as a stockholder if such warrant holder had exercised the public warrant prior to the expiration of such tender or exchange offer, accepted such offer and all of the common stock held by such holder had been purchased pursuant to such tender or exchange offer, subject to adjustments (from and after the consummation of such tender or exchange offer) as nearly equivalent as possible to the adjustments provided for in the Warrant Agreement. Additionally, if less than 70% of the consideration receivable by the holders of common stock in such a transaction is payable in the form of common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stock in the successor entity that is listed for trading on a national securities exchange or is quoted in an established over-the-counter market, or is to be so listed for trading or quoted immediately following such event, and if the registered holder of the public warrant properly exercises the public warrant within thirty days following public disclosure of the consummation of such applicable event by us pursuant to a Current Report on Form 8-K filed with the SEC, the public warrant exercise price will be reduced as specified in the Warrant Agreement based on the per share consideration minus the Black-Scholes warrant value (as defined in the Warrant Agreement) of the public warrant. </w:t>
      </w:r>
    </w:p>
    <w:p>
      <w:pPr>
        <w:pStyle w:val="TextBody"/>
        <w:bidi w:val="0"/>
        <w:spacing w:before="240" w:after="0"/>
        <w:jc w:val="left"/>
        <w:rPr>
          <w:rFonts w:ascii="Times New Roman" w:hAnsi="Times New Roman"/>
          <w:sz w:val="20"/>
        </w:rPr>
      </w:pPr>
      <w:r>
        <w:rPr>
          <w:rFonts w:ascii="Times New Roman" w:hAnsi="Times New Roman"/>
          <w:sz w:val="20"/>
        </w:rPr>
        <w:t xml:space="preserve">The public warrants were issued in registered form under the Warrant Agreement between Continental Stock Transfer &amp; Trust Company, as warrant agent, and EQRx. On November 9, 2023, the public warrants became securities of the Company, and Equiniti Trust Company, LLC became the warrant agent. You should review a copy of the Warrant Agreement and the Appointment, Assignment and Assumption Agreement, dated November 9, 2023, by and among the Company, EQRx, Continental Stock Transfer &amp; Trust Company and Equiniti Trust Company, LLC, each of which is incorporated by reference as an exhibit to the registration statement of which this prospectus forms a part, for a complete description of the terms and conditions applicable to the public warrants. The Warrant Agreement provides that the terms of the public warrants may be amended without the consent of any holder to cure any ambiguity or correct any defective provision, but requires the vote or written consent by the holders of at least 50% of the then-outstanding public warrants to make any change that adversely affects the interests of the registered holders of public warrants. </w:t>
      </w:r>
    </w:p>
    <w:p>
      <w:pPr>
        <w:pStyle w:val="TextBody"/>
        <w:bidi w:val="0"/>
        <w:spacing w:before="240" w:after="0"/>
        <w:jc w:val="left"/>
        <w:rPr>
          <w:rFonts w:ascii="Times New Roman" w:hAnsi="Times New Roman"/>
          <w:sz w:val="20"/>
        </w:rPr>
      </w:pPr>
      <w:r>
        <w:rPr>
          <w:rFonts w:ascii="Times New Roman" w:hAnsi="Times New Roman"/>
          <w:sz w:val="20"/>
        </w:rPr>
        <w:t xml:space="preserve">The public warrants may be exercised upon surrender of the warrant certificate on or prior to the expiration date at the offices of the warrant agent (which is currently Equiniti Trust Company, LLC), with the exercise form on the reverse side of the warrant certificate completed and executed as indicated, accompanied by full payment of the exercise price (or on a cashless basis, if applicable), by good certified check, good bank draft or by wire of immediately available funds, for the number of public warrants being exercised. The warrant holders do not have the rights or privileges of holders of common stock until they exercise their public warrants and receive shares of common stock. After the issuance of shares of common stock upon exercise of the public warrants, each holder will be entitled to one vote for each share held of record on all matters to be voted on by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Private Placement Warrants </w:t>
      </w:r>
    </w:p>
    <w:p>
      <w:pPr>
        <w:pStyle w:val="TextBody"/>
        <w:bidi w:val="0"/>
        <w:spacing w:before="120" w:after="0"/>
        <w:jc w:val="left"/>
        <w:rPr>
          <w:rFonts w:ascii="Times New Roman" w:hAnsi="Times New Roman"/>
          <w:sz w:val="20"/>
        </w:rPr>
      </w:pPr>
      <w:r>
        <w:rPr>
          <w:rFonts w:ascii="Times New Roman" w:hAnsi="Times New Roman"/>
          <w:sz w:val="20"/>
        </w:rPr>
        <w:t xml:space="preserve">Each of our private warrants entitles the registered holder thereof to purchase 0.1112 shares of our common stock at an exercise price of $11.50 per such fractional share, subject to adjustment. If, upon exercise of the private warrants, a holder would be entitled to receive a fractional interest in a share, we will, upon exercise, round down to the nearest whole number the number of shares of common stock to be issued to the warrant holder. The terms of the private warrants are substantially the same as to the public warrants; provided, that, except as described above in the discussion of the redemption of public warrants when the price per share of our common stock equals or exceeds $89.93, the private warrants are exercisable on a cashless basis and are non-redeemable for cash so long as they are held by the initial purchasers or their permitted transferees. If the private warrants are held by someone other than the initial purchasers or their permitted transferees, the private warrants are redeemable by the Company and exercisable by such holders on the same basis as the public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Earn-Out Shares </w:t>
      </w:r>
    </w:p>
    <w:p>
      <w:pPr>
        <w:pStyle w:val="TextBody"/>
        <w:bidi w:val="0"/>
        <w:spacing w:before="120" w:after="0"/>
        <w:jc w:val="left"/>
        <w:rPr>
          <w:rFonts w:ascii="Times New Roman" w:hAnsi="Times New Roman"/>
          <w:sz w:val="20"/>
        </w:rPr>
      </w:pPr>
      <w:r>
        <w:rPr>
          <w:rFonts w:ascii="Times New Roman" w:hAnsi="Times New Roman"/>
          <w:sz w:val="20"/>
        </w:rPr>
        <w:t xml:space="preserve">There are 5,560,000 earn-out shares (the “Earn-Out Shares”) of common stock outstanding and held in escrow that may become tradeable upon the achievement of certain stock price-based vesting conditions in accordance with the terms of the Agreement and Plan of Merger dated August 5, 2021, by and among EQRx, Inc. (f/k/a CM Life Sciences III Inc.), Clover III Merger Sub Inc. and EQRx International, Inc. (f/k/a EQRx, Inc.) and certain ancillary agreements related to the Earn-Out Shares; however, persons with rights to approximately 82% of the Earn-Out Shares have signed and delivered waiver and release agreements to us pursuant to which, among other things, they have waived their respective rights to receive any such Earn-Out Shares to which they may have been entitled upon the occurrence of any vesting condition described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Seventy percent of the Earn-Out Shares will vest and be released from escrow (if ever) on the date on which the closing price of our common stock equals or exceeds $112.41 on any 20 trading days in any 30 consecutive trading-day period, and the remaining 30% of the Earn-Out Shares will vest and be released from escrow (if ever) on the date on which the closing price of our common stock equals or exceeds $148.38 on any 20 trading days in any 30 consecutive trading-day period, in each case provided such vesting occurs prior to December 17, 2024, provided, that, in the event that certain change in control events occur prior to December 17, 2024 pursuant to which we or any of our stockholders have the right to receive, directly or indirectly, cash, securities or other property attributing a value of at least $112.41 (with respect to 70% of the Earn-Out Shares) or $148.38 (with respect to the remaining 30% of the Earn-Out Shares) per share of common stock, then such Earn-Out Shares, as applicable, shall be deemed to have vested immediately prior to such change in control event and will subsequently be released from escrow. Earn-Out Shares are issued and outstanding and will be automatically forfeited for no consideration if an applicable vesting condition has not occurred with respect to such Earn-Out Shares by and including December 17, 2024. The Earn-Out Shares generally may not be transferred until the applicable vesting conditions have occurred.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has the authority, without further action by our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No shares of preferred stock are outstanding, and we have no present plan to issue any shares of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Under our amended and restated investors’ rights agreement, certain holders of shares of our common stock, or their transferees, have the right to require us to register their shares under the Securities Act so that those shares may be publicly resold, those holders, or their transferees, have the right to include their shares in any registration statement we file, in each case as described below. The shares subject to such registration rights are referred to as registrable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Form S-1 Demand 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Holders of registrable securities are entitled to certain Form S-1 demand registration rights. </w:t>
      </w:r>
    </w:p>
    <w:p>
      <w:pPr>
        <w:pStyle w:val="TextBody"/>
        <w:bidi w:val="0"/>
        <w:spacing w:before="240" w:after="0"/>
        <w:jc w:val="left"/>
        <w:rPr>
          <w:rFonts w:ascii="Times New Roman" w:hAnsi="Times New Roman"/>
          <w:sz w:val="20"/>
        </w:rPr>
      </w:pPr>
      <w:r>
        <w:rPr>
          <w:rFonts w:ascii="Times New Roman" w:hAnsi="Times New Roman"/>
          <w:sz w:val="20"/>
        </w:rPr>
        <w:t xml:space="preserve">Beginning on August 11, 2020, the holders of at least a majority of the registrable securities can request that we register all or a portion of their shares, so long as such holders request that we register at least 40% of the registrable securities. These stockholders may make up to two requests for registration on Form S-1.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Form S-3 Demand 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Holders of registrable securities are entitled to certain Form S-3 demand registration rights. If we are eligible to use a Form S-3 registration statement, the holders of at least 20% of the registrable securities can request that we register all or a portion of their shares on a Form S-3 registration statement if the anticipated aggregate offering price is at least $5.0 million, net of certain expenses related to the sale of the shares. These stockholders may make unlimited requests for registration on Form S-3, provided that we are not obligated to effect, or take any action to effect, a registration on Form S-3 if we have effected two registrations on Form S-3 pursuant to requests by these stockholders within the 12-month period immediately preceding such request.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Piggyback 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In the event that we determine to register any of our securities under the Securities Act (subject to certain exceptions), either for our own account or for the account of other security holders, the holders of the holders of the registrable securities are entitled to certain “piggyback” registration rights allowing the holders to include their shares in such registration, subject to certain marketing and other limitations. As a result, whenever we propose to file a registration statement under the Securities Act, other than with respect to certain registrations, including related to the sale of securities to employees pursuant to employee benefit plans, the offer and sale of debt securities, or an SEC Rule 145 transaction, the holders of the registrable securities are entitled to notice of the registration and have the right, subject to limitations that the underwriters may impose on the number of shares included in the registration, to include their shares in the registration. In an underwritten offering, the underwriters have the right, subject to specified conditions, to limit the number of shares such holders may include. </w:t>
      </w:r>
    </w:p>
    <w:p>
      <w:pPr>
        <w:pStyle w:val="TextBody"/>
        <w:bidi w:val="0"/>
        <w:spacing w:before="360" w:after="0"/>
        <w:jc w:val="left"/>
        <w:rPr>
          <w:rFonts w:ascii="Times New Roman" w:hAnsi="Times New Roman"/>
          <w:b/>
          <w:i/>
          <w:sz w:val="20"/>
        </w:rPr>
      </w:pPr>
      <w:r>
        <w:rPr>
          <w:rFonts w:ascii="Times New Roman" w:hAnsi="Times New Roman"/>
          <w:b/>
          <w:i/>
          <w:sz w:val="20"/>
        </w:rPr>
        <w:t xml:space="preserve">Expenses of Registration </w:t>
      </w:r>
    </w:p>
    <w:p>
      <w:pPr>
        <w:pStyle w:val="TextBody"/>
        <w:bidi w:val="0"/>
        <w:spacing w:before="120" w:after="0"/>
        <w:jc w:val="left"/>
        <w:rPr>
          <w:rFonts w:ascii="Times New Roman" w:hAnsi="Times New Roman"/>
          <w:sz w:val="20"/>
        </w:rPr>
      </w:pPr>
      <w:r>
        <w:rPr>
          <w:rFonts w:ascii="Times New Roman" w:hAnsi="Times New Roman"/>
          <w:sz w:val="20"/>
        </w:rPr>
        <w:t xml:space="preserve">We will pay the registration expenses, excluding certain expenses related to the sale of shares, of the holders of the shares registered pursuant to the Form S-1 demand, Form S-3 demand and piggyback registration rights described above, including the reasonable expenses of one counsel for the selling holders not to exceed $25,000. </w:t>
      </w:r>
    </w:p>
    <w:p>
      <w:pPr>
        <w:pStyle w:val="TextBody"/>
        <w:bidi w:val="0"/>
        <w:spacing w:before="360" w:after="0"/>
        <w:jc w:val="left"/>
        <w:rPr>
          <w:rFonts w:ascii="Times New Roman" w:hAnsi="Times New Roman"/>
          <w:b/>
          <w:i/>
          <w:sz w:val="20"/>
        </w:rPr>
      </w:pPr>
      <w:r>
        <w:rPr>
          <w:rFonts w:ascii="Times New Roman" w:hAnsi="Times New Roman"/>
          <w:b/>
          <w:i/>
          <w:sz w:val="20"/>
        </w:rPr>
        <w:t xml:space="preserve">Expiration of 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The Form S-1 demand, Form S-3 demand and piggyback registration rights described above will terminate, with respect to any particular stockholder, upon the earliest of (i) February 18, 2025, (ii) the date that Rule 144 or another similar exemption under the Securities Act is available to such stockholder for the sale of all of such stockholder’s shares without limitation during a three-month period, and (iii) upon the consummation of a merger, consolidation or the sale of substantially all of our assets.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Effects of Provisions of Our Amended and Restated Certificate of Incorporation, Our Amended and Restated Bylaws and Delaware Law </w:t>
      </w:r>
    </w:p>
    <w:p>
      <w:pPr>
        <w:pStyle w:val="TextBody"/>
        <w:bidi w:val="0"/>
        <w:spacing w:before="120" w:after="0"/>
        <w:jc w:val="left"/>
        <w:rPr>
          <w:rFonts w:ascii="Times New Roman" w:hAnsi="Times New Roman"/>
          <w:sz w:val="20"/>
        </w:rPr>
      </w:pPr>
      <w:r>
        <w:rPr>
          <w:rFonts w:ascii="Times New Roman" w:hAnsi="Times New Roman"/>
          <w:sz w:val="20"/>
        </w:rPr>
        <w:t xml:space="preserve">Some provisions of Delaware law, our amended and restated certificate of incorporation and our amended and restated bylaws contain provisions that could make the following transactions more difficult: acquisition of us by means of a tender offer; acquisition of us by means of a proxy contest or otherwise; or removal of our incumbent officers and directors. It is possible that these provisions could make it more difficult to accomplish or could deter transactions that stockholders may otherwise consider to be in their best interests or in our best interests, including transactions that might result in a premium over the market price for our shares. </w:t>
      </w:r>
    </w:p>
    <w:p>
      <w:pPr>
        <w:pStyle w:val="TextBody"/>
        <w:bidi w:val="0"/>
        <w:spacing w:before="240" w:after="0"/>
        <w:jc w:val="left"/>
        <w:rPr>
          <w:rFonts w:ascii="Times New Roman" w:hAnsi="Times New Roman"/>
          <w:sz w:val="20"/>
        </w:rPr>
      </w:pPr>
      <w:r>
        <w:rPr>
          <w:rFonts w:ascii="Times New Roman" w:hAnsi="Times New Roman"/>
          <w:sz w:val="20"/>
        </w:rPr>
        <w:t xml:space="preserve">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 </w:t>
      </w:r>
    </w:p>
    <w:p>
      <w:pPr>
        <w:pStyle w:val="TextBody"/>
        <w:bidi w:val="0"/>
        <w:spacing w:before="360" w:after="0"/>
        <w:jc w:val="left"/>
        <w:rPr>
          <w:rFonts w:ascii="Times New Roman" w:hAnsi="Times New Roman"/>
          <w:b/>
          <w:i/>
          <w:sz w:val="20"/>
        </w:rPr>
      </w:pPr>
      <w:r>
        <w:rPr>
          <w:rFonts w:ascii="Times New Roman" w:hAnsi="Times New Roman"/>
          <w:b/>
          <w:i/>
          <w:sz w:val="20"/>
        </w:rPr>
        <w:t xml:space="preserve">Delaware Anti-Takeover Statute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Section 203 of the Delaware General Corporation Law, which prohibits persons deemed “interested stockholders” from engaging in a “business combination” with a publicly-held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affiliates and associates, beneficially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 such as discouraging takeover attempts that might result in a premium over the market price of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Undesignated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ability to issue undesignated preferred stock makes it possible for our board of directors to issue preferred stock with voting or other rights or preferences that could impede the success of any attempt to change control of us. These and other provisions may have the effect of deterring hostile takeovers or delaying changes in control or management of our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Special Stockholder Meetings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and our amended and restated bylaws provide that a special meeting of stockholders may be called only by our board of directors, or by our President or Chief Executive Officer. </w:t>
      </w:r>
    </w:p>
    <w:p>
      <w:pPr>
        <w:pStyle w:val="TextBody"/>
        <w:bidi w:val="0"/>
        <w:spacing w:before="360" w:after="0"/>
        <w:jc w:val="left"/>
        <w:rPr>
          <w:rFonts w:ascii="Times New Roman" w:hAnsi="Times New Roman"/>
          <w:b/>
          <w:i/>
          <w:sz w:val="20"/>
        </w:rPr>
      </w:pPr>
      <w:r>
        <w:rPr>
          <w:rFonts w:ascii="Times New Roman" w:hAnsi="Times New Roman"/>
          <w:b/>
          <w:i/>
          <w:sz w:val="20"/>
        </w:rPr>
        <w:t xml:space="preserve">Requirements for Advance Notification of Stockholder Nominations and Proposals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bylaws establish advance notice procedures with respect to stockholder proposals and the nomination of candidates for election as directors, other than nominations made by or at the direction of the board of directors or a committee of the board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Elimination of Stockholder Action by Written Consent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and our amended and restated bylaws eliminate the right of stockholders to act by written consent without a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Classified Board; Election and Removal of Directors; Filling Vacancies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is divided into three classes. The directors in each class serve for a three-year term, one class being elected each year by our stockholders, with staggered three-year terms. Only one class of directors is elected at each annual meeting of our stockholders, with the other classes continuing for the remainder of their respective three-year terms. Because our stockholders do not have cumulative voting rights, our stockholders holding a majority of the shares of common stock outstanding are able to elect all of our directors. Our amended and restated certificate of incorporation provides for the removal of any of our directors only for cause and requires a stockholder vote by the holders of at least a 66-2/3% of the voting power of the then outstanding voting stock. </w:t>
      </w:r>
    </w:p>
    <w:p>
      <w:pPr>
        <w:pStyle w:val="TextBody"/>
        <w:bidi w:val="0"/>
        <w:spacing w:before="240" w:after="0"/>
        <w:jc w:val="left"/>
        <w:rPr>
          <w:rFonts w:ascii="Times New Roman" w:hAnsi="Times New Roman"/>
          <w:sz w:val="20"/>
        </w:rPr>
      </w:pPr>
      <w:r>
        <w:rPr>
          <w:rFonts w:ascii="Times New Roman" w:hAnsi="Times New Roman"/>
          <w:sz w:val="20"/>
        </w:rPr>
        <w:t xml:space="preserve">Furthermore, any vacancy on our board of directors, however occurring, including a vacancy resulting from an increase in the size of the board, may only be filled by a resolution of the board of directors unless the board of directors determines that such vacancies shall be filled by the stockholders. This system of electing and removing directors and filling vacancies may tend to discourage a third party from making a tender offer or otherwise attempting to obtain control of us, because it generally makes it more difficult for stockholders to replace a majority of the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Choice of Forum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and amended and restated bylaws provide that the Court of Chancery of the State of Delaware is the sole and exclusive forum for (i) any state law derivative action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proceeding brought on our behalf, (ii) any action asserting a claim of breach of a fiduciary duty owed by any of our directors or officers to us or our stockholders, (iii) any action asserting a claim against us arising pursuant to any provision of the Delaware General Corporation Law or our amended and restated certificate of incorporation or amended and restated bylaws or (iv) any action asserting a claim against us governed by the internal affairs doctrine;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bylaws also provide that the federal district courts of the United States of America will be the exclusive forum for the resolution of any complaint asserting a cause or causes of action under the Securities Act. Such provision is intended to benefit and may be enforced by us, our officers and directors, the underwriters to any offering giving rise to such complaint and any other professional or entity whose profession gives authority to a statement made by that person or entity and who has prepared or certified any part of the documents underlying the offering. Nothing in our amended and restated certificate of incorporation or amended and restated bylaws precludes stockholders that assert claims under the Exchange Act from bringing such claims in state or federal court, subject to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This choice of forum provision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 of Certificate of Incorporation Provisions </w:t>
      </w:r>
    </w:p>
    <w:p>
      <w:pPr>
        <w:pStyle w:val="TextBody"/>
        <w:bidi w:val="0"/>
        <w:spacing w:before="120" w:after="0"/>
        <w:jc w:val="left"/>
        <w:rPr>
          <w:rFonts w:ascii="Times New Roman" w:hAnsi="Times New Roman"/>
          <w:sz w:val="20"/>
        </w:rPr>
      </w:pPr>
      <w:r>
        <w:rPr>
          <w:rFonts w:ascii="Times New Roman" w:hAnsi="Times New Roman"/>
          <w:sz w:val="20"/>
        </w:rPr>
        <w:t xml:space="preserve">The amendment of any of the above provisions, except for the provision making it possible for our board of directors to issue undesignated preferred stock, would require approval by a stockholder vote by the holders of at least a 66-2/3% of the voting power of the then outstanding voting stock.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the Delaware General Corporation Law,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 </w:t>
      </w:r>
    </w:p>
    <w:p>
      <w:pPr>
        <w:pStyle w:val="TextBody"/>
        <w:bidi w:val="0"/>
        <w:spacing w:before="360" w:after="0"/>
        <w:jc w:val="left"/>
        <w:rPr>
          <w:rFonts w:ascii="Times New Roman" w:hAnsi="Times New Roman"/>
          <w:b/>
          <w:sz w:val="20"/>
        </w:rPr>
      </w:pPr>
      <w:r>
        <w:rPr>
          <w:rFonts w:ascii="Times New Roman" w:hAnsi="Times New Roman"/>
          <w:b/>
          <w:sz w:val="20"/>
        </w:rPr>
        <w:t xml:space="preserve">Nasdaq Global Select Market Listing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and public warrants are listed on the Nasdaq Global Select Market under the symbols “RVMD” and “RVMDW,”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common stock and warrants is Equiniti Trust Company, LLC. The transfer agent and registrar’s address is 6201 15th Avenue, Brooklyn, New York 11219.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4" w:name="tx93698_7"/>
      <w:bookmarkEnd w:id="24"/>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 </w:t>
      </w:r>
    </w:p>
    <w:p>
      <w:pPr>
        <w:pStyle w:val="TextBody"/>
        <w:bidi w:val="0"/>
        <w:spacing w:before="240" w:after="0"/>
        <w:jc w:val="left"/>
        <w:rPr>
          <w:rFonts w:ascii="Times New Roman" w:hAnsi="Times New Roman"/>
          <w:sz w:val="20"/>
        </w:rPr>
      </w:pPr>
      <w:r>
        <w:rPr>
          <w:rFonts w:ascii="Times New Roman" w:hAnsi="Times New Roman"/>
          <w:sz w:val="20"/>
        </w:rPr>
        <w:t xml:space="preserve">The debt securities will be issued under an indenture between us and a third party to be identified therein, as trustee. We have summarized select portions of the indenture below. The summary is not complete. The form of the indenture has been filed as an exhibit to the registration statement of which this prospectus forms a part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section only, “Revolution Medicines,” “we,” “our” or “us” refer to Revolution Medicines, Inc. and its subsidiaries taken as a whole, unless expressly stated or the context otherwise requires.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terms of each series of debt securities will be established by or pursuant to a resolution of our board of directors and set forth or determined in the manner provided in a resolution of our board of directors, in an officer’s certificate or by a supplemental indenture. (Section 2.2) The particular terms of each series of debt securities will be described in a prospectus supplement relating to such series (including any pricing supplement or term sheet). </w:t>
      </w:r>
    </w:p>
    <w:p>
      <w:pPr>
        <w:pStyle w:val="TextBody"/>
        <w:bidi w:val="0"/>
        <w:spacing w:before="240" w:after="0"/>
        <w:jc w:val="left"/>
        <w:rPr>
          <w:rFonts w:ascii="Times New Roman" w:hAnsi="Times New Roman"/>
          <w:sz w:val="20"/>
        </w:rPr>
      </w:pPr>
      <w:r>
        <w:rPr>
          <w:rFonts w:ascii="Times New Roman" w:hAnsi="Times New Roman"/>
          <w:sz w:val="20"/>
        </w:rPr>
        <w:t xml:space="preserve">We can issue an unlimited amount of debt securities under the indenture that may be in one or more series with the same or various maturities, at par, at a premium, or at a discount. (Section 2.1) We will set forth in a prospectus supplement (including any pricing supplement or term sheet) relating to any series of debt securities being offered, the aggregate principal amount and the following terms of the debt securities, if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and ranking of the debt securities (including the terms of any subordination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(expressed as a percentage of the principal amount) at which we will sell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on the aggregate principal amount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on which the principal of the securities of the series is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period or periods within which, the price or prices at which and the terms and conditions upon which we may redeem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on which and the price or prices at which we will repurchase debt securities at the option of the holders of debt securities and other detailed terms and provisions of these repurchase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in which the debt securities will be issued, if other than denominations of $1,000 and any integral multiple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will be issued in the form of certificated debt securities or global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portion of principal amount of the debt securities payable upon declaration of acceleration of the maturity date, if other than the principal 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of denomination of the debt securities, which may be United States dollars or any foreign currency, and if such currency of denomination is a composite currency, the agency or organization, if any, responsible for overseeing such composite currency;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of the currency, currencies or currency units in which payment of principal of, premium and interest on the debt securities will be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relating to any security provided for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 to, deletion of or change in the Events of Default described in this prospectus or in the indenture with respect to the debt securities and any change in the acceleration provisions described in this prospectus or in the indenture with respect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 to, deletion of or change in the covenants described in this prospectus or in the indenture with respect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depositaries, interest rate calculation agents, exchange rate calculation agents or other agents with respect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any of our direct or indirect subsidiaries will guarantee the debt securities of that series, including the terms of subordination, if any, of such guarantees. (Section 2.2)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and Exchange </w:t>
      </w:r>
    </w:p>
    <w:p>
      <w:pPr>
        <w:pStyle w:val="TextBody"/>
        <w:bidi w:val="0"/>
        <w:spacing w:before="120" w:after="0"/>
        <w:jc w:val="left"/>
        <w:rPr>
          <w:rFonts w:ascii="Times New Roman" w:hAnsi="Times New Roman"/>
          <w:sz w:val="20"/>
        </w:rPr>
      </w:pPr>
      <w:r>
        <w:rPr>
          <w:rFonts w:ascii="Times New Roman" w:hAnsi="Times New Roman"/>
          <w:sz w:val="20"/>
        </w:rPr>
        <w:t xml:space="preserve">Each debt security will be represented by either one or more global securities registered in the name of The Depository Trust Company, or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 </w:t>
      </w:r>
    </w:p>
    <w:p>
      <w:pPr>
        <w:pStyle w:val="TextBody"/>
        <w:bidi w:val="0"/>
        <w:spacing w:before="240" w:after="0"/>
        <w:jc w:val="left"/>
        <w:rPr>
          <w:rFonts w:ascii="Times New Roman" w:hAnsi="Times New Roman"/>
          <w:sz w:val="20"/>
        </w:rPr>
      </w:pPr>
      <w:r>
        <w:rPr>
          <w:rFonts w:ascii="Times New Roman" w:hAnsi="Times New Roman"/>
          <w:sz w:val="20"/>
        </w:rPr>
        <w:t xml:space="preserve">Certificated Debt Securities. You may transfer or exchange certificated debt securities at any office we maintain for this purpose in accordance with the terms of the indenture. (Section 2.4) No service charge will be made for any transfer or exchange of certificated debt securities, but we may require payment of a sum sufficient to cover any tax or other governmental charge payable in connection with a transfer or exchange. (Section 2.7) </w:t>
      </w:r>
    </w:p>
    <w:p>
      <w:pPr>
        <w:pStyle w:val="TextBody"/>
        <w:bidi w:val="0"/>
        <w:spacing w:before="240" w:after="0"/>
        <w:jc w:val="left"/>
        <w:rPr>
          <w:rFonts w:ascii="Times New Roman" w:hAnsi="Times New Roman"/>
          <w:sz w:val="20"/>
        </w:rPr>
      </w:pPr>
      <w:r>
        <w:rPr>
          <w:rFonts w:ascii="Times New Roman" w:hAnsi="Times New Roman"/>
          <w:sz w:val="20"/>
        </w:rPr>
        <w:t xml:space="preserve">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 </w:t>
      </w:r>
    </w:p>
    <w:p>
      <w:pPr>
        <w:pStyle w:val="TextBody"/>
        <w:bidi w:val="0"/>
        <w:spacing w:before="240" w:after="0"/>
        <w:jc w:val="left"/>
        <w:rPr>
          <w:rFonts w:ascii="Times New Roman" w:hAnsi="Times New Roman"/>
          <w:sz w:val="20"/>
        </w:rPr>
      </w:pPr>
      <w:r>
        <w:rPr>
          <w:rFonts w:ascii="Times New Roman" w:hAnsi="Times New Roman"/>
          <w:sz w:val="20"/>
        </w:rPr>
        <w:t xml:space="preserve">Global Debt Securities and Book-Entry System. Each global debt security representing book-entry debt securities will be deposited with, or on behalf of, the Depositary, and registered in the name of the Depositary or a nominee of the Depositary. Please see “Global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Covenants </w:t>
      </w:r>
    </w:p>
    <w:p>
      <w:pPr>
        <w:pStyle w:val="TextBody"/>
        <w:bidi w:val="0"/>
        <w:spacing w:before="120" w:after="0"/>
        <w:jc w:val="left"/>
        <w:rPr>
          <w:rFonts w:ascii="Times New Roman" w:hAnsi="Times New Roman"/>
          <w:sz w:val="20"/>
        </w:rPr>
      </w:pPr>
      <w:r>
        <w:rPr>
          <w:rFonts w:ascii="Times New Roman" w:hAnsi="Times New Roman"/>
          <w:sz w:val="20"/>
        </w:rPr>
        <w:t xml:space="preserve">We will set forth in the applicable prospectus supplement any restrictive covenants applicable to any issue of debt securities. (Article IV) </w:t>
      </w:r>
    </w:p>
    <w:p>
      <w:pPr>
        <w:pStyle w:val="TextBody"/>
        <w:bidi w:val="0"/>
        <w:spacing w:before="360" w:after="0"/>
        <w:jc w:val="left"/>
        <w:rPr>
          <w:rFonts w:ascii="Times New Roman" w:hAnsi="Times New Roman"/>
          <w:b/>
          <w:sz w:val="20"/>
        </w:rPr>
      </w:pPr>
      <w:r>
        <w:rPr>
          <w:rFonts w:ascii="Times New Roman" w:hAnsi="Times New Roman"/>
          <w:b/>
          <w:sz w:val="20"/>
        </w:rPr>
        <w:t xml:space="preserve">No Protection in the Event of a Change of Control </w:t>
      </w:r>
    </w:p>
    <w:p>
      <w:pPr>
        <w:pStyle w:val="TextBody"/>
        <w:bidi w:val="0"/>
        <w:spacing w:before="120" w:after="0"/>
        <w:jc w:val="left"/>
        <w:rPr>
          <w:rFonts w:ascii="Times New Roman" w:hAnsi="Times New Roman"/>
          <w:sz w:val="20"/>
        </w:rPr>
      </w:pPr>
      <w:r>
        <w:rPr>
          <w:rFonts w:ascii="Times New Roman" w:hAnsi="Times New Roman"/>
          <w:sz w:val="20"/>
        </w:rPr>
        <w:t xml:space="preserve">Unless we state otherwise in the applicable prospectus supplement, the debt securities will not contain any provisions which may afford holders of the debt securities protection in the event we undergo a change in control or in the event of a highly leveraged transaction (whether or not such transaction results in a change in control) that could adversely affect holders of debt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Consolidation, Merger and Sale of Assets </w:t>
      </w:r>
    </w:p>
    <w:p>
      <w:pPr>
        <w:pStyle w:val="TextBody"/>
        <w:bidi w:val="0"/>
        <w:spacing w:before="120" w:after="0"/>
        <w:jc w:val="left"/>
        <w:rPr>
          <w:rFonts w:ascii="Times New Roman" w:hAnsi="Times New Roman"/>
          <w:sz w:val="20"/>
        </w:rPr>
      </w:pPr>
      <w:r>
        <w:rPr>
          <w:rFonts w:ascii="Times New Roman" w:hAnsi="Times New Roman"/>
          <w:sz w:val="20"/>
        </w:rPr>
        <w:t xml:space="preserve">We may not consolidate with or merge with or into, or convey, transfer or lease all or substantially all of our properties and assets to any person (a “successor person”)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the surviving corporation, or the successor person (if other than Revolution Medicines) is a corporation organized and validly existing under the laws of any U.S. domestic jurisdiction and expressly assumes our obligations on the debt securities and under the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giving effect to the transaction, no Default or Event of Default, shall have occurred and be continuing. Notwithstanding the above, any of our subsidiaries may consolidate with, merge into or transfer all or part of its properties to us. (Section 5.1)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pPr>
      <w:r>
        <w:rPr/>
        <w:t>“</w:t>
      </w:r>
      <w:r>
        <w:rPr>
          <w:rFonts w:ascii="Times New Roman" w:hAnsi="Times New Roman"/>
          <w:sz w:val="20"/>
        </w:rPr>
        <w:t xml:space="preserve">Event of Default” means with respect to any series of debt securities,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principal of any security of that series at its maturity;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Revolution Medicines and the trustee receive written notice from the holders of not less than 25% in principal amount of the outstanding debt securities of that series as provided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voluntary or involuntary events of bankruptcy, insolvency or reorganization of Revolution Medicines;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 of Default provided with respect to debt securities of that series that is described in the applicable prospectus supplement. (Section 6.1)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Event of Default with respect to a particular series of debt securities (except as to certain events of bankruptcy, insolvency or reorganization) necessarily constitutes an Event of Default with respect to any other series of debt securities. (Section 6.1) The occurrence of certain Events of Default or an acceleration under the indenture may constitute an event of default under certain indebtedness of ours or our subsidiaries outstanding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 (Section 6.1)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(Section 6.2) We refer you to the prospectus supplement relating to any series of debt securities that are discount securities for the particular provisions relating to acceleration of a portion of the principal amount of such discount securities upon the occurrence of an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The indenture provides that the trustee may refuse to perform any duty or exercise any of its rights or powers under the indenture unless the trustee receives indemnity satisfactory to it against any cost, liability or expense that might be incurred by it in performing such duty or exercising such right or power. (Section 7.1(e))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(Section 6.12) </w:t>
      </w:r>
    </w:p>
    <w:p>
      <w:pPr>
        <w:pStyle w:val="TextBody"/>
        <w:bidi w:val="0"/>
        <w:spacing w:before="240" w:after="0"/>
        <w:jc w:val="left"/>
        <w:rPr>
          <w:rFonts w:ascii="Times New Roman" w:hAnsi="Times New Roman"/>
          <w:sz w:val="20"/>
        </w:rPr>
      </w:pPr>
      <w:r>
        <w:rPr>
          <w:rFonts w:ascii="Times New Roman" w:hAnsi="Times New Roman"/>
          <w:sz w:val="20"/>
        </w:rPr>
        <w:t xml:space="preserve">No holder of any debt security of any series will have any right to institute any proceeding, judicial or otherwise, with respect to the indenture or for the appointment of a receiver or trustee, or for any remedy under the indenture,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holder has previously given to the trustee written notice of a continuing Event of Default with respect to debt securities of that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(Section 6.7)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 in the indenture, the holder of any debt security will have an absolute and unconditional right to receive payment of the principal of, premium, if any, and any interest on that debt security on or after the due dates expressed in that debt security and to institute suit for the enforcement of payment. (Section 6.8) </w:t>
      </w:r>
    </w:p>
    <w:p>
      <w:pPr>
        <w:pStyle w:val="TextBody"/>
        <w:bidi w:val="0"/>
        <w:spacing w:before="240" w:after="0"/>
        <w:jc w:val="left"/>
        <w:rPr>
          <w:rFonts w:ascii="Times New Roman" w:hAnsi="Times New Roman"/>
          <w:sz w:val="20"/>
        </w:rPr>
      </w:pPr>
      <w:r>
        <w:rPr>
          <w:rFonts w:ascii="Times New Roman" w:hAnsi="Times New Roman"/>
          <w:sz w:val="20"/>
        </w:rPr>
        <w:t xml:space="preserve">The indenture requires us, within 120 days after the end of our fiscal year, to furnish to the trustee a statement as to compliance with the indenture. (Section 4.3) If a Default or Event of Default occurs and is continuing with respect to the securities of any series and if it is known to a responsible officer of the trustee, the trustee shall mail to each 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 (Section 7.5)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and Waiver </w:t>
      </w:r>
    </w:p>
    <w:p>
      <w:pPr>
        <w:pStyle w:val="TextBody"/>
        <w:bidi w:val="0"/>
        <w:spacing w:before="120" w:after="0"/>
        <w:jc w:val="left"/>
        <w:rPr>
          <w:rFonts w:ascii="Times New Roman" w:hAnsi="Times New Roman"/>
          <w:sz w:val="20"/>
        </w:rPr>
      </w:pPr>
      <w:r>
        <w:rPr>
          <w:rFonts w:ascii="Times New Roman" w:hAnsi="Times New Roman"/>
          <w:sz w:val="20"/>
        </w:rPr>
        <w:t xml:space="preserve">We and the trustee may modify, amend or supplement the indenture or the debt securities of any series without the consent of any holder of any debt security: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defect or inconsistency;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covenants in the indenture described above under the heading “Consolidation, Merger and Sale of Assets”;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uncertificated securities in addition to or in place of certificated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guarantees with respect to debt securities of any series or secure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surrender any of our rights or powers under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covenants or events of default for the benefit of the holders of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the applicable procedures of the applicable depositary;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change that does not adversely affect the rights of any holder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the issuance of and establish the form and terms and conditions of debt securities of any series as permitted by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effect the appointment of a successor trustee with respect to the debt securities of any series and to add to or change any of the provisions of the indenture to provide for or facilitate administration by more than one trustee;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requirements of the SEC in order to effect or maintain the qualification of the indenture under the Trust Indenture Act. (Section 9.1)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modification or amendment would: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amount of debt securities whose holders must consent to an amendment, supplement or waiver;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rate of or extend the time for payment of interest (including default interest) on any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of or premium on or change the fixed maturity of any debt security or reduce the amount of, or postpone the date fixed for, the payment of any sinking fund or analogous obligation with respect to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amount of discount securities payable upon acceleration of maturity;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the principal of or premium or interest on any debt security payable in currency other than that stated in the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a redemption payment with respect to any debt security. (Section 9.3)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Except for certain specified provisions, the holders of at least a majority in principal amount of the outstanding debt securities of any series may on behalf of the holders of all debt securities of that series waive our compliance with provisions of the indenture. (Section 9.2) The holders of a majority in principal amount of the outstanding debt securities of any series may on behalf of the holders of all the debt securities of such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 (Section 6.13) </w:t>
      </w:r>
    </w:p>
    <w:p>
      <w:pPr>
        <w:pStyle w:val="TextBody"/>
        <w:bidi w:val="0"/>
        <w:spacing w:before="360" w:after="0"/>
        <w:jc w:val="left"/>
        <w:rPr>
          <w:rFonts w:ascii="Times New Roman" w:hAnsi="Times New Roman"/>
          <w:b/>
          <w:sz w:val="20"/>
        </w:rPr>
      </w:pPr>
      <w:r>
        <w:rPr>
          <w:rFonts w:ascii="Times New Roman" w:hAnsi="Times New Roman"/>
          <w:b/>
          <w:sz w:val="20"/>
        </w:rPr>
        <w:t xml:space="preserve">Defeasance of Debt Securities and Certain Covenants in Certain Circumstances </w:t>
      </w:r>
    </w:p>
    <w:p>
      <w:pPr>
        <w:pStyle w:val="TextBody"/>
        <w:bidi w:val="0"/>
        <w:spacing w:before="120" w:after="0"/>
        <w:jc w:val="left"/>
        <w:rPr>
          <w:rFonts w:ascii="Times New Roman" w:hAnsi="Times New Roman"/>
          <w:sz w:val="20"/>
        </w:rPr>
      </w:pPr>
      <w:r>
        <w:rPr>
          <w:rFonts w:ascii="Times New Roman" w:hAnsi="Times New Roman"/>
          <w:i/>
          <w:sz w:val="20"/>
        </w:rPr>
        <w:t>Legal Defeasance</w:t>
      </w:r>
      <w:r>
        <w:rPr>
          <w:rFonts w:ascii="Times New Roman" w:hAnsi="Times New Roman"/>
          <w:sz w:val="20"/>
        </w:rPr>
        <w:t xml:space="preserve">. The indenture provides that, unless otherwise provided by the terms of the applicable series of debt securities, we may be discharged 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if any, and interest on and any mandatory sinking fund payments in respect of the debt securities of that series on the stated maturity of those payments in accordance with the terms of the indenture and those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discharge may occur only if, among other things, we have delivered to the trustee an opinion of counsel stating that we have received from, or there has been published by, the U.S. Internal Revenue Service a ruling or, since the date of execution of the indenture, there has been a change in the applicable U.S. federal income tax law, in either case to the effect that, and based thereon such opinion shall confirm that, the beneficial owners of the debt securities of that series will not recognize income, gain or loss for U.S. federal income tax purposes as a result of the deposit, defeasance and discharge and will be subject to U.S. federal income tax on the same amounts, in the same manner and at the same times as would have been the case if the deposit, defeasance and discharge had not occurred. (Section 8.3) </w:t>
      </w:r>
    </w:p>
    <w:p>
      <w:pPr>
        <w:pStyle w:val="TextBody"/>
        <w:bidi w:val="0"/>
        <w:spacing w:before="240" w:after="0"/>
        <w:jc w:val="left"/>
        <w:rPr>
          <w:rFonts w:ascii="Times New Roman" w:hAnsi="Times New Roman"/>
          <w:sz w:val="20"/>
        </w:rPr>
      </w:pPr>
      <w:r>
        <w:rPr>
          <w:rFonts w:ascii="Times New Roman" w:hAnsi="Times New Roman"/>
          <w:i/>
          <w:sz w:val="20"/>
        </w:rPr>
        <w:t>Defeasance of Certain Covenants</w:t>
      </w:r>
      <w:r>
        <w:rPr>
          <w:rFonts w:ascii="Times New Roman" w:hAnsi="Times New Roman"/>
          <w:sz w:val="20"/>
        </w:rPr>
        <w:t xml:space="preserve">. The indenture provides that, unless otherwise provided by the terms of the applicable series of debt securities, upon compliance with certain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omit to comply with the covenant described under the heading “Consolidation, Merger and Sale of Assets” and certain other covenants set forth in the indenture, as well as any additional covenants which may be set forth in the applicable prospectus supplement;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omission to comply with those covenants will not constitute a Default or an Event of Default with respect to the debt securities of that series (“covenant defeasance”).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conditions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delivering to the trustee an opinion of counsel to the effect that the beneficial owners of the debt securities of that series will not recognize income, gain or loss for U.S. federal income tax purposes as a result of the deposit and related covenant defeasance and will be subject to U.S. federal income tax on the same amounts, in the same manner and at the same times as would have been the case if the deposit and related covenant defeasance had not occurred. (Section 8.4)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No Personal Liability of Directors, Officers, Employees or Stockholders </w:t>
      </w:r>
    </w:p>
    <w:p>
      <w:pPr>
        <w:pStyle w:val="TextBody"/>
        <w:bidi w:val="0"/>
        <w:spacing w:before="120" w:after="0"/>
        <w:jc w:val="left"/>
        <w:rPr>
          <w:rFonts w:ascii="Times New Roman" w:hAnsi="Times New Roman"/>
          <w:sz w:val="20"/>
        </w:rPr>
      </w:pPr>
      <w:r>
        <w:rPr>
          <w:rFonts w:ascii="Times New Roman" w:hAnsi="Times New Roman"/>
          <w:sz w:val="20"/>
        </w:rPr>
        <w:t xml:space="preserve">None of our past, present or future directors, officers, employees or stockholders,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and the debt securities, including any claim or controversy arising out of or relating to the indenture or the securities, will be governed by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 </w:t>
      </w:r>
    </w:p>
    <w:p>
      <w:pPr>
        <w:pStyle w:val="TextBody"/>
        <w:bidi w:val="0"/>
        <w:spacing w:before="240" w:after="0"/>
        <w:jc w:val="left"/>
        <w:rPr>
          <w:rFonts w:ascii="Times New Roman" w:hAnsi="Times New Roman"/>
          <w:sz w:val="20"/>
        </w:rPr>
      </w:pPr>
      <w:r>
        <w:rPr>
          <w:rFonts w:ascii="Times New Roman" w:hAnsi="Times New Roman"/>
          <w:sz w:val="20"/>
        </w:rPr>
        <w:t xml:space="preserve">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 (Section 10.10)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5" w:name="tx93698_8"/>
      <w:bookmarkEnd w:id="25"/>
      <w:r>
        <w:rPr>
          <w:rFonts w:ascii="Times New Roman" w:hAnsi="Times New Roman"/>
          <w:b/>
          <w:sz w:val="20"/>
        </w:rPr>
        <w:t xml:space="preserve">DESCRIPTION OF OTHER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set forth in the applicable prospectus supplement a description of any warrants or units issued by us that may be offered and sold pursuant to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6" w:name="tx93698_9"/>
      <w:bookmarkEnd w:id="26"/>
      <w:r>
        <w:rPr>
          <w:rFonts w:ascii="Times New Roman" w:hAnsi="Times New Roman"/>
          <w:b/>
          <w:sz w:val="20"/>
        </w:rPr>
        <w:t xml:space="preserve">GLOBAL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Book-Entry, Delivery and Form </w:t>
      </w:r>
    </w:p>
    <w:p>
      <w:pPr>
        <w:pStyle w:val="TextBody"/>
        <w:bidi w:val="0"/>
        <w:spacing w:before="120" w:after="0"/>
        <w:jc w:val="left"/>
        <w:rPr>
          <w:rFonts w:ascii="Times New Roman" w:hAnsi="Times New Roman"/>
          <w:sz w:val="20"/>
        </w:rPr>
      </w:pPr>
      <w:r>
        <w:rPr>
          <w:rFonts w:ascii="Times New Roman" w:hAnsi="Times New Roman"/>
          <w:sz w:val="20"/>
        </w:rPr>
        <w:t xml:space="preserve">Unless we indicate differently in any applicable prospectus supplement or free writing prospectus, the securities initially will be issued in book-entry form and represented by one or more global notes or global securities, or, collectively, global securities. The global securities will be deposited with, or on behalf of, The Depository Trust Company, New York, New York, as depositary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 </w:t>
      </w:r>
    </w:p>
    <w:p>
      <w:pPr>
        <w:pStyle w:val="TextBody"/>
        <w:bidi w:val="0"/>
        <w:spacing w:before="240" w:after="0"/>
        <w:jc w:val="left"/>
        <w:rPr>
          <w:rFonts w:ascii="Times New Roman" w:hAnsi="Times New Roman"/>
          <w:sz w:val="20"/>
        </w:rPr>
      </w:pPr>
      <w:r>
        <w:rPr>
          <w:rFonts w:ascii="Times New Roman" w:hAnsi="Times New Roman"/>
          <w:sz w:val="20"/>
        </w:rPr>
        <w:t xml:space="preserve">DTC has advised us that it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limited-purpose trust company organized under the New York Banking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“banking organization” within the meaning of the New York Banking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member of the Federal Reserve System;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“clearing corporation” within the meaning of the New York Uniform Commercial Code;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“clearing agency” registered pursuant to the provisions of Section 17A of the Exchange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 owned subsidiary of The Depository Trust &amp; Clearing Corporation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 </w:t>
      </w:r>
    </w:p>
    <w:p>
      <w:pPr>
        <w:pStyle w:val="TextBody"/>
        <w:bidi w:val="0"/>
        <w:spacing w:before="240" w:after="0"/>
        <w:jc w:val="left"/>
        <w:rPr>
          <w:rFonts w:ascii="Times New Roman" w:hAnsi="Times New Roman"/>
          <w:sz w:val="20"/>
        </w:rPr>
      </w:pPr>
      <w:r>
        <w:rPr>
          <w:rFonts w:ascii="Times New Roman" w:hAnsi="Times New Roman"/>
          <w:sz w:val="20"/>
        </w:rPr>
        <w:t xml:space="preserve">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 </w:t>
      </w:r>
    </w:p>
    <w:p>
      <w:pPr>
        <w:pStyle w:val="TextBody"/>
        <w:bidi w:val="0"/>
        <w:spacing w:before="240" w:after="0"/>
        <w:jc w:val="left"/>
        <w:rPr>
          <w:rFonts w:ascii="Times New Roman" w:hAnsi="Times New Roman"/>
          <w:sz w:val="20"/>
        </w:rPr>
      </w:pPr>
      <w:r>
        <w:rPr>
          <w:rFonts w:ascii="Times New Roman" w:hAnsi="Times New Roman"/>
          <w:sz w:val="20"/>
        </w:rPr>
        <w:t xml:space="preserve">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Redemption notices will be sent to DTC. If less than all of the securities of a particular series are being redeemed, DTC’s practice is to determine by lot the amount of the interest of each direct participant in the securities of such series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 </w:t>
      </w:r>
    </w:p>
    <w:p>
      <w:pPr>
        <w:pStyle w:val="TextBody"/>
        <w:bidi w:val="0"/>
        <w:spacing w:before="240" w:after="0"/>
        <w:jc w:val="left"/>
        <w:rPr>
          <w:rFonts w:ascii="Times New Roman" w:hAnsi="Times New Roman"/>
          <w:sz w:val="20"/>
        </w:rPr>
      </w:pPr>
      <w:r>
        <w:rPr>
          <w:rFonts w:ascii="Times New Roman" w:hAnsi="Times New Roman"/>
          <w:sz w:val="20"/>
        </w:rPr>
        <w:t xml:space="preserve">So long as securities are in book-entry form, we will make payments on those securities to DTC or its nominee, as the registered owner of such securities, by wire transfer of immediately available funds. If securities are issued in definitive certificated form under the limited circumstances described below and if not otherwise provided in the description of the applicable securities herein or in the applicable prospectus supplement,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 </w:t>
      </w:r>
    </w:p>
    <w:p>
      <w:pPr>
        <w:pStyle w:val="TextBody"/>
        <w:bidi w:val="0"/>
        <w:spacing w:before="240" w:after="0"/>
        <w:jc w:val="left"/>
        <w:rPr>
          <w:rFonts w:ascii="Times New Roman" w:hAnsi="Times New Roman"/>
          <w:sz w:val="20"/>
        </w:rPr>
      </w:pPr>
      <w:r>
        <w:rPr>
          <w:rFonts w:ascii="Times New Roman" w:hAnsi="Times New Roman"/>
          <w:sz w:val="20"/>
        </w:rPr>
        <w:t xml:space="preserve">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 </w:t>
      </w:r>
    </w:p>
    <w:p>
      <w:pPr>
        <w:pStyle w:val="TextBody"/>
        <w:bidi w:val="0"/>
        <w:spacing w:before="240" w:after="0"/>
        <w:jc w:val="left"/>
        <w:rPr>
          <w:rFonts w:ascii="Times New Roman" w:hAnsi="Times New Roman"/>
          <w:sz w:val="20"/>
        </w:rPr>
      </w:pPr>
      <w:r>
        <w:rPr>
          <w:rFonts w:ascii="Times New Roman" w:hAnsi="Times New Roman"/>
          <w:sz w:val="20"/>
        </w:rPr>
        <w:t xml:space="preserve">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laws of some jurisdictions may require that some purchasers of securities take physical delivery of securities in definitive form. Those laws may impair the ability to transfer or pledge beneficial interests in securities. </w:t>
      </w:r>
    </w:p>
    <w:p>
      <w:pPr>
        <w:pStyle w:val="TextBody"/>
        <w:bidi w:val="0"/>
        <w:spacing w:before="240" w:after="0"/>
        <w:jc w:val="left"/>
        <w:rPr>
          <w:rFonts w:ascii="Times New Roman" w:hAnsi="Times New Roman"/>
          <w:sz w:val="20"/>
        </w:rPr>
      </w:pPr>
      <w:r>
        <w:rPr>
          <w:rFonts w:ascii="Times New Roman" w:hAnsi="Times New Roman"/>
          <w:sz w:val="20"/>
        </w:rPr>
        <w:t xml:space="preserve">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 noted above, beneficial owners of a particular series of securities generally will not receive certificates representing their ownership interests in those securities. However,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determine, in our sole discretion, not to have such securities represented by one or more global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Event of Default has occurred and is continuing with respect to such series of securities, then, in each case,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Euroclear and Clearstream </w:t>
      </w:r>
    </w:p>
    <w:p>
      <w:pPr>
        <w:pStyle w:val="TextBody"/>
        <w:bidi w:val="0"/>
        <w:spacing w:before="120" w:after="0"/>
        <w:jc w:val="left"/>
        <w:rPr>
          <w:rFonts w:ascii="Times New Roman" w:hAnsi="Times New Roman"/>
          <w:sz w:val="20"/>
        </w:rPr>
      </w:pPr>
      <w:r>
        <w:rPr>
          <w:rFonts w:ascii="Times New Roman" w:hAnsi="Times New Roman"/>
          <w:sz w:val="20"/>
        </w:rPr>
        <w:t xml:space="preserve">If so provided in the applicable prospectus supplement, you may hold interests in a global security through Clearstream Banking S.A. (“Clearstream”) or Euroclear Bank S.A./N.V., as operator of the Euroclear System, which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 </w:t>
      </w:r>
    </w:p>
    <w:p>
      <w:pPr>
        <w:pStyle w:val="TextBody"/>
        <w:bidi w:val="0"/>
        <w:spacing w:before="240" w:after="0"/>
        <w:jc w:val="left"/>
        <w:rPr>
          <w:rFonts w:ascii="Times New Roman" w:hAnsi="Times New Roman"/>
          <w:sz w:val="20"/>
        </w:rPr>
      </w:pPr>
      <w:r>
        <w:rPr>
          <w:rFonts w:ascii="Times New Roman" w:hAnsi="Times New Roman"/>
          <w:sz w:val="20"/>
        </w:rPr>
        <w:t xml:space="preserve">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 </w:t>
      </w:r>
    </w:p>
    <w:p>
      <w:pPr>
        <w:pStyle w:val="TextBody"/>
        <w:bidi w:val="0"/>
        <w:spacing w:before="240" w:after="0"/>
        <w:jc w:val="left"/>
        <w:rPr>
          <w:rFonts w:ascii="Times New Roman" w:hAnsi="Times New Roman"/>
          <w:sz w:val="20"/>
        </w:rPr>
      </w:pPr>
      <w:r>
        <w:rPr>
          <w:rFonts w:ascii="Times New Roman" w:hAnsi="Times New Roman"/>
          <w:sz w:val="20"/>
        </w:rPr>
        <w:t xml:space="preserve">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 </w:t>
      </w:r>
    </w:p>
    <w:p>
      <w:pPr>
        <w:pStyle w:val="TextBody"/>
        <w:bidi w:val="0"/>
        <w:spacing w:before="240" w:after="0"/>
        <w:jc w:val="left"/>
        <w:rPr>
          <w:rFonts w:ascii="Times New Roman" w:hAnsi="Times New Roman"/>
          <w:sz w:val="20"/>
        </w:rPr>
      </w:pPr>
      <w:r>
        <w:rPr>
          <w:rFonts w:ascii="Times New Roman" w:hAnsi="Times New Roman"/>
          <w:sz w:val="20"/>
        </w:rPr>
        <w:t xml:space="preserve">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 transactions will require delivery of instructions to Euroclear or Clearstream, as the case may be, by the 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payment in accordance with normal procedures for same-day fund settlement. Participants in Euroclear or Clearstream may not deliver instructions directly to their respective U.S. depositaries. </w:t>
      </w:r>
    </w:p>
    <w:p>
      <w:pPr>
        <w:pStyle w:val="TextBody"/>
        <w:bidi w:val="0"/>
        <w:spacing w:before="240" w:after="0"/>
        <w:jc w:val="left"/>
        <w:rPr>
          <w:rFonts w:ascii="Times New Roman" w:hAnsi="Times New Roman"/>
          <w:sz w:val="20"/>
        </w:rPr>
      </w:pPr>
      <w:r>
        <w:rPr>
          <w:rFonts w:ascii="Times New Roman" w:hAnsi="Times New Roman"/>
          <w:sz w:val="20"/>
        </w:rPr>
        <w:t xml:space="preserve">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 available in the relevant Euroclear or Clearstream cash account only as of the business day for Euroclear or Clearstream following DTC’s settlement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in this section of this prospectus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 Euroclear or their respective participants of these or any other rules or procedures governing their respective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7" w:name="tx93698_10"/>
      <w:bookmarkEnd w:id="27"/>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offered securities from time to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underwriters or dealers;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to one or more purchasers;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 combination of any of these methods of sale.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identify the specific plan of distribution, including any underwriters, dealers, agents or direct purchasers and their compensation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8" w:name="tx93698_11"/>
      <w:bookmarkEnd w:id="28"/>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Latham &amp; Watkins LLP will pass upon for us certain legal matters relating to the issuance and sale of the securities offered hereby on behalf of Revolution Medicines, Inc. Additional legal matters may be passed upon for us or any underwriters, dealers or agents, by counsel that we will name in any applicable prospectus supplement. Certain attorneys affiliated with Latham &amp; Watkins LLP own shares of our common stock representing in the aggregate less than 1% of our outstanding shares. </w:t>
      </w:r>
    </w:p>
    <w:p>
      <w:pPr>
        <w:pStyle w:val="TextBody"/>
        <w:bidi w:val="0"/>
        <w:spacing w:before="480" w:after="0"/>
        <w:jc w:val="center"/>
        <w:rPr>
          <w:rFonts w:ascii="Times New Roman" w:hAnsi="Times New Roman"/>
          <w:b/>
          <w:sz w:val="20"/>
        </w:rPr>
      </w:pPr>
      <w:bookmarkStart w:id="29" w:name="tx93698_12"/>
      <w:bookmarkEnd w:id="29"/>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and management’s assessment of the effectiveness of internal control over financial reporting (which is included in Management’s annual report on internal control over financial reporting) incorporated in this prospectus by reference to the Annual Report on Form 10-K for the year ended December 31, 2023 have been so incorporated in reliance on the report of PricewaterhouseCoopers LLP, an independent registered public accounting firm, given on the authority of said firm as experts in auditing and accounting.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EQRx, Inc. appearing in EQRx, Inc.’s Annual Report on Form 10-K for the year ended December 31, 2022,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593340" cy="79629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9"/>
                    <a:stretch>
                      <a:fillRect/>
                    </a:stretch>
                  </pic:blipFill>
                  <pic:spPr bwMode="auto">
                    <a:xfrm>
                      <a:off x="0" y="0"/>
                      <a:ext cx="2593340" cy="796290"/>
                    </a:xfrm>
                    <a:prstGeom prst="rect">
                      <a:avLst/>
                    </a:prstGeom>
                  </pic:spPr>
                </pic:pic>
              </a:graphicData>
            </a:graphic>
          </wp:inline>
        </w:drawing>
      </w:r>
      <w:r>
        <w:rPr/>
        <w:t xml:space="preserve"> </w:t>
      </w:r>
    </w:p>
    <w:p>
      <w:pPr>
        <w:pStyle w:val="TextBody"/>
        <w:bidi w:val="0"/>
        <w:spacing w:before="160" w:after="0"/>
        <w:jc w:val="center"/>
        <w:rPr>
          <w:rFonts w:ascii="arial" w:hAnsi="arial"/>
          <w:b/>
          <w:i/>
          <w:sz w:val="36"/>
        </w:rPr>
      </w:pPr>
      <w:r>
        <w:rPr>
          <w:rFonts w:ascii="arial" w:hAnsi="arial"/>
          <w:b/>
          <w:i/>
          <w:sz w:val="36"/>
        </w:rPr>
        <w:t xml:space="preserve">10,563,381 Shares of Common stock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938"/>
        <w:gridCol w:w="102"/>
        <w:gridCol w:w="4184"/>
        <w:gridCol w:w="102"/>
        <w:gridCol w:w="3879"/>
      </w:tblGrid>
      <w:tr>
        <w:trPr/>
        <w:tc>
          <w:tcPr>
            <w:tcW w:w="193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18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879" w:type="dxa"/>
            <w:tcBorders/>
            <w:vAlign w:val="center"/>
          </w:tcPr>
          <w:p>
            <w:pPr>
              <w:pStyle w:val="TableContents"/>
              <w:bidi w:val="0"/>
              <w:spacing w:before="0" w:after="283"/>
              <w:jc w:val="left"/>
              <w:rPr>
                <w:sz w:val="4"/>
                <w:szCs w:val="4"/>
              </w:rPr>
            </w:pPr>
            <w:r>
              <w:rPr>
                <w:sz w:val="4"/>
                <w:szCs w:val="4"/>
              </w:rPr>
            </w:r>
          </w:p>
        </w:tc>
      </w:tr>
      <w:tr>
        <w:trPr/>
        <w:tc>
          <w:tcPr>
            <w:tcW w:w="1938" w:type="dxa"/>
            <w:tcBorders/>
            <w:vAlign w:val="bottom"/>
          </w:tcPr>
          <w:p>
            <w:pPr>
              <w:pStyle w:val="TableContents"/>
              <w:bidi w:val="0"/>
              <w:spacing w:before="0" w:after="283"/>
              <w:jc w:val="left"/>
              <w:rPr>
                <w:b/>
              </w:rPr>
            </w:pPr>
            <w:r>
              <w:rPr>
                <w:b/>
              </w:rPr>
              <w:t>J.P. Morgan</w:t>
            </w:r>
          </w:p>
        </w:tc>
        <w:tc>
          <w:tcPr>
            <w:tcW w:w="102" w:type="dxa"/>
            <w:tcBorders/>
            <w:vAlign w:val="bottom"/>
          </w:tcPr>
          <w:p>
            <w:pPr>
              <w:pStyle w:val="TableContents"/>
              <w:bidi w:val="0"/>
              <w:spacing w:before="0" w:after="283"/>
              <w:jc w:val="left"/>
              <w:rPr/>
            </w:pPr>
            <w:r>
              <w:rPr/>
              <w:t> </w:t>
            </w:r>
          </w:p>
        </w:tc>
        <w:tc>
          <w:tcPr>
            <w:tcW w:w="4184" w:type="dxa"/>
            <w:tcBorders/>
            <w:vAlign w:val="bottom"/>
          </w:tcPr>
          <w:p>
            <w:pPr>
              <w:pStyle w:val="TableContents"/>
              <w:bidi w:val="0"/>
              <w:spacing w:before="0" w:after="283"/>
              <w:jc w:val="center"/>
              <w:rPr/>
            </w:pPr>
            <w:r>
              <w:rPr/>
              <w:t>     </w:t>
            </w:r>
            <w:r>
              <w:rPr>
                <w:b/>
              </w:rPr>
              <w:t>TD Cowen</w:t>
            </w:r>
          </w:p>
        </w:tc>
        <w:tc>
          <w:tcPr>
            <w:tcW w:w="102" w:type="dxa"/>
            <w:tcBorders/>
            <w:vAlign w:val="bottom"/>
          </w:tcPr>
          <w:p>
            <w:pPr>
              <w:pStyle w:val="TableContents"/>
              <w:bidi w:val="0"/>
              <w:spacing w:before="0" w:after="283"/>
              <w:jc w:val="left"/>
              <w:rPr/>
            </w:pPr>
            <w:r>
              <w:rPr/>
              <w:t> </w:t>
            </w:r>
          </w:p>
        </w:tc>
        <w:tc>
          <w:tcPr>
            <w:tcW w:w="3879" w:type="dxa"/>
            <w:tcBorders/>
            <w:vAlign w:val="bottom"/>
          </w:tcPr>
          <w:p>
            <w:pPr>
              <w:pStyle w:val="TableContents"/>
              <w:bidi w:val="0"/>
              <w:spacing w:before="0" w:after="283"/>
              <w:jc w:val="right"/>
              <w:rPr>
                <w:b/>
              </w:rPr>
            </w:pPr>
            <w:r>
              <w:rPr>
                <w:b/>
              </w:rPr>
              <w:t>Guggenheim Securities</w:t>
            </w:r>
          </w:p>
        </w:tc>
      </w:tr>
    </w:tbl>
    <w:p>
      <w:pPr>
        <w:pStyle w:val="TextBody"/>
        <w:bidi w:val="0"/>
        <w:spacing w:before="160" w:after="0"/>
        <w:jc w:val="center"/>
        <w:rPr>
          <w:rFonts w:ascii="arial" w:hAnsi="arial"/>
          <w:b/>
          <w:sz w:val="32"/>
        </w:rPr>
      </w:pPr>
      <w:r>
        <w:rPr>
          <w:rFonts w:ascii="arial" w:hAnsi="arial"/>
          <w:b/>
          <w:sz w:val="32"/>
        </w:rPr>
        <w:t xml:space="preserve">LifeSci Capital </w:t>
      </w:r>
    </w:p>
    <w:p>
      <w:pPr>
        <w:pStyle w:val="TextBody"/>
        <w:bidi w:val="0"/>
        <w:spacing w:before="5000" w:after="0"/>
        <w:jc w:val="left"/>
        <w:rPr>
          <w:rFonts w:ascii="arial" w:hAnsi="arial"/>
          <w:sz w:val="20"/>
        </w:rPr>
      </w:pPr>
      <w:r>
        <w:rPr>
          <w:rFonts w:ascii="arial" w:hAnsi="arial"/>
          <w:sz w:val="20"/>
        </w:rPr>
        <w:t xml:space="preserve">April 14, 2026 </w:t>
      </w:r>
    </w:p>
    <w:p>
      <w:pPr>
        <w:pStyle w:val="Normal"/>
        <w:bidi w:val="0"/>
        <w:spacing w:before="0" w:after="0"/>
        <w:jc w:val="left"/>
        <w:rPr>
          <w:sz w:val="4"/>
          <w:szCs w:val="4"/>
        </w:rPr>
      </w:pPr>
      <w:r>
        <w:rPr>
          <w:sz w:val="4"/>
          <w:szCs w:val="4"/>
        </w:rPr>
      </w:r>
      <w:bookmarkStart w:id="30" w:name="d93698dexfilingfees.htm"/>
      <w:bookmarkStart w:id="31" w:name="ksd93698dexfilingfees"/>
      <w:bookmarkStart w:id="32" w:name="d93698dexfilingfees.htm"/>
      <w:bookmarkStart w:id="33" w:name="ksd93698dexfilingfees"/>
      <w:bookmarkEnd w:id="32"/>
      <w:bookmarkEnd w:id="33"/>
      <w:r>
        <w:br w:type="page"/>
      </w:r>
    </w:p>
    <w:tbl>
      <w:tblPr>
        <w:tblW w:w="3577" w:type="dxa"/>
        <w:jc w:val="left"/>
        <w:tblInd w:w="0" w:type="dxa"/>
        <w:tblLayout w:type="fixed"/>
        <w:tblCellMar>
          <w:top w:w="28" w:type="dxa"/>
          <w:left w:w="28" w:type="dxa"/>
          <w:bottom w:w="28" w:type="dxa"/>
          <w:right w:w="28" w:type="dxa"/>
        </w:tblCellMar>
      </w:tblPr>
      <w:tblGrid>
        <w:gridCol w:w="3423"/>
        <w:gridCol w:w="154"/>
      </w:tblGrid>
      <w:tr>
        <w:trPr/>
        <w:tc>
          <w:tcPr>
            <w:tcW w:w="3577"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3"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23" w:type="dxa"/>
            <w:tcBorders/>
            <w:vAlign w:val="center"/>
          </w:tcPr>
          <w:p>
            <w:pPr>
              <w:pStyle w:val="TableContents"/>
              <w:bidi w:val="0"/>
              <w:spacing w:before="0" w:after="283"/>
              <w:jc w:val="left"/>
              <w:rPr>
                <w:b/>
              </w:rPr>
            </w:pPr>
            <w:r>
              <w:rPr>
                <w:b/>
              </w:rPr>
              <w:t xml:space="preserve">Revolution Medicines,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749"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966"/>
        <w:gridCol w:w="1126"/>
        <w:gridCol w:w="1366"/>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9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66"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749"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par value $0.0001 per share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right"/>
              <w:rPr/>
            </w:pPr>
            <w:r>
              <w:rPr/>
              <w:t xml:space="preserve">12,147,887 </w:t>
            </w:r>
          </w:p>
        </w:tc>
        <w:tc>
          <w:tcPr>
            <w:tcW w:w="1156" w:type="dxa"/>
            <w:tcBorders/>
            <w:shd w:fill="E7E7E2" w:val="clear"/>
            <w:vAlign w:val="center"/>
          </w:tcPr>
          <w:p>
            <w:pPr>
              <w:pStyle w:val="TableContents"/>
              <w:bidi w:val="0"/>
              <w:spacing w:before="0" w:after="283"/>
              <w:jc w:val="right"/>
              <w:rPr/>
            </w:pPr>
            <w:r>
              <w:rPr/>
              <w:t xml:space="preserve">$ 142.00 </w:t>
            </w:r>
          </w:p>
        </w:tc>
        <w:tc>
          <w:tcPr>
            <w:tcW w:w="1966" w:type="dxa"/>
            <w:tcBorders/>
            <w:shd w:fill="E7E7E2" w:val="clear"/>
            <w:vAlign w:val="center"/>
          </w:tcPr>
          <w:p>
            <w:pPr>
              <w:pStyle w:val="TableContents"/>
              <w:bidi w:val="0"/>
              <w:spacing w:before="0" w:after="283"/>
              <w:jc w:val="right"/>
              <w:rPr/>
            </w:pPr>
            <w:r>
              <w:rPr/>
              <w:t xml:space="preserve">$ 1,724,999,954.00 </w:t>
            </w:r>
          </w:p>
        </w:tc>
        <w:tc>
          <w:tcPr>
            <w:tcW w:w="1126" w:type="dxa"/>
            <w:tcBorders/>
            <w:shd w:fill="E7E7E2" w:val="clear"/>
            <w:vAlign w:val="center"/>
          </w:tcPr>
          <w:p>
            <w:pPr>
              <w:pStyle w:val="TableContents"/>
              <w:bidi w:val="0"/>
              <w:spacing w:before="0" w:after="283"/>
              <w:jc w:val="right"/>
              <w:rPr/>
            </w:pPr>
            <w:r>
              <w:rPr/>
              <w:t xml:space="preserve">0.0001381 </w:t>
            </w:r>
          </w:p>
        </w:tc>
        <w:tc>
          <w:tcPr>
            <w:tcW w:w="1366" w:type="dxa"/>
            <w:tcBorders/>
            <w:shd w:fill="E7E7E2" w:val="clear"/>
            <w:vAlign w:val="center"/>
          </w:tcPr>
          <w:p>
            <w:pPr>
              <w:pStyle w:val="TableContents"/>
              <w:bidi w:val="0"/>
              <w:spacing w:before="0" w:after="283"/>
              <w:jc w:val="right"/>
              <w:rPr/>
            </w:pPr>
            <w:r>
              <w:rPr/>
              <w:t xml:space="preserve">$ 238,222.49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749"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0"/>
              <w:ind w:left="0" w:right="0" w:hanging="0"/>
              <w:jc w:val="right"/>
              <w:rPr/>
            </w:pPr>
            <w:bookmarkStart w:id="34" w:name="MaxAggtOfferingPrice"/>
            <w:bookmarkEnd w:id="34"/>
            <w:r>
              <w:rPr/>
              <w:t xml:space="preserve">$ 1,724,999,954.00 </w:t>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5" w:name="TotalFeeAmt"/>
            <w:bookmarkEnd w:id="35"/>
            <w:r>
              <w:rPr/>
              <w:t xml:space="preserve">$ 238,222.49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36" w:name="TotalPreviouslyPaidAmt"/>
            <w:bookmarkEnd w:id="36"/>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37" w:name="TotalOffsetAmt"/>
            <w:bookmarkEnd w:id="37"/>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38" w:name="NetFeeAmt"/>
            <w:bookmarkEnd w:id="38"/>
            <w:r>
              <w:rPr/>
              <w:t xml:space="preserve">$ 238,222.49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8"/>
        <w:gridCol w:w="1294"/>
        <w:gridCol w:w="8703"/>
      </w:tblGrid>
      <w:tr>
        <w:trPr/>
        <w:tc>
          <w:tcPr>
            <w:tcW w:w="208"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9997" w:type="dxa"/>
            <w:gridSpan w:val="2"/>
            <w:tcBorders/>
            <w:vAlign w:val="center"/>
          </w:tcPr>
          <w:p>
            <w:pPr>
              <w:pStyle w:val="TableContents"/>
              <w:bidi w:val="0"/>
              <w:spacing w:before="0" w:after="283"/>
              <w:jc w:val="left"/>
              <w:rPr/>
            </w:pPr>
            <w:r>
              <w:rPr/>
              <w:t xml:space="preserve">Calculated in accordance with Rule 457(r) under the Securities Act of 1933, as amended (the "Securities Act"). Payment of the registration fee at the time of filing of the registrant's Registration Statement on Form S-3 (File No. 333-277640) on March 4, 2024 was deferred pursuant to Rules 456(b) and 457(r) under the Securities Act and is paid herewith. Includes 1,584,506 shares of common stock that the underwriters have an option to purchase. </w:t>
            </w:r>
          </w:p>
        </w:tc>
      </w:tr>
      <w:tr>
        <w:trPr/>
        <w:tc>
          <w:tcPr>
            <w:tcW w:w="1502" w:type="dxa"/>
            <w:gridSpan w:val="2"/>
            <w:tcBorders/>
            <w:vAlign w:val="center"/>
          </w:tcPr>
          <w:p>
            <w:pPr>
              <w:pStyle w:val="HorizontalLine"/>
              <w:pBdr>
                <w:bottom w:val="double" w:sz="2" w:space="0" w:color="808080"/>
              </w:pBdr>
              <w:bidi w:val="0"/>
              <w:spacing w:before="0" w:after="283"/>
              <w:jc w:val="left"/>
              <w:rPr/>
            </w:pPr>
            <w:r>
              <w:rPr/>
            </w:r>
          </w:p>
        </w:tc>
        <w:tc>
          <w:tcPr>
            <w:tcW w:w="8703"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SimHei">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628171/000119312526071563/rvmd-20251231.htm" TargetMode="External"/><Relationship Id="rId4" Type="http://schemas.openxmlformats.org/officeDocument/2006/relationships/hyperlink" Target="http://www.sec.gov/Archives/edgar/data/../../../ix?doc=/Archives/edgar/data/1628171/000119312526152039/d69348d8k.htm" TargetMode="External"/><Relationship Id="rId5" Type="http://schemas.openxmlformats.org/officeDocument/2006/relationships/hyperlink" Target="http://www.sec.gov/Archives/edgar/data/1628171/000119312526071563/rvmd-ex4_3.htm" TargetMode="External"/><Relationship Id="rId6" Type="http://schemas.openxmlformats.org/officeDocument/2006/relationships/image" Target="media/image2.jpeg"/><Relationship Id="rId7" Type="http://schemas.openxmlformats.org/officeDocument/2006/relationships/hyperlink" Target="http://www.sec.gov/Archives/edgar/data/../../../ix?doc=/Archives/edgar/data/1628171/000095017024020145/rvmd-20231231.htm" TargetMode="External"/><Relationship Id="rId8" Type="http://schemas.openxmlformats.org/officeDocument/2006/relationships/hyperlink" Target="http://www.sec.gov/Archives/edgar/data/1628171/000095017024020145/rvmd-ex4_3.htm" TargetMode="External"/><Relationship Id="rId9" Type="http://schemas.openxmlformats.org/officeDocument/2006/relationships/image" Target="media/image2.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75</Pages>
  <Words>36511</Words>
  <Characters>193664</Characters>
  <CharactersWithSpaces>230873</CharactersWithSpaces>
  <Paragraphs>2105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