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846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846445"/>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Mancini Anthony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REVOLUTION MEDICINES, INC.</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700 SAGINAW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Revolution Medicines,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RVMD</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04/27/2026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1137"/>
        <w:spacing w:after="0"/>
        <w:rPr>
          <w:sz w:val="20"/>
          <w:szCs w:val="20"/>
          <w:color w:val="auto"/>
        </w:rPr>
      </w:pPr>
      <w:r>
        <w:rPr>
          <w:rFonts w:ascii="Times New Roman" w:cs="Times New Roman" w:eastAsia="Times New Roman" w:hAnsi="Times New Roman"/>
          <w:sz w:val="17"/>
          <w:szCs w:val="17"/>
          <w:color w:val="0000FF"/>
        </w:rPr>
        <w:t>See Remarks</w:t>
      </w:r>
    </w:p>
    <w:p>
      <w:pPr>
        <w:spacing w:after="0" w:line="537" w:lineRule="exact"/>
        <w:rPr>
          <w:sz w:val="24"/>
          <w:szCs w:val="24"/>
          <w:color w:val="auto"/>
        </w:rPr>
      </w:pPr>
    </w:p>
    <w:p>
      <w:pPr>
        <w:sectPr>
          <w:pgSz w:w="11900" w:h="16838" w:orient="portrait"/>
          <w:cols w:equalWidth="0" w:num="3">
            <w:col w:w="3200" w:space="720"/>
            <w:col w:w="3103" w:space="720"/>
            <w:col w:w="3337"/>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600" w:type="dxa"/>
            <w:vAlign w:val="bottom"/>
            <w:shd w:val="clear" w:color="auto" w:fill="9A9A9A"/>
          </w:tcPr>
          <w:p>
            <w:pPr>
              <w:spacing w:after="0"/>
              <w:rPr>
                <w:sz w:val="3"/>
                <w:szCs w:val="3"/>
                <w:color w:val="auto"/>
              </w:rPr>
            </w:pPr>
          </w:p>
        </w:tc>
        <w:tc>
          <w:tcPr>
            <w:tcW w:w="180" w:type="dxa"/>
            <w:vAlign w:val="bottom"/>
            <w:shd w:val="clear" w:color="auto" w:fill="9A9A9A"/>
          </w:tcPr>
          <w:p>
            <w:pPr>
              <w:spacing w:after="0"/>
              <w:rPr>
                <w:sz w:val="3"/>
                <w:szCs w:val="3"/>
                <w:color w:val="auto"/>
              </w:rPr>
            </w:pPr>
          </w:p>
        </w:tc>
        <w:tc>
          <w:tcPr>
            <w:tcW w:w="1040" w:type="dxa"/>
            <w:vAlign w:val="bottom"/>
            <w:shd w:val="clear" w:color="auto" w:fill="9A9A9A"/>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80" w:type="dxa"/>
            <w:vAlign w:val="bottom"/>
            <w:shd w:val="clear" w:color="auto" w:fill="9A9A9A"/>
          </w:tcPr>
          <w:p>
            <w:pPr>
              <w:spacing w:after="0"/>
              <w:rPr>
                <w:sz w:val="3"/>
                <w:szCs w:val="3"/>
                <w:color w:val="auto"/>
              </w:rPr>
            </w:pPr>
          </w:p>
        </w:tc>
        <w:tc>
          <w:tcPr>
            <w:tcW w:w="3460" w:type="dxa"/>
            <w:vAlign w:val="bottom"/>
            <w:gridSpan w:val="7"/>
            <w:vMerge w:val="restart"/>
          </w:tcPr>
          <w:p>
            <w:pPr>
              <w:jc w:val="center"/>
              <w:ind w:left="80"/>
              <w:spacing w:after="0"/>
              <w:rPr>
                <w:sz w:val="20"/>
                <w:szCs w:val="20"/>
                <w:color w:val="auto"/>
              </w:rPr>
            </w:pPr>
            <w:r>
              <w:rPr>
                <w:rFonts w:ascii="Arial" w:cs="Arial" w:eastAsia="Arial" w:hAnsi="Arial"/>
                <w:sz w:val="13"/>
                <w:szCs w:val="13"/>
                <w:color w:val="auto"/>
                <w:w w:val="99"/>
              </w:rPr>
              <w:t>4. If Amendment, Date of Original Filed (Month/Day/Year)</w:t>
            </w:r>
          </w:p>
        </w:tc>
        <w:tc>
          <w:tcPr>
            <w:tcW w:w="200" w:type="dxa"/>
            <w:vAlign w:val="bottom"/>
          </w:tcPr>
          <w:p>
            <w:pPr>
              <w:spacing w:after="0"/>
              <w:rPr>
                <w:sz w:val="3"/>
                <w:szCs w:val="3"/>
                <w:color w:val="auto"/>
              </w:rPr>
            </w:pPr>
          </w:p>
        </w:tc>
        <w:tc>
          <w:tcPr>
            <w:tcW w:w="3660" w:type="dxa"/>
            <w:vAlign w:val="bottom"/>
            <w:gridSpan w:val="9"/>
            <w:vMerge w:val="restart"/>
          </w:tcPr>
          <w:p>
            <w:pPr>
              <w:ind w:left="3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460" w:type="dxa"/>
            <w:vAlign w:val="bottom"/>
            <w:gridSpan w:val="7"/>
            <w:vMerge w:val="continue"/>
          </w:tcPr>
          <w:p>
            <w:pPr>
              <w:spacing w:after="0"/>
              <w:rPr>
                <w:sz w:val="9"/>
                <w:szCs w:val="9"/>
                <w:color w:val="auto"/>
              </w:rPr>
            </w:pPr>
          </w:p>
        </w:tc>
        <w:tc>
          <w:tcPr>
            <w:tcW w:w="200" w:type="dxa"/>
            <w:vAlign w:val="bottom"/>
          </w:tcPr>
          <w:p>
            <w:pPr>
              <w:spacing w:after="0"/>
              <w:rPr>
                <w:sz w:val="9"/>
                <w:szCs w:val="9"/>
                <w:color w:val="auto"/>
              </w:rPr>
            </w:pPr>
          </w:p>
        </w:tc>
        <w:tc>
          <w:tcPr>
            <w:tcW w:w="36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6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REDWOOD</w:t>
            </w: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94063</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900" w:type="dxa"/>
            <w:vAlign w:val="bottom"/>
            <w:gridSpan w:val="7"/>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CITY</w:t>
            </w:r>
          </w:p>
        </w:tc>
        <w:tc>
          <w:tcPr>
            <w:tcW w:w="60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00" w:type="dxa"/>
            <w:vAlign w:val="bottom"/>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20" w:type="dxa"/>
            <w:vAlign w:val="bottom"/>
          </w:tcPr>
          <w:p>
            <w:pPr>
              <w:spacing w:after="0"/>
              <w:rPr>
                <w:sz w:val="9"/>
                <w:szCs w:val="9"/>
                <w:color w:val="auto"/>
              </w:rPr>
            </w:pPr>
          </w:p>
        </w:tc>
        <w:tc>
          <w:tcPr>
            <w:tcW w:w="290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220" w:type="dxa"/>
            <w:vAlign w:val="bottom"/>
          </w:tcPr>
          <w:p>
            <w:pPr>
              <w:spacing w:after="0"/>
              <w:rPr>
                <w:sz w:val="6"/>
                <w:szCs w:val="6"/>
                <w:color w:val="auto"/>
              </w:rPr>
            </w:pPr>
          </w:p>
        </w:tc>
        <w:tc>
          <w:tcPr>
            <w:tcW w:w="290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1040" w:type="dxa"/>
            <w:vAlign w:val="bottom"/>
            <w:tcBorders>
              <w:bottom w:val="single" w:sz="8" w:color="9A9A9A"/>
            </w:tcBorders>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ind w:left="100"/>
              <w:spacing w:after="0"/>
              <w:rPr>
                <w:sz w:val="20"/>
                <w:szCs w:val="20"/>
                <w:color w:val="auto"/>
              </w:rPr>
            </w:pPr>
            <w:r>
              <w:rPr>
                <w:rFonts w:ascii="Arial" w:cs="Arial" w:eastAsia="Arial" w:hAnsi="Arial"/>
                <w:sz w:val="13"/>
                <w:szCs w:val="13"/>
                <w:color w:val="auto"/>
                <w:w w:val="97"/>
              </w:rPr>
              <w:t>Person</w:t>
            </w: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ind w:left="20"/>
              <w:spacing w:after="0"/>
              <w:rPr>
                <w:sz w:val="20"/>
                <w:szCs w:val="20"/>
                <w:color w:val="auto"/>
              </w:rPr>
            </w:pPr>
            <w:r>
              <w:rPr>
                <w:rFonts w:ascii="Arial" w:cs="Arial" w:eastAsia="Arial" w:hAnsi="Arial"/>
                <w:sz w:val="13"/>
                <w:szCs w:val="13"/>
                <w:color w:val="auto"/>
              </w:rPr>
              <w:t>(City)</w:t>
            </w:r>
          </w:p>
        </w:tc>
        <w:tc>
          <w:tcPr>
            <w:tcW w:w="600" w:type="dxa"/>
            <w:vAlign w:val="bottom"/>
          </w:tcPr>
          <w:p>
            <w:pPr>
              <w:spacing w:after="0"/>
              <w:rPr>
                <w:sz w:val="24"/>
                <w:szCs w:val="24"/>
                <w:color w:val="auto"/>
              </w:rPr>
            </w:pPr>
          </w:p>
        </w:tc>
        <w:tc>
          <w:tcPr>
            <w:tcW w:w="122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40" w:type="dxa"/>
            <w:vAlign w:val="bottom"/>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180" w:type="dxa"/>
            <w:vAlign w:val="bottom"/>
            <w:tcBorders>
              <w:bottom w:val="single" w:sz="8" w:color="2C2C2C"/>
            </w:tcBorders>
          </w:tcPr>
          <w:p>
            <w:pPr>
              <w:spacing w:after="0"/>
              <w:rPr>
                <w:sz w:val="10"/>
                <w:szCs w:val="10"/>
                <w:color w:val="auto"/>
              </w:rPr>
            </w:pPr>
          </w:p>
        </w:tc>
        <w:tc>
          <w:tcPr>
            <w:tcW w:w="2260" w:type="dxa"/>
            <w:vAlign w:val="bottom"/>
            <w:tcBorders>
              <w:bottom w:val="single" w:sz="8" w:color="2C2C2C"/>
            </w:tcBorders>
            <w:gridSpan w:val="3"/>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3560" w:type="dxa"/>
            <w:vAlign w:val="bottom"/>
            <w:tcBorders>
              <w:bottom w:val="single" w:sz="8" w:color="2C2C2C"/>
            </w:tcBorders>
            <w:gridSpan w:val="8"/>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18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4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4"/>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3"/>
          </w:tcPr>
          <w:p>
            <w:pPr>
              <w:ind w:left="4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4"/>
                <w:szCs w:val="14"/>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48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40" w:type="dxa"/>
            <w:vAlign w:val="bottom"/>
            <w:gridSpan w:val="3"/>
          </w:tcPr>
          <w:p>
            <w:pPr>
              <w:jc w:val="center"/>
              <w:ind w:left="31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42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6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60" w:type="dxa"/>
            <w:vAlign w:val="bottom"/>
            <w:gridSpan w:val="2"/>
            <w:vMerge w:val="continue"/>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30"/>
              <w:spacing w:after="0"/>
              <w:rPr>
                <w:sz w:val="20"/>
                <w:szCs w:val="20"/>
                <w:color w:val="auto"/>
              </w:rPr>
            </w:pPr>
            <w:r>
              <w:rPr>
                <w:rFonts w:ascii="Times New Roman" w:cs="Times New Roman" w:eastAsia="Times New Roman" w:hAnsi="Times New Roman"/>
                <w:sz w:val="17"/>
                <w:szCs w:val="17"/>
                <w:color w:val="0000FF"/>
              </w:rPr>
              <w:t>04/27/2026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3,120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33.62</w:t>
            </w:r>
          </w:p>
        </w:tc>
        <w:tc>
          <w:tcPr>
            <w:tcW w:w="22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57,520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30"/>
              <w:spacing w:after="0"/>
              <w:rPr>
                <w:sz w:val="20"/>
                <w:szCs w:val="20"/>
                <w:color w:val="auto"/>
              </w:rPr>
            </w:pPr>
            <w:r>
              <w:rPr>
                <w:rFonts w:ascii="Times New Roman" w:cs="Times New Roman" w:eastAsia="Times New Roman" w:hAnsi="Times New Roman"/>
                <w:sz w:val="17"/>
                <w:szCs w:val="17"/>
                <w:color w:val="0000FF"/>
              </w:rPr>
              <w:t>04/27/2026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1,671</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131.6619</w:t>
            </w:r>
            <w:r>
              <w:rPr>
                <w:rFonts w:ascii="Times New Roman" w:cs="Times New Roman" w:eastAsia="Times New Roman" w:hAnsi="Times New Roman"/>
                <w:sz w:val="21"/>
                <w:szCs w:val="21"/>
                <w:color w:val="008000"/>
                <w:w w:val="93"/>
                <w:vertAlign w:val="superscript"/>
              </w:rPr>
              <w:t>(3)</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55,849</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30"/>
              <w:spacing w:after="0"/>
              <w:rPr>
                <w:sz w:val="20"/>
                <w:szCs w:val="20"/>
                <w:color w:val="auto"/>
              </w:rPr>
            </w:pPr>
            <w:r>
              <w:rPr>
                <w:rFonts w:ascii="Times New Roman" w:cs="Times New Roman" w:eastAsia="Times New Roman" w:hAnsi="Times New Roman"/>
                <w:sz w:val="17"/>
                <w:szCs w:val="17"/>
                <w:color w:val="0000FF"/>
              </w:rPr>
              <w:t>04/27/2026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9"/>
              </w:rPr>
              <w:t>1,049</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132.8768</w:t>
            </w:r>
            <w:r>
              <w:rPr>
                <w:rFonts w:ascii="Times New Roman" w:cs="Times New Roman" w:eastAsia="Times New Roman" w:hAnsi="Times New Roman"/>
                <w:sz w:val="21"/>
                <w:szCs w:val="21"/>
                <w:color w:val="008000"/>
                <w:w w:val="93"/>
                <w:vertAlign w:val="superscript"/>
              </w:rPr>
              <w:t>(4)</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54,800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8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3"/>
          </w:tcPr>
          <w:p>
            <w:pPr>
              <w:jc w:val="center"/>
              <w:ind w:left="330"/>
              <w:spacing w:after="0"/>
              <w:rPr>
                <w:sz w:val="20"/>
                <w:szCs w:val="20"/>
                <w:color w:val="auto"/>
              </w:rPr>
            </w:pPr>
            <w:r>
              <w:rPr>
                <w:rFonts w:ascii="Times New Roman" w:cs="Times New Roman" w:eastAsia="Times New Roman" w:hAnsi="Times New Roman"/>
                <w:sz w:val="17"/>
                <w:szCs w:val="17"/>
                <w:color w:val="0000FF"/>
              </w:rPr>
              <w:t>04/27/2026</w:t>
            </w:r>
          </w:p>
        </w:tc>
        <w:tc>
          <w:tcPr>
            <w:tcW w:w="4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400</w:t>
            </w:r>
          </w:p>
        </w:tc>
        <w:tc>
          <w:tcPr>
            <w:tcW w:w="5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9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93"/>
              </w:rPr>
              <w:t>$</w:t>
            </w:r>
            <w:r>
              <w:rPr>
                <w:rFonts w:ascii="Times New Roman" w:cs="Times New Roman" w:eastAsia="Times New Roman" w:hAnsi="Times New Roman"/>
                <w:sz w:val="17"/>
                <w:szCs w:val="17"/>
                <w:color w:val="0000FF"/>
                <w:w w:val="93"/>
              </w:rPr>
              <w:t>134.335</w:t>
            </w:r>
            <w:r>
              <w:rPr>
                <w:rFonts w:ascii="Times New Roman" w:cs="Times New Roman" w:eastAsia="Times New Roman" w:hAnsi="Times New Roman"/>
                <w:sz w:val="21"/>
                <w:szCs w:val="21"/>
                <w:color w:val="008000"/>
                <w:w w:val="93"/>
                <w:vertAlign w:val="superscript"/>
              </w:rPr>
              <w:t>(5)</w:t>
            </w:r>
          </w:p>
        </w:tc>
        <w:tc>
          <w:tcPr>
            <w:tcW w:w="1160" w:type="dxa"/>
            <w:vAlign w:val="bottom"/>
            <w:tcBorders>
              <w:bottom w:val="single" w:sz="8" w:color="2C2C2C"/>
            </w:tcBorders>
            <w:gridSpan w:val="2"/>
          </w:tcPr>
          <w:p>
            <w:pPr>
              <w:ind w:left="260"/>
              <w:spacing w:after="0"/>
              <w:rPr>
                <w:sz w:val="20"/>
                <w:szCs w:val="20"/>
                <w:color w:val="auto"/>
              </w:rPr>
            </w:pPr>
            <w:r>
              <w:rPr>
                <w:rFonts w:ascii="Times New Roman" w:cs="Times New Roman" w:eastAsia="Times New Roman" w:hAnsi="Times New Roman"/>
                <w:sz w:val="17"/>
                <w:szCs w:val="17"/>
                <w:color w:val="0000FF"/>
              </w:rPr>
              <w:t>54,400</w:t>
            </w:r>
            <w:r>
              <w:rPr>
                <w:rFonts w:ascii="Times New Roman" w:cs="Times New Roman" w:eastAsia="Times New Roman" w:hAnsi="Times New Roman"/>
                <w:sz w:val="21"/>
                <w:szCs w:val="21"/>
                <w:color w:val="008000"/>
                <w:vertAlign w:val="superscript"/>
              </w:rPr>
              <w:t>(2)</w:t>
            </w:r>
          </w:p>
        </w:tc>
        <w:tc>
          <w:tcPr>
            <w:tcW w:w="2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1"/>
          </w:tcPr>
          <w:p>
            <w:pPr>
              <w:jc w:val="center"/>
              <w:ind w:left="51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2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8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4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4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33.62</w:t>
            </w:r>
          </w:p>
        </w:tc>
        <w:tc>
          <w:tcPr>
            <w:tcW w:w="180" w:type="dxa"/>
            <w:vAlign w:val="bottom"/>
          </w:tcPr>
          <w:p>
            <w:pPr>
              <w:spacing w:after="0"/>
              <w:rPr>
                <w:sz w:val="12"/>
                <w:szCs w:val="12"/>
                <w:color w:val="auto"/>
              </w:rPr>
            </w:pPr>
          </w:p>
        </w:tc>
        <w:tc>
          <w:tcPr>
            <w:tcW w:w="104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04/27/2026</w:t>
            </w: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vMerge w:val="restart"/>
          </w:tcPr>
          <w:p>
            <w:pPr>
              <w:ind w:left="20"/>
              <w:spacing w:after="0" w:line="272"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420" w:type="dxa"/>
            <w:vAlign w:val="bottom"/>
          </w:tcPr>
          <w:p>
            <w:pPr>
              <w:spacing w:after="0"/>
              <w:rPr>
                <w:sz w:val="12"/>
                <w:szCs w:val="12"/>
                <w:color w:val="auto"/>
              </w:rPr>
            </w:pPr>
          </w:p>
        </w:tc>
        <w:tc>
          <w:tcPr>
            <w:tcW w:w="680" w:type="dxa"/>
            <w:vAlign w:val="bottom"/>
            <w:gridSpan w:val="2"/>
            <w:vMerge w:val="restart"/>
          </w:tcPr>
          <w:p>
            <w:pPr>
              <w:ind w:left="360"/>
              <w:spacing w:after="0"/>
              <w:rPr>
                <w:sz w:val="20"/>
                <w:szCs w:val="20"/>
                <w:color w:val="auto"/>
              </w:rPr>
            </w:pPr>
            <w:r>
              <w:rPr>
                <w:rFonts w:ascii="Times New Roman" w:cs="Times New Roman" w:eastAsia="Times New Roman" w:hAnsi="Times New Roman"/>
                <w:sz w:val="13"/>
                <w:szCs w:val="13"/>
                <w:color w:val="0000FF"/>
              </w:rPr>
              <w:t>3,120</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03/31/2035</w:t>
            </w:r>
          </w:p>
        </w:tc>
        <w:tc>
          <w:tcPr>
            <w:tcW w:w="700" w:type="dxa"/>
            <w:vAlign w:val="bottom"/>
            <w:gridSpan w:val="2"/>
          </w:tcPr>
          <w:p>
            <w:pPr>
              <w:ind w:left="10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3,120</w:t>
            </w:r>
          </w:p>
        </w:tc>
        <w:tc>
          <w:tcPr>
            <w:tcW w:w="22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40" w:type="dxa"/>
            <w:vAlign w:val="bottom"/>
            <w:vMerge w:val="restart"/>
          </w:tcPr>
          <w:p>
            <w:pPr>
              <w:ind w:left="200"/>
              <w:spacing w:after="0"/>
              <w:rPr>
                <w:sz w:val="20"/>
                <w:szCs w:val="20"/>
                <w:color w:val="auto"/>
              </w:rPr>
            </w:pPr>
            <w:r>
              <w:rPr>
                <w:rFonts w:ascii="Times New Roman" w:cs="Times New Roman" w:eastAsia="Times New Roman" w:hAnsi="Times New Roman"/>
                <w:sz w:val="13"/>
                <w:szCs w:val="13"/>
                <w:color w:val="0000FF"/>
                <w:w w:val="99"/>
              </w:rPr>
              <w:t>109,230</w:t>
            </w:r>
          </w:p>
        </w:tc>
        <w:tc>
          <w:tcPr>
            <w:tcW w:w="24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0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vMerge w:val="continue"/>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vMerge w:val="continue"/>
          </w:tcPr>
          <w:p>
            <w:pPr>
              <w:spacing w:after="0"/>
              <w:rPr>
                <w:sz w:val="11"/>
                <w:szCs w:val="11"/>
                <w:color w:val="auto"/>
              </w:rPr>
            </w:pPr>
          </w:p>
        </w:tc>
        <w:tc>
          <w:tcPr>
            <w:tcW w:w="78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5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200" w:type="dxa"/>
            <w:vAlign w:val="bottom"/>
          </w:tcPr>
          <w:p>
            <w:pPr>
              <w:spacing w:after="0"/>
              <w:rPr>
                <w:sz w:val="11"/>
                <w:szCs w:val="11"/>
                <w:color w:val="auto"/>
              </w:rPr>
            </w:pPr>
          </w:p>
        </w:tc>
        <w:tc>
          <w:tcPr>
            <w:tcW w:w="54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240" w:type="dxa"/>
            <w:vAlign w:val="bottom"/>
          </w:tcPr>
          <w:p>
            <w:pPr>
              <w:spacing w:after="0"/>
              <w:rPr>
                <w:sz w:val="11"/>
                <w:szCs w:val="11"/>
                <w:color w:val="auto"/>
              </w:rPr>
            </w:pPr>
          </w:p>
        </w:tc>
        <w:tc>
          <w:tcPr>
            <w:tcW w:w="68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00" w:type="dxa"/>
            <w:vAlign w:val="bottom"/>
            <w:gridSpan w:val="2"/>
            <w:vMerge w:val="continue"/>
          </w:tcPr>
          <w:p>
            <w:pPr>
              <w:spacing w:after="0"/>
              <w:rPr>
                <w:sz w:val="2"/>
                <w:szCs w:val="2"/>
                <w:color w:val="auto"/>
              </w:rPr>
            </w:pPr>
          </w:p>
        </w:tc>
        <w:tc>
          <w:tcPr>
            <w:tcW w:w="6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640" w:type="dxa"/>
            <w:vAlign w:val="bottom"/>
          </w:tcPr>
          <w:p>
            <w:pPr>
              <w:spacing w:after="0"/>
              <w:rPr>
                <w:sz w:val="2"/>
                <w:szCs w:val="2"/>
                <w:color w:val="auto"/>
              </w:rPr>
            </w:pPr>
          </w:p>
        </w:tc>
        <w:tc>
          <w:tcPr>
            <w:tcW w:w="40" w:type="dxa"/>
            <w:vAlign w:val="bottom"/>
          </w:tcPr>
          <w:p>
            <w:pPr>
              <w:spacing w:after="0"/>
              <w:rPr>
                <w:sz w:val="2"/>
                <w:szCs w:val="2"/>
                <w:color w:val="auto"/>
              </w:rPr>
            </w:pPr>
          </w:p>
        </w:tc>
        <w:tc>
          <w:tcPr>
            <w:tcW w:w="780" w:type="dxa"/>
            <w:vAlign w:val="bottom"/>
          </w:tcPr>
          <w:p>
            <w:pPr>
              <w:spacing w:after="0"/>
              <w:rPr>
                <w:sz w:val="2"/>
                <w:szCs w:val="2"/>
                <w:color w:val="auto"/>
              </w:rPr>
            </w:pPr>
          </w:p>
        </w:tc>
        <w:tc>
          <w:tcPr>
            <w:tcW w:w="760" w:type="dxa"/>
            <w:vAlign w:val="bottom"/>
          </w:tcPr>
          <w:p>
            <w:pPr>
              <w:spacing w:after="0"/>
              <w:rPr>
                <w:sz w:val="2"/>
                <w:szCs w:val="2"/>
                <w:color w:val="auto"/>
              </w:rPr>
            </w:pPr>
          </w:p>
        </w:tc>
        <w:tc>
          <w:tcPr>
            <w:tcW w:w="5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54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made pursuant to a 10b5-1 trading plan adopted by Anthony Mancini on December 24, 2025.</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54,400 Restricted Stock Units.</w:t>
      </w:r>
    </w:p>
    <w:p>
      <w:pPr>
        <w:spacing w:after="0" w:line="45"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$131.08 to $132.06.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$132.37 to $133.35.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280" w:firstLine="3"/>
        <w:spacing w:after="0" w:line="258"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$134.04 to $134.60. The price reported above reflects the weighted average price. The reporting person hereby undertakes to provide upon request to the SEC staff, the issuer or a security holder of the issuer full information regarding the number of shares and prices at which the transaction was effected.</w:t>
      </w:r>
    </w:p>
    <w:p>
      <w:pPr>
        <w:spacing w:after="0" w:line="16" w:lineRule="exact"/>
        <w:rPr>
          <w:rFonts w:ascii="Times New Roman" w:cs="Times New Roman" w:eastAsia="Times New Roman" w:hAnsi="Times New Roman"/>
          <w:sz w:val="13"/>
          <w:szCs w:val="13"/>
          <w:color w:val="008000"/>
        </w:rPr>
      </w:pPr>
    </w:p>
    <w:p>
      <w:pPr>
        <w:ind w:left="40" w:right="32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Twenty-five percent of the total shares subject to the option will vest on the first year anniversary measured from April 1, 2025 (the "Vesting Commencement Date") and one forty-eighth (1/48th) of the shares subject to the option will vest on each monthly anniversary of the Vesting Commencement Date thereafter, so that 100% of the shares subject to the option will be fully vested and exercisable as of the fourth anniversary of the Vesting Commencement Date, subject to the Reporting Person's continued service through each vesting date.</w:t>
      </w:r>
    </w:p>
    <w:p>
      <w:pPr>
        <w:spacing w:after="0" w:line="2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Chief Global Commercialization Officer</w:t>
      </w:r>
    </w:p>
    <w:p>
      <w:pPr>
        <w:ind w:left="6600"/>
        <w:spacing w:after="0" w:line="188" w:lineRule="auto"/>
        <w:rPr>
          <w:sz w:val="20"/>
          <w:szCs w:val="20"/>
          <w:color w:val="auto"/>
        </w:rPr>
      </w:pPr>
      <w:r>
        <w:rPr>
          <w:rFonts w:ascii="Times New Roman" w:cs="Times New Roman" w:eastAsia="Times New Roman" w:hAnsi="Times New Roman"/>
          <w:sz w:val="17"/>
          <w:szCs w:val="17"/>
          <w:color w:val="0000FF"/>
        </w:rPr>
        <w:t xml:space="preserve">/s/ Jack Anders, as Attorney-in- </w:t>
      </w:r>
      <w:r>
        <w:rPr>
          <w:rFonts w:ascii="Times New Roman" w:cs="Times New Roman" w:eastAsia="Times New Roman" w:hAnsi="Times New Roman"/>
          <w:sz w:val="33"/>
          <w:szCs w:val="33"/>
          <w:color w:val="0000FF"/>
          <w:vertAlign w:val="subscript"/>
        </w:rPr>
        <w:t>04/29/2026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-27305</wp:posOffset>
            </wp:positionV>
            <wp:extent cx="13601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017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 for Anthony Mancini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4191000</wp:posOffset>
            </wp:positionH>
            <wp:positionV relativeFrom="paragraph">
              <wp:posOffset>-19685</wp:posOffset>
            </wp:positionV>
            <wp:extent cx="10985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98550" cy="8255"/>
                    </a:xfrm>
                    <a:prstGeom prst="rect">
                      <a:avLst/>
                    </a:prstGeom>
                    <a:noFill/>
                  </pic:spPr>
                </pic:pic>
              </a:graphicData>
            </a:graphic>
          </wp:anchor>
        </w:drawing>
        <w:drawing>
          <wp:anchor simplePos="0" relativeHeight="251657728" behindDoc="1" locked="0" layoutInCell="0" allowOverlap="1">
            <wp:simplePos x="0" y="0"/>
            <wp:positionH relativeFrom="column">
              <wp:posOffset>5584825</wp:posOffset>
            </wp:positionH>
            <wp:positionV relativeFrom="paragraph">
              <wp:posOffset>-85725</wp:posOffset>
            </wp:positionV>
            <wp:extent cx="4883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88315" cy="8255"/>
                    </a:xfrm>
                    <a:prstGeom prst="rect">
                      <a:avLst/>
                    </a:prstGeom>
                    <a:noFill/>
                  </pic:spPr>
                </pic:pic>
              </a:graphicData>
            </a:graphic>
          </wp:anchor>
        </w:drawing>
      </w:r>
    </w:p>
    <w:p>
      <w:pPr>
        <w:spacing w:after="0" w:line="26"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2124509" TargetMode="External"/><Relationship Id="rId14" Type="http://schemas.openxmlformats.org/officeDocument/2006/relationships/hyperlink" Target="http://www.sec.gov/cgi-bin/browse-edgar?action=getcompany&amp;CIK=000162817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2026-04-29T18:21:18Z</dcterms:created>
  <dcterms:modified xsi:type="dcterms:W3CDTF">2026-04-29T18:21:18Z</dcterms:modified>
</cp:coreProperties>
</file>