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As confidentially submitted to the U.S. Securities and Exchange Commission on September 19, 2019.</w:t>
      </w:r>
    </w:p>
    <w:p>
      <w:pPr>
        <w:spacing w:after="0" w:line="15" w:lineRule="exact"/>
        <w:rPr>
          <w:sz w:val="24"/>
          <w:szCs w:val="24"/>
          <w:color w:val="auto"/>
        </w:rPr>
      </w:pPr>
    </w:p>
    <w:p>
      <w:pPr>
        <w:ind w:left="9340" w:right="220" w:hanging="8999"/>
        <w:spacing w:after="0" w:line="258" w:lineRule="auto"/>
        <w:rPr>
          <w:sz w:val="20"/>
          <w:szCs w:val="20"/>
          <w:color w:val="auto"/>
        </w:rPr>
      </w:pPr>
      <w:r>
        <w:rPr>
          <w:rFonts w:ascii="Arial" w:cs="Arial" w:eastAsia="Arial" w:hAnsi="Arial"/>
          <w:sz w:val="13"/>
          <w:szCs w:val="13"/>
          <w:b w:val="1"/>
          <w:bCs w:val="1"/>
          <w:color w:val="auto"/>
        </w:rPr>
        <w:t>This draft registration statement has not been filed publicly with the Securities and Exchange Commission and all information contained herein remains confidential.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19050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45085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5"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72390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9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S-1</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REGISTRATION STATEMENT</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Under</w:t>
      </w:r>
    </w:p>
    <w:p>
      <w:pPr>
        <w:jc w:val="center"/>
        <w:ind w:right="-9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87"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Revolution Medicines,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-305435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60"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71120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2" w:lineRule="exact"/>
        <w:rPr>
          <w:sz w:val="24"/>
          <w:szCs w:val="24"/>
          <w:color w:val="auto"/>
        </w:rPr>
      </w:pPr>
    </w:p>
    <w:tbl>
      <w:tblPr>
        <w:tblLayout w:type="fixed"/>
        <w:tblInd w:w="1020" w:type="dxa"/>
        <w:tblCellMar>
          <w:top w:w="0" w:type="dxa"/>
          <w:left w:w="0" w:type="dxa"/>
          <w:bottom w:w="0" w:type="dxa"/>
          <w:right w:w="0" w:type="dxa"/>
        </w:tblCellMar>
      </w:tblPr>
      <w:tr>
        <w:trPr>
          <w:trHeight w:val="149"/>
        </w:trPr>
        <w:tc>
          <w:tcPr>
            <w:tcW w:w="2820" w:type="dxa"/>
            <w:vAlign w:val="bottom"/>
          </w:tcPr>
          <w:p>
            <w:pPr>
              <w:jc w:val="center"/>
              <w:ind w:right="833"/>
              <w:spacing w:after="0"/>
              <w:rPr>
                <w:sz w:val="20"/>
                <w:szCs w:val="20"/>
                <w:color w:val="auto"/>
              </w:rPr>
            </w:pPr>
            <w:r>
              <w:rPr>
                <w:rFonts w:ascii="Arial" w:cs="Arial" w:eastAsia="Arial" w:hAnsi="Arial"/>
                <w:sz w:val="13"/>
                <w:szCs w:val="13"/>
                <w:b w:val="1"/>
                <w:bCs w:val="1"/>
                <w:color w:val="auto"/>
              </w:rPr>
              <w:t>Delaware</w:t>
            </w:r>
          </w:p>
        </w:tc>
        <w:tc>
          <w:tcPr>
            <w:tcW w:w="3860" w:type="dxa"/>
            <w:vAlign w:val="bottom"/>
          </w:tcPr>
          <w:p>
            <w:pPr>
              <w:jc w:val="right"/>
              <w:ind w:right="1753"/>
              <w:spacing w:after="0"/>
              <w:rPr>
                <w:sz w:val="20"/>
                <w:szCs w:val="20"/>
                <w:color w:val="auto"/>
              </w:rPr>
            </w:pPr>
            <w:r>
              <w:rPr>
                <w:rFonts w:ascii="Arial" w:cs="Arial" w:eastAsia="Arial" w:hAnsi="Arial"/>
                <w:sz w:val="13"/>
                <w:szCs w:val="13"/>
                <w:b w:val="1"/>
                <w:bCs w:val="1"/>
                <w:color w:val="auto"/>
              </w:rPr>
              <w:t>2836</w:t>
            </w:r>
          </w:p>
        </w:tc>
        <w:tc>
          <w:tcPr>
            <w:tcW w:w="2380" w:type="dxa"/>
            <w:vAlign w:val="bottom"/>
          </w:tcPr>
          <w:p>
            <w:pPr>
              <w:jc w:val="center"/>
              <w:ind w:left="913"/>
              <w:spacing w:after="0"/>
              <w:rPr>
                <w:sz w:val="20"/>
                <w:szCs w:val="20"/>
                <w:color w:val="auto"/>
              </w:rPr>
            </w:pPr>
            <w:r>
              <w:rPr>
                <w:rFonts w:ascii="Arial" w:cs="Arial" w:eastAsia="Arial" w:hAnsi="Arial"/>
                <w:sz w:val="13"/>
                <w:szCs w:val="13"/>
                <w:b w:val="1"/>
                <w:bCs w:val="1"/>
                <w:color w:val="auto"/>
              </w:rPr>
              <w:t>47-2029180</w:t>
            </w:r>
          </w:p>
        </w:tc>
      </w:tr>
      <w:tr>
        <w:trPr>
          <w:trHeight w:val="148"/>
        </w:trPr>
        <w:tc>
          <w:tcPr>
            <w:tcW w:w="2820" w:type="dxa"/>
            <w:vAlign w:val="bottom"/>
          </w:tcPr>
          <w:p>
            <w:pPr>
              <w:jc w:val="center"/>
              <w:ind w:right="813"/>
              <w:spacing w:after="0"/>
              <w:rPr>
                <w:sz w:val="20"/>
                <w:szCs w:val="20"/>
                <w:color w:val="auto"/>
              </w:rPr>
            </w:pPr>
            <w:r>
              <w:rPr>
                <w:rFonts w:ascii="Arial" w:cs="Arial" w:eastAsia="Arial" w:hAnsi="Arial"/>
                <w:sz w:val="13"/>
                <w:szCs w:val="13"/>
                <w:b w:val="1"/>
                <w:bCs w:val="1"/>
                <w:color w:val="auto"/>
              </w:rPr>
              <w:t>(State or other jurisdiction of</w:t>
            </w:r>
          </w:p>
        </w:tc>
        <w:tc>
          <w:tcPr>
            <w:tcW w:w="3860" w:type="dxa"/>
            <w:vAlign w:val="bottom"/>
          </w:tcPr>
          <w:p>
            <w:pPr>
              <w:jc w:val="center"/>
              <w:spacing w:after="0"/>
              <w:rPr>
                <w:sz w:val="20"/>
                <w:szCs w:val="20"/>
                <w:color w:val="auto"/>
              </w:rPr>
            </w:pPr>
            <w:r>
              <w:rPr>
                <w:rFonts w:ascii="Arial" w:cs="Arial" w:eastAsia="Arial" w:hAnsi="Arial"/>
                <w:sz w:val="13"/>
                <w:szCs w:val="13"/>
                <w:b w:val="1"/>
                <w:bCs w:val="1"/>
                <w:color w:val="auto"/>
              </w:rPr>
              <w:t>(Primary Standard Industrial</w:t>
            </w:r>
          </w:p>
        </w:tc>
        <w:tc>
          <w:tcPr>
            <w:tcW w:w="2380" w:type="dxa"/>
            <w:vAlign w:val="bottom"/>
          </w:tcPr>
          <w:p>
            <w:pPr>
              <w:jc w:val="center"/>
              <w:ind w:left="893"/>
              <w:spacing w:after="0"/>
              <w:rPr>
                <w:sz w:val="20"/>
                <w:szCs w:val="20"/>
                <w:color w:val="auto"/>
              </w:rPr>
            </w:pPr>
            <w:r>
              <w:rPr>
                <w:rFonts w:ascii="Arial" w:cs="Arial" w:eastAsia="Arial" w:hAnsi="Arial"/>
                <w:sz w:val="13"/>
                <w:szCs w:val="13"/>
                <w:b w:val="1"/>
                <w:bCs w:val="1"/>
                <w:color w:val="auto"/>
              </w:rPr>
              <w:t>(I.R.S. Employer</w:t>
            </w:r>
          </w:p>
        </w:tc>
      </w:tr>
      <w:tr>
        <w:trPr>
          <w:trHeight w:val="149"/>
        </w:trPr>
        <w:tc>
          <w:tcPr>
            <w:tcW w:w="2820" w:type="dxa"/>
            <w:vAlign w:val="bottom"/>
          </w:tcPr>
          <w:p>
            <w:pPr>
              <w:jc w:val="center"/>
              <w:ind w:right="833"/>
              <w:spacing w:after="0"/>
              <w:rPr>
                <w:sz w:val="20"/>
                <w:szCs w:val="20"/>
                <w:color w:val="auto"/>
              </w:rPr>
            </w:pPr>
            <w:r>
              <w:rPr>
                <w:rFonts w:ascii="Arial" w:cs="Arial" w:eastAsia="Arial" w:hAnsi="Arial"/>
                <w:sz w:val="13"/>
                <w:szCs w:val="13"/>
                <w:b w:val="1"/>
                <w:bCs w:val="1"/>
                <w:color w:val="auto"/>
              </w:rPr>
              <w:t>incorporation or organization)</w:t>
            </w:r>
          </w:p>
        </w:tc>
        <w:tc>
          <w:tcPr>
            <w:tcW w:w="3860" w:type="dxa"/>
            <w:vAlign w:val="bottom"/>
          </w:tcPr>
          <w:p>
            <w:pPr>
              <w:jc w:val="center"/>
              <w:spacing w:after="0"/>
              <w:rPr>
                <w:sz w:val="20"/>
                <w:szCs w:val="20"/>
                <w:color w:val="auto"/>
              </w:rPr>
            </w:pPr>
            <w:r>
              <w:rPr>
                <w:rFonts w:ascii="Arial" w:cs="Arial" w:eastAsia="Arial" w:hAnsi="Arial"/>
                <w:sz w:val="13"/>
                <w:szCs w:val="13"/>
                <w:b w:val="1"/>
                <w:bCs w:val="1"/>
                <w:color w:val="auto"/>
              </w:rPr>
              <w:t>Classification Code Number)</w:t>
            </w:r>
          </w:p>
        </w:tc>
        <w:tc>
          <w:tcPr>
            <w:tcW w:w="2380" w:type="dxa"/>
            <w:vAlign w:val="bottom"/>
          </w:tcPr>
          <w:p>
            <w:pPr>
              <w:jc w:val="center"/>
              <w:ind w:left="893"/>
              <w:spacing w:after="0"/>
              <w:rPr>
                <w:sz w:val="20"/>
                <w:szCs w:val="20"/>
                <w:color w:val="auto"/>
              </w:rPr>
            </w:pPr>
            <w:r>
              <w:rPr>
                <w:rFonts w:ascii="Arial" w:cs="Arial" w:eastAsia="Arial" w:hAnsi="Arial"/>
                <w:sz w:val="13"/>
                <w:szCs w:val="13"/>
                <w:b w:val="1"/>
                <w:bCs w:val="1"/>
                <w:color w:val="auto"/>
              </w:rPr>
              <w:t>Identification Number)</w:t>
            </w:r>
          </w:p>
        </w:tc>
      </w:tr>
      <w:tr>
        <w:trPr>
          <w:trHeight w:val="148"/>
        </w:trPr>
        <w:tc>
          <w:tcPr>
            <w:tcW w:w="2820" w:type="dxa"/>
            <w:vAlign w:val="bottom"/>
          </w:tcPr>
          <w:p>
            <w:pPr>
              <w:spacing w:after="0"/>
              <w:rPr>
                <w:sz w:val="12"/>
                <w:szCs w:val="12"/>
                <w:color w:val="auto"/>
              </w:rPr>
            </w:pPr>
          </w:p>
        </w:tc>
        <w:tc>
          <w:tcPr>
            <w:tcW w:w="3860" w:type="dxa"/>
            <w:vAlign w:val="bottom"/>
          </w:tcPr>
          <w:p>
            <w:pPr>
              <w:jc w:val="center"/>
              <w:spacing w:after="0"/>
              <w:rPr>
                <w:sz w:val="20"/>
                <w:szCs w:val="20"/>
                <w:color w:val="auto"/>
              </w:rPr>
            </w:pPr>
            <w:r>
              <w:rPr>
                <w:rFonts w:ascii="Arial" w:cs="Arial" w:eastAsia="Arial" w:hAnsi="Arial"/>
                <w:sz w:val="13"/>
                <w:szCs w:val="13"/>
                <w:b w:val="1"/>
                <w:bCs w:val="1"/>
                <w:color w:val="auto"/>
              </w:rPr>
              <w:t>700 Saginaw Drive</w:t>
            </w:r>
          </w:p>
        </w:tc>
        <w:tc>
          <w:tcPr>
            <w:tcW w:w="2380" w:type="dxa"/>
            <w:vAlign w:val="bottom"/>
          </w:tcPr>
          <w:p>
            <w:pPr>
              <w:spacing w:after="0"/>
              <w:rPr>
                <w:sz w:val="12"/>
                <w:szCs w:val="12"/>
                <w:color w:val="auto"/>
              </w:rPr>
            </w:pPr>
          </w:p>
        </w:tc>
      </w:tr>
      <w:tr>
        <w:trPr>
          <w:trHeight w:val="148"/>
        </w:trPr>
        <w:tc>
          <w:tcPr>
            <w:tcW w:w="2820" w:type="dxa"/>
            <w:vAlign w:val="bottom"/>
          </w:tcPr>
          <w:p>
            <w:pPr>
              <w:spacing w:after="0"/>
              <w:rPr>
                <w:sz w:val="12"/>
                <w:szCs w:val="12"/>
                <w:color w:val="auto"/>
              </w:rPr>
            </w:pPr>
          </w:p>
        </w:tc>
        <w:tc>
          <w:tcPr>
            <w:tcW w:w="3860" w:type="dxa"/>
            <w:vAlign w:val="bottom"/>
          </w:tcPr>
          <w:p>
            <w:pPr>
              <w:jc w:val="center"/>
              <w:spacing w:after="0"/>
              <w:rPr>
                <w:sz w:val="20"/>
                <w:szCs w:val="20"/>
                <w:color w:val="auto"/>
              </w:rPr>
            </w:pPr>
            <w:r>
              <w:rPr>
                <w:rFonts w:ascii="Arial" w:cs="Arial" w:eastAsia="Arial" w:hAnsi="Arial"/>
                <w:sz w:val="13"/>
                <w:szCs w:val="13"/>
                <w:b w:val="1"/>
                <w:bCs w:val="1"/>
                <w:color w:val="auto"/>
              </w:rPr>
              <w:t>Redwood City, California 94063</w:t>
            </w:r>
          </w:p>
        </w:tc>
        <w:tc>
          <w:tcPr>
            <w:tcW w:w="2380" w:type="dxa"/>
            <w:vAlign w:val="bottom"/>
          </w:tcPr>
          <w:p>
            <w:pPr>
              <w:spacing w:after="0"/>
              <w:rPr>
                <w:sz w:val="12"/>
                <w:szCs w:val="12"/>
                <w:color w:val="auto"/>
              </w:rPr>
            </w:pPr>
          </w:p>
        </w:tc>
      </w:tr>
      <w:tr>
        <w:trPr>
          <w:trHeight w:val="178"/>
        </w:trPr>
        <w:tc>
          <w:tcPr>
            <w:tcW w:w="2820" w:type="dxa"/>
            <w:vAlign w:val="bottom"/>
          </w:tcPr>
          <w:p>
            <w:pPr>
              <w:spacing w:after="0"/>
              <w:rPr>
                <w:sz w:val="15"/>
                <w:szCs w:val="15"/>
                <w:color w:val="auto"/>
              </w:rPr>
            </w:pPr>
          </w:p>
        </w:tc>
        <w:tc>
          <w:tcPr>
            <w:tcW w:w="3860" w:type="dxa"/>
            <w:vAlign w:val="bottom"/>
          </w:tcPr>
          <w:p>
            <w:pPr>
              <w:jc w:val="right"/>
              <w:ind w:right="1433"/>
              <w:spacing w:after="0"/>
              <w:rPr>
                <w:sz w:val="20"/>
                <w:szCs w:val="20"/>
                <w:color w:val="auto"/>
              </w:rPr>
            </w:pPr>
            <w:r>
              <w:rPr>
                <w:rFonts w:ascii="Arial" w:cs="Arial" w:eastAsia="Arial" w:hAnsi="Arial"/>
                <w:sz w:val="13"/>
                <w:szCs w:val="13"/>
                <w:b w:val="1"/>
                <w:bCs w:val="1"/>
                <w:color w:val="auto"/>
              </w:rPr>
              <w:t>(650) 481-6801</w:t>
            </w:r>
          </w:p>
        </w:tc>
        <w:tc>
          <w:tcPr>
            <w:tcW w:w="2380" w:type="dxa"/>
            <w:vAlign w:val="bottom"/>
          </w:tcPr>
          <w:p>
            <w:pPr>
              <w:spacing w:after="0"/>
              <w:rPr>
                <w:sz w:val="15"/>
                <w:szCs w:val="15"/>
                <w:color w:val="auto"/>
              </w:rPr>
            </w:pPr>
          </w:p>
        </w:tc>
      </w:tr>
    </w:tbl>
    <w:p>
      <w:pPr>
        <w:spacing w:after="0" w:line="11"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86995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1"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Mark A. Goldsmith, M.D., Ph.D.</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President and Chief Executive Officer</w:t>
      </w:r>
    </w:p>
    <w:p>
      <w:pPr>
        <w:jc w:val="center"/>
        <w:ind w:right="-99"/>
        <w:spacing w:after="0"/>
        <w:rPr>
          <w:sz w:val="20"/>
          <w:szCs w:val="20"/>
          <w:color w:val="auto"/>
        </w:rPr>
      </w:pPr>
      <w:r>
        <w:rPr>
          <w:rFonts w:ascii="Arial" w:cs="Arial" w:eastAsia="Arial" w:hAnsi="Arial"/>
          <w:sz w:val="13"/>
          <w:szCs w:val="13"/>
          <w:b w:val="1"/>
          <w:bCs w:val="1"/>
          <w:color w:val="auto"/>
        </w:rPr>
        <w:t>Revolution Medicines, Inc.</w:t>
      </w:r>
    </w:p>
    <w:p>
      <w:pPr>
        <w:jc w:val="center"/>
        <w:ind w:right="-99"/>
        <w:spacing w:after="0"/>
        <w:rPr>
          <w:sz w:val="20"/>
          <w:szCs w:val="20"/>
          <w:color w:val="auto"/>
        </w:rPr>
      </w:pPr>
      <w:r>
        <w:rPr>
          <w:rFonts w:ascii="Arial" w:cs="Arial" w:eastAsia="Arial" w:hAnsi="Arial"/>
          <w:sz w:val="13"/>
          <w:szCs w:val="13"/>
          <w:b w:val="1"/>
          <w:bCs w:val="1"/>
          <w:color w:val="auto"/>
        </w:rPr>
        <w:t>700 Saginaw Drive</w:t>
      </w:r>
    </w:p>
    <w:p>
      <w:pPr>
        <w:jc w:val="center"/>
        <w:ind w:right="-99"/>
        <w:spacing w:after="0"/>
        <w:rPr>
          <w:sz w:val="20"/>
          <w:szCs w:val="20"/>
          <w:color w:val="auto"/>
        </w:rPr>
      </w:pPr>
      <w:r>
        <w:rPr>
          <w:rFonts w:ascii="Arial" w:cs="Arial" w:eastAsia="Arial" w:hAnsi="Arial"/>
          <w:sz w:val="13"/>
          <w:szCs w:val="13"/>
          <w:b w:val="1"/>
          <w:bCs w:val="1"/>
          <w:color w:val="auto"/>
        </w:rPr>
        <w:t>Redwood City, California 94063</w:t>
      </w:r>
    </w:p>
    <w:p>
      <w:pPr>
        <w:jc w:val="center"/>
        <w:ind w:right="-99"/>
        <w:spacing w:after="0"/>
        <w:rPr>
          <w:sz w:val="20"/>
          <w:szCs w:val="20"/>
          <w:color w:val="auto"/>
        </w:rPr>
      </w:pPr>
      <w:r>
        <w:rPr>
          <w:rFonts w:ascii="Arial" w:cs="Arial" w:eastAsia="Arial" w:hAnsi="Arial"/>
          <w:sz w:val="13"/>
          <w:szCs w:val="13"/>
          <w:b w:val="1"/>
          <w:bCs w:val="1"/>
          <w:color w:val="auto"/>
        </w:rPr>
        <w:t>(650) 481-6801</w:t>
      </w:r>
    </w:p>
    <w:p>
      <w:pPr>
        <w:jc w:val="center"/>
        <w:ind w:right="-9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68580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12" w:lineRule="exact"/>
        <w:rPr>
          <w:sz w:val="24"/>
          <w:szCs w:val="24"/>
          <w:color w:val="auto"/>
        </w:rPr>
      </w:pPr>
    </w:p>
    <w:tbl>
      <w:tblPr>
        <w:tblLayout w:type="fixed"/>
        <w:tblInd w:w="1980" w:type="dxa"/>
        <w:tblCellMar>
          <w:top w:w="0" w:type="dxa"/>
          <w:left w:w="0" w:type="dxa"/>
          <w:bottom w:w="0" w:type="dxa"/>
          <w:right w:w="0" w:type="dxa"/>
        </w:tblCellMar>
      </w:tblPr>
      <w:tr>
        <w:trPr>
          <w:trHeight w:val="175"/>
        </w:trPr>
        <w:tc>
          <w:tcPr>
            <w:tcW w:w="2580" w:type="dxa"/>
            <w:vAlign w:val="bottom"/>
          </w:tcPr>
          <w:p>
            <w:pPr>
              <w:spacing w:after="0"/>
              <w:rPr>
                <w:sz w:val="15"/>
                <w:szCs w:val="15"/>
                <w:color w:val="auto"/>
              </w:rPr>
            </w:pPr>
          </w:p>
        </w:tc>
        <w:tc>
          <w:tcPr>
            <w:tcW w:w="4820" w:type="dxa"/>
            <w:vAlign w:val="bottom"/>
          </w:tcPr>
          <w:p>
            <w:pPr>
              <w:ind w:left="740"/>
              <w:spacing w:after="0"/>
              <w:rPr>
                <w:sz w:val="20"/>
                <w:szCs w:val="20"/>
                <w:color w:val="auto"/>
              </w:rPr>
            </w:pPr>
            <w:r>
              <w:rPr>
                <w:rFonts w:ascii="Arial" w:cs="Arial" w:eastAsia="Arial" w:hAnsi="Arial"/>
                <w:sz w:val="13"/>
                <w:szCs w:val="13"/>
                <w:b w:val="1"/>
                <w:bCs w:val="1"/>
                <w:i w:val="1"/>
                <w:iCs w:val="1"/>
                <w:color w:val="auto"/>
              </w:rPr>
              <w:t>Copies to:</w:t>
            </w:r>
          </w:p>
        </w:tc>
      </w:tr>
      <w:tr>
        <w:trPr>
          <w:trHeight w:val="148"/>
        </w:trPr>
        <w:tc>
          <w:tcPr>
            <w:tcW w:w="2580" w:type="dxa"/>
            <w:vAlign w:val="bottom"/>
          </w:tcPr>
          <w:p>
            <w:pPr>
              <w:jc w:val="center"/>
              <w:ind w:right="673"/>
              <w:spacing w:after="0"/>
              <w:rPr>
                <w:sz w:val="20"/>
                <w:szCs w:val="20"/>
                <w:color w:val="auto"/>
              </w:rPr>
            </w:pPr>
            <w:r>
              <w:rPr>
                <w:rFonts w:ascii="Arial" w:cs="Arial" w:eastAsia="Arial" w:hAnsi="Arial"/>
                <w:sz w:val="13"/>
                <w:szCs w:val="13"/>
                <w:b w:val="1"/>
                <w:bCs w:val="1"/>
                <w:color w:val="auto"/>
              </w:rPr>
              <w:t>Mark V. Roeder</w:t>
            </w:r>
          </w:p>
        </w:tc>
        <w:tc>
          <w:tcPr>
            <w:tcW w:w="4820" w:type="dxa"/>
            <w:vAlign w:val="bottom"/>
          </w:tcPr>
          <w:p>
            <w:pPr>
              <w:jc w:val="center"/>
              <w:ind w:left="2913"/>
              <w:spacing w:after="0"/>
              <w:rPr>
                <w:sz w:val="20"/>
                <w:szCs w:val="20"/>
                <w:color w:val="auto"/>
              </w:rPr>
            </w:pPr>
            <w:r>
              <w:rPr>
                <w:rFonts w:ascii="Arial" w:cs="Arial" w:eastAsia="Arial" w:hAnsi="Arial"/>
                <w:sz w:val="13"/>
                <w:szCs w:val="13"/>
                <w:b w:val="1"/>
                <w:bCs w:val="1"/>
                <w:color w:val="auto"/>
              </w:rPr>
              <w:t>Alan F. Denenberg</w:t>
            </w:r>
          </w:p>
        </w:tc>
      </w:tr>
      <w:tr>
        <w:trPr>
          <w:trHeight w:val="149"/>
        </w:trPr>
        <w:tc>
          <w:tcPr>
            <w:tcW w:w="2580" w:type="dxa"/>
            <w:vAlign w:val="bottom"/>
          </w:tcPr>
          <w:p>
            <w:pPr>
              <w:jc w:val="center"/>
              <w:ind w:right="693"/>
              <w:spacing w:after="0"/>
              <w:rPr>
                <w:sz w:val="20"/>
                <w:szCs w:val="20"/>
                <w:color w:val="auto"/>
              </w:rPr>
            </w:pPr>
            <w:r>
              <w:rPr>
                <w:rFonts w:ascii="Arial" w:cs="Arial" w:eastAsia="Arial" w:hAnsi="Arial"/>
                <w:sz w:val="13"/>
                <w:szCs w:val="13"/>
                <w:b w:val="1"/>
                <w:bCs w:val="1"/>
                <w:color w:val="auto"/>
              </w:rPr>
              <w:t>Latham &amp; Watkins LLP</w:t>
            </w:r>
          </w:p>
        </w:tc>
        <w:tc>
          <w:tcPr>
            <w:tcW w:w="4820" w:type="dxa"/>
            <w:vAlign w:val="bottom"/>
          </w:tcPr>
          <w:p>
            <w:pPr>
              <w:jc w:val="center"/>
              <w:ind w:left="2913"/>
              <w:spacing w:after="0"/>
              <w:rPr>
                <w:sz w:val="20"/>
                <w:szCs w:val="20"/>
                <w:color w:val="auto"/>
              </w:rPr>
            </w:pPr>
            <w:r>
              <w:rPr>
                <w:rFonts w:ascii="Arial" w:cs="Arial" w:eastAsia="Arial" w:hAnsi="Arial"/>
                <w:sz w:val="13"/>
                <w:szCs w:val="13"/>
                <w:b w:val="1"/>
                <w:bCs w:val="1"/>
                <w:color w:val="auto"/>
              </w:rPr>
              <w:t>Stephen Salmon</w:t>
            </w:r>
          </w:p>
        </w:tc>
      </w:tr>
      <w:tr>
        <w:trPr>
          <w:trHeight w:val="148"/>
        </w:trPr>
        <w:tc>
          <w:tcPr>
            <w:tcW w:w="2580" w:type="dxa"/>
            <w:vAlign w:val="bottom"/>
          </w:tcPr>
          <w:p>
            <w:pPr>
              <w:jc w:val="center"/>
              <w:ind w:right="693"/>
              <w:spacing w:after="0"/>
              <w:rPr>
                <w:sz w:val="20"/>
                <w:szCs w:val="20"/>
                <w:color w:val="auto"/>
              </w:rPr>
            </w:pPr>
            <w:r>
              <w:rPr>
                <w:rFonts w:ascii="Arial" w:cs="Arial" w:eastAsia="Arial" w:hAnsi="Arial"/>
                <w:sz w:val="13"/>
                <w:szCs w:val="13"/>
                <w:b w:val="1"/>
                <w:bCs w:val="1"/>
                <w:color w:val="auto"/>
              </w:rPr>
              <w:t>140 Scott Drive</w:t>
            </w:r>
          </w:p>
        </w:tc>
        <w:tc>
          <w:tcPr>
            <w:tcW w:w="4820" w:type="dxa"/>
            <w:vAlign w:val="bottom"/>
          </w:tcPr>
          <w:p>
            <w:pPr>
              <w:jc w:val="center"/>
              <w:ind w:left="2913"/>
              <w:spacing w:after="0"/>
              <w:rPr>
                <w:sz w:val="20"/>
                <w:szCs w:val="20"/>
                <w:color w:val="auto"/>
              </w:rPr>
            </w:pPr>
            <w:r>
              <w:rPr>
                <w:rFonts w:ascii="Arial" w:cs="Arial" w:eastAsia="Arial" w:hAnsi="Arial"/>
                <w:sz w:val="13"/>
                <w:szCs w:val="13"/>
                <w:b w:val="1"/>
                <w:bCs w:val="1"/>
                <w:color w:val="auto"/>
              </w:rPr>
              <w:t>Davis Polk &amp; Wardwell LLP</w:t>
            </w:r>
          </w:p>
        </w:tc>
      </w:tr>
      <w:tr>
        <w:trPr>
          <w:trHeight w:val="148"/>
        </w:trPr>
        <w:tc>
          <w:tcPr>
            <w:tcW w:w="2580" w:type="dxa"/>
            <w:vAlign w:val="bottom"/>
          </w:tcPr>
          <w:p>
            <w:pPr>
              <w:jc w:val="center"/>
              <w:ind w:right="673"/>
              <w:spacing w:after="0"/>
              <w:rPr>
                <w:sz w:val="20"/>
                <w:szCs w:val="20"/>
                <w:color w:val="auto"/>
              </w:rPr>
            </w:pPr>
            <w:r>
              <w:rPr>
                <w:rFonts w:ascii="Arial" w:cs="Arial" w:eastAsia="Arial" w:hAnsi="Arial"/>
                <w:sz w:val="13"/>
                <w:szCs w:val="13"/>
                <w:b w:val="1"/>
                <w:bCs w:val="1"/>
                <w:color w:val="auto"/>
              </w:rPr>
              <w:t>Menlo Park, California 94025</w:t>
            </w:r>
          </w:p>
        </w:tc>
        <w:tc>
          <w:tcPr>
            <w:tcW w:w="4820" w:type="dxa"/>
            <w:vAlign w:val="bottom"/>
          </w:tcPr>
          <w:p>
            <w:pPr>
              <w:jc w:val="center"/>
              <w:ind w:left="2913"/>
              <w:spacing w:after="0"/>
              <w:rPr>
                <w:sz w:val="20"/>
                <w:szCs w:val="20"/>
                <w:color w:val="auto"/>
              </w:rPr>
            </w:pPr>
            <w:r>
              <w:rPr>
                <w:rFonts w:ascii="Arial" w:cs="Arial" w:eastAsia="Arial" w:hAnsi="Arial"/>
                <w:sz w:val="13"/>
                <w:szCs w:val="13"/>
                <w:b w:val="1"/>
                <w:bCs w:val="1"/>
                <w:color w:val="auto"/>
              </w:rPr>
              <w:t>1600 El Camino Real</w:t>
            </w:r>
          </w:p>
        </w:tc>
      </w:tr>
      <w:tr>
        <w:trPr>
          <w:trHeight w:val="149"/>
        </w:trPr>
        <w:tc>
          <w:tcPr>
            <w:tcW w:w="2580" w:type="dxa"/>
            <w:vAlign w:val="bottom"/>
          </w:tcPr>
          <w:p>
            <w:pPr>
              <w:jc w:val="center"/>
              <w:ind w:right="673"/>
              <w:spacing w:after="0"/>
              <w:rPr>
                <w:sz w:val="20"/>
                <w:szCs w:val="20"/>
                <w:color w:val="auto"/>
              </w:rPr>
            </w:pPr>
            <w:r>
              <w:rPr>
                <w:rFonts w:ascii="Arial" w:cs="Arial" w:eastAsia="Arial" w:hAnsi="Arial"/>
                <w:sz w:val="13"/>
                <w:szCs w:val="13"/>
                <w:b w:val="1"/>
                <w:bCs w:val="1"/>
                <w:color w:val="auto"/>
              </w:rPr>
              <w:t>(650) 328-4600</w:t>
            </w:r>
          </w:p>
        </w:tc>
        <w:tc>
          <w:tcPr>
            <w:tcW w:w="4820" w:type="dxa"/>
            <w:vAlign w:val="bottom"/>
          </w:tcPr>
          <w:p>
            <w:pPr>
              <w:jc w:val="center"/>
              <w:ind w:left="2913"/>
              <w:spacing w:after="0"/>
              <w:rPr>
                <w:sz w:val="20"/>
                <w:szCs w:val="20"/>
                <w:color w:val="auto"/>
              </w:rPr>
            </w:pPr>
            <w:r>
              <w:rPr>
                <w:rFonts w:ascii="Arial" w:cs="Arial" w:eastAsia="Arial" w:hAnsi="Arial"/>
                <w:sz w:val="13"/>
                <w:szCs w:val="13"/>
                <w:b w:val="1"/>
                <w:bCs w:val="1"/>
                <w:color w:val="auto"/>
              </w:rPr>
              <w:t>Menlo Park, California 94025</w:t>
            </w:r>
          </w:p>
        </w:tc>
      </w:tr>
      <w:tr>
        <w:trPr>
          <w:trHeight w:val="178"/>
        </w:trPr>
        <w:tc>
          <w:tcPr>
            <w:tcW w:w="2580" w:type="dxa"/>
            <w:vAlign w:val="bottom"/>
          </w:tcPr>
          <w:p>
            <w:pPr>
              <w:spacing w:after="0"/>
              <w:rPr>
                <w:sz w:val="15"/>
                <w:szCs w:val="15"/>
                <w:color w:val="auto"/>
              </w:rPr>
            </w:pPr>
          </w:p>
        </w:tc>
        <w:tc>
          <w:tcPr>
            <w:tcW w:w="4820" w:type="dxa"/>
            <w:vAlign w:val="bottom"/>
          </w:tcPr>
          <w:p>
            <w:pPr>
              <w:jc w:val="center"/>
              <w:ind w:left="2913"/>
              <w:spacing w:after="0"/>
              <w:rPr>
                <w:sz w:val="20"/>
                <w:szCs w:val="20"/>
                <w:color w:val="auto"/>
              </w:rPr>
            </w:pPr>
            <w:r>
              <w:rPr>
                <w:rFonts w:ascii="Arial" w:cs="Arial" w:eastAsia="Arial" w:hAnsi="Arial"/>
                <w:sz w:val="13"/>
                <w:szCs w:val="13"/>
                <w:b w:val="1"/>
                <w:bCs w:val="1"/>
                <w:color w:val="auto"/>
              </w:rPr>
              <w:t>(650) 752-2000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69215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12" w:lineRule="exact"/>
        <w:rPr>
          <w:sz w:val="24"/>
          <w:szCs w:val="24"/>
          <w:color w:val="auto"/>
        </w:rPr>
      </w:pPr>
    </w:p>
    <w:p>
      <w:pPr>
        <w:ind w:left="120"/>
        <w:spacing w:after="0"/>
        <w:rPr>
          <w:sz w:val="20"/>
          <w:szCs w:val="20"/>
          <w:color w:val="auto"/>
        </w:rPr>
      </w:pPr>
      <w:r>
        <w:rPr>
          <w:rFonts w:ascii="Arial" w:cs="Arial" w:eastAsia="Arial" w:hAnsi="Arial"/>
          <w:sz w:val="13"/>
          <w:szCs w:val="13"/>
          <w:color w:val="auto"/>
        </w:rPr>
        <w:t xml:space="preserve">Approximate date of commencement of proposed sale to the public: </w:t>
      </w:r>
      <w:r>
        <w:rPr>
          <w:rFonts w:ascii="Arial" w:cs="Arial" w:eastAsia="Arial" w:hAnsi="Arial"/>
          <w:sz w:val="13"/>
          <w:szCs w:val="13"/>
          <w:b w:val="1"/>
          <w:bCs w:val="1"/>
          <w:color w:val="auto"/>
        </w:rPr>
        <w:t>As soon as practicable after the effective date of this registration statement.</w:t>
      </w:r>
    </w:p>
    <w:p>
      <w:pPr>
        <w:spacing w:after="0" w:line="42" w:lineRule="exact"/>
        <w:rPr>
          <w:sz w:val="24"/>
          <w:szCs w:val="24"/>
          <w:color w:val="auto"/>
        </w:rPr>
      </w:pPr>
    </w:p>
    <w:p>
      <w:pPr>
        <w:ind w:left="120" w:right="420"/>
        <w:spacing w:after="0" w:line="162"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ind w:left="120" w:right="100"/>
        <w:spacing w:after="0" w:line="162"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ind w:left="120" w:right="80"/>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ind w:left="120" w:right="80"/>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ind w:left="120" w:right="480"/>
        <w:spacing w:after="0" w:line="249"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tbl>
      <w:tblPr>
        <w:tblLayout w:type="fixed"/>
        <w:tblInd w:w="120" w:type="dxa"/>
        <w:tblCellMar>
          <w:top w:w="0" w:type="dxa"/>
          <w:left w:w="0" w:type="dxa"/>
          <w:bottom w:w="0" w:type="dxa"/>
          <w:right w:w="0" w:type="dxa"/>
        </w:tblCellMar>
      </w:tblPr>
      <w:tr>
        <w:trPr>
          <w:trHeight w:val="154"/>
        </w:trPr>
        <w:tc>
          <w:tcPr>
            <w:tcW w:w="15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74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5260" w:type="dxa"/>
            <w:vAlign w:val="bottom"/>
          </w:tcPr>
          <w:p>
            <w:pPr>
              <w:ind w:left="3420"/>
              <w:spacing w:after="0"/>
              <w:rPr>
                <w:sz w:val="20"/>
                <w:szCs w:val="20"/>
                <w:color w:val="auto"/>
              </w:rPr>
            </w:pPr>
            <w:r>
              <w:rPr>
                <w:rFonts w:ascii="Arial" w:cs="Arial" w:eastAsia="Arial" w:hAnsi="Arial"/>
                <w:sz w:val="13"/>
                <w:szCs w:val="13"/>
                <w:color w:val="auto"/>
              </w:rPr>
              <w:t>Accelerated filer</w:t>
            </w:r>
          </w:p>
        </w:tc>
        <w:tc>
          <w:tcPr>
            <w:tcW w:w="360" w:type="dxa"/>
            <w:vAlign w:val="bottom"/>
          </w:tcPr>
          <w:p>
            <w:pPr>
              <w:ind w:left="2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75"/>
        </w:trPr>
        <w:tc>
          <w:tcPr>
            <w:tcW w:w="1560" w:type="dxa"/>
            <w:vAlign w:val="bottom"/>
          </w:tcPr>
          <w:p>
            <w:pPr>
              <w:spacing w:after="0"/>
              <w:rPr>
                <w:sz w:val="20"/>
                <w:szCs w:val="20"/>
                <w:color w:val="auto"/>
              </w:rPr>
            </w:pPr>
            <w:r>
              <w:rPr>
                <w:rFonts w:ascii="Arial" w:cs="Arial" w:eastAsia="Arial" w:hAnsi="Arial"/>
                <w:sz w:val="13"/>
                <w:szCs w:val="13"/>
                <w:color w:val="auto"/>
              </w:rPr>
              <w:t>Non-accelerated filer</w:t>
            </w:r>
          </w:p>
        </w:tc>
        <w:tc>
          <w:tcPr>
            <w:tcW w:w="374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5260" w:type="dxa"/>
            <w:vAlign w:val="bottom"/>
          </w:tcPr>
          <w:p>
            <w:pPr>
              <w:ind w:left="3420"/>
              <w:spacing w:after="0"/>
              <w:rPr>
                <w:sz w:val="20"/>
                <w:szCs w:val="20"/>
                <w:color w:val="auto"/>
              </w:rPr>
            </w:pPr>
            <w:r>
              <w:rPr>
                <w:rFonts w:ascii="Arial" w:cs="Arial" w:eastAsia="Arial" w:hAnsi="Arial"/>
                <w:sz w:val="13"/>
                <w:szCs w:val="13"/>
                <w:color w:val="auto"/>
              </w:rPr>
              <w:t>Smaller reporting company</w:t>
            </w:r>
          </w:p>
        </w:tc>
        <w:tc>
          <w:tcPr>
            <w:tcW w:w="360" w:type="dxa"/>
            <w:vAlign w:val="bottom"/>
          </w:tcPr>
          <w:p>
            <w:pPr>
              <w:ind w:left="2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1"/>
        </w:trPr>
        <w:tc>
          <w:tcPr>
            <w:tcW w:w="15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5260" w:type="dxa"/>
            <w:vAlign w:val="bottom"/>
          </w:tcPr>
          <w:p>
            <w:pPr>
              <w:ind w:left="3420"/>
              <w:spacing w:after="0"/>
              <w:rPr>
                <w:sz w:val="20"/>
                <w:szCs w:val="20"/>
                <w:color w:val="auto"/>
              </w:rPr>
            </w:pPr>
            <w:r>
              <w:rPr>
                <w:rFonts w:ascii="Arial" w:cs="Arial" w:eastAsia="Arial" w:hAnsi="Arial"/>
                <w:sz w:val="13"/>
                <w:szCs w:val="13"/>
                <w:color w:val="auto"/>
              </w:rPr>
              <w:t>Emerging growth company</w:t>
            </w:r>
          </w:p>
        </w:tc>
        <w:tc>
          <w:tcPr>
            <w:tcW w:w="360" w:type="dxa"/>
            <w:vAlign w:val="bottom"/>
          </w:tcPr>
          <w:p>
            <w:pPr>
              <w:ind w:left="240"/>
              <w:spacing w:after="0" w:line="131" w:lineRule="exact"/>
              <w:rPr>
                <w:sz w:val="20"/>
                <w:szCs w:val="20"/>
                <w:color w:val="auto"/>
              </w:rPr>
            </w:pPr>
            <w:r>
              <w:rPr>
                <w:rFonts w:ascii="MS PGothic" w:cs="MS PGothic" w:eastAsia="MS PGothic" w:hAnsi="MS PGothic"/>
                <w:sz w:val="13"/>
                <w:szCs w:val="13"/>
                <w:color w:val="auto"/>
                <w:w w:val="76"/>
              </w:rPr>
              <w:t>☒</w:t>
            </w:r>
          </w:p>
        </w:tc>
      </w:tr>
    </w:tbl>
    <w:p>
      <w:pPr>
        <w:jc w:val="both"/>
        <w:ind w:left="120" w:right="80"/>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60325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99"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CALCULATION OF REGISTRATION FEE</w:t>
      </w:r>
    </w:p>
    <w:p>
      <w:pPr>
        <w:spacing w:after="0" w:line="50"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77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r>
      <w:tr>
        <w:trPr>
          <w:trHeight w:val="112"/>
        </w:trPr>
        <w:tc>
          <w:tcPr>
            <w:tcW w:w="774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tcPr>
          <w:p>
            <w:pPr>
              <w:jc w:val="center"/>
              <w:ind w:left="13"/>
              <w:spacing w:after="0" w:line="113" w:lineRule="exact"/>
              <w:rPr>
                <w:sz w:val="20"/>
                <w:szCs w:val="20"/>
                <w:color w:val="auto"/>
              </w:rPr>
            </w:pPr>
            <w:r>
              <w:rPr>
                <w:rFonts w:ascii="Arial" w:cs="Arial" w:eastAsia="Arial" w:hAnsi="Arial"/>
                <w:sz w:val="13"/>
                <w:szCs w:val="13"/>
                <w:b w:val="1"/>
                <w:bCs w:val="1"/>
                <w:color w:val="auto"/>
              </w:rPr>
              <w:t>Proposed maximum</w:t>
            </w:r>
          </w:p>
        </w:tc>
        <w:tc>
          <w:tcPr>
            <w:tcW w:w="1640" w:type="dxa"/>
            <w:vAlign w:val="bottom"/>
          </w:tcPr>
          <w:p>
            <w:pPr>
              <w:spacing w:after="0"/>
              <w:rPr>
                <w:sz w:val="9"/>
                <w:szCs w:val="9"/>
                <w:color w:val="auto"/>
              </w:rPr>
            </w:pPr>
          </w:p>
        </w:tc>
      </w:tr>
      <w:tr>
        <w:trPr>
          <w:trHeight w:val="149"/>
        </w:trPr>
        <w:tc>
          <w:tcPr>
            <w:tcW w:w="7740" w:type="dxa"/>
            <w:vAlign w:val="bottom"/>
            <w:tcBorders>
              <w:right w:val="single" w:sz="8" w:color="auto"/>
            </w:tcBorders>
          </w:tcPr>
          <w:p>
            <w:pPr>
              <w:spacing w:after="0"/>
              <w:rPr>
                <w:sz w:val="12"/>
                <w:szCs w:val="12"/>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aggregate offering</w:t>
            </w:r>
          </w:p>
        </w:tc>
        <w:tc>
          <w:tcPr>
            <w:tcW w:w="1640" w:type="dxa"/>
            <w:vAlign w:val="bottom"/>
          </w:tcPr>
          <w:p>
            <w:pPr>
              <w:jc w:val="center"/>
              <w:ind w:left="13"/>
              <w:spacing w:after="0"/>
              <w:rPr>
                <w:sz w:val="20"/>
                <w:szCs w:val="20"/>
                <w:color w:val="auto"/>
              </w:rPr>
            </w:pPr>
            <w:r>
              <w:rPr>
                <w:rFonts w:ascii="Arial" w:cs="Arial" w:eastAsia="Arial" w:hAnsi="Arial"/>
                <w:sz w:val="13"/>
                <w:szCs w:val="13"/>
                <w:b w:val="1"/>
                <w:bCs w:val="1"/>
                <w:color w:val="auto"/>
              </w:rPr>
              <w:t>Amount of</w:t>
            </w:r>
          </w:p>
        </w:tc>
      </w:tr>
      <w:tr>
        <w:trPr>
          <w:trHeight w:val="165"/>
        </w:trPr>
        <w:tc>
          <w:tcPr>
            <w:tcW w:w="7740" w:type="dxa"/>
            <w:vAlign w:val="bottom"/>
            <w:tcBorders>
              <w:bottom w:val="single" w:sz="8" w:color="auto"/>
              <w:right w:val="single" w:sz="8" w:color="auto"/>
            </w:tcBorders>
          </w:tcPr>
          <w:p>
            <w:pPr>
              <w:ind w:left="2340"/>
              <w:spacing w:after="0"/>
              <w:rPr>
                <w:sz w:val="20"/>
                <w:szCs w:val="20"/>
                <w:color w:val="auto"/>
              </w:rPr>
            </w:pPr>
            <w:r>
              <w:rPr>
                <w:rFonts w:ascii="Arial" w:cs="Arial" w:eastAsia="Arial" w:hAnsi="Arial"/>
                <w:sz w:val="13"/>
                <w:szCs w:val="13"/>
                <w:b w:val="1"/>
                <w:bCs w:val="1"/>
                <w:color w:val="auto"/>
              </w:rPr>
              <w:t>Title of each class of securities to be registered</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price(1)(2)</w:t>
            </w:r>
          </w:p>
        </w:tc>
        <w:tc>
          <w:tcPr>
            <w:tcW w:w="1640" w:type="dxa"/>
            <w:vAlign w:val="bottom"/>
            <w:tcBorders>
              <w:bottom w:val="single" w:sz="8" w:color="auto"/>
            </w:tcBorders>
          </w:tcPr>
          <w:p>
            <w:pPr>
              <w:jc w:val="center"/>
              <w:ind w:left="33"/>
              <w:spacing w:after="0"/>
              <w:rPr>
                <w:sz w:val="20"/>
                <w:szCs w:val="20"/>
                <w:color w:val="auto"/>
              </w:rPr>
            </w:pPr>
            <w:r>
              <w:rPr>
                <w:rFonts w:ascii="Arial" w:cs="Arial" w:eastAsia="Arial" w:hAnsi="Arial"/>
                <w:sz w:val="13"/>
                <w:szCs w:val="13"/>
                <w:b w:val="1"/>
                <w:bCs w:val="1"/>
                <w:color w:val="auto"/>
              </w:rPr>
              <w:t>registration fee</w:t>
            </w:r>
          </w:p>
        </w:tc>
      </w:tr>
      <w:tr>
        <w:trPr>
          <w:trHeight w:val="142"/>
        </w:trPr>
        <w:tc>
          <w:tcPr>
            <w:tcW w:w="774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3"/>
                <w:szCs w:val="13"/>
                <w:color w:val="auto"/>
              </w:rPr>
              <w:t>Common Stock, $0.0001 par value per share</w:t>
            </w:r>
          </w:p>
        </w:tc>
        <w:tc>
          <w:tcPr>
            <w:tcW w:w="1640" w:type="dxa"/>
            <w:vAlign w:val="bottom"/>
            <w:tcBorders>
              <w:bottom w:val="single" w:sz="8" w:color="auto"/>
              <w:right w:val="single" w:sz="8" w:color="auto"/>
            </w:tcBorders>
          </w:tcPr>
          <w:p>
            <w:pPr>
              <w:jc w:val="right"/>
              <w:ind w:right="913"/>
              <w:spacing w:after="0" w:line="142" w:lineRule="exact"/>
              <w:rPr>
                <w:sz w:val="20"/>
                <w:szCs w:val="20"/>
                <w:color w:val="auto"/>
              </w:rPr>
            </w:pPr>
            <w:r>
              <w:rPr>
                <w:rFonts w:ascii="Arial" w:cs="Arial" w:eastAsia="Arial" w:hAnsi="Arial"/>
                <w:sz w:val="13"/>
                <w:szCs w:val="13"/>
                <w:color w:val="auto"/>
              </w:rPr>
              <w:t>$</w:t>
            </w:r>
          </w:p>
        </w:tc>
        <w:tc>
          <w:tcPr>
            <w:tcW w:w="1640" w:type="dxa"/>
            <w:vAlign w:val="bottom"/>
            <w:tcBorders>
              <w:bottom w:val="single" w:sz="8" w:color="auto"/>
            </w:tcBorders>
          </w:tcPr>
          <w:p>
            <w:pPr>
              <w:jc w:val="right"/>
              <w:ind w:right="893"/>
              <w:spacing w:after="0" w:line="142" w:lineRule="exact"/>
              <w:rPr>
                <w:sz w:val="20"/>
                <w:szCs w:val="20"/>
                <w:color w:val="auto"/>
              </w:rPr>
            </w:pPr>
            <w:r>
              <w:rPr>
                <w:rFonts w:ascii="Arial" w:cs="Arial" w:eastAsia="Arial" w:hAnsi="Arial"/>
                <w:sz w:val="13"/>
                <w:szCs w:val="13"/>
                <w:color w:val="auto"/>
              </w:rPr>
              <w:t>$</w:t>
            </w:r>
          </w:p>
        </w:tc>
      </w:tr>
      <w:tr>
        <w:trPr>
          <w:trHeight w:val="20"/>
        </w:trPr>
        <w:tc>
          <w:tcPr>
            <w:tcW w:w="77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3" w:lineRule="exact"/>
        <w:rPr>
          <w:sz w:val="24"/>
          <w:szCs w:val="24"/>
          <w:color w:val="auto"/>
        </w:rPr>
      </w:pPr>
    </w:p>
    <w:p>
      <w:pPr>
        <w:ind w:left="440" w:hanging="324"/>
        <w:spacing w:after="0"/>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amount of the registration fee in accordance with Rule 457(o) under the Securities Act of 1933, as amended.</w:t>
      </w:r>
    </w:p>
    <w:p>
      <w:pPr>
        <w:spacing w:after="0" w:line="26" w:lineRule="exact"/>
        <w:rPr>
          <w:rFonts w:ascii="Arial" w:cs="Arial" w:eastAsia="Arial" w:hAnsi="Arial"/>
          <w:sz w:val="13"/>
          <w:szCs w:val="13"/>
          <w:color w:val="auto"/>
        </w:rPr>
      </w:pPr>
    </w:p>
    <w:p>
      <w:pPr>
        <w:ind w:left="440" w:hanging="324"/>
        <w:spacing w:after="0"/>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the aggregate offering price of additional shares that the underwriters have the option to purchase from the registrant, if any. See “Underwriting.”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68580</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12" w:lineRule="exact"/>
        <w:rPr>
          <w:sz w:val="24"/>
          <w:szCs w:val="24"/>
          <w:color w:val="auto"/>
        </w:rPr>
      </w:pPr>
    </w:p>
    <w:p>
      <w:pPr>
        <w:ind w:left="120" w:right="40"/>
        <w:spacing w:after="0" w:line="261"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17780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43815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Explanatory note</w:t>
      </w:r>
    </w:p>
    <w:p>
      <w:pPr>
        <w:spacing w:after="0" w:line="157" w:lineRule="exact"/>
        <w:rPr>
          <w:sz w:val="20"/>
          <w:szCs w:val="20"/>
          <w:color w:val="auto"/>
        </w:rPr>
      </w:pPr>
    </w:p>
    <w:p>
      <w:pPr>
        <w:ind w:left="120"/>
        <w:spacing w:after="0" w:line="275" w:lineRule="auto"/>
        <w:rPr>
          <w:sz w:val="20"/>
          <w:szCs w:val="20"/>
          <w:color w:val="auto"/>
        </w:rPr>
      </w:pPr>
      <w:r>
        <w:rPr>
          <w:rFonts w:ascii="Arial" w:cs="Arial" w:eastAsia="Arial" w:hAnsi="Arial"/>
          <w:sz w:val="16"/>
          <w:szCs w:val="16"/>
          <w:color w:val="auto"/>
        </w:rPr>
        <w:t>Pursuant to the applicable provisions of the Fixing America’s Surface Transportation Act, we are omitting our consolidated financial statements for each of the six months ended June 30, 2018 and 2019 because they relate to historical periods that we believe will not be required to be included in the prospectus at the time of the contemplated offering. We intend to amend this registration statement to include all financial information required by Regulation S-X at the date of such amendment before distributing a preliminary prospectus to investors.</w:t>
      </w:r>
    </w:p>
    <w:p>
      <w:pPr>
        <w:sectPr>
          <w:pgSz w:w="11900" w:h="16838" w:orient="portrait"/>
          <w:cols w:equalWidth="0" w:num="1">
            <w:col w:w="11120"/>
          </w:cols>
          <w:pgMar w:left="32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20"/>
        <w:spacing w:after="0" w:line="244" w:lineRule="auto"/>
        <w:rPr>
          <w:sz w:val="20"/>
          <w:szCs w:val="20"/>
          <w:color w:val="auto"/>
        </w:rPr>
      </w:pPr>
      <w:r>
        <w:rPr>
          <w:rFonts w:ascii="Arial" w:cs="Arial" w:eastAsia="Arial" w:hAnsi="Arial"/>
          <w:sz w:val="18"/>
          <w:szCs w:val="18"/>
          <w:b w:val="1"/>
          <w:bCs w:val="1"/>
          <w:color w:val="CC062A"/>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is not soliciting an offer to buy these securities in any jurisdiction where such offer or sale is not permitted.</w:t>
      </w:r>
    </w:p>
    <w:p>
      <w:pPr>
        <w:spacing w:after="0" w:line="117" w:lineRule="exact"/>
        <w:rPr>
          <w:sz w:val="20"/>
          <w:szCs w:val="20"/>
          <w:color w:val="auto"/>
        </w:rPr>
      </w:pPr>
    </w:p>
    <w:tbl>
      <w:tblPr>
        <w:tblLayout w:type="fixed"/>
        <w:tblInd w:w="120" w:type="dxa"/>
        <w:tblCellMar>
          <w:top w:w="0" w:type="dxa"/>
          <w:left w:w="0" w:type="dxa"/>
          <w:bottom w:w="0" w:type="dxa"/>
          <w:right w:w="0" w:type="dxa"/>
        </w:tblCellMar>
      </w:tblPr>
      <w:tr>
        <w:trPr>
          <w:trHeight w:val="233"/>
        </w:trPr>
        <w:tc>
          <w:tcPr>
            <w:tcW w:w="2900" w:type="dxa"/>
            <w:vAlign w:val="bottom"/>
          </w:tcPr>
          <w:p>
            <w:pPr>
              <w:spacing w:after="0"/>
              <w:rPr>
                <w:sz w:val="20"/>
                <w:szCs w:val="20"/>
                <w:color w:val="auto"/>
              </w:rPr>
            </w:pPr>
            <w:r>
              <w:rPr>
                <w:rFonts w:ascii="Arial" w:cs="Arial" w:eastAsia="Arial" w:hAnsi="Arial"/>
                <w:sz w:val="18"/>
                <w:szCs w:val="18"/>
                <w:b w:val="1"/>
                <w:bCs w:val="1"/>
                <w:color w:val="CC062A"/>
              </w:rPr>
              <w:t>Subject to completion, dated</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CC062A"/>
              </w:rPr>
              <w:t>, 2019</w:t>
            </w:r>
          </w:p>
        </w:tc>
      </w:tr>
    </w:tbl>
    <w:p>
      <w:pPr>
        <w:spacing w:after="0" w:line="13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Preliminary prospectus</w:t>
      </w:r>
    </w:p>
    <w:p>
      <w:pPr>
        <w:spacing w:after="0" w:line="181" w:lineRule="exact"/>
        <w:rPr>
          <w:sz w:val="20"/>
          <w:szCs w:val="20"/>
          <w:color w:val="auto"/>
        </w:rPr>
      </w:pPr>
    </w:p>
    <w:p>
      <w:pPr>
        <w:ind w:left="1200"/>
        <w:spacing w:after="0"/>
        <w:rPr>
          <w:sz w:val="20"/>
          <w:szCs w:val="20"/>
          <w:color w:val="auto"/>
        </w:rPr>
      </w:pPr>
      <w:r>
        <w:rPr>
          <w:rFonts w:ascii="Arial" w:cs="Arial" w:eastAsia="Arial" w:hAnsi="Arial"/>
          <w:sz w:val="32"/>
          <w:szCs w:val="32"/>
          <w:b w:val="1"/>
          <w:bCs w:val="1"/>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175260</wp:posOffset>
            </wp:positionV>
            <wp:extent cx="2031365" cy="4457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3136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20"/>
        <w:spacing w:after="0"/>
        <w:rPr>
          <w:sz w:val="20"/>
          <w:szCs w:val="20"/>
          <w:color w:val="auto"/>
        </w:rPr>
      </w:pPr>
      <w:r>
        <w:rPr>
          <w:rFonts w:ascii="Arial" w:cs="Arial" w:eastAsia="Arial" w:hAnsi="Arial"/>
          <w:sz w:val="32"/>
          <w:szCs w:val="32"/>
          <w:b w:val="1"/>
          <w:bCs w:val="1"/>
          <w:i w:val="1"/>
          <w:iCs w:val="1"/>
          <w:color w:val="auto"/>
        </w:rPr>
        <w:t>Common stock</w:t>
      </w:r>
    </w:p>
    <w:p>
      <w:pPr>
        <w:sectPr>
          <w:pgSz w:w="11900" w:h="16838" w:orient="portrait"/>
          <w:cols w:equalWidth="0" w:num="1">
            <w:col w:w="11140"/>
          </w:cols>
          <w:pgMar w:left="320" w:top="459" w:right="439" w:bottom="1440" w:gutter="0" w:footer="0" w:header="0"/>
        </w:sectPr>
      </w:pPr>
    </w:p>
    <w:p>
      <w:pPr>
        <w:spacing w:after="0" w:line="211"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This is the initial public offering of shares of common stock of Revolution Medicines, Inc. We are selling The estimated initial public offering price is between $ and $ per share.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w:t>
      </w:r>
    </w:p>
    <w:p>
      <w:pPr>
        <w:spacing w:after="0" w:line="383" w:lineRule="exact"/>
        <w:rPr>
          <w:sz w:val="20"/>
          <w:szCs w:val="20"/>
          <w:color w:val="auto"/>
        </w:rPr>
      </w:pPr>
    </w:p>
    <w:p>
      <w:pPr>
        <w:sectPr>
          <w:pgSz w:w="11900" w:h="16838" w:orient="portrait"/>
          <w:cols w:equalWidth="0" w:num="2">
            <w:col w:w="8100" w:space="680"/>
            <w:col w:w="2360"/>
          </w:cols>
          <w:pgMar w:left="320" w:top="459" w:right="439" w:bottom="1440" w:gutter="0" w:footer="0" w:header="0"/>
          <w:type w:val="continuous"/>
        </w:sectPr>
      </w:pPr>
    </w:p>
    <w:p>
      <w:pPr>
        <w:ind w:left="120"/>
        <w:spacing w:after="0"/>
        <w:rPr>
          <w:sz w:val="20"/>
          <w:szCs w:val="20"/>
          <w:color w:val="auto"/>
        </w:rPr>
      </w:pPr>
      <w:r>
        <w:rPr>
          <w:rFonts w:ascii="Arial" w:cs="Arial" w:eastAsia="Arial" w:hAnsi="Arial"/>
          <w:sz w:val="18"/>
          <w:szCs w:val="18"/>
          <w:color w:val="auto"/>
        </w:rPr>
        <w:t>Prior to this offering, there has been no public market for our common stock.</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intend to apply to list our common stock on the Nasdaq Global Market under the symbol “RVMD.”</w:t>
      </w:r>
    </w:p>
    <w:p>
      <w:pPr>
        <w:spacing w:after="0" w:line="158" w:lineRule="exact"/>
        <w:rPr>
          <w:sz w:val="20"/>
          <w:szCs w:val="20"/>
          <w:color w:val="auto"/>
        </w:rPr>
      </w:pPr>
    </w:p>
    <w:p>
      <w:pPr>
        <w:ind w:left="120" w:right="680"/>
        <w:spacing w:after="0" w:line="239" w:lineRule="auto"/>
        <w:rPr>
          <w:sz w:val="20"/>
          <w:szCs w:val="20"/>
          <w:color w:val="auto"/>
        </w:rPr>
      </w:pPr>
      <w:r>
        <w:rPr>
          <w:rFonts w:ascii="Arial" w:cs="Arial" w:eastAsia="Arial" w:hAnsi="Arial"/>
          <w:sz w:val="18"/>
          <w:szCs w:val="18"/>
          <w:color w:val="auto"/>
        </w:rPr>
        <w:t>We are an “emerging growth company” as defined under the federal securities laws and, as such, have elected to comply with certain reduced public company reporting requirements for this prospectus and may elect to do so in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61"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572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tcPr>
          <w:p>
            <w:pPr>
              <w:ind w:left="3100"/>
              <w:spacing w:after="0"/>
              <w:rPr>
                <w:sz w:val="20"/>
                <w:szCs w:val="20"/>
                <w:color w:val="auto"/>
              </w:rPr>
            </w:pPr>
            <w:r>
              <w:rPr>
                <w:rFonts w:ascii="Arial" w:cs="Arial" w:eastAsia="Arial" w:hAnsi="Arial"/>
                <w:sz w:val="18"/>
                <w:szCs w:val="18"/>
                <w:b w:val="1"/>
                <w:bCs w:val="1"/>
                <w:color w:val="auto"/>
              </w:rPr>
              <w:t>Per share</w:t>
            </w:r>
          </w:p>
        </w:tc>
        <w:tc>
          <w:tcPr>
            <w:tcW w:w="110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b w:val="1"/>
                <w:bCs w:val="1"/>
                <w:color w:val="auto"/>
              </w:rPr>
              <w:t>Total</w:t>
            </w:r>
          </w:p>
        </w:tc>
      </w:tr>
      <w:tr>
        <w:trPr>
          <w:trHeight w:val="115"/>
        </w:trPr>
        <w:tc>
          <w:tcPr>
            <w:tcW w:w="57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03"/>
        </w:trPr>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Initial public offering price</w:t>
            </w:r>
          </w:p>
        </w:tc>
        <w:tc>
          <w:tcPr>
            <w:tcW w:w="4200" w:type="dxa"/>
            <w:vAlign w:val="bottom"/>
            <w:shd w:val="clear" w:color="auto" w:fill="CCEEFF"/>
          </w:tcPr>
          <w:p>
            <w:pPr>
              <w:ind w:left="310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349"/>
        </w:trPr>
        <w:tc>
          <w:tcPr>
            <w:tcW w:w="5720" w:type="dxa"/>
            <w:vAlign w:val="bottom"/>
          </w:tcPr>
          <w:p>
            <w:pPr>
              <w:spacing w:after="0"/>
              <w:rPr>
                <w:sz w:val="20"/>
                <w:szCs w:val="20"/>
                <w:color w:val="auto"/>
              </w:rPr>
            </w:pPr>
            <w:r>
              <w:rPr>
                <w:rFonts w:ascii="Arial" w:cs="Arial" w:eastAsia="Arial" w:hAnsi="Arial"/>
                <w:sz w:val="18"/>
                <w:szCs w:val="18"/>
                <w:color w:val="auto"/>
              </w:rPr>
              <w:t>Underwriting discounts(1)</w:t>
            </w:r>
          </w:p>
        </w:tc>
        <w:tc>
          <w:tcPr>
            <w:tcW w:w="4200" w:type="dxa"/>
            <w:vAlign w:val="bottom"/>
          </w:tcPr>
          <w:p>
            <w:pPr>
              <w:ind w:left="3100"/>
              <w:spacing w:after="0"/>
              <w:rPr>
                <w:sz w:val="20"/>
                <w:szCs w:val="20"/>
                <w:color w:val="auto"/>
              </w:rPr>
            </w:pPr>
            <w:r>
              <w:rPr>
                <w:rFonts w:ascii="Arial" w:cs="Arial" w:eastAsia="Arial" w:hAnsi="Arial"/>
                <w:sz w:val="18"/>
                <w:szCs w:val="18"/>
                <w:color w:val="auto"/>
              </w:rPr>
              <w:t>$</w:t>
            </w:r>
          </w:p>
        </w:tc>
        <w:tc>
          <w:tcPr>
            <w:tcW w:w="1040" w:type="dxa"/>
            <w:vAlign w:val="bottom"/>
          </w:tcPr>
          <w:p>
            <w:pPr>
              <w:ind w:lef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r>
        <w:trPr>
          <w:trHeight w:val="123"/>
        </w:trPr>
        <w:tc>
          <w:tcPr>
            <w:tcW w:w="57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03"/>
        </w:trPr>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before expenses, to us</w:t>
            </w:r>
          </w:p>
        </w:tc>
        <w:tc>
          <w:tcPr>
            <w:tcW w:w="4200" w:type="dxa"/>
            <w:vAlign w:val="bottom"/>
            <w:shd w:val="clear" w:color="auto" w:fill="CCEEFF"/>
          </w:tcPr>
          <w:p>
            <w:pPr>
              <w:ind w:left="310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
        </w:trPr>
        <w:tc>
          <w:tcPr>
            <w:tcW w:w="5720" w:type="dxa"/>
            <w:vAlign w:val="bottom"/>
            <w:tcBorders>
              <w:bottom w:val="single" w:sz="8" w:color="auto"/>
            </w:tcBorders>
          </w:tcPr>
          <w:p>
            <w:pPr>
              <w:spacing w:after="0" w:line="20" w:lineRule="exact"/>
              <w:rPr>
                <w:sz w:val="1"/>
                <w:szCs w:val="1"/>
                <w:color w:val="auto"/>
              </w:rPr>
            </w:pPr>
          </w:p>
        </w:tc>
        <w:tc>
          <w:tcPr>
            <w:tcW w:w="4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7" w:lineRule="exact"/>
        <w:rPr>
          <w:sz w:val="20"/>
          <w:szCs w:val="20"/>
          <w:color w:val="auto"/>
        </w:rPr>
      </w:pPr>
    </w:p>
    <w:p>
      <w:pPr>
        <w:ind w:left="440" w:hanging="324"/>
        <w:spacing w:after="0"/>
        <w:tabs>
          <w:tab w:leader="none" w:pos="440" w:val="left"/>
        </w:tabs>
        <w:numPr>
          <w:ilvl w:val="0"/>
          <w:numId w:val="2"/>
        </w:numPr>
        <w:rPr>
          <w:rFonts w:ascii="Arial" w:cs="Arial" w:eastAsia="Arial" w:hAnsi="Arial"/>
          <w:sz w:val="13"/>
          <w:szCs w:val="13"/>
          <w:color w:val="auto"/>
        </w:rPr>
      </w:pPr>
      <w:r>
        <w:rPr>
          <w:rFonts w:ascii="Arial" w:cs="Arial" w:eastAsia="Arial" w:hAnsi="Arial"/>
          <w:sz w:val="13"/>
          <w:szCs w:val="13"/>
          <w:color w:val="auto"/>
        </w:rPr>
        <w:t>See the section titled “Underwriting” beginning on page 188 for additional information regarding compensation payable to the underwriters.</w:t>
      </w:r>
    </w:p>
    <w:p>
      <w:pPr>
        <w:spacing w:after="0" w:line="165" w:lineRule="exact"/>
        <w:rPr>
          <w:sz w:val="20"/>
          <w:szCs w:val="20"/>
          <w:color w:val="auto"/>
        </w:rPr>
      </w:pPr>
    </w:p>
    <w:p>
      <w:pPr>
        <w:ind w:left="120" w:right="40"/>
        <w:spacing w:after="0" w:line="299" w:lineRule="auto"/>
        <w:rPr>
          <w:sz w:val="20"/>
          <w:szCs w:val="20"/>
          <w:color w:val="auto"/>
        </w:rPr>
      </w:pPr>
      <w:r>
        <w:rPr>
          <w:rFonts w:ascii="Arial" w:cs="Arial" w:eastAsia="Arial" w:hAnsi="Arial"/>
          <w:sz w:val="16"/>
          <w:szCs w:val="16"/>
          <w:color w:val="auto"/>
        </w:rPr>
        <w:t>We have granted the underwriters an option to purchase up to an additional shares from us at the initial public offering price less the underwriting discounts and commissions. The underwriters may exercise this right at any time within 30 days after the date of this prospectus.</w:t>
      </w:r>
    </w:p>
    <w:p>
      <w:pPr>
        <w:spacing w:after="0" w:line="87" w:lineRule="exact"/>
        <w:rPr>
          <w:sz w:val="20"/>
          <w:szCs w:val="20"/>
          <w:color w:val="auto"/>
        </w:rPr>
      </w:pPr>
    </w:p>
    <w:p>
      <w:pPr>
        <w:ind w:left="120" w:right="340"/>
        <w:spacing w:after="0" w:line="264"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stock involves a high degree of risk. See the section titled “</w:t>
      </w:r>
      <w:hyperlink w:anchor="page16">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11 to read about factors you should consider before buying shares of our common stock.</w:t>
      </w:r>
    </w:p>
    <w:p>
      <w:pPr>
        <w:spacing w:after="0" w:line="112" w:lineRule="exact"/>
        <w:rPr>
          <w:sz w:val="20"/>
          <w:szCs w:val="20"/>
          <w:color w:val="auto"/>
        </w:rPr>
      </w:pPr>
    </w:p>
    <w:p>
      <w:pPr>
        <w:ind w:left="120" w:right="80"/>
        <w:spacing w:after="0" w:line="327" w:lineRule="auto"/>
        <w:rPr>
          <w:sz w:val="20"/>
          <w:szCs w:val="20"/>
          <w:color w:val="auto"/>
        </w:rPr>
      </w:pPr>
      <w:r>
        <w:rPr>
          <w:rFonts w:ascii="Arial" w:cs="Arial" w:eastAsia="Arial" w:hAnsi="Arial"/>
          <w:sz w:val="16"/>
          <w:szCs w:val="16"/>
          <w:b w:val="1"/>
          <w:bCs w:val="1"/>
          <w:color w:val="auto"/>
        </w:rPr>
        <w:t>Neither the Securities and Exchange Commission nor any other state securities commission has approved or disapproved of these securities, or passed upon the adequacy or accuracy of this prospectus. Any representation to the contrary is a criminal offense.</w:t>
      </w:r>
    </w:p>
    <w:p>
      <w:pPr>
        <w:spacing w:after="0" w:line="88"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7420" w:type="dxa"/>
            <w:vAlign w:val="bottom"/>
          </w:tcPr>
          <w:p>
            <w:pPr>
              <w:spacing w:after="0"/>
              <w:rPr>
                <w:sz w:val="20"/>
                <w:szCs w:val="20"/>
                <w:color w:val="auto"/>
              </w:rPr>
            </w:pPr>
            <w:r>
              <w:rPr>
                <w:rFonts w:ascii="Arial" w:cs="Arial" w:eastAsia="Arial" w:hAnsi="Arial"/>
                <w:sz w:val="18"/>
                <w:szCs w:val="18"/>
                <w:color w:val="auto"/>
              </w:rPr>
              <w:t>The underwriters expect to deliver the shares against payment in New York, New York on</w:t>
            </w:r>
          </w:p>
        </w:tc>
        <w:tc>
          <w:tcPr>
            <w:tcW w:w="1060" w:type="dxa"/>
            <w:vAlign w:val="bottom"/>
          </w:tcPr>
          <w:p>
            <w:pPr>
              <w:jc w:val="right"/>
              <w:spacing w:after="0"/>
              <w:rPr>
                <w:sz w:val="20"/>
                <w:szCs w:val="20"/>
                <w:color w:val="auto"/>
              </w:rPr>
            </w:pPr>
            <w:r>
              <w:rPr>
                <w:rFonts w:ascii="Arial" w:cs="Arial" w:eastAsia="Arial" w:hAnsi="Arial"/>
                <w:sz w:val="18"/>
                <w:szCs w:val="18"/>
                <w:color w:val="auto"/>
              </w:rPr>
              <w:t>, 2019.</w:t>
            </w:r>
          </w:p>
        </w:tc>
      </w:tr>
    </w:tbl>
    <w:p>
      <w:pPr>
        <w:spacing w:after="0" w:line="200" w:lineRule="exact"/>
        <w:rPr>
          <w:sz w:val="20"/>
          <w:szCs w:val="20"/>
          <w:color w:val="auto"/>
        </w:rPr>
      </w:pPr>
    </w:p>
    <w:p>
      <w:pPr>
        <w:sectPr>
          <w:pgSz w:w="11900" w:h="16838" w:orient="portrait"/>
          <w:cols w:equalWidth="0" w:num="1">
            <w:col w:w="11140"/>
          </w:cols>
          <w:pgMar w:left="320" w:top="459" w:right="439" w:bottom="1440" w:gutter="0" w:footer="0" w:header="0"/>
          <w:type w:val="continuous"/>
        </w:sectPr>
      </w:pPr>
    </w:p>
    <w:p>
      <w:pPr>
        <w:spacing w:after="0" w:line="22" w:lineRule="exact"/>
        <w:rPr>
          <w:sz w:val="20"/>
          <w:szCs w:val="20"/>
          <w:color w:val="auto"/>
        </w:rPr>
      </w:pPr>
    </w:p>
    <w:p>
      <w:pPr>
        <w:ind w:left="120"/>
        <w:spacing w:after="0"/>
        <w:rPr>
          <w:sz w:val="20"/>
          <w:szCs w:val="20"/>
          <w:color w:val="auto"/>
        </w:rPr>
      </w:pPr>
      <w:r>
        <w:rPr>
          <w:rFonts w:ascii="Arial" w:cs="Arial" w:eastAsia="Arial" w:hAnsi="Arial"/>
          <w:sz w:val="31"/>
          <w:szCs w:val="31"/>
          <w:b w:val="1"/>
          <w:bCs w:val="1"/>
          <w:color w:val="auto"/>
        </w:rPr>
        <w:t>J.P. Morgan</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center"/>
        <w:ind w:right="160"/>
        <w:spacing w:after="0"/>
        <w:rPr>
          <w:sz w:val="20"/>
          <w:szCs w:val="20"/>
          <w:color w:val="auto"/>
        </w:rPr>
      </w:pPr>
      <w:r>
        <w:rPr>
          <w:rFonts w:ascii="Arial" w:cs="Arial" w:eastAsia="Arial" w:hAnsi="Arial"/>
          <w:sz w:val="32"/>
          <w:szCs w:val="32"/>
          <w:b w:val="1"/>
          <w:bCs w:val="1"/>
          <w:color w:val="auto"/>
        </w:rPr>
        <w:t>Cowen</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center"/>
        <w:ind w:right="160"/>
        <w:spacing w:after="0"/>
        <w:rPr>
          <w:sz w:val="20"/>
          <w:szCs w:val="20"/>
          <w:color w:val="auto"/>
        </w:rPr>
      </w:pPr>
      <w:r>
        <w:rPr>
          <w:rFonts w:ascii="Arial" w:cs="Arial" w:eastAsia="Arial" w:hAnsi="Arial"/>
          <w:sz w:val="32"/>
          <w:szCs w:val="32"/>
          <w:b w:val="1"/>
          <w:bCs w:val="1"/>
          <w:color w:val="auto"/>
        </w:rPr>
        <w:t>SVB Leerink</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Guggenheim Securities</w:t>
      </w:r>
    </w:p>
    <w:p>
      <w:pPr>
        <w:spacing w:after="0" w:line="189" w:lineRule="exact"/>
        <w:rPr>
          <w:sz w:val="20"/>
          <w:szCs w:val="20"/>
          <w:color w:val="auto"/>
        </w:rPr>
      </w:pPr>
    </w:p>
    <w:p>
      <w:pPr>
        <w:sectPr>
          <w:pgSz w:w="11900" w:h="16838" w:orient="portrait"/>
          <w:cols w:equalWidth="0" w:num="4">
            <w:col w:w="2080" w:space="720"/>
            <w:col w:w="1220" w:space="720"/>
            <w:col w:w="2060" w:space="720"/>
            <w:col w:w="3620"/>
          </w:cols>
          <w:pgMar w:left="320" w:top="459" w:right="439" w:bottom="1440" w:gutter="0" w:footer="0" w:header="0"/>
          <w:type w:val="continuous"/>
        </w:sectPr>
      </w:pPr>
    </w:p>
    <w:p>
      <w:pPr>
        <w:ind w:left="120"/>
        <w:spacing w:after="0"/>
        <w:rPr>
          <w:sz w:val="20"/>
          <w:szCs w:val="20"/>
          <w:color w:val="auto"/>
        </w:rPr>
      </w:pPr>
      <w:r>
        <w:rPr>
          <w:rFonts w:ascii="Arial" w:cs="Arial" w:eastAsia="Arial" w:hAnsi="Arial"/>
          <w:sz w:val="16"/>
          <w:szCs w:val="16"/>
          <w:b w:val="1"/>
          <w:bCs w:val="1"/>
          <w:color w:val="auto"/>
        </w:rPr>
        <w:t>Prospectus 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 2019</w:t>
      </w:r>
    </w:p>
    <w:p>
      <w:pPr>
        <w:sectPr>
          <w:pgSz w:w="11900" w:h="16838" w:orient="portrait"/>
          <w:cols w:equalWidth="0" w:num="2">
            <w:col w:w="1700" w:space="720"/>
            <w:col w:w="8720"/>
          </w:cols>
          <w:pgMar w:left="320" w:top="459" w:right="4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Table of contents</w:t>
      </w:r>
    </w:p>
    <w:p>
      <w:pPr>
        <w:spacing w:after="0" w:line="151"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20" w:type="dxa"/>
            <w:vAlign w:val="bottom"/>
          </w:tcPr>
          <w:p>
            <w:pPr>
              <w:jc w:val="right"/>
              <w:spacing w:after="0"/>
              <w:rPr>
                <w:sz w:val="20"/>
                <w:szCs w:val="20"/>
                <w:color w:val="auto"/>
              </w:rPr>
            </w:pPr>
            <w:r>
              <w:rPr>
                <w:rFonts w:ascii="Arial" w:cs="Arial" w:eastAsia="Arial" w:hAnsi="Arial"/>
                <w:sz w:val="13"/>
                <w:szCs w:val="13"/>
                <w:b w:val="1"/>
                <w:bCs w:val="1"/>
                <w:color w:val="auto"/>
              </w:rPr>
              <w:t>Page</w:t>
            </w:r>
          </w:p>
        </w:tc>
      </w:tr>
      <w:tr>
        <w:trPr>
          <w:trHeight w:val="230"/>
        </w:trPr>
        <w:tc>
          <w:tcPr>
            <w:tcW w:w="8920" w:type="dxa"/>
            <w:vAlign w:val="bottom"/>
            <w:gridSpan w:val="24"/>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Prospectus summary</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1780" w:type="dxa"/>
            <w:vAlign w:val="bottom"/>
            <w:tcBorders>
              <w:top w:val="single" w:sz="8" w:color="0000EE"/>
            </w:tcBorders>
            <w:gridSpan w:val="10"/>
          </w:tcPr>
          <w:p>
            <w:pPr>
              <w:spacing w:after="0"/>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Risk factors</w:t>
              </w:r>
            </w:hyperlink>
          </w:p>
        </w:tc>
        <w:tc>
          <w:tcPr>
            <w:tcW w:w="7140" w:type="dxa"/>
            <w:vAlign w:val="bottom"/>
            <w:gridSpan w:val="14"/>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50"/>
        </w:trPr>
        <w:tc>
          <w:tcPr>
            <w:tcW w:w="4240" w:type="dxa"/>
            <w:vAlign w:val="bottom"/>
            <w:tcBorders>
              <w:bottom w:val="single" w:sz="8" w:color="0000EE"/>
            </w:tcBorders>
            <w:gridSpan w:val="19"/>
          </w:tcPr>
          <w:p>
            <w:pPr>
              <w:spacing w:after="0"/>
              <w:rPr>
                <w:rFonts w:ascii="Arial" w:cs="Arial" w:eastAsia="Arial" w:hAnsi="Arial"/>
                <w:sz w:val="18"/>
                <w:szCs w:val="18"/>
                <w:b w:val="1"/>
                <w:bCs w:val="1"/>
                <w:color w:val="0000EE"/>
                <w:w w:val="96"/>
              </w:rPr>
            </w:pPr>
            <w:hyperlink w:anchor="page72">
              <w:r>
                <w:rPr>
                  <w:rFonts w:ascii="Arial" w:cs="Arial" w:eastAsia="Arial" w:hAnsi="Arial"/>
                  <w:sz w:val="18"/>
                  <w:szCs w:val="18"/>
                  <w:b w:val="1"/>
                  <w:bCs w:val="1"/>
                  <w:color w:val="0000EE"/>
                  <w:w w:val="96"/>
                </w:rPr>
                <w:t>Special note regarding forward-looking statements</w:t>
              </w:r>
            </w:hyperlink>
          </w:p>
        </w:tc>
        <w:tc>
          <w:tcPr>
            <w:tcW w:w="4680" w:type="dxa"/>
            <w:vAlign w:val="bottom"/>
            <w:gridSpan w:val="5"/>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50"/>
        </w:trPr>
        <w:tc>
          <w:tcPr>
            <w:tcW w:w="2080" w:type="dxa"/>
            <w:vAlign w:val="bottom"/>
            <w:tcBorders>
              <w:bottom w:val="single" w:sz="8" w:color="0000EE"/>
            </w:tcBorders>
            <w:gridSpan w:val="12"/>
          </w:tcPr>
          <w:p>
            <w:pPr>
              <w:spacing w:after="0"/>
              <w:rPr>
                <w:rFonts w:ascii="Arial" w:cs="Arial" w:eastAsia="Arial" w:hAnsi="Arial"/>
                <w:sz w:val="18"/>
                <w:szCs w:val="18"/>
                <w:b w:val="1"/>
                <w:bCs w:val="1"/>
                <w:color w:val="0000EE"/>
                <w:w w:val="96"/>
              </w:rPr>
            </w:pPr>
            <w:hyperlink w:anchor="page74">
              <w:r>
                <w:rPr>
                  <w:rFonts w:ascii="Arial" w:cs="Arial" w:eastAsia="Arial" w:hAnsi="Arial"/>
                  <w:sz w:val="18"/>
                  <w:szCs w:val="18"/>
                  <w:b w:val="1"/>
                  <w:bCs w:val="1"/>
                  <w:color w:val="0000EE"/>
                  <w:w w:val="96"/>
                </w:rPr>
                <w:t>Market and industry data</w:t>
              </w:r>
            </w:hyperlink>
          </w:p>
        </w:tc>
        <w:tc>
          <w:tcPr>
            <w:tcW w:w="6840" w:type="dxa"/>
            <w:vAlign w:val="bottom"/>
            <w:gridSpan w:val="12"/>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50"/>
        </w:trPr>
        <w:tc>
          <w:tcPr>
            <w:tcW w:w="8920" w:type="dxa"/>
            <w:vAlign w:val="bottom"/>
            <w:gridSpan w:val="24"/>
          </w:tcPr>
          <w:p>
            <w:pPr>
              <w:spacing w:after="0"/>
              <w:rPr>
                <w:rFonts w:ascii="Arial" w:cs="Arial" w:eastAsia="Arial" w:hAnsi="Arial"/>
                <w:sz w:val="18"/>
                <w:szCs w:val="18"/>
                <w:b w:val="1"/>
                <w:bCs w:val="1"/>
                <w:color w:val="0000EE"/>
              </w:rPr>
            </w:pPr>
            <w:hyperlink w:anchor="page75">
              <w:r>
                <w:rPr>
                  <w:rFonts w:ascii="Arial" w:cs="Arial" w:eastAsia="Arial" w:hAnsi="Arial"/>
                  <w:sz w:val="18"/>
                  <w:szCs w:val="18"/>
                  <w:b w:val="1"/>
                  <w:bCs w:val="1"/>
                  <w:color w:val="0000EE"/>
                </w:rPr>
                <w:t>Use of proceeds</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50"/>
        </w:trPr>
        <w:tc>
          <w:tcPr>
            <w:tcW w:w="1300" w:type="dxa"/>
            <w:vAlign w:val="bottom"/>
            <w:tcBorders>
              <w:top w:val="single" w:sz="8" w:color="0000EE"/>
              <w:bottom w:val="single" w:sz="8" w:color="0000EE"/>
            </w:tcBorders>
            <w:gridSpan w:val="8"/>
          </w:tcPr>
          <w:p>
            <w:pPr>
              <w:spacing w:after="0"/>
              <w:rPr>
                <w:rFonts w:ascii="Arial" w:cs="Arial" w:eastAsia="Arial" w:hAnsi="Arial"/>
                <w:sz w:val="18"/>
                <w:szCs w:val="18"/>
                <w:b w:val="1"/>
                <w:bCs w:val="1"/>
                <w:color w:val="0000EE"/>
                <w:w w:val="96"/>
              </w:rPr>
            </w:pPr>
            <w:hyperlink w:anchor="page77">
              <w:r>
                <w:rPr>
                  <w:rFonts w:ascii="Arial" w:cs="Arial" w:eastAsia="Arial" w:hAnsi="Arial"/>
                  <w:sz w:val="18"/>
                  <w:szCs w:val="18"/>
                  <w:b w:val="1"/>
                  <w:bCs w:val="1"/>
                  <w:color w:val="0000EE"/>
                  <w:w w:val="96"/>
                </w:rPr>
                <w:t>Dividend policy</w:t>
              </w:r>
            </w:hyperlink>
          </w:p>
        </w:tc>
        <w:tc>
          <w:tcPr>
            <w:tcW w:w="60" w:type="dxa"/>
            <w:vAlign w:val="bottom"/>
            <w:tcBorders>
              <w:top w:val="single" w:sz="8" w:color="0000EE"/>
            </w:tcBorders>
          </w:tcPr>
          <w:p>
            <w:pPr>
              <w:spacing w:after="0"/>
              <w:rPr>
                <w:sz w:val="21"/>
                <w:szCs w:val="21"/>
                <w:color w:val="auto"/>
              </w:rPr>
            </w:pPr>
          </w:p>
        </w:tc>
        <w:tc>
          <w:tcPr>
            <w:tcW w:w="7560" w:type="dxa"/>
            <w:vAlign w:val="bottom"/>
            <w:gridSpan w:val="15"/>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50"/>
        </w:trPr>
        <w:tc>
          <w:tcPr>
            <w:tcW w:w="1140" w:type="dxa"/>
            <w:vAlign w:val="bottom"/>
            <w:tcBorders>
              <w:bottom w:val="single" w:sz="8" w:color="0000EE"/>
            </w:tcBorders>
            <w:gridSpan w:val="7"/>
          </w:tcPr>
          <w:p>
            <w:pPr>
              <w:spacing w:after="0"/>
              <w:rPr>
                <w:rFonts w:ascii="Arial" w:cs="Arial" w:eastAsia="Arial" w:hAnsi="Arial"/>
                <w:sz w:val="18"/>
                <w:szCs w:val="18"/>
                <w:b w:val="1"/>
                <w:bCs w:val="1"/>
                <w:color w:val="0000EE"/>
                <w:w w:val="95"/>
              </w:rPr>
            </w:pPr>
            <w:hyperlink w:anchor="page78">
              <w:r>
                <w:rPr>
                  <w:rFonts w:ascii="Arial" w:cs="Arial" w:eastAsia="Arial" w:hAnsi="Arial"/>
                  <w:sz w:val="18"/>
                  <w:szCs w:val="18"/>
                  <w:b w:val="1"/>
                  <w:bCs w:val="1"/>
                  <w:color w:val="0000EE"/>
                  <w:w w:val="95"/>
                </w:rPr>
                <w:t>Capitalization</w:t>
              </w:r>
            </w:hyperlink>
          </w:p>
        </w:tc>
        <w:tc>
          <w:tcPr>
            <w:tcW w:w="7780" w:type="dxa"/>
            <w:vAlign w:val="bottom"/>
            <w:gridSpan w:val="17"/>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50"/>
        </w:trPr>
        <w:tc>
          <w:tcPr>
            <w:tcW w:w="660" w:type="dxa"/>
            <w:vAlign w:val="bottom"/>
            <w:tcBorders>
              <w:bottom w:val="single" w:sz="8" w:color="0000EE"/>
            </w:tcBorders>
            <w:gridSpan w:val="2"/>
          </w:tcPr>
          <w:p>
            <w:pPr>
              <w:spacing w:after="0"/>
              <w:rPr>
                <w:rFonts w:ascii="Arial" w:cs="Arial" w:eastAsia="Arial" w:hAnsi="Arial"/>
                <w:sz w:val="18"/>
                <w:szCs w:val="18"/>
                <w:b w:val="1"/>
                <w:bCs w:val="1"/>
                <w:color w:val="0000EE"/>
                <w:w w:val="95"/>
              </w:rPr>
            </w:pPr>
            <w:hyperlink w:anchor="page80">
              <w:r>
                <w:rPr>
                  <w:rFonts w:ascii="Arial" w:cs="Arial" w:eastAsia="Arial" w:hAnsi="Arial"/>
                  <w:sz w:val="18"/>
                  <w:szCs w:val="18"/>
                  <w:b w:val="1"/>
                  <w:bCs w:val="1"/>
                  <w:color w:val="0000EE"/>
                  <w:w w:val="95"/>
                </w:rPr>
                <w:t>Dilution</w:t>
              </w:r>
            </w:hyperlink>
          </w:p>
        </w:tc>
        <w:tc>
          <w:tcPr>
            <w:tcW w:w="8260" w:type="dxa"/>
            <w:vAlign w:val="bottom"/>
            <w:gridSpan w:val="22"/>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50"/>
        </w:trPr>
        <w:tc>
          <w:tcPr>
            <w:tcW w:w="3020" w:type="dxa"/>
            <w:vAlign w:val="bottom"/>
            <w:tcBorders>
              <w:bottom w:val="single" w:sz="8" w:color="0000EE"/>
            </w:tcBorders>
            <w:gridSpan w:val="15"/>
          </w:tcPr>
          <w:p>
            <w:pPr>
              <w:spacing w:after="0"/>
              <w:rPr>
                <w:rFonts w:ascii="Arial" w:cs="Arial" w:eastAsia="Arial" w:hAnsi="Arial"/>
                <w:sz w:val="18"/>
                <w:szCs w:val="18"/>
                <w:b w:val="1"/>
                <w:bCs w:val="1"/>
                <w:color w:val="0000EE"/>
                <w:w w:val="96"/>
              </w:rPr>
            </w:pPr>
            <w:hyperlink w:anchor="page83">
              <w:r>
                <w:rPr>
                  <w:rFonts w:ascii="Arial" w:cs="Arial" w:eastAsia="Arial" w:hAnsi="Arial"/>
                  <w:sz w:val="18"/>
                  <w:szCs w:val="18"/>
                  <w:b w:val="1"/>
                  <w:bCs w:val="1"/>
                  <w:color w:val="0000EE"/>
                  <w:w w:val="96"/>
                </w:rPr>
                <w:t>Selected consolidated financial data</w:t>
              </w:r>
            </w:hyperlink>
          </w:p>
        </w:tc>
        <w:tc>
          <w:tcPr>
            <w:tcW w:w="5900" w:type="dxa"/>
            <w:vAlign w:val="bottom"/>
            <w:gridSpan w:val="9"/>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50"/>
        </w:trPr>
        <w:tc>
          <w:tcPr>
            <w:tcW w:w="5320" w:type="dxa"/>
            <w:vAlign w:val="bottom"/>
            <w:tcBorders>
              <w:bottom w:val="single" w:sz="8" w:color="0000EE"/>
            </w:tcBorders>
            <w:gridSpan w:val="21"/>
          </w:tcPr>
          <w:p>
            <w:pPr>
              <w:spacing w:after="0"/>
              <w:rPr>
                <w:rFonts w:ascii="Arial" w:cs="Arial" w:eastAsia="Arial" w:hAnsi="Arial"/>
                <w:sz w:val="18"/>
                <w:szCs w:val="18"/>
                <w:b w:val="1"/>
                <w:bCs w:val="1"/>
                <w:color w:val="0000EE"/>
                <w:w w:val="97"/>
              </w:rPr>
            </w:pPr>
            <w:hyperlink w:anchor="page85">
              <w:r>
                <w:rPr>
                  <w:rFonts w:ascii="Arial" w:cs="Arial" w:eastAsia="Arial" w:hAnsi="Arial"/>
                  <w:sz w:val="18"/>
                  <w:szCs w:val="18"/>
                  <w:b w:val="1"/>
                  <w:bCs w:val="1"/>
                  <w:color w:val="0000EE"/>
                  <w:w w:val="97"/>
                </w:rPr>
                <w:t>Unaudited pro forma condensed combined financial statements</w:t>
              </w:r>
            </w:hyperlink>
          </w:p>
        </w:tc>
        <w:tc>
          <w:tcPr>
            <w:tcW w:w="3600" w:type="dxa"/>
            <w:vAlign w:val="bottom"/>
            <w:gridSpan w:val="3"/>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50"/>
        </w:trPr>
        <w:tc>
          <w:tcPr>
            <w:tcW w:w="7240" w:type="dxa"/>
            <w:vAlign w:val="bottom"/>
            <w:tcBorders>
              <w:bottom w:val="single" w:sz="8" w:color="0000EE"/>
            </w:tcBorders>
            <w:gridSpan w:val="23"/>
          </w:tcPr>
          <w:p>
            <w:pPr>
              <w:spacing w:after="0"/>
              <w:rPr>
                <w:rFonts w:ascii="Arial" w:cs="Arial" w:eastAsia="Arial" w:hAnsi="Arial"/>
                <w:sz w:val="18"/>
                <w:szCs w:val="18"/>
                <w:b w:val="1"/>
                <w:bCs w:val="1"/>
                <w:color w:val="0000EE"/>
                <w:w w:val="97"/>
              </w:rPr>
            </w:pPr>
            <w:hyperlink w:anchor="page92">
              <w:r>
                <w:rPr>
                  <w:rFonts w:ascii="Arial" w:cs="Arial" w:eastAsia="Arial" w:hAnsi="Arial"/>
                  <w:sz w:val="18"/>
                  <w:szCs w:val="18"/>
                  <w:b w:val="1"/>
                  <w:bCs w:val="1"/>
                  <w:color w:val="0000EE"/>
                  <w:w w:val="97"/>
                </w:rPr>
                <w:t>Management’s discussion and analysis of financial condition and results of operations</w:t>
              </w:r>
            </w:hyperlink>
          </w:p>
        </w:tc>
        <w:tc>
          <w:tcPr>
            <w:tcW w:w="168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50"/>
        </w:trPr>
        <w:tc>
          <w:tcPr>
            <w:tcW w:w="780" w:type="dxa"/>
            <w:vAlign w:val="bottom"/>
            <w:tcBorders>
              <w:bottom w:val="single" w:sz="8" w:color="0000EE"/>
            </w:tcBorders>
            <w:gridSpan w:val="3"/>
          </w:tcPr>
          <w:p>
            <w:pPr>
              <w:spacing w:after="0"/>
              <w:rPr>
                <w:rFonts w:ascii="Arial" w:cs="Arial" w:eastAsia="Arial" w:hAnsi="Arial"/>
                <w:sz w:val="18"/>
                <w:szCs w:val="18"/>
                <w:b w:val="1"/>
                <w:bCs w:val="1"/>
                <w:color w:val="0000EE"/>
                <w:w w:val="94"/>
              </w:rPr>
            </w:pPr>
            <w:hyperlink w:anchor="page106">
              <w:r>
                <w:rPr>
                  <w:rFonts w:ascii="Arial" w:cs="Arial" w:eastAsia="Arial" w:hAnsi="Arial"/>
                  <w:sz w:val="18"/>
                  <w:szCs w:val="18"/>
                  <w:b w:val="1"/>
                  <w:bCs w:val="1"/>
                  <w:color w:val="0000EE"/>
                  <w:w w:val="94"/>
                </w:rPr>
                <w:t>Business</w:t>
              </w:r>
            </w:hyperlink>
          </w:p>
        </w:tc>
        <w:tc>
          <w:tcPr>
            <w:tcW w:w="8140" w:type="dxa"/>
            <w:vAlign w:val="bottom"/>
            <w:gridSpan w:val="21"/>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50"/>
        </w:trPr>
        <w:tc>
          <w:tcPr>
            <w:tcW w:w="8920" w:type="dxa"/>
            <w:vAlign w:val="bottom"/>
            <w:gridSpan w:val="24"/>
          </w:tcPr>
          <w:p>
            <w:pPr>
              <w:spacing w:after="0"/>
              <w:rPr>
                <w:rFonts w:ascii="Arial" w:cs="Arial" w:eastAsia="Arial" w:hAnsi="Arial"/>
                <w:sz w:val="18"/>
                <w:szCs w:val="18"/>
                <w:b w:val="1"/>
                <w:bCs w:val="1"/>
                <w:color w:val="0000EE"/>
              </w:rPr>
            </w:pPr>
            <w:hyperlink w:anchor="page150">
              <w:r>
                <w:rPr>
                  <w:rFonts w:ascii="Arial" w:cs="Arial" w:eastAsia="Arial" w:hAnsi="Arial"/>
                  <w:sz w:val="18"/>
                  <w:szCs w:val="18"/>
                  <w:b w:val="1"/>
                  <w:bCs w:val="1"/>
                  <w:color w:val="0000EE"/>
                </w:rPr>
                <w:t>Management</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0"/>
        </w:trPr>
        <w:tc>
          <w:tcPr>
            <w:tcW w:w="64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50"/>
        </w:trPr>
        <w:tc>
          <w:tcPr>
            <w:tcW w:w="3120" w:type="dxa"/>
            <w:vAlign w:val="bottom"/>
            <w:tcBorders>
              <w:bottom w:val="single" w:sz="8" w:color="0000EE"/>
            </w:tcBorders>
            <w:gridSpan w:val="17"/>
          </w:tcPr>
          <w:p>
            <w:pPr>
              <w:spacing w:after="0"/>
              <w:rPr>
                <w:rFonts w:ascii="Arial" w:cs="Arial" w:eastAsia="Arial" w:hAnsi="Arial"/>
                <w:sz w:val="18"/>
                <w:szCs w:val="18"/>
                <w:b w:val="1"/>
                <w:bCs w:val="1"/>
                <w:color w:val="0000EE"/>
                <w:w w:val="96"/>
              </w:rPr>
            </w:pPr>
            <w:hyperlink w:anchor="page159">
              <w:r>
                <w:rPr>
                  <w:rFonts w:ascii="Arial" w:cs="Arial" w:eastAsia="Arial" w:hAnsi="Arial"/>
                  <w:sz w:val="18"/>
                  <w:szCs w:val="18"/>
                  <w:b w:val="1"/>
                  <w:bCs w:val="1"/>
                  <w:color w:val="0000EE"/>
                  <w:w w:val="96"/>
                </w:rPr>
                <w:t>Executive and director compensation</w:t>
              </w:r>
            </w:hyperlink>
          </w:p>
        </w:tc>
        <w:tc>
          <w:tcPr>
            <w:tcW w:w="5800" w:type="dxa"/>
            <w:vAlign w:val="bottom"/>
            <w:gridSpan w:val="7"/>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50"/>
        </w:trPr>
        <w:tc>
          <w:tcPr>
            <w:tcW w:w="4300" w:type="dxa"/>
            <w:vAlign w:val="bottom"/>
            <w:tcBorders>
              <w:bottom w:val="single" w:sz="8" w:color="0000EE"/>
            </w:tcBorders>
            <w:gridSpan w:val="20"/>
          </w:tcPr>
          <w:p>
            <w:pPr>
              <w:spacing w:after="0"/>
              <w:rPr>
                <w:rFonts w:ascii="Arial" w:cs="Arial" w:eastAsia="Arial" w:hAnsi="Arial"/>
                <w:sz w:val="18"/>
                <w:szCs w:val="18"/>
                <w:b w:val="1"/>
                <w:bCs w:val="1"/>
                <w:color w:val="0000EE"/>
                <w:w w:val="97"/>
              </w:rPr>
            </w:pPr>
            <w:hyperlink w:anchor="page172">
              <w:r>
                <w:rPr>
                  <w:rFonts w:ascii="Arial" w:cs="Arial" w:eastAsia="Arial" w:hAnsi="Arial"/>
                  <w:sz w:val="18"/>
                  <w:szCs w:val="18"/>
                  <w:b w:val="1"/>
                  <w:bCs w:val="1"/>
                  <w:color w:val="0000EE"/>
                  <w:w w:val="97"/>
                </w:rPr>
                <w:t>Certain relationships and related party transactions</w:t>
              </w:r>
            </w:hyperlink>
          </w:p>
        </w:tc>
        <w:tc>
          <w:tcPr>
            <w:tcW w:w="4620" w:type="dxa"/>
            <w:vAlign w:val="bottom"/>
            <w:gridSpan w:val="4"/>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50"/>
        </w:trPr>
        <w:tc>
          <w:tcPr>
            <w:tcW w:w="1880" w:type="dxa"/>
            <w:vAlign w:val="bottom"/>
            <w:tcBorders>
              <w:bottom w:val="single" w:sz="8" w:color="0000EE"/>
            </w:tcBorders>
            <w:gridSpan w:val="11"/>
          </w:tcPr>
          <w:p>
            <w:pPr>
              <w:spacing w:after="0"/>
              <w:rPr>
                <w:rFonts w:ascii="Arial" w:cs="Arial" w:eastAsia="Arial" w:hAnsi="Arial"/>
                <w:sz w:val="18"/>
                <w:szCs w:val="18"/>
                <w:b w:val="1"/>
                <w:bCs w:val="1"/>
                <w:color w:val="0000EE"/>
                <w:w w:val="96"/>
              </w:rPr>
            </w:pPr>
            <w:hyperlink w:anchor="page177">
              <w:r>
                <w:rPr>
                  <w:rFonts w:ascii="Arial" w:cs="Arial" w:eastAsia="Arial" w:hAnsi="Arial"/>
                  <w:sz w:val="18"/>
                  <w:szCs w:val="18"/>
                  <w:b w:val="1"/>
                  <w:bCs w:val="1"/>
                  <w:color w:val="0000EE"/>
                  <w:w w:val="96"/>
                </w:rPr>
                <w:t>Principal stockholders</w:t>
              </w:r>
            </w:hyperlink>
          </w:p>
        </w:tc>
        <w:tc>
          <w:tcPr>
            <w:tcW w:w="7040" w:type="dxa"/>
            <w:vAlign w:val="bottom"/>
            <w:gridSpan w:val="13"/>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50"/>
        </w:trPr>
        <w:tc>
          <w:tcPr>
            <w:tcW w:w="8920" w:type="dxa"/>
            <w:vAlign w:val="bottom"/>
            <w:gridSpan w:val="24"/>
          </w:tcPr>
          <w:p>
            <w:pPr>
              <w:spacing w:after="0"/>
              <w:rPr>
                <w:rFonts w:ascii="Arial" w:cs="Arial" w:eastAsia="Arial" w:hAnsi="Arial"/>
                <w:sz w:val="18"/>
                <w:szCs w:val="18"/>
                <w:b w:val="1"/>
                <w:bCs w:val="1"/>
                <w:color w:val="0000EE"/>
              </w:rPr>
            </w:pPr>
            <w:hyperlink w:anchor="page180">
              <w:r>
                <w:rPr>
                  <w:rFonts w:ascii="Arial" w:cs="Arial" w:eastAsia="Arial" w:hAnsi="Arial"/>
                  <w:sz w:val="18"/>
                  <w:szCs w:val="18"/>
                  <w:b w:val="1"/>
                  <w:bCs w:val="1"/>
                  <w:color w:val="0000EE"/>
                </w:rPr>
                <w:t>Description of capital stock</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0"/>
        </w:trPr>
        <w:tc>
          <w:tcPr>
            <w:tcW w:w="64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40" w:type="dxa"/>
            <w:vAlign w:val="bottom"/>
            <w:gridSpan w:val="6"/>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50"/>
        </w:trPr>
        <w:tc>
          <w:tcPr>
            <w:tcW w:w="2460" w:type="dxa"/>
            <w:vAlign w:val="bottom"/>
            <w:tcBorders>
              <w:bottom w:val="single" w:sz="8" w:color="0000EE"/>
            </w:tcBorders>
            <w:gridSpan w:val="14"/>
          </w:tcPr>
          <w:p>
            <w:pPr>
              <w:spacing w:after="0"/>
              <w:rPr>
                <w:rFonts w:ascii="Arial" w:cs="Arial" w:eastAsia="Arial" w:hAnsi="Arial"/>
                <w:sz w:val="18"/>
                <w:szCs w:val="18"/>
                <w:b w:val="1"/>
                <w:bCs w:val="1"/>
                <w:color w:val="0000EE"/>
                <w:w w:val="96"/>
              </w:rPr>
            </w:pPr>
            <w:hyperlink w:anchor="page186">
              <w:r>
                <w:rPr>
                  <w:rFonts w:ascii="Arial" w:cs="Arial" w:eastAsia="Arial" w:hAnsi="Arial"/>
                  <w:sz w:val="18"/>
                  <w:szCs w:val="18"/>
                  <w:b w:val="1"/>
                  <w:bCs w:val="1"/>
                  <w:color w:val="0000EE"/>
                  <w:w w:val="96"/>
                </w:rPr>
                <w:t>Shares eligible for future sale</w:t>
              </w:r>
            </w:hyperlink>
          </w:p>
        </w:tc>
        <w:tc>
          <w:tcPr>
            <w:tcW w:w="6460" w:type="dxa"/>
            <w:vAlign w:val="bottom"/>
            <w:gridSpan w:val="10"/>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50"/>
        </w:trPr>
        <w:tc>
          <w:tcPr>
            <w:tcW w:w="5580" w:type="dxa"/>
            <w:vAlign w:val="bottom"/>
            <w:tcBorders>
              <w:bottom w:val="single" w:sz="8" w:color="0000EE"/>
            </w:tcBorders>
            <w:gridSpan w:val="22"/>
          </w:tcPr>
          <w:p>
            <w:pPr>
              <w:spacing w:after="0"/>
              <w:rPr>
                <w:rFonts w:ascii="Arial" w:cs="Arial" w:eastAsia="Arial" w:hAnsi="Arial"/>
                <w:sz w:val="18"/>
                <w:szCs w:val="18"/>
                <w:b w:val="1"/>
                <w:bCs w:val="1"/>
                <w:color w:val="0000EE"/>
                <w:w w:val="97"/>
              </w:rPr>
            </w:pPr>
            <w:hyperlink w:anchor="page189">
              <w:r>
                <w:rPr>
                  <w:rFonts w:ascii="Arial" w:cs="Arial" w:eastAsia="Arial" w:hAnsi="Arial"/>
                  <w:sz w:val="18"/>
                  <w:szCs w:val="18"/>
                  <w:b w:val="1"/>
                  <w:bCs w:val="1"/>
                  <w:color w:val="0000EE"/>
                  <w:w w:val="97"/>
                </w:rPr>
                <w:t>Material U.S. federal income tax consequences to non-U.S. holders</w:t>
              </w:r>
            </w:hyperlink>
          </w:p>
        </w:tc>
        <w:tc>
          <w:tcPr>
            <w:tcW w:w="3340" w:type="dxa"/>
            <w:vAlign w:val="bottom"/>
            <w:gridSpan w:val="2"/>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50"/>
        </w:trPr>
        <w:tc>
          <w:tcPr>
            <w:tcW w:w="1080" w:type="dxa"/>
            <w:vAlign w:val="bottom"/>
            <w:tcBorders>
              <w:bottom w:val="single" w:sz="8" w:color="0000EE"/>
            </w:tcBorders>
            <w:gridSpan w:val="6"/>
          </w:tcPr>
          <w:p>
            <w:pPr>
              <w:spacing w:after="0"/>
              <w:rPr>
                <w:rFonts w:ascii="Arial" w:cs="Arial" w:eastAsia="Arial" w:hAnsi="Arial"/>
                <w:sz w:val="18"/>
                <w:szCs w:val="18"/>
                <w:b w:val="1"/>
                <w:bCs w:val="1"/>
                <w:color w:val="0000EE"/>
                <w:w w:val="95"/>
              </w:rPr>
            </w:pPr>
            <w:hyperlink w:anchor="page193">
              <w:r>
                <w:rPr>
                  <w:rFonts w:ascii="Arial" w:cs="Arial" w:eastAsia="Arial" w:hAnsi="Arial"/>
                  <w:sz w:val="18"/>
                  <w:szCs w:val="18"/>
                  <w:b w:val="1"/>
                  <w:bCs w:val="1"/>
                  <w:color w:val="0000EE"/>
                  <w:w w:val="95"/>
                </w:rPr>
                <w:t>Underwriting</w:t>
              </w:r>
            </w:hyperlink>
          </w:p>
        </w:tc>
        <w:tc>
          <w:tcPr>
            <w:tcW w:w="7840" w:type="dxa"/>
            <w:vAlign w:val="bottom"/>
            <w:gridSpan w:val="18"/>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50"/>
        </w:trPr>
        <w:tc>
          <w:tcPr>
            <w:tcW w:w="1140" w:type="dxa"/>
            <w:vAlign w:val="bottom"/>
            <w:tcBorders>
              <w:bottom w:val="single" w:sz="8" w:color="0000EE"/>
            </w:tcBorders>
            <w:gridSpan w:val="7"/>
          </w:tcPr>
          <w:p>
            <w:pPr>
              <w:spacing w:after="0"/>
              <w:rPr>
                <w:rFonts w:ascii="Arial" w:cs="Arial" w:eastAsia="Arial" w:hAnsi="Arial"/>
                <w:sz w:val="18"/>
                <w:szCs w:val="18"/>
                <w:b w:val="1"/>
                <w:bCs w:val="1"/>
                <w:color w:val="0000EE"/>
                <w:w w:val="95"/>
              </w:rPr>
            </w:pPr>
            <w:hyperlink w:anchor="page204">
              <w:r>
                <w:rPr>
                  <w:rFonts w:ascii="Arial" w:cs="Arial" w:eastAsia="Arial" w:hAnsi="Arial"/>
                  <w:sz w:val="18"/>
                  <w:szCs w:val="18"/>
                  <w:b w:val="1"/>
                  <w:bCs w:val="1"/>
                  <w:color w:val="0000EE"/>
                  <w:w w:val="95"/>
                </w:rPr>
                <w:t>Legal matters</w:t>
              </w:r>
            </w:hyperlink>
          </w:p>
        </w:tc>
        <w:tc>
          <w:tcPr>
            <w:tcW w:w="7780" w:type="dxa"/>
            <w:vAlign w:val="bottom"/>
            <w:gridSpan w:val="17"/>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50"/>
        </w:trPr>
        <w:tc>
          <w:tcPr>
            <w:tcW w:w="640" w:type="dxa"/>
            <w:vAlign w:val="bottom"/>
            <w:tcBorders>
              <w:bottom w:val="single" w:sz="8" w:color="0000EE"/>
            </w:tcBorders>
          </w:tcPr>
          <w:p>
            <w:pPr>
              <w:spacing w:after="0"/>
              <w:rPr>
                <w:rFonts w:ascii="Arial" w:cs="Arial" w:eastAsia="Arial" w:hAnsi="Arial"/>
                <w:sz w:val="18"/>
                <w:szCs w:val="18"/>
                <w:b w:val="1"/>
                <w:bCs w:val="1"/>
                <w:color w:val="0000EE"/>
                <w:w w:val="93"/>
              </w:rPr>
            </w:pPr>
            <w:hyperlink w:anchor="page204">
              <w:r>
                <w:rPr>
                  <w:rFonts w:ascii="Arial" w:cs="Arial" w:eastAsia="Arial" w:hAnsi="Arial"/>
                  <w:sz w:val="18"/>
                  <w:szCs w:val="18"/>
                  <w:b w:val="1"/>
                  <w:bCs w:val="1"/>
                  <w:color w:val="0000EE"/>
                  <w:w w:val="93"/>
                </w:rPr>
                <w:t>Experts</w:t>
              </w:r>
            </w:hyperlink>
          </w:p>
        </w:tc>
        <w:tc>
          <w:tcPr>
            <w:tcW w:w="8280" w:type="dxa"/>
            <w:vAlign w:val="bottom"/>
            <w:gridSpan w:val="23"/>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50"/>
        </w:trPr>
        <w:tc>
          <w:tcPr>
            <w:tcW w:w="8920" w:type="dxa"/>
            <w:vAlign w:val="bottom"/>
            <w:gridSpan w:val="24"/>
          </w:tcPr>
          <w:p>
            <w:pPr>
              <w:spacing w:after="0"/>
              <w:rPr>
                <w:rFonts w:ascii="Arial" w:cs="Arial" w:eastAsia="Arial" w:hAnsi="Arial"/>
                <w:sz w:val="18"/>
                <w:szCs w:val="18"/>
                <w:b w:val="1"/>
                <w:bCs w:val="1"/>
                <w:color w:val="0000EE"/>
              </w:rPr>
            </w:pPr>
            <w:hyperlink w:anchor="page204">
              <w:r>
                <w:rPr>
                  <w:rFonts w:ascii="Arial" w:cs="Arial" w:eastAsia="Arial" w:hAnsi="Arial"/>
                  <w:sz w:val="18"/>
                  <w:szCs w:val="18"/>
                  <w:b w:val="1"/>
                  <w:bCs w:val="1"/>
                  <w:color w:val="0000EE"/>
                </w:rPr>
                <w:t>Where you can find more information</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0"/>
        </w:trPr>
        <w:tc>
          <w:tcPr>
            <w:tcW w:w="3100" w:type="dxa"/>
            <w:vAlign w:val="bottom"/>
            <w:gridSpan w:val="16"/>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380" w:type="dxa"/>
            <w:vAlign w:val="bottom"/>
            <w:gridSpan w:val="6"/>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50"/>
        </w:trPr>
        <w:tc>
          <w:tcPr>
            <w:tcW w:w="3540" w:type="dxa"/>
            <w:vAlign w:val="bottom"/>
            <w:tcBorders>
              <w:bottom w:val="single" w:sz="8" w:color="0000EE"/>
            </w:tcBorders>
            <w:gridSpan w:val="18"/>
          </w:tcPr>
          <w:p>
            <w:pPr>
              <w:spacing w:after="0"/>
              <w:rPr>
                <w:rFonts w:ascii="Arial" w:cs="Arial" w:eastAsia="Arial" w:hAnsi="Arial"/>
                <w:sz w:val="18"/>
                <w:szCs w:val="18"/>
                <w:b w:val="1"/>
                <w:bCs w:val="1"/>
                <w:color w:val="0000EE"/>
                <w:w w:val="96"/>
              </w:rPr>
            </w:pPr>
            <w:hyperlink w:anchor="page206">
              <w:r>
                <w:rPr>
                  <w:rFonts w:ascii="Arial" w:cs="Arial" w:eastAsia="Arial" w:hAnsi="Arial"/>
                  <w:sz w:val="18"/>
                  <w:szCs w:val="18"/>
                  <w:b w:val="1"/>
                  <w:bCs w:val="1"/>
                  <w:color w:val="0000EE"/>
                  <w:w w:val="96"/>
                </w:rPr>
                <w:t>Index to consolidated financial statements</w:t>
              </w:r>
            </w:hyperlink>
          </w:p>
        </w:tc>
        <w:tc>
          <w:tcPr>
            <w:tcW w:w="5380" w:type="dxa"/>
            <w:vAlign w:val="bottom"/>
            <w:gridSpan w:val="6"/>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F-1</w:t>
            </w:r>
          </w:p>
        </w:tc>
      </w:tr>
    </w:tbl>
    <w:p>
      <w:pPr>
        <w:spacing w:after="0" w:line="125"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Neither we nor the underwriters have authorized anyone to provide you with information that is different from that contained in this prospectus or in any free writing prospectus we may authorize to be delivered or made available to you. We and the underwriters take no responsibility for, and can provide no assurance as to the reliability of, any other information that others may give you. We and the underwriters are offering to sell shares of common stock and seeking offers to buy shares of common stock only in jurisdictions where offers and sales are permitted. The information contained in this prospectus is accurate only as of the date on the front of this prospectus, or other earlier date stated in this prospectus, regardless of the time of delivery of this prospectus or any sale of shares of our common stock. Our business, financial condition, results of operations and prospects may have changed since that date.</w:t>
      </w:r>
    </w:p>
    <w:p>
      <w:pPr>
        <w:spacing w:after="0" w:line="101" w:lineRule="exact"/>
        <w:rPr>
          <w:sz w:val="20"/>
          <w:szCs w:val="20"/>
          <w:color w:val="auto"/>
        </w:rPr>
      </w:pPr>
    </w:p>
    <w:p>
      <w:pPr>
        <w:ind w:left="120" w:right="400"/>
        <w:spacing w:after="0" w:line="237" w:lineRule="auto"/>
        <w:rPr>
          <w:sz w:val="20"/>
          <w:szCs w:val="20"/>
          <w:color w:val="auto"/>
        </w:rPr>
      </w:pPr>
      <w:r>
        <w:rPr>
          <w:rFonts w:ascii="Arial" w:cs="Arial" w:eastAsia="Arial" w:hAnsi="Arial"/>
          <w:sz w:val="18"/>
          <w:szCs w:val="18"/>
          <w:color w:val="auto"/>
        </w:rPr>
        <w:t>No action is being taken in any jurisdiction outside the United States to permit a public offering of our common stock or possession or distribution of this prospectus in that jurisdiction. Persons who come into possession of this prospectus in jurisdictions outside the United States are required to inform themselves about and to observe any restrictions as to this offering and the distribution of this prospectus applicable to that jurisdiction.</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40"/>
        <w:spacing w:after="0" w:line="236" w:lineRule="auto"/>
        <w:rPr>
          <w:sz w:val="20"/>
          <w:szCs w:val="20"/>
          <w:color w:val="auto"/>
        </w:rPr>
      </w:pPr>
      <w:r>
        <w:rPr>
          <w:rFonts w:ascii="Arial" w:cs="Arial" w:eastAsia="Arial" w:hAnsi="Arial"/>
          <w:sz w:val="18"/>
          <w:szCs w:val="18"/>
          <w:color w:val="auto"/>
        </w:rPr>
        <w:t>Revolution Medicines</w:t>
      </w:r>
      <w:r>
        <w:rPr>
          <w:rFonts w:ascii="Arial" w:cs="Arial" w:eastAsia="Arial" w:hAnsi="Arial"/>
          <w:sz w:val="11"/>
          <w:szCs w:val="11"/>
          <w:color w:val="auto"/>
        </w:rPr>
        <w:t>®</w:t>
      </w:r>
      <w:r>
        <w:rPr>
          <w:rFonts w:ascii="Arial" w:cs="Arial" w:eastAsia="Arial" w:hAnsi="Arial"/>
          <w:sz w:val="18"/>
          <w:szCs w:val="18"/>
          <w:color w:val="auto"/>
        </w:rPr>
        <w:t xml:space="preserve"> and our logo are some of our trademarks used in this prospectus. This prospectus also includes trademarks, tradenames and service marks that are the property of other organizations. Solely for convenience, our trademarks, service marks and tradenames referred to in this prospectus may appear without the </w:t>
      </w:r>
      <w:r>
        <w:rPr>
          <w:rFonts w:ascii="Arial" w:cs="Arial" w:eastAsia="Arial" w:hAnsi="Arial"/>
          <w:sz w:val="11"/>
          <w:szCs w:val="11"/>
          <w:color w:val="auto"/>
        </w:rPr>
        <w:t>®</w:t>
      </w:r>
      <w:r>
        <w:rPr>
          <w:rFonts w:ascii="Arial" w:cs="Arial" w:eastAsia="Arial" w:hAnsi="Arial"/>
          <w:sz w:val="18"/>
          <w:szCs w:val="18"/>
          <w:color w:val="auto"/>
        </w:rPr>
        <w:t xml:space="preserve"> and </w:t>
      </w:r>
      <w:r>
        <w:rPr>
          <w:rFonts w:ascii="Arial" w:cs="Arial" w:eastAsia="Arial" w:hAnsi="Arial"/>
          <w:sz w:val="11"/>
          <w:szCs w:val="11"/>
          <w:color w:val="auto"/>
        </w:rPr>
        <w:t>™</w:t>
      </w:r>
      <w:r>
        <w:rPr>
          <w:rFonts w:ascii="Arial" w:cs="Arial" w:eastAsia="Arial" w:hAnsi="Arial"/>
          <w:sz w:val="18"/>
          <w:szCs w:val="18"/>
          <w:color w:val="auto"/>
        </w:rPr>
        <w:t xml:space="preserve"> symbol, but those references are not intended to indicate, in any way, that we will not assert, to the fullest extent under applicable law, our rights, or the right of the applicable licensor to these trademarks, service marks and tradenames.</w:t>
      </w:r>
    </w:p>
    <w:p>
      <w:pPr>
        <w:spacing w:after="0" w:line="81"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b w:val="1"/>
          <w:bCs w:val="1"/>
          <w:color w:val="auto"/>
        </w:rPr>
        <w:t>Through and including , 2019 (the 25th day after the date of this prospectus), all dealers effecting transactions in these securities,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00"/>
          </w:cols>
          <w:pgMar w:left="32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300"/>
        <w:spacing w:after="0"/>
        <w:rPr>
          <w:sz w:val="20"/>
          <w:szCs w:val="20"/>
          <w:color w:val="auto"/>
        </w:rPr>
      </w:pPr>
      <w:r>
        <w:rPr>
          <w:rFonts w:ascii="Arial" w:cs="Arial" w:eastAsia="Arial" w:hAnsi="Arial"/>
          <w:sz w:val="32"/>
          <w:szCs w:val="32"/>
          <w:b w:val="1"/>
          <w:bCs w:val="1"/>
          <w:color w:val="auto"/>
        </w:rPr>
        <w:t>Prospectus summary</w:t>
      </w:r>
    </w:p>
    <w:p>
      <w:pPr>
        <w:spacing w:after="0" w:line="139" w:lineRule="exact"/>
        <w:rPr>
          <w:sz w:val="20"/>
          <w:szCs w:val="20"/>
          <w:color w:val="auto"/>
        </w:rPr>
      </w:pPr>
    </w:p>
    <w:p>
      <w:pPr>
        <w:ind w:left="300"/>
        <w:spacing w:after="0" w:line="239"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does not contain all of the information you should consider before investing in our common stock. You should read this entire prospectus carefully, especially the section in this prospectus titled “Risk factors” and our consolidated financial statements and the related notes thereto included at the end of this prospectus, before making an investment decision. As used in this prospectus, unless the context otherwise requires, references to “we,” “us,” “our,” “our company,” “the Company” and “Revolution Medicines” refer to Revolution Medicines, Inc. and its subsidiary taken as a whole, and references to “Warp Drive” refer to its wholly-owned subsidiary Warp Drive Bio, Inc.</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Overview</w:t>
      </w:r>
    </w:p>
    <w:p>
      <w:pPr>
        <w:spacing w:after="0" w:line="116" w:lineRule="exact"/>
        <w:rPr>
          <w:sz w:val="20"/>
          <w:szCs w:val="20"/>
          <w:color w:val="auto"/>
        </w:rPr>
      </w:pPr>
    </w:p>
    <w:p>
      <w:pPr>
        <w:ind w:left="300" w:right="20"/>
        <w:spacing w:after="0" w:line="233" w:lineRule="auto"/>
        <w:rPr>
          <w:sz w:val="20"/>
          <w:szCs w:val="20"/>
          <w:color w:val="auto"/>
        </w:rPr>
      </w:pPr>
      <w:r>
        <w:rPr>
          <w:rFonts w:ascii="Arial" w:cs="Arial" w:eastAsia="Arial" w:hAnsi="Arial"/>
          <w:sz w:val="18"/>
          <w:szCs w:val="18"/>
          <w:color w:val="auto"/>
        </w:rPr>
        <w:t xml:space="preserve">We are a clinical-stage precision oncology company focused on developing novel targeted therapies to inhibit elusive, high-value </w:t>
      </w:r>
      <w:r>
        <w:rPr>
          <w:rFonts w:ascii="Arial" w:cs="Arial" w:eastAsia="Arial" w:hAnsi="Arial"/>
          <w:sz w:val="18"/>
          <w:szCs w:val="18"/>
          <w:i w:val="1"/>
          <w:iCs w:val="1"/>
          <w:color w:val="auto"/>
        </w:rPr>
        <w:t>frontier</w:t>
      </w:r>
      <w:r>
        <w:rPr>
          <w:rFonts w:ascii="Arial" w:cs="Arial" w:eastAsia="Arial" w:hAnsi="Arial"/>
          <w:sz w:val="18"/>
          <w:szCs w:val="18"/>
          <w:color w:val="auto"/>
        </w:rPr>
        <w:t xml:space="preserve"> targets within notorious growth and survival pathways, with particular emphasis on the RAS and mTOR signaling pathways. Our understanding of genetic drivers and adaptive resistance mechanisms in cancer, coupled with robust drug discovery and medicinal chemistry capabilities, has guided us to establish a deep pipeline targeting critical signaling nodes within these pathways. This cohesive approach underpins our clinical strategy of exploring mechanism-based dosing paradigms and in-pathway combinations to optimize treatment for cancer patients. Our most advanced product candidate, RMC-4630, is a potent and selective inhibitor of SHP2, a central node in the RAS signaling pathway. In collaboration with Sanofi, we are evaluating RMC-4630 in a multi-cohort Phase 1/2 clinical program, with clinical activity data in selected patient cohorts expected in 2020. Leveraging our proprietary tri-complex technology platform, we are also developing a portfolio of mutant-selective RAS inhibitors that we believe are the first potent, selective, cell-active inhibitors of the active, GTP-bound form of RAS, or RAS(ON). Initially, we will prioritize four mutant RAS(ON) targets—KRAS</w:t>
      </w:r>
      <w:r>
        <w:rPr>
          <w:rFonts w:ascii="Arial" w:cs="Arial" w:eastAsia="Arial" w:hAnsi="Arial"/>
          <w:sz w:val="22"/>
          <w:szCs w:val="22"/>
          <w:color w:val="auto"/>
          <w:vertAlign w:val="superscript"/>
        </w:rPr>
        <w:t>G12C</w:t>
      </w:r>
      <w:r>
        <w:rPr>
          <w:rFonts w:ascii="Arial" w:cs="Arial" w:eastAsia="Arial" w:hAnsi="Arial"/>
          <w:sz w:val="18"/>
          <w:szCs w:val="18"/>
          <w:color w:val="auto"/>
        </w:rPr>
        <w:t>, KRAS</w:t>
      </w:r>
      <w:r>
        <w:rPr>
          <w:rFonts w:ascii="Arial" w:cs="Arial" w:eastAsia="Arial" w:hAnsi="Arial"/>
          <w:sz w:val="22"/>
          <w:szCs w:val="22"/>
          <w:color w:val="auto"/>
          <w:vertAlign w:val="superscript"/>
        </w:rPr>
        <w:t>G13C</w:t>
      </w:r>
      <w:r>
        <w:rPr>
          <w:rFonts w:ascii="Arial" w:cs="Arial" w:eastAsia="Arial" w:hAnsi="Arial"/>
          <w:sz w:val="18"/>
          <w:szCs w:val="18"/>
          <w:color w:val="auto"/>
        </w:rPr>
        <w:t>, KRAS</w:t>
      </w:r>
      <w:r>
        <w:rPr>
          <w:rFonts w:ascii="Arial" w:cs="Arial" w:eastAsia="Arial" w:hAnsi="Arial"/>
          <w:sz w:val="22"/>
          <w:szCs w:val="22"/>
          <w:color w:val="auto"/>
          <w:vertAlign w:val="superscript"/>
        </w:rPr>
        <w:t>G12D</w:t>
      </w:r>
      <w:r>
        <w:rPr>
          <w:rFonts w:ascii="Arial" w:cs="Arial" w:eastAsia="Arial" w:hAnsi="Arial"/>
          <w:sz w:val="18"/>
          <w:szCs w:val="18"/>
          <w:color w:val="auto"/>
        </w:rPr>
        <w:t xml:space="preserve"> and NRAS</w:t>
      </w:r>
      <w:r>
        <w:rPr>
          <w:rFonts w:ascii="Arial" w:cs="Arial" w:eastAsia="Arial" w:hAnsi="Arial"/>
          <w:sz w:val="22"/>
          <w:szCs w:val="22"/>
          <w:color w:val="auto"/>
          <w:vertAlign w:val="superscript"/>
        </w:rPr>
        <w:t>G12C</w:t>
      </w:r>
      <w:r>
        <w:rPr>
          <w:rFonts w:ascii="Arial" w:cs="Arial" w:eastAsia="Arial" w:hAnsi="Arial"/>
          <w:sz w:val="18"/>
          <w:szCs w:val="18"/>
          <w:color w:val="auto"/>
        </w:rPr>
        <w:t>—and expect to nominate our first development candidate in 2020. Our pipeline also includes inhibitors of other key nodes within the RAS and mTOR signaling pathways, such as SOS1 and mTORC1. We believe our deep, differentiated pipeline and development strategies provide us with the opportunity to pioneer novel treatment regimens to maximize the depth and durability of clinical benefit and circumvent adaptive resistance mechanisms for patients with cancers dependent on these critical pathways.</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table summarizes our product candidate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00"/>
          </w:cols>
          <w:pgMar w:left="320" w:top="459" w:right="6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590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459041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both"/>
        <w:ind w:left="300" w:right="120"/>
        <w:spacing w:after="0" w:line="238" w:lineRule="auto"/>
        <w:rPr>
          <w:sz w:val="20"/>
          <w:szCs w:val="20"/>
          <w:color w:val="auto"/>
        </w:rPr>
      </w:pPr>
      <w:r>
        <w:rPr>
          <w:rFonts w:ascii="Arial" w:cs="Arial" w:eastAsia="Arial" w:hAnsi="Arial"/>
          <w:sz w:val="18"/>
          <w:szCs w:val="18"/>
          <w:color w:val="auto"/>
        </w:rPr>
        <w:t>Under our collaboration with Sanofi, we have a 50-50 profit share and a co-promote right in the United States and are eligible to receive royalties on net sales outside of the United States. Sanofi is responsible for reimbursing substantially all of our research costs and all of our development costs for the SHP2 program. For all other programs, we retain worldwide commercial rights.</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Our opportunity and innovation engine</w:t>
      </w:r>
    </w:p>
    <w:p>
      <w:pPr>
        <w:spacing w:after="0" w:line="134" w:lineRule="exact"/>
        <w:rPr>
          <w:sz w:val="20"/>
          <w:szCs w:val="20"/>
          <w:color w:val="auto"/>
        </w:rPr>
      </w:pPr>
    </w:p>
    <w:p>
      <w:pPr>
        <w:ind w:left="300" w:right="60"/>
        <w:spacing w:after="0" w:line="268" w:lineRule="auto"/>
        <w:rPr>
          <w:sz w:val="20"/>
          <w:szCs w:val="20"/>
          <w:color w:val="auto"/>
        </w:rPr>
      </w:pPr>
      <w:r>
        <w:rPr>
          <w:rFonts w:ascii="Arial" w:cs="Arial" w:eastAsia="Arial" w:hAnsi="Arial"/>
          <w:sz w:val="16"/>
          <w:szCs w:val="16"/>
          <w:color w:val="auto"/>
        </w:rPr>
        <w:t>The RAS and mTOR signaling cascades are among the most frequently exploited by human cancers, where mutations in key nodes in these pathways cause excessive or aberrant signaling and cell growth. For example, mutations in RAS proteins account for approximately 30% of all human cancers, many of which are fatal. According to the National Cancer Institute, KRAS protein mutations occur in up to 35% of lung, 45% of colon and 95% of pancreatic cancers. Cancers caused by RAS-pathway mutations exhibit a phenomenon called “oncogene addiction,” in which tumor cells become highly dependent on signaling through the RAS pathway to survive. The importance of the RAS pathway in cancer has led to the development of several targeted therapies that can profoundly inhibit tumor growth and cause regressions in some instances. However, cancer cells can eventually develop adaptive resistance, losing sensitivity to treatment by hijacking other cell signaling circuitry to circumvent the inhibition and restore RAS-dependent signaling. The need to overcome this resistance in treating RAS-dependent tumors has led to the use of combination regimens designed to inhibit the RAS signaling pathway at multiple nodes simultaneously in an attempt to prolong the depth and durability of clinical benefit.</w:t>
      </w:r>
    </w:p>
    <w:p>
      <w:pPr>
        <w:spacing w:after="0" w:line="78" w:lineRule="exact"/>
        <w:rPr>
          <w:sz w:val="20"/>
          <w:szCs w:val="20"/>
          <w:color w:val="auto"/>
        </w:rPr>
      </w:pPr>
    </w:p>
    <w:p>
      <w:pPr>
        <w:jc w:val="both"/>
        <w:ind w:left="300" w:right="180"/>
        <w:spacing w:after="0" w:line="281" w:lineRule="auto"/>
        <w:rPr>
          <w:sz w:val="20"/>
          <w:szCs w:val="20"/>
          <w:color w:val="auto"/>
        </w:rPr>
      </w:pPr>
      <w:r>
        <w:rPr>
          <w:rFonts w:ascii="Arial" w:cs="Arial" w:eastAsia="Arial" w:hAnsi="Arial"/>
          <w:sz w:val="16"/>
          <w:szCs w:val="16"/>
          <w:color w:val="auto"/>
        </w:rPr>
        <w:t xml:space="preserve">Despite recent progress in targeted therapies, we believe there is a significant need and opportunity to further improve the treatment of certain cancers. We have built an innovation engine consisting of three complementary drivers that enable us to discover and develop targeted therapies for elusive, high-value </w:t>
      </w:r>
      <w:r>
        <w:rPr>
          <w:rFonts w:ascii="Arial" w:cs="Arial" w:eastAsia="Arial" w:hAnsi="Arial"/>
          <w:sz w:val="16"/>
          <w:szCs w:val="16"/>
          <w:i w:val="1"/>
          <w:iCs w:val="1"/>
          <w:color w:val="auto"/>
        </w:rPr>
        <w:t>frontier</w:t>
      </w:r>
      <w:r>
        <w:rPr>
          <w:rFonts w:ascii="Arial" w:cs="Arial" w:eastAsia="Arial" w:hAnsi="Arial"/>
          <w:sz w:val="16"/>
          <w:szCs w:val="16"/>
          <w:color w:val="auto"/>
        </w:rPr>
        <w:t xml:space="preserve"> cancer targets within notorious growth and survival pathways:</w:t>
      </w:r>
    </w:p>
    <w:p>
      <w:pPr>
        <w:spacing w:after="0" w:line="61" w:lineRule="exact"/>
        <w:rPr>
          <w:sz w:val="20"/>
          <w:szCs w:val="20"/>
          <w:color w:val="auto"/>
        </w:rPr>
      </w:pPr>
    </w:p>
    <w:p>
      <w:pPr>
        <w:ind w:left="480" w:right="440" w:hanging="182"/>
        <w:spacing w:after="0" w:line="264"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Deep </w:t>
      </w:r>
      <w:r>
        <w:rPr>
          <w:rFonts w:ascii="Arial" w:cs="Arial" w:eastAsia="Arial" w:hAnsi="Arial"/>
          <w:sz w:val="18"/>
          <w:szCs w:val="18"/>
          <w:b w:val="1"/>
          <w:bCs w:val="1"/>
          <w:color w:val="auto"/>
        </w:rPr>
        <w:t>chemical biology and cancer pharmacology know-how</w:t>
      </w:r>
      <w:r>
        <w:rPr>
          <w:rFonts w:ascii="Arial" w:cs="Arial" w:eastAsia="Arial" w:hAnsi="Arial"/>
          <w:sz w:val="18"/>
          <w:szCs w:val="18"/>
          <w:color w:val="auto"/>
        </w:rPr>
        <w:t>, including assays and proprietary tool compounds, to define the critical vulnerabilities of “frontier” RAS and mTOR pathway targets and associated signaling circuits in cancer cells;</w:t>
      </w:r>
    </w:p>
    <w:p>
      <w:pPr>
        <w:spacing w:after="0" w:line="71" w:lineRule="exact"/>
        <w:rPr>
          <w:rFonts w:ascii="Arial" w:cs="Arial" w:eastAsia="Arial" w:hAnsi="Arial"/>
          <w:sz w:val="18"/>
          <w:szCs w:val="18"/>
          <w:color w:val="auto"/>
        </w:rPr>
      </w:pPr>
    </w:p>
    <w:p>
      <w:pPr>
        <w:ind w:left="480" w:right="180" w:hanging="182"/>
        <w:spacing w:after="0" w:line="264"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Sophisticated </w:t>
      </w:r>
      <w:r>
        <w:rPr>
          <w:rFonts w:ascii="Arial" w:cs="Arial" w:eastAsia="Arial" w:hAnsi="Arial"/>
          <w:sz w:val="18"/>
          <w:szCs w:val="18"/>
          <w:b w:val="1"/>
          <w:bCs w:val="1"/>
          <w:color w:val="auto"/>
        </w:rPr>
        <w:t>structure-based drug discovery capabilities</w:t>
      </w:r>
      <w:r>
        <w:rPr>
          <w:rFonts w:ascii="Arial" w:cs="Arial" w:eastAsia="Arial" w:hAnsi="Arial"/>
          <w:sz w:val="18"/>
          <w:szCs w:val="18"/>
          <w:color w:val="auto"/>
        </w:rPr>
        <w:t xml:space="preserve">, including proven </w:t>
      </w:r>
      <w:r>
        <w:rPr>
          <w:rFonts w:ascii="Arial" w:cs="Arial" w:eastAsia="Arial" w:hAnsi="Arial"/>
          <w:sz w:val="18"/>
          <w:szCs w:val="18"/>
          <w:b w:val="1"/>
          <w:bCs w:val="1"/>
          <w:color w:val="auto"/>
        </w:rPr>
        <w:t>access to complex chemical space</w:t>
      </w:r>
      <w:r>
        <w:rPr>
          <w:rFonts w:ascii="Arial" w:cs="Arial" w:eastAsia="Arial" w:hAnsi="Arial"/>
          <w:sz w:val="18"/>
          <w:szCs w:val="18"/>
          <w:color w:val="auto"/>
        </w:rPr>
        <w:t>, to create drug candidates tailored to unconventional binding sites on elusive cancer targets; and</w:t>
      </w:r>
    </w:p>
    <w:p>
      <w:pPr>
        <w:spacing w:after="0" w:line="71" w:lineRule="exact"/>
        <w:rPr>
          <w:rFonts w:ascii="Arial" w:cs="Arial" w:eastAsia="Arial" w:hAnsi="Arial"/>
          <w:sz w:val="18"/>
          <w:szCs w:val="18"/>
          <w:color w:val="auto"/>
        </w:rPr>
      </w:pPr>
    </w:p>
    <w:p>
      <w:pPr>
        <w:ind w:left="480" w:right="180" w:hanging="182"/>
        <w:spacing w:after="0" w:line="327" w:lineRule="auto"/>
        <w:tabs>
          <w:tab w:leader="none" w:pos="48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Astute </w:t>
      </w:r>
      <w:r>
        <w:rPr>
          <w:rFonts w:ascii="Arial" w:cs="Arial" w:eastAsia="Arial" w:hAnsi="Arial"/>
          <w:sz w:val="16"/>
          <w:szCs w:val="16"/>
          <w:b w:val="1"/>
          <w:bCs w:val="1"/>
          <w:color w:val="auto"/>
        </w:rPr>
        <w:t>precision medicine approach</w:t>
      </w:r>
      <w:r>
        <w:rPr>
          <w:rFonts w:ascii="Arial" w:cs="Arial" w:eastAsia="Arial" w:hAnsi="Arial"/>
          <w:sz w:val="16"/>
          <w:szCs w:val="16"/>
          <w:color w:val="auto"/>
        </w:rPr>
        <w:t>, embracing patient selection and innovative single agent and combination drug regimens, to translate our preclinical insights into clinical benefit for patients with genetically-defined cancers that are addicted to these pathways.</w:t>
      </w:r>
    </w:p>
    <w:p>
      <w:pPr>
        <w:spacing w:after="0" w:line="34" w:lineRule="exact"/>
        <w:rPr>
          <w:sz w:val="20"/>
          <w:szCs w:val="20"/>
          <w:color w:val="auto"/>
        </w:rPr>
      </w:pPr>
    </w:p>
    <w:p>
      <w:pPr>
        <w:ind w:left="300"/>
        <w:spacing w:after="0" w:line="269" w:lineRule="auto"/>
        <w:rPr>
          <w:sz w:val="20"/>
          <w:szCs w:val="20"/>
          <w:color w:val="auto"/>
        </w:rPr>
      </w:pPr>
      <w:r>
        <w:rPr>
          <w:rFonts w:ascii="Arial" w:cs="Arial" w:eastAsia="Arial" w:hAnsi="Arial"/>
          <w:sz w:val="16"/>
          <w:szCs w:val="16"/>
          <w:color w:val="auto"/>
        </w:rPr>
        <w:t>Focusing these drivers on a cohesive set of related disease targets provides biological, chemical and translational insights that can be leveraged to maximize the efficiency and effectiveness of our discovery and development efforts. We have built a portfolio of compounds that inhibit select signaling nodes within these pathways, including clinical targets that previously have been difficult or impossible to drug. To date, our discovery and development efforts have focused on SHP2, RAS, SOS1 and mTORC1 (these targets are shaded dark green or blue in the figure below). We believe our current and future product candidates, when used in specialized dosing paradigms and rational in-pathway combinations, will have the potential to promote profound and sustainable clinical benefit, combat adaptive resistance mechanisms and, in some cases, supplant the current standard of care for patients with tumors driven by these pathways.</w:t>
      </w:r>
    </w:p>
    <w:p>
      <w:pPr>
        <w:spacing w:after="0" w:line="13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320" w:top="459" w:right="6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931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619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Our product candidates</w:t>
      </w:r>
    </w:p>
    <w:p>
      <w:pPr>
        <w:spacing w:after="0" w:line="11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RMC-4630, a SHP2 inhibitor</w:t>
      </w:r>
    </w:p>
    <w:p>
      <w:pPr>
        <w:spacing w:after="0" w:line="124" w:lineRule="exact"/>
        <w:rPr>
          <w:sz w:val="20"/>
          <w:szCs w:val="20"/>
          <w:color w:val="auto"/>
        </w:rPr>
      </w:pPr>
    </w:p>
    <w:p>
      <w:pPr>
        <w:ind w:left="300" w:right="20"/>
        <w:spacing w:after="0" w:line="230" w:lineRule="auto"/>
        <w:rPr>
          <w:sz w:val="20"/>
          <w:szCs w:val="20"/>
          <w:color w:val="auto"/>
        </w:rPr>
      </w:pPr>
      <w:r>
        <w:rPr>
          <w:rFonts w:ascii="Arial" w:cs="Arial" w:eastAsia="Arial" w:hAnsi="Arial"/>
          <w:sz w:val="18"/>
          <w:szCs w:val="18"/>
          <w:color w:val="auto"/>
        </w:rPr>
        <w:t>Our most advanced product candidate, RMC-4630, is a potent and selective inhibitor of SHP2, a protein that plays a central role in modulating cell survival and growth by transmitting signals from upstream receptor tyrosine kinases, or RTKs, to RAS. In collaboration with Sanofi, we are evaluating RMC-4630 in a multi-cohort Phase 1/2 clinical program, which includes our ongoing Phase 1 trial of RMC-4630 as monotherapy in patients with tumors harboring genetically defined mutations in the RAS signaling pathway. Based on our own data, and supported by observations by others, we are evaluating intermittent dosing schedules in our clinical program to allow us to maximize dose intensity in order to achieve the greatest depth of response. We also plan to explore the potential clinical benefit of RMC-4630 in combination with other in-pathway agents targeting MEK, EGFR and KRAS</w:t>
      </w:r>
      <w:r>
        <w:rPr>
          <w:rFonts w:ascii="Arial" w:cs="Arial" w:eastAsia="Arial" w:hAnsi="Arial"/>
          <w:sz w:val="22"/>
          <w:szCs w:val="22"/>
          <w:color w:val="auto"/>
          <w:vertAlign w:val="superscript"/>
        </w:rPr>
        <w:t>G12C</w:t>
      </w:r>
      <w:r>
        <w:rPr>
          <w:rFonts w:ascii="Arial" w:cs="Arial" w:eastAsia="Arial" w:hAnsi="Arial"/>
          <w:sz w:val="18"/>
          <w:szCs w:val="18"/>
          <w:color w:val="auto"/>
        </w:rPr>
        <w:t>, as well as in combination with PD-1 inhibitors. We initiated the first such combination trial in July 2019, a Phase 1b/2 trial with Roche’s MEK inhibitor cobimetinib (marketed as COTELLIC). We believe RMC-4630 is well positioned to become the backbone of targeted therapy combinations for the treatment of various RAS-dependent tumors.</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RAS(ON) portfolio</w:t>
      </w:r>
    </w:p>
    <w:p>
      <w:pPr>
        <w:spacing w:after="0" w:line="124" w:lineRule="exact"/>
        <w:rPr>
          <w:sz w:val="20"/>
          <w:szCs w:val="20"/>
          <w:color w:val="auto"/>
        </w:rPr>
      </w:pPr>
    </w:p>
    <w:p>
      <w:pPr>
        <w:ind w:left="300"/>
        <w:spacing w:after="0" w:line="236" w:lineRule="auto"/>
        <w:rPr>
          <w:sz w:val="20"/>
          <w:szCs w:val="20"/>
          <w:color w:val="auto"/>
        </w:rPr>
      </w:pPr>
      <w:r>
        <w:rPr>
          <w:rFonts w:ascii="Arial" w:cs="Arial" w:eastAsia="Arial" w:hAnsi="Arial"/>
          <w:sz w:val="18"/>
          <w:szCs w:val="18"/>
          <w:color w:val="auto"/>
        </w:rPr>
        <w:t>We are also developing a portfolio of what we believe to be the first potent, selective and cell-active inhibitors of mutant RAS(ON) proteins. Historically, direct inhibition of any RAS protein has been challenging due to a lack of tractable, or “druggable,” binding pockets. Recently, selective inhibitors of inactive, GDP-bound forms of RAS, or RAS(OFF), have demonstrated encouraging preliminary anti-tumor effects and thus provide clinical validation for targeting mutant RAS in cancer. Our small molecule inhibitors of mutant RAS(ON) are derived</w:t>
      </w:r>
    </w:p>
    <w:p>
      <w:pPr>
        <w:spacing w:after="0" w:line="15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50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525018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00" w:right="140"/>
        <w:spacing w:after="0" w:line="223" w:lineRule="auto"/>
        <w:rPr>
          <w:sz w:val="20"/>
          <w:szCs w:val="20"/>
          <w:color w:val="auto"/>
        </w:rPr>
      </w:pPr>
      <w:r>
        <w:rPr>
          <w:rFonts w:ascii="Arial" w:cs="Arial" w:eastAsia="Arial" w:hAnsi="Arial"/>
          <w:sz w:val="18"/>
          <w:szCs w:val="18"/>
          <w:color w:val="auto"/>
        </w:rPr>
        <w:t>from our proprietary tri-complex technology platform, which enables us to target proteins lacking intrinsic drug binding sites by inducing new druggable pockets. In tumor cells that are addicted to high levels of RAS activation, we believe that selective inhibitors of RAS(ON) will be highly effective at suppressing cell growth and survival and also less susceptible to adaptive resistance mechanisms recognized for RAS(OFF) inhibitors. Initially, we will prioritize four mutant RAS(ON) targets—KRAS</w:t>
      </w:r>
      <w:r>
        <w:rPr>
          <w:rFonts w:ascii="Arial" w:cs="Arial" w:eastAsia="Arial" w:hAnsi="Arial"/>
          <w:sz w:val="22"/>
          <w:szCs w:val="22"/>
          <w:color w:val="auto"/>
          <w:vertAlign w:val="superscript"/>
        </w:rPr>
        <w:t>G12C</w:t>
      </w:r>
      <w:r>
        <w:rPr>
          <w:rFonts w:ascii="Arial" w:cs="Arial" w:eastAsia="Arial" w:hAnsi="Arial"/>
          <w:sz w:val="18"/>
          <w:szCs w:val="18"/>
          <w:color w:val="auto"/>
        </w:rPr>
        <w:t>, KRAS</w:t>
      </w:r>
      <w:r>
        <w:rPr>
          <w:rFonts w:ascii="Arial" w:cs="Arial" w:eastAsia="Arial" w:hAnsi="Arial"/>
          <w:sz w:val="22"/>
          <w:szCs w:val="22"/>
          <w:color w:val="auto"/>
          <w:vertAlign w:val="superscript"/>
        </w:rPr>
        <w:t>G13C</w:t>
      </w:r>
      <w:r>
        <w:rPr>
          <w:rFonts w:ascii="Arial" w:cs="Arial" w:eastAsia="Arial" w:hAnsi="Arial"/>
          <w:sz w:val="18"/>
          <w:szCs w:val="18"/>
          <w:color w:val="auto"/>
        </w:rPr>
        <w:t>, KRAS</w:t>
      </w:r>
      <w:r>
        <w:rPr>
          <w:rFonts w:ascii="Arial" w:cs="Arial" w:eastAsia="Arial" w:hAnsi="Arial"/>
          <w:sz w:val="22"/>
          <w:szCs w:val="22"/>
          <w:color w:val="auto"/>
          <w:vertAlign w:val="superscript"/>
        </w:rPr>
        <w:t>G12D</w:t>
      </w:r>
      <w:r>
        <w:rPr>
          <w:rFonts w:ascii="Arial" w:cs="Arial" w:eastAsia="Arial" w:hAnsi="Arial"/>
          <w:sz w:val="18"/>
          <w:szCs w:val="18"/>
          <w:color w:val="auto"/>
        </w:rPr>
        <w:t xml:space="preserve"> and NRAS</w:t>
      </w:r>
      <w:r>
        <w:rPr>
          <w:rFonts w:ascii="Arial" w:cs="Arial" w:eastAsia="Arial" w:hAnsi="Arial"/>
          <w:sz w:val="22"/>
          <w:szCs w:val="22"/>
          <w:color w:val="auto"/>
          <w:vertAlign w:val="superscript"/>
        </w:rPr>
        <w:t>G12C</w:t>
      </w:r>
      <w:r>
        <w:rPr>
          <w:rFonts w:ascii="Arial" w:cs="Arial" w:eastAsia="Arial" w:hAnsi="Arial"/>
          <w:sz w:val="18"/>
          <w:szCs w:val="18"/>
          <w:color w:val="auto"/>
        </w:rPr>
        <w:t>—and expect to nominate our first development candidate in 2020. We plan to evaluate our RAS(ON) inhibitors alone and in combination with other drugs and investigational new drugs, particularly in-pathway agents. We believe our ability to inhibit various oncogenic RAS(ON) mutants represents a highly differentiated approach for treating the large population of patients with diverse RAS mutations, including non-small cell lung cancer, or NSCLC, colorectal, pancreatic and other cancers.</w:t>
      </w:r>
    </w:p>
    <w:p>
      <w:pPr>
        <w:spacing w:after="0" w:line="1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SOS1 and 4EBP1/mTORC1 programs</w:t>
      </w:r>
    </w:p>
    <w:p>
      <w:pPr>
        <w:spacing w:after="0" w:line="124" w:lineRule="exact"/>
        <w:rPr>
          <w:sz w:val="20"/>
          <w:szCs w:val="20"/>
          <w:color w:val="auto"/>
        </w:rPr>
      </w:pPr>
    </w:p>
    <w:p>
      <w:pPr>
        <w:ind w:left="300" w:right="40"/>
        <w:spacing w:after="0" w:line="236" w:lineRule="auto"/>
        <w:rPr>
          <w:sz w:val="20"/>
          <w:szCs w:val="20"/>
          <w:color w:val="auto"/>
        </w:rPr>
      </w:pPr>
      <w:r>
        <w:rPr>
          <w:rFonts w:ascii="Arial" w:cs="Arial" w:eastAsia="Arial" w:hAnsi="Arial"/>
          <w:sz w:val="18"/>
          <w:szCs w:val="18"/>
          <w:color w:val="auto"/>
        </w:rPr>
        <w:t>We have two preclinical programs targeting other key nodes in the RAS and mTOR signaling pathways. Our program targeting SOS1, a protein that plays a key role in converting RAS(OFF) to RAS(ON) in cells, is currently in lead generation stage. In addition, our preclinical development candidate, RMC-5552, is designed to selectively and deeply inhibit mTORC1, thereby preventing phosphorylation and inactivation of 4EBP1, a downstream protein in the mTOR signaling pathway that normally suppresses expression of certain oncogenes such as C-MYC. We advanced RMC-5552 into IND-enabling development in June 2019.</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Our team</w:t>
      </w:r>
    </w:p>
    <w:p>
      <w:pPr>
        <w:spacing w:after="0" w:line="134" w:lineRule="exact"/>
        <w:rPr>
          <w:sz w:val="20"/>
          <w:szCs w:val="20"/>
          <w:color w:val="auto"/>
        </w:rPr>
      </w:pPr>
    </w:p>
    <w:p>
      <w:pPr>
        <w:ind w:left="300"/>
        <w:spacing w:after="0" w:line="246" w:lineRule="auto"/>
        <w:rPr>
          <w:sz w:val="20"/>
          <w:szCs w:val="20"/>
          <w:color w:val="auto"/>
        </w:rPr>
      </w:pPr>
      <w:r>
        <w:rPr>
          <w:rFonts w:ascii="Arial" w:cs="Arial" w:eastAsia="Arial" w:hAnsi="Arial"/>
          <w:sz w:val="17"/>
          <w:szCs w:val="17"/>
          <w:color w:val="auto"/>
        </w:rPr>
        <w:t>Our management team has significant experience in oncology and in progressing products from early stage research to clinical trials, and ultimately to regulatory approval and commercialization. Dr. Steve Kelsey, our President of Research and Development, was previously President of Onkaido Therapeutics, a Moderna venture focused on oncology mRNA therapeutics, and has held senior positions at Medivation, Geron and Genentech, where he played a significant role in the development of Perjeta, Kadcyla and Erivedge. Our President and Chief Executive Officer, Dr. Mark Goldsmith, served as Chief Executive Officer of Constellation Pharmaceuticals, where he led the creation of its oncology pipeline and drove the development of a strategic alliance with Genentech. He also has led four other companies spanning early discovery through development, including Global Blood Therapeutics, where he led the discovery and early development of voxelotor. Our company was founded and continues to be supported by three world-class scientific advisors: Dr. Kevan Shokat (Professor and Chair of the Department of Cellular and Molecular Pharmacology at University of California, San Francisco, Professor of Chemistry at the University of California, Berkeley and an investigator at the Howard Hughes Medical Institute), Dr. Martin Burke (Professor of Chemistry at the University of Illinois at Urbana-Champaign) and Dr. Michael Fischbach (Associate Professor in the Department of Bioengineering at Stanford University and a Stanford ChEM-H Institute Scholar). Dr. Shokat is widely recognized for his seminal contributions to the field of kinase biology, using chemistry, protein engineering and genetic tools to pioneer novel therapeutic approaches to target key signaling pathways in cancer. He led the discovery of the first KRAS</w:t>
      </w:r>
      <w:r>
        <w:rPr>
          <w:rFonts w:ascii="Arial" w:cs="Arial" w:eastAsia="Arial" w:hAnsi="Arial"/>
          <w:sz w:val="21"/>
          <w:szCs w:val="21"/>
          <w:color w:val="auto"/>
          <w:vertAlign w:val="superscript"/>
        </w:rPr>
        <w:t>G12C</w:t>
      </w:r>
      <w:r>
        <w:rPr>
          <w:rFonts w:ascii="Arial" w:cs="Arial" w:eastAsia="Arial" w:hAnsi="Arial"/>
          <w:sz w:val="17"/>
          <w:szCs w:val="17"/>
          <w:color w:val="auto"/>
        </w:rPr>
        <w:t>(OFF) inhibitor. We are also supported by a leading syndicate of investors, which include our founding investor, Third Rock Ventures, and BVF, Casdin Capital, Cormorant, Deerfield, Fidelity, Nextech, Tavistock, The Column Group and Vivo Ventures.</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Our strategy</w:t>
      </w:r>
    </w:p>
    <w:p>
      <w:pPr>
        <w:spacing w:after="0" w:line="13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Our goal is to develop novel targeted therapies to outsmart cancer for the benefit of patients. We plan to pursue the following strategies:</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  Deploy our innovation engine against </w:t>
      </w:r>
      <w:r>
        <w:rPr>
          <w:rFonts w:ascii="Arial" w:cs="Arial" w:eastAsia="Arial" w:hAnsi="Arial"/>
          <w:sz w:val="18"/>
          <w:szCs w:val="18"/>
          <w:i w:val="1"/>
          <w:iCs w:val="1"/>
          <w:color w:val="auto"/>
        </w:rPr>
        <w:t>frontier</w:t>
      </w:r>
      <w:r>
        <w:rPr>
          <w:rFonts w:ascii="Arial" w:cs="Arial" w:eastAsia="Arial" w:hAnsi="Arial"/>
          <w:sz w:val="18"/>
          <w:szCs w:val="18"/>
          <w:color w:val="auto"/>
        </w:rPr>
        <w:t xml:space="preserve"> oncology targets;</w:t>
      </w:r>
    </w:p>
    <w:p>
      <w:pPr>
        <w:spacing w:after="0" w:line="17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762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527621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480" w:right="900" w:hanging="182"/>
        <w:spacing w:after="0" w:line="239" w:lineRule="auto"/>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Establish our proprietary SHP2 inhibitor, RMC-4630, as the backbone of targeted therapy combinations for the treatment of RAS-dependent tumors;</w:t>
      </w:r>
    </w:p>
    <w:p>
      <w:pPr>
        <w:spacing w:after="0" w:line="114" w:lineRule="exact"/>
        <w:rPr>
          <w:rFonts w:ascii="Arial" w:cs="Arial" w:eastAsia="Arial" w:hAnsi="Arial"/>
          <w:sz w:val="18"/>
          <w:szCs w:val="18"/>
          <w:color w:val="auto"/>
        </w:rPr>
      </w:pPr>
    </w:p>
    <w:p>
      <w:pPr>
        <w:ind w:left="480" w:hanging="182"/>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Pioneer mutant selective RAS(ON) inhibition across multiple genetically defined cancers;</w:t>
      </w:r>
    </w:p>
    <w:p>
      <w:pPr>
        <w:spacing w:after="0" w:line="117" w:lineRule="exact"/>
        <w:rPr>
          <w:rFonts w:ascii="Arial" w:cs="Arial" w:eastAsia="Arial" w:hAnsi="Arial"/>
          <w:sz w:val="18"/>
          <w:szCs w:val="18"/>
          <w:color w:val="auto"/>
        </w:rPr>
      </w:pPr>
    </w:p>
    <w:p>
      <w:pPr>
        <w:ind w:left="480" w:hanging="182"/>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Maximize the global value of our programs by continuing to execute synergistic and value-creating transactions; and</w:t>
      </w:r>
    </w:p>
    <w:p>
      <w:pPr>
        <w:spacing w:after="0" w:line="117" w:lineRule="exact"/>
        <w:rPr>
          <w:rFonts w:ascii="Arial" w:cs="Arial" w:eastAsia="Arial" w:hAnsi="Arial"/>
          <w:sz w:val="18"/>
          <w:szCs w:val="18"/>
          <w:color w:val="auto"/>
        </w:rPr>
      </w:pPr>
    </w:p>
    <w:p>
      <w:pPr>
        <w:ind w:left="480" w:hanging="182"/>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our culture of tireless commitment to patients.</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Risks related to our business</w:t>
      </w:r>
    </w:p>
    <w:p>
      <w:pPr>
        <w:spacing w:after="0" w:line="134" w:lineRule="exact"/>
        <w:rPr>
          <w:sz w:val="20"/>
          <w:szCs w:val="20"/>
          <w:color w:val="auto"/>
        </w:rPr>
      </w:pPr>
    </w:p>
    <w:p>
      <w:pPr>
        <w:ind w:left="300" w:right="380"/>
        <w:spacing w:after="0" w:line="239" w:lineRule="auto"/>
        <w:rPr>
          <w:sz w:val="20"/>
          <w:szCs w:val="20"/>
          <w:color w:val="auto"/>
        </w:rPr>
      </w:pPr>
      <w:r>
        <w:rPr>
          <w:rFonts w:ascii="Arial" w:cs="Arial" w:eastAsia="Arial" w:hAnsi="Arial"/>
          <w:sz w:val="18"/>
          <w:szCs w:val="18"/>
          <w:color w:val="auto"/>
        </w:rPr>
        <w:t>Our ability to execute our business strategy is subject to numerous risks, including those described in the section titled “Risk factors” immediately following this prospectus summary. These risks include the following, among others:</w:t>
      </w:r>
    </w:p>
    <w:p>
      <w:pPr>
        <w:spacing w:after="0" w:line="114" w:lineRule="exact"/>
        <w:rPr>
          <w:sz w:val="20"/>
          <w:szCs w:val="20"/>
          <w:color w:val="auto"/>
        </w:rPr>
      </w:pPr>
    </w:p>
    <w:p>
      <w:pPr>
        <w:ind w:left="480" w:right="280" w:hanging="182"/>
        <w:spacing w:after="0" w:line="281" w:lineRule="auto"/>
        <w:tabs>
          <w:tab w:leader="none" w:pos="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are a clinical-stage precision oncology company with a limited operating history and no products approved for commercial sale. We have incurred significant losses since inception. We expect to incur losses for at least the next several years and may never achieve or maintain profitability, which, together with our limited operating history, makes it difficult to assess our future viability.</w:t>
      </w:r>
    </w:p>
    <w:p>
      <w:pPr>
        <w:spacing w:after="0" w:line="82" w:lineRule="exact"/>
        <w:rPr>
          <w:rFonts w:ascii="Arial" w:cs="Arial" w:eastAsia="Arial" w:hAnsi="Arial"/>
          <w:sz w:val="16"/>
          <w:szCs w:val="16"/>
          <w:color w:val="auto"/>
        </w:rPr>
      </w:pPr>
    </w:p>
    <w:p>
      <w:pPr>
        <w:ind w:left="480" w:hanging="182"/>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never generated revenue from product sales and may never be profitable.</w:t>
      </w:r>
    </w:p>
    <w:p>
      <w:pPr>
        <w:spacing w:after="0" w:line="117" w:lineRule="exact"/>
        <w:rPr>
          <w:rFonts w:ascii="Arial" w:cs="Arial" w:eastAsia="Arial" w:hAnsi="Arial"/>
          <w:sz w:val="18"/>
          <w:szCs w:val="18"/>
          <w:color w:val="auto"/>
        </w:rPr>
      </w:pPr>
    </w:p>
    <w:p>
      <w:pPr>
        <w:ind w:left="480" w:hanging="182"/>
        <w:spacing w:after="0" w:line="238" w:lineRule="auto"/>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Even if this offering is successful, 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p>
    <w:p>
      <w:pPr>
        <w:spacing w:after="0" w:line="113" w:lineRule="exact"/>
        <w:rPr>
          <w:rFonts w:ascii="Arial" w:cs="Arial" w:eastAsia="Arial" w:hAnsi="Arial"/>
          <w:sz w:val="18"/>
          <w:szCs w:val="18"/>
          <w:color w:val="auto"/>
        </w:rPr>
      </w:pPr>
    </w:p>
    <w:p>
      <w:pPr>
        <w:ind w:left="480" w:right="100" w:hanging="182"/>
        <w:spacing w:after="0" w:line="237" w:lineRule="auto"/>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early in our development efforts. Our business is dependent on the successful development of our current and future product candidates. If we are unable to advance our current or future product candidates through clinical trials, obtain marketing approval and ultimately commercialize any product candidates we develop, or experience significant delays in doing so, our business will be materially harmed.</w:t>
      </w:r>
    </w:p>
    <w:p>
      <w:pPr>
        <w:spacing w:after="0" w:line="113" w:lineRule="exact"/>
        <w:rPr>
          <w:rFonts w:ascii="Arial" w:cs="Arial" w:eastAsia="Arial" w:hAnsi="Arial"/>
          <w:sz w:val="18"/>
          <w:szCs w:val="18"/>
          <w:color w:val="auto"/>
        </w:rPr>
      </w:pPr>
    </w:p>
    <w:p>
      <w:pPr>
        <w:ind w:left="480" w:right="240" w:hanging="182"/>
        <w:spacing w:after="0" w:line="239" w:lineRule="auto"/>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encounter difficulties enrolling patients in our clinical trials, our clinical development activities could be delayed or otherwise be adversely affected.</w:t>
      </w:r>
    </w:p>
    <w:p>
      <w:pPr>
        <w:spacing w:after="0" w:line="114" w:lineRule="exact"/>
        <w:rPr>
          <w:rFonts w:ascii="Arial" w:cs="Arial" w:eastAsia="Arial" w:hAnsi="Arial"/>
          <w:sz w:val="18"/>
          <w:szCs w:val="18"/>
          <w:color w:val="auto"/>
        </w:rPr>
      </w:pPr>
    </w:p>
    <w:p>
      <w:pPr>
        <w:ind w:left="480" w:right="60" w:hanging="182"/>
        <w:spacing w:after="0" w:line="238" w:lineRule="auto"/>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dependent on our collaboration with Sanofi for the development of RMC-4630 and may depend on Sanofi for the development and commercialization of any other future SHP2 inhibitor product candidates. Under certain circumstances, Sanofi may unilaterally terminate the collaboration for convenience, which would materially and adversely affect our business.</w:t>
      </w:r>
    </w:p>
    <w:p>
      <w:pPr>
        <w:spacing w:after="0" w:line="113" w:lineRule="exact"/>
        <w:rPr>
          <w:rFonts w:ascii="Arial" w:cs="Arial" w:eastAsia="Arial" w:hAnsi="Arial"/>
          <w:sz w:val="18"/>
          <w:szCs w:val="18"/>
          <w:color w:val="auto"/>
        </w:rPr>
      </w:pPr>
    </w:p>
    <w:p>
      <w:pPr>
        <w:ind w:left="480" w:right="180" w:hanging="182"/>
        <w:spacing w:after="0" w:line="239" w:lineRule="auto"/>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intend to develop RMC-4630, and may develop other current and future product candidates, in combination with other therapies, which exposes us to additional risks.</w:t>
      </w:r>
    </w:p>
    <w:p>
      <w:pPr>
        <w:spacing w:after="0" w:line="114" w:lineRule="exact"/>
        <w:rPr>
          <w:rFonts w:ascii="Arial" w:cs="Arial" w:eastAsia="Arial" w:hAnsi="Arial"/>
          <w:sz w:val="18"/>
          <w:szCs w:val="18"/>
          <w:color w:val="auto"/>
        </w:rPr>
      </w:pPr>
    </w:p>
    <w:p>
      <w:pPr>
        <w:ind w:left="480" w:right="240" w:hanging="182"/>
        <w:spacing w:after="0" w:line="239" w:lineRule="auto"/>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and market products that are more effective, safer or less expensive than the product candidates we develop, our commercial opportunities will be negatively impacted.</w:t>
      </w:r>
    </w:p>
    <w:p>
      <w:pPr>
        <w:spacing w:after="0" w:line="114" w:lineRule="exact"/>
        <w:rPr>
          <w:rFonts w:ascii="Arial" w:cs="Arial" w:eastAsia="Arial" w:hAnsi="Arial"/>
          <w:sz w:val="18"/>
          <w:szCs w:val="18"/>
          <w:color w:val="auto"/>
        </w:rPr>
      </w:pPr>
    </w:p>
    <w:p>
      <w:pPr>
        <w:jc w:val="both"/>
        <w:ind w:left="480" w:right="20" w:hanging="182"/>
        <w:spacing w:after="0" w:line="281" w:lineRule="auto"/>
        <w:tabs>
          <w:tab w:leader="none" w:pos="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we and our collaborators are unable to obtain and maintain sufficient patent and other intellectual property protection for our product candidates and technology, our competitors could develop and commercialize products and technology similar or identical to ours, and we may not be able to compete effectively in our market or successfully commercialize any product candidates we may develop.</w:t>
      </w:r>
    </w:p>
    <w:p>
      <w:pPr>
        <w:spacing w:after="0" w:line="12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320" w:top="459" w:right="6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247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424751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Corporate information</w:t>
      </w:r>
    </w:p>
    <w:p>
      <w:pPr>
        <w:spacing w:after="0" w:line="134" w:lineRule="exact"/>
        <w:rPr>
          <w:sz w:val="20"/>
          <w:szCs w:val="20"/>
          <w:color w:val="auto"/>
        </w:rPr>
      </w:pPr>
    </w:p>
    <w:p>
      <w:pPr>
        <w:ind w:left="300" w:right="740"/>
        <w:spacing w:after="0" w:line="239" w:lineRule="auto"/>
        <w:rPr>
          <w:sz w:val="20"/>
          <w:szCs w:val="20"/>
          <w:color w:val="auto"/>
        </w:rPr>
      </w:pPr>
      <w:r>
        <w:rPr>
          <w:rFonts w:ascii="Arial" w:cs="Arial" w:eastAsia="Arial" w:hAnsi="Arial"/>
          <w:sz w:val="18"/>
          <w:szCs w:val="18"/>
          <w:color w:val="auto"/>
        </w:rPr>
        <w:t>We were founded in October 2014 as a Delaware corporation. Our principal executive offices are located at 700 Saginaw Drive, Redwood City, California 94063, and our telephone number is (650) 481-6801.</w:t>
      </w:r>
    </w:p>
    <w:p>
      <w:pPr>
        <w:spacing w:after="0" w:line="101" w:lineRule="exact"/>
        <w:rPr>
          <w:sz w:val="20"/>
          <w:szCs w:val="20"/>
          <w:color w:val="auto"/>
        </w:rPr>
      </w:pPr>
    </w:p>
    <w:p>
      <w:pPr>
        <w:ind w:left="300"/>
        <w:spacing w:after="0" w:line="239" w:lineRule="auto"/>
        <w:rPr>
          <w:sz w:val="20"/>
          <w:szCs w:val="20"/>
          <w:color w:val="auto"/>
        </w:rPr>
      </w:pPr>
      <w:r>
        <w:rPr>
          <w:rFonts w:ascii="Arial" w:cs="Arial" w:eastAsia="Arial" w:hAnsi="Arial"/>
          <w:sz w:val="18"/>
          <w:szCs w:val="18"/>
          <w:color w:val="auto"/>
        </w:rPr>
        <w:t>Our website address is www.revmed.com. The information on, or that can be accessed through, our website is not part of this prospectus and is not incorporated by reference herein. We have included our website address as an inactive textual reference only.</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Implications of being an emerging growth company</w:t>
      </w:r>
    </w:p>
    <w:p>
      <w:pPr>
        <w:spacing w:after="0" w:line="13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We are an emerging growth company as defined in the Jumpstart Our Business Startups Act of 2012, or the JOBS Act. We will remain</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an emerging growth company until the earliest of: (1) the last day of the fiscal year following the fifth anniversary of the consummation of</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this offering, (2) the last day of the fiscal year in which we have total annual gross revenue of at least $1.07 billion, (3) the last day of the</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fiscal year in which we are deemed to be a “large accelerated filer” as defined in Rule 12b-2 under the Securities Exchange Act of 1934,</w:t>
      </w:r>
    </w:p>
    <w:p>
      <w:pPr>
        <w:spacing w:after="0" w:line="1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as amended, or the Exchange Act, which would occur if the market value of our common stock held by non-affiliates exceeded</w:t>
      </w:r>
    </w:p>
    <w:p>
      <w:pPr>
        <w:ind w:left="300"/>
        <w:spacing w:after="0" w:line="234" w:lineRule="auto"/>
        <w:rPr>
          <w:sz w:val="20"/>
          <w:szCs w:val="20"/>
          <w:color w:val="auto"/>
        </w:rPr>
      </w:pPr>
      <w:r>
        <w:rPr>
          <w:rFonts w:ascii="Arial" w:cs="Arial" w:eastAsia="Arial" w:hAnsi="Arial"/>
          <w:sz w:val="18"/>
          <w:szCs w:val="18"/>
          <w:color w:val="auto"/>
        </w:rPr>
        <w:t>$700.0 million as of the last business day of the second fiscal quarter of such year or (4) the date on which we have issued more than</w:t>
      </w:r>
    </w:p>
    <w:p>
      <w:pPr>
        <w:ind w:left="300"/>
        <w:spacing w:after="0" w:line="235" w:lineRule="auto"/>
        <w:rPr>
          <w:sz w:val="20"/>
          <w:szCs w:val="20"/>
          <w:color w:val="auto"/>
        </w:rPr>
      </w:pPr>
      <w:r>
        <w:rPr>
          <w:rFonts w:ascii="Arial" w:cs="Arial" w:eastAsia="Arial" w:hAnsi="Arial"/>
          <w:sz w:val="18"/>
          <w:szCs w:val="18"/>
          <w:color w:val="auto"/>
        </w:rPr>
        <w:t>$1.0 billion in non-convertible debt securities during the prior three-year period. An emerging growth company may take advantage of</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specified reduced reporting requirements and is relieved of certain other significant requirements that are otherwise generally applicable</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 public companies. As an emerging growth company:</w:t>
      </w:r>
    </w:p>
    <w:p>
      <w:pPr>
        <w:spacing w:after="0" w:line="117" w:lineRule="exact"/>
        <w:rPr>
          <w:sz w:val="20"/>
          <w:szCs w:val="20"/>
          <w:color w:val="auto"/>
        </w:rPr>
      </w:pPr>
    </w:p>
    <w:p>
      <w:pPr>
        <w:ind w:left="480" w:right="720" w:hanging="182"/>
        <w:spacing w:after="0" w:line="239"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present in this prospectus only two years of audited annual financial statements, plus any required unaudited financial statements, and related management’s discussion and analysis of financial condition and results of operations;</w:t>
      </w:r>
    </w:p>
    <w:p>
      <w:pPr>
        <w:spacing w:after="0" w:line="114" w:lineRule="exact"/>
        <w:rPr>
          <w:rFonts w:ascii="Arial" w:cs="Arial" w:eastAsia="Arial" w:hAnsi="Arial"/>
          <w:sz w:val="18"/>
          <w:szCs w:val="18"/>
          <w:color w:val="auto"/>
        </w:rPr>
      </w:pPr>
    </w:p>
    <w:p>
      <w:pPr>
        <w:ind w:left="480" w:right="180" w:hanging="182"/>
        <w:spacing w:after="0" w:line="299" w:lineRule="auto"/>
        <w:tabs>
          <w:tab w:leader="none" w:pos="48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will avail ourselves of the exemption from the requirement to obtain an attestation and report from our independent registered public accounting firm on the assessment of our internal control over financial reporting pursuant to the Sarbanes-Oxley Act of 2002;</w:t>
      </w:r>
    </w:p>
    <w:p>
      <w:pPr>
        <w:spacing w:after="0" w:line="68" w:lineRule="exact"/>
        <w:rPr>
          <w:rFonts w:ascii="Arial" w:cs="Arial" w:eastAsia="Arial" w:hAnsi="Arial"/>
          <w:sz w:val="16"/>
          <w:szCs w:val="16"/>
          <w:color w:val="auto"/>
        </w:rPr>
      </w:pPr>
    </w:p>
    <w:p>
      <w:pPr>
        <w:ind w:left="480" w:hanging="182"/>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provide less extensive disclosure about our executive compensation arrangements; and</w:t>
      </w:r>
    </w:p>
    <w:p>
      <w:pPr>
        <w:spacing w:after="0" w:line="117" w:lineRule="exact"/>
        <w:rPr>
          <w:rFonts w:ascii="Arial" w:cs="Arial" w:eastAsia="Arial" w:hAnsi="Arial"/>
          <w:sz w:val="18"/>
          <w:szCs w:val="18"/>
          <w:color w:val="auto"/>
        </w:rPr>
      </w:pPr>
    </w:p>
    <w:p>
      <w:pPr>
        <w:ind w:left="480" w:hanging="182"/>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not require stockholder non-binding advisory votes on executive compensation or golden parachute arrangements.</w:t>
      </w:r>
    </w:p>
    <w:p>
      <w:pPr>
        <w:spacing w:after="0" w:line="104" w:lineRule="exact"/>
        <w:rPr>
          <w:sz w:val="20"/>
          <w:szCs w:val="20"/>
          <w:color w:val="auto"/>
        </w:rPr>
      </w:pPr>
    </w:p>
    <w:p>
      <w:pPr>
        <w:ind w:left="300" w:right="60"/>
        <w:spacing w:after="0" w:line="236"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for any other new or revised accounting standards during the period in which we remain an emerging growth company; however, we may adopt certain new or revised accounting standards early.</w:t>
      </w:r>
    </w:p>
    <w:p>
      <w:pPr>
        <w:spacing w:after="0" w:line="15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320" w:top="459" w:right="659" w:bottom="1440" w:gutter="0" w:footer="0" w:header="0"/>
        </w:sectPr>
      </w:pPr>
    </w:p>
    <w:bookmarkStart w:id="11" w:name="page12"/>
    <w:bookmarkEnd w:id="1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53105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531050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left="300"/>
        <w:spacing w:after="0"/>
        <w:rPr>
          <w:sz w:val="20"/>
          <w:szCs w:val="20"/>
          <w:color w:val="auto"/>
        </w:rPr>
      </w:pPr>
      <w:r>
        <w:rPr>
          <w:rFonts w:ascii="Arial" w:cs="Arial" w:eastAsia="Arial" w:hAnsi="Arial"/>
          <w:sz w:val="32"/>
          <w:szCs w:val="32"/>
          <w:b w:val="1"/>
          <w:bCs w:val="1"/>
          <w:color w:val="auto"/>
        </w:rPr>
        <w:t>The offering</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Common stock offered by us</w:t>
      </w:r>
    </w:p>
    <w:p>
      <w:pPr>
        <w:spacing w:after="0" w:line="131" w:lineRule="exact"/>
        <w:rPr>
          <w:sz w:val="20"/>
          <w:szCs w:val="20"/>
          <w:color w:val="auto"/>
        </w:rPr>
      </w:pPr>
    </w:p>
    <w:p>
      <w:pPr>
        <w:ind w:left="300" w:right="600"/>
        <w:spacing w:after="0" w:line="327" w:lineRule="auto"/>
        <w:rPr>
          <w:sz w:val="20"/>
          <w:szCs w:val="20"/>
          <w:color w:val="auto"/>
        </w:rPr>
      </w:pPr>
      <w:r>
        <w:rPr>
          <w:rFonts w:ascii="Arial" w:cs="Arial" w:eastAsia="Arial" w:hAnsi="Arial"/>
          <w:sz w:val="16"/>
          <w:szCs w:val="16"/>
          <w:b w:val="1"/>
          <w:bCs w:val="1"/>
          <w:color w:val="auto"/>
        </w:rPr>
        <w:t>Underwriters’ option to purchase additional shares from us</w:t>
      </w:r>
    </w:p>
    <w:p>
      <w:pPr>
        <w:spacing w:after="0" w:line="39" w:lineRule="exact"/>
        <w:rPr>
          <w:sz w:val="20"/>
          <w:szCs w:val="20"/>
          <w:color w:val="auto"/>
        </w:rPr>
      </w:pPr>
    </w:p>
    <w:p>
      <w:pPr>
        <w:ind w:left="300" w:right="580"/>
        <w:spacing w:after="0" w:line="327" w:lineRule="auto"/>
        <w:rPr>
          <w:sz w:val="20"/>
          <w:szCs w:val="20"/>
          <w:color w:val="auto"/>
        </w:rPr>
      </w:pPr>
      <w:r>
        <w:rPr>
          <w:rFonts w:ascii="Arial" w:cs="Arial" w:eastAsia="Arial" w:hAnsi="Arial"/>
          <w:sz w:val="16"/>
          <w:szCs w:val="16"/>
          <w:b w:val="1"/>
          <w:bCs w:val="1"/>
          <w:color w:val="auto"/>
        </w:rPr>
        <w:t>Common stock to be outstanding immediately after this offering</w:t>
      </w:r>
    </w:p>
    <w:p>
      <w:pPr>
        <w:spacing w:after="0" w:line="3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 factors</w:t>
      </w:r>
    </w:p>
    <w:p>
      <w:pPr>
        <w:spacing w:after="0" w:line="200" w:lineRule="exact"/>
        <w:rPr>
          <w:sz w:val="20"/>
          <w:szCs w:val="20"/>
          <w:color w:val="auto"/>
        </w:rPr>
      </w:pPr>
    </w:p>
    <w:p>
      <w:pPr>
        <w:spacing w:after="0" w:line="322"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Proposed Nasdaq Global Market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shares</w:t>
      </w:r>
    </w:p>
    <w:p>
      <w:pPr>
        <w:spacing w:after="0" w:line="126"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We have granted the underwriters a 30-day option to purchase up to</w:t>
      </w:r>
      <w:r>
        <w:rPr>
          <w:sz w:val="20"/>
          <w:szCs w:val="20"/>
          <w:color w:val="auto"/>
        </w:rPr>
        <w:tab/>
      </w:r>
      <w:r>
        <w:rPr>
          <w:rFonts w:ascii="Arial" w:cs="Arial" w:eastAsia="Arial" w:hAnsi="Arial"/>
          <w:sz w:val="16"/>
          <w:szCs w:val="16"/>
          <w:color w:val="auto"/>
        </w:rPr>
        <w:t>additional</w:t>
      </w:r>
    </w:p>
    <w:p>
      <w:pPr>
        <w:spacing w:after="0"/>
        <w:rPr>
          <w:sz w:val="20"/>
          <w:szCs w:val="20"/>
          <w:color w:val="auto"/>
        </w:rPr>
      </w:pPr>
      <w:r>
        <w:rPr>
          <w:rFonts w:ascii="Arial" w:cs="Arial" w:eastAsia="Arial" w:hAnsi="Arial"/>
          <w:sz w:val="18"/>
          <w:szCs w:val="18"/>
          <w:color w:val="auto"/>
        </w:rPr>
        <w:t>shares at the initial public offering price, less underwriting discounts and commissions.</w:t>
      </w:r>
    </w:p>
    <w:p>
      <w:pPr>
        <w:spacing w:after="0" w:line="126" w:lineRule="exact"/>
        <w:rPr>
          <w:sz w:val="20"/>
          <w:szCs w:val="20"/>
          <w:color w:val="auto"/>
        </w:rPr>
      </w:pPr>
    </w:p>
    <w:p>
      <w:pPr>
        <w:ind w:left="840"/>
        <w:spacing w:after="0"/>
        <w:tabs>
          <w:tab w:leader="none" w:pos="2480" w:val="left"/>
        </w:tabs>
        <w:rPr>
          <w:sz w:val="20"/>
          <w:szCs w:val="20"/>
          <w:color w:val="auto"/>
        </w:rPr>
      </w:pPr>
      <w:r>
        <w:rPr>
          <w:rFonts w:ascii="Arial" w:cs="Arial" w:eastAsia="Arial" w:hAnsi="Arial"/>
          <w:sz w:val="18"/>
          <w:szCs w:val="18"/>
          <w:color w:val="auto"/>
        </w:rPr>
        <w:t>shares (or</w:t>
      </w:r>
      <w:r>
        <w:rPr>
          <w:sz w:val="20"/>
          <w:szCs w:val="20"/>
          <w:color w:val="auto"/>
        </w:rPr>
        <w:tab/>
      </w:r>
      <w:r>
        <w:rPr>
          <w:rFonts w:ascii="Arial" w:cs="Arial" w:eastAsia="Arial" w:hAnsi="Arial"/>
          <w:sz w:val="16"/>
          <w:szCs w:val="16"/>
          <w:color w:val="auto"/>
        </w:rPr>
        <w:t>shares if the underwriters exercise in full their option to</w:t>
      </w:r>
    </w:p>
    <w:p>
      <w:pPr>
        <w:spacing w:after="0"/>
        <w:rPr>
          <w:sz w:val="20"/>
          <w:szCs w:val="20"/>
          <w:color w:val="auto"/>
        </w:rPr>
      </w:pPr>
      <w:r>
        <w:rPr>
          <w:rFonts w:ascii="Arial" w:cs="Arial" w:eastAsia="Arial" w:hAnsi="Arial"/>
          <w:sz w:val="18"/>
          <w:szCs w:val="18"/>
          <w:color w:val="auto"/>
        </w:rPr>
        <w:t>purchase additional shares)</w:t>
      </w:r>
    </w:p>
    <w:p>
      <w:pPr>
        <w:spacing w:after="0" w:line="126"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We estimate that the net proceeds from this offering will be approximately $</w:t>
      </w:r>
      <w:r>
        <w:rPr>
          <w:sz w:val="20"/>
          <w:szCs w:val="20"/>
          <w:color w:val="auto"/>
        </w:rPr>
        <w:tab/>
      </w:r>
      <w:r>
        <w:rPr>
          <w:rFonts w:ascii="Arial" w:cs="Arial" w:eastAsia="Arial" w:hAnsi="Arial"/>
          <w:sz w:val="18"/>
          <w:szCs w:val="18"/>
          <w:color w:val="auto"/>
        </w:rPr>
        <w:t>million,</w:t>
      </w:r>
    </w:p>
    <w:p>
      <w:pPr>
        <w:spacing w:after="0"/>
        <w:tabs>
          <w:tab w:leader="none" w:pos="1860" w:val="left"/>
        </w:tabs>
        <w:rPr>
          <w:sz w:val="20"/>
          <w:szCs w:val="20"/>
          <w:color w:val="auto"/>
        </w:rPr>
      </w:pPr>
      <w:r>
        <w:rPr>
          <w:rFonts w:ascii="Arial" w:cs="Arial" w:eastAsia="Arial" w:hAnsi="Arial"/>
          <w:sz w:val="18"/>
          <w:szCs w:val="18"/>
          <w:color w:val="auto"/>
        </w:rPr>
        <w:t>or approximately $</w:t>
      </w:r>
      <w:r>
        <w:rPr>
          <w:sz w:val="20"/>
          <w:szCs w:val="20"/>
          <w:color w:val="auto"/>
        </w:rPr>
        <w:tab/>
      </w:r>
      <w:r>
        <w:rPr>
          <w:rFonts w:ascii="Arial" w:cs="Arial" w:eastAsia="Arial" w:hAnsi="Arial"/>
          <w:sz w:val="16"/>
          <w:szCs w:val="16"/>
          <w:color w:val="auto"/>
        </w:rPr>
        <w:t>million if the underwriters exercise their option to purchase</w:t>
      </w:r>
    </w:p>
    <w:p>
      <w:pPr>
        <w:spacing w:after="0"/>
        <w:tabs>
          <w:tab w:leader="none" w:pos="5820" w:val="left"/>
        </w:tabs>
        <w:rPr>
          <w:sz w:val="20"/>
          <w:szCs w:val="20"/>
          <w:color w:val="auto"/>
        </w:rPr>
      </w:pPr>
      <w:r>
        <w:rPr>
          <w:rFonts w:ascii="Arial" w:cs="Arial" w:eastAsia="Arial" w:hAnsi="Arial"/>
          <w:sz w:val="18"/>
          <w:szCs w:val="18"/>
          <w:color w:val="auto"/>
        </w:rPr>
        <w:t>additional shares in full, at an assumed initial public offering price of $</w:t>
      </w:r>
      <w:r>
        <w:rPr>
          <w:sz w:val="20"/>
          <w:szCs w:val="20"/>
          <w:color w:val="auto"/>
        </w:rPr>
        <w:tab/>
      </w:r>
      <w:r>
        <w:rPr>
          <w:rFonts w:ascii="Arial" w:cs="Arial" w:eastAsia="Arial" w:hAnsi="Arial"/>
          <w:sz w:val="16"/>
          <w:szCs w:val="16"/>
          <w:color w:val="auto"/>
        </w:rPr>
        <w:t>per share, the</w:t>
      </w:r>
    </w:p>
    <w:p>
      <w:pPr>
        <w:spacing w:after="0" w:line="1" w:lineRule="exact"/>
        <w:rPr>
          <w:sz w:val="20"/>
          <w:szCs w:val="20"/>
          <w:color w:val="auto"/>
        </w:rPr>
      </w:pPr>
    </w:p>
    <w:p>
      <w:pPr>
        <w:ind w:right="320"/>
        <w:spacing w:after="0" w:line="299" w:lineRule="auto"/>
        <w:rPr>
          <w:sz w:val="20"/>
          <w:szCs w:val="20"/>
          <w:color w:val="auto"/>
        </w:rPr>
      </w:pPr>
      <w:r>
        <w:rPr>
          <w:rFonts w:ascii="Arial" w:cs="Arial" w:eastAsia="Arial" w:hAnsi="Arial"/>
          <w:sz w:val="16"/>
          <w:szCs w:val="16"/>
          <w:color w:val="auto"/>
        </w:rPr>
        <w:t>midpoint of the price range set forth on the cover of this prospectus, after deducting the underwriting discounts and commissions and estimated offering expenses payable by us.</w:t>
      </w:r>
    </w:p>
    <w:p>
      <w:pPr>
        <w:spacing w:after="0" w:line="68" w:lineRule="exact"/>
        <w:rPr>
          <w:sz w:val="20"/>
          <w:szCs w:val="20"/>
          <w:color w:val="auto"/>
        </w:rPr>
      </w:pPr>
    </w:p>
    <w:p>
      <w:pPr>
        <w:ind w:right="260"/>
        <w:spacing w:after="0" w:line="236" w:lineRule="auto"/>
        <w:rPr>
          <w:sz w:val="20"/>
          <w:szCs w:val="20"/>
          <w:color w:val="auto"/>
        </w:rPr>
      </w:pPr>
      <w:r>
        <w:rPr>
          <w:rFonts w:ascii="Arial" w:cs="Arial" w:eastAsia="Arial" w:hAnsi="Arial"/>
          <w:sz w:val="18"/>
          <w:szCs w:val="18"/>
          <w:color w:val="auto"/>
        </w:rPr>
        <w:t>We currently expect to use the net proceeds from this offering to fund the development of our multiple RAS programs, including our RAS(ON) portfolio and our SOS1 program, and our 4EBP1/mTORC1 program and other general corporate purposes, which may include the hiring of additional personnel, capital expenditures and the costs of operating as a public company. See “Use of proceeds” on page 71 for a more complete description of the intended use of proceeds from this offering.</w:t>
      </w:r>
    </w:p>
    <w:p>
      <w:pPr>
        <w:spacing w:after="0" w:line="115"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See “Risk factors” beginning on page 11 and other information included in this prospectus for a discussion of factors that you should consider carefully before deciding to invest in our common stock.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“RVMD”</w:t>
      </w:r>
    </w:p>
    <w:p>
      <w:pPr>
        <w:spacing w:after="0" w:line="113" w:lineRule="exact"/>
        <w:rPr>
          <w:sz w:val="20"/>
          <w:szCs w:val="20"/>
          <w:color w:val="auto"/>
        </w:rPr>
      </w:pPr>
    </w:p>
    <w:p>
      <w:pPr>
        <w:sectPr>
          <w:pgSz w:w="11900" w:h="16838" w:orient="portrait"/>
          <w:cols w:equalWidth="0" w:num="2">
            <w:col w:w="3660" w:space="240"/>
            <w:col w:w="7240"/>
          </w:cols>
          <w:pgMar w:left="320" w:top="459" w:right="439" w:bottom="1440" w:gutter="0" w:footer="0" w:header="0"/>
          <w:type w:val="continuous"/>
        </w:sectPr>
      </w:pPr>
    </w:p>
    <w:p>
      <w:pPr>
        <w:ind w:left="300"/>
        <w:spacing w:after="0"/>
        <w:tabs>
          <w:tab w:leader="none" w:pos="7940" w:val="left"/>
        </w:tabs>
        <w:rPr>
          <w:sz w:val="20"/>
          <w:szCs w:val="20"/>
          <w:color w:val="auto"/>
        </w:rPr>
      </w:pPr>
      <w:r>
        <w:rPr>
          <w:rFonts w:ascii="Arial" w:cs="Arial" w:eastAsia="Arial" w:hAnsi="Arial"/>
          <w:sz w:val="18"/>
          <w:szCs w:val="18"/>
          <w:color w:val="auto"/>
        </w:rPr>
        <w:t>The number of shares of common stock to be outstanding after this offering is based on</w:t>
      </w:r>
      <w:r>
        <w:rPr>
          <w:sz w:val="20"/>
          <w:szCs w:val="20"/>
          <w:color w:val="auto"/>
        </w:rPr>
        <w:tab/>
      </w:r>
      <w:r>
        <w:rPr>
          <w:rFonts w:ascii="Arial" w:cs="Arial" w:eastAsia="Arial" w:hAnsi="Arial"/>
          <w:sz w:val="16"/>
          <w:szCs w:val="16"/>
          <w:color w:val="auto"/>
        </w:rPr>
        <w:t>shares of common stock outstanding</w:t>
      </w:r>
    </w:p>
    <w:p>
      <w:pPr>
        <w:ind w:left="300"/>
        <w:spacing w:after="0"/>
        <w:rPr>
          <w:sz w:val="20"/>
          <w:szCs w:val="20"/>
          <w:color w:val="auto"/>
        </w:rPr>
      </w:pPr>
      <w:r>
        <w:rPr>
          <w:rFonts w:ascii="Arial" w:cs="Arial" w:eastAsia="Arial" w:hAnsi="Arial"/>
          <w:sz w:val="18"/>
          <w:szCs w:val="18"/>
          <w:color w:val="auto"/>
        </w:rPr>
        <w:t>as of September 30, 2019, and excludes the following:</w:t>
      </w:r>
    </w:p>
    <w:p>
      <w:pPr>
        <w:spacing w:after="0" w:line="113" w:lineRule="exact"/>
        <w:rPr>
          <w:sz w:val="20"/>
          <w:szCs w:val="20"/>
          <w:color w:val="auto"/>
        </w:rPr>
      </w:pPr>
    </w:p>
    <w:p>
      <w:pPr>
        <w:ind w:left="1320" w:hanging="1022"/>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shares of common stock issuable upon the exercise of outstanding stock options as of September 30, 2019 having a</w:t>
      </w:r>
    </w:p>
    <w:p>
      <w:pPr>
        <w:ind w:left="480"/>
        <w:spacing w:after="0"/>
        <w:tabs>
          <w:tab w:leader="none" w:pos="3720" w:val="left"/>
        </w:tabs>
        <w:rPr>
          <w:sz w:val="20"/>
          <w:szCs w:val="20"/>
          <w:color w:val="auto"/>
        </w:rPr>
      </w:pPr>
      <w:r>
        <w:rPr>
          <w:rFonts w:ascii="Arial" w:cs="Arial" w:eastAsia="Arial" w:hAnsi="Arial"/>
          <w:sz w:val="18"/>
          <w:szCs w:val="18"/>
          <w:color w:val="auto"/>
        </w:rPr>
        <w:t>weighted-average exercise price of $</w:t>
      </w:r>
      <w:r>
        <w:rPr>
          <w:sz w:val="20"/>
          <w:szCs w:val="20"/>
          <w:color w:val="auto"/>
        </w:rPr>
        <w:tab/>
      </w:r>
      <w:r>
        <w:rPr>
          <w:rFonts w:ascii="Arial" w:cs="Arial" w:eastAsia="Arial" w:hAnsi="Arial"/>
          <w:sz w:val="16"/>
          <w:szCs w:val="16"/>
          <w:color w:val="auto"/>
        </w:rPr>
        <w:t>per share;</w:t>
      </w:r>
    </w:p>
    <w:p>
      <w:pPr>
        <w:spacing w:after="0" w:line="113" w:lineRule="exact"/>
        <w:rPr>
          <w:sz w:val="20"/>
          <w:szCs w:val="20"/>
          <w:color w:val="auto"/>
        </w:rPr>
      </w:pPr>
    </w:p>
    <w:p>
      <w:pPr>
        <w:ind w:left="1320" w:hanging="1022"/>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shares of common stock issuable upon the exercise of stock options granted after September 30, 2019 having a weighted-</w:t>
      </w:r>
    </w:p>
    <w:p>
      <w:pPr>
        <w:ind w:left="480"/>
        <w:spacing w:after="0"/>
        <w:tabs>
          <w:tab w:leader="none" w:pos="2960" w:val="left"/>
        </w:tabs>
        <w:rPr>
          <w:sz w:val="20"/>
          <w:szCs w:val="20"/>
          <w:color w:val="auto"/>
        </w:rPr>
      </w:pPr>
      <w:r>
        <w:rPr>
          <w:rFonts w:ascii="Arial" w:cs="Arial" w:eastAsia="Arial" w:hAnsi="Arial"/>
          <w:sz w:val="18"/>
          <w:szCs w:val="18"/>
          <w:color w:val="auto"/>
        </w:rPr>
        <w:t>average exercise price of $</w:t>
      </w:r>
      <w:r>
        <w:rPr>
          <w:sz w:val="20"/>
          <w:szCs w:val="20"/>
          <w:color w:val="auto"/>
        </w:rPr>
        <w:tab/>
      </w:r>
      <w:r>
        <w:rPr>
          <w:rFonts w:ascii="Arial" w:cs="Arial" w:eastAsia="Arial" w:hAnsi="Arial"/>
          <w:sz w:val="16"/>
          <w:szCs w:val="16"/>
          <w:color w:val="auto"/>
        </w:rPr>
        <w:t>per share;</w:t>
      </w:r>
    </w:p>
    <w:p>
      <w:pPr>
        <w:spacing w:after="0" w:line="113" w:lineRule="exact"/>
        <w:rPr>
          <w:sz w:val="20"/>
          <w:szCs w:val="20"/>
          <w:color w:val="auto"/>
        </w:rPr>
      </w:pPr>
    </w:p>
    <w:p>
      <w:pPr>
        <w:ind w:left="1320" w:hanging="1022"/>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shares of common stock reserved for issuance pursuant to future awards under our 2014 Equity Incentive Plan, as</w:t>
      </w:r>
    </w:p>
    <w:tbl>
      <w:tblPr>
        <w:tblLayout w:type="fixed"/>
        <w:tblInd w:w="120" w:type="dxa"/>
        <w:tblCellMar>
          <w:top w:w="0" w:type="dxa"/>
          <w:left w:w="0" w:type="dxa"/>
          <w:bottom w:w="0" w:type="dxa"/>
          <w:right w:w="0" w:type="dxa"/>
        </w:tblCellMar>
      </w:tblPr>
      <w:tr>
        <w:trPr>
          <w:trHeight w:val="203"/>
        </w:trPr>
        <w:tc>
          <w:tcPr>
            <w:tcW w:w="300" w:type="dxa"/>
            <w:vAlign w:val="bottom"/>
          </w:tcPr>
          <w:p>
            <w:pPr>
              <w:spacing w:after="0"/>
              <w:rPr>
                <w:sz w:val="17"/>
                <w:szCs w:val="17"/>
                <w:color w:val="auto"/>
              </w:rPr>
            </w:pPr>
          </w:p>
        </w:tc>
        <w:tc>
          <w:tcPr>
            <w:tcW w:w="10720" w:type="dxa"/>
            <w:vAlign w:val="bottom"/>
          </w:tcPr>
          <w:p>
            <w:pPr>
              <w:ind w:left="60"/>
              <w:spacing w:after="0" w:line="202" w:lineRule="exact"/>
              <w:rPr>
                <w:sz w:val="20"/>
                <w:szCs w:val="20"/>
                <w:color w:val="auto"/>
              </w:rPr>
            </w:pPr>
            <w:r>
              <w:rPr>
                <w:rFonts w:ascii="Arial" w:cs="Arial" w:eastAsia="Arial" w:hAnsi="Arial"/>
                <w:sz w:val="18"/>
                <w:szCs w:val="18"/>
                <w:color w:val="auto"/>
              </w:rPr>
              <w:t>amended, as of September 30, 2019, which will become available for issuance under our 20   Incentive Award Plan after the</w:t>
            </w:r>
          </w:p>
        </w:tc>
      </w:tr>
      <w:tr>
        <w:trPr>
          <w:trHeight w:val="211"/>
        </w:trPr>
        <w:tc>
          <w:tcPr>
            <w:tcW w:w="300" w:type="dxa"/>
            <w:vAlign w:val="bottom"/>
          </w:tcPr>
          <w:p>
            <w:pPr>
              <w:spacing w:after="0"/>
              <w:rPr>
                <w:sz w:val="18"/>
                <w:szCs w:val="18"/>
                <w:color w:val="auto"/>
              </w:rPr>
            </w:pPr>
          </w:p>
        </w:tc>
        <w:tc>
          <w:tcPr>
            <w:tcW w:w="10720" w:type="dxa"/>
            <w:vAlign w:val="bottom"/>
          </w:tcPr>
          <w:p>
            <w:pPr>
              <w:ind w:left="60"/>
              <w:spacing w:after="0"/>
              <w:rPr>
                <w:sz w:val="20"/>
                <w:szCs w:val="20"/>
                <w:color w:val="auto"/>
              </w:rPr>
            </w:pPr>
            <w:r>
              <w:rPr>
                <w:rFonts w:ascii="Arial" w:cs="Arial" w:eastAsia="Arial" w:hAnsi="Arial"/>
                <w:sz w:val="18"/>
                <w:szCs w:val="18"/>
                <w:color w:val="auto"/>
              </w:rPr>
              <w:t>consummation of this offering;</w:t>
            </w:r>
          </w:p>
        </w:tc>
      </w:tr>
      <w:tr>
        <w:trPr>
          <w:trHeight w:val="316"/>
        </w:trPr>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10720" w:type="dxa"/>
            <w:vAlign w:val="bottom"/>
          </w:tcPr>
          <w:p>
            <w:pPr>
              <w:ind w:left="900"/>
              <w:spacing w:after="0"/>
              <w:rPr>
                <w:sz w:val="20"/>
                <w:szCs w:val="20"/>
                <w:color w:val="auto"/>
              </w:rPr>
            </w:pPr>
            <w:r>
              <w:rPr>
                <w:rFonts w:ascii="Arial" w:cs="Arial" w:eastAsia="Arial" w:hAnsi="Arial"/>
                <w:sz w:val="18"/>
                <w:szCs w:val="18"/>
                <w:color w:val="auto"/>
              </w:rPr>
              <w:t>shares of common stock reserved for issuance pursuant to future awards under our 20   Incentive Award Plan, which will</w:t>
            </w:r>
          </w:p>
        </w:tc>
      </w:tr>
      <w:tr>
        <w:trPr>
          <w:trHeight w:val="196"/>
        </w:trPr>
        <w:tc>
          <w:tcPr>
            <w:tcW w:w="300" w:type="dxa"/>
            <w:vAlign w:val="bottom"/>
            <w:tcBorders>
              <w:bottom w:val="single" w:sz="8" w:color="auto"/>
            </w:tcBorders>
          </w:tcPr>
          <w:p>
            <w:pPr>
              <w:spacing w:after="0"/>
              <w:rPr>
                <w:sz w:val="17"/>
                <w:szCs w:val="17"/>
                <w:color w:val="auto"/>
              </w:rPr>
            </w:pPr>
          </w:p>
        </w:tc>
        <w:tc>
          <w:tcPr>
            <w:tcW w:w="1072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become effective on the day prior to the first public trading date of our common</w:t>
            </w:r>
          </w:p>
        </w:tc>
      </w:tr>
      <w:tr>
        <w:trPr>
          <w:trHeight w:val="359"/>
        </w:trPr>
        <w:tc>
          <w:tcPr>
            <w:tcW w:w="300" w:type="dxa"/>
            <w:vAlign w:val="bottom"/>
          </w:tcPr>
          <w:p>
            <w:pPr>
              <w:spacing w:after="0"/>
              <w:rPr>
                <w:sz w:val="24"/>
                <w:szCs w:val="24"/>
                <w:color w:val="auto"/>
              </w:rPr>
            </w:pPr>
          </w:p>
        </w:tc>
        <w:tc>
          <w:tcPr>
            <w:tcW w:w="10720" w:type="dxa"/>
            <w:vAlign w:val="bottom"/>
          </w:tcPr>
          <w:p>
            <w:pPr>
              <w:ind w:left="5160"/>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140"/>
          </w:cols>
          <w:pgMar w:left="320" w:top="459" w:right="4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0473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304736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stock, as well as any automatic increases in the number of shares of common stock reserved for future issuance under this plan; and</w:t>
      </w:r>
    </w:p>
    <w:p>
      <w:pPr>
        <w:spacing w:after="0" w:line="140" w:lineRule="exact"/>
        <w:rPr>
          <w:sz w:val="20"/>
          <w:szCs w:val="20"/>
          <w:color w:val="auto"/>
        </w:rPr>
      </w:pPr>
    </w:p>
    <w:p>
      <w:pPr>
        <w:jc w:val="both"/>
        <w:ind w:left="480" w:hanging="188"/>
        <w:spacing w:after="0" w:line="238" w:lineRule="auto"/>
        <w:tabs>
          <w:tab w:leader="none" w:pos="460" w:val="left"/>
        </w:tabs>
        <w:rPr>
          <w:sz w:val="20"/>
          <w:szCs w:val="20"/>
          <w:color w:val="auto"/>
        </w:rPr>
      </w:pPr>
      <w:r>
        <w:rPr>
          <w:rFonts w:ascii="Arial" w:cs="Arial" w:eastAsia="Arial" w:hAnsi="Arial"/>
          <w:sz w:val="18"/>
          <w:szCs w:val="18"/>
          <w:color w:val="auto"/>
        </w:rPr>
        <w:t>•</w:t>
        <w:tab/>
        <w:t>shares of common stock reserved for issuance under our 20 Employee Stock Purchase Plan, which will become effective on the day prior to the first public trading date of our common stock, as well as any automatic increases in the number of shares of our common stock reserved for future issuance under this plan.</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 addition, unless we specifically state otherwise, all information in this prospectus reflects and assumes the following:</w:t>
      </w:r>
    </w:p>
    <w:p>
      <w:pPr>
        <w:spacing w:after="0" w:line="117" w:lineRule="exact"/>
        <w:rPr>
          <w:sz w:val="20"/>
          <w:szCs w:val="20"/>
          <w:color w:val="auto"/>
        </w:rPr>
      </w:pPr>
    </w:p>
    <w:p>
      <w:pPr>
        <w:ind w:left="480" w:right="480" w:hanging="179"/>
        <w:spacing w:after="0" w:line="239" w:lineRule="auto"/>
        <w:tabs>
          <w:tab w:leader="none" w:pos="460" w:val="left"/>
        </w:tabs>
        <w:rPr>
          <w:sz w:val="20"/>
          <w:szCs w:val="20"/>
          <w:color w:val="auto"/>
        </w:rPr>
      </w:pPr>
      <w:r>
        <w:rPr>
          <w:rFonts w:ascii="Arial" w:cs="Arial" w:eastAsia="Arial" w:hAnsi="Arial"/>
          <w:sz w:val="18"/>
          <w:szCs w:val="18"/>
          <w:color w:val="auto"/>
        </w:rPr>
        <w:t>•</w:t>
        <w:tab/>
        <w:t>a -for- reverse stock split of our common stock and preferred stock to be effected prior to the effectiveness of the registration statement of which this prospectus is a part;</w:t>
      </w:r>
    </w:p>
    <w:p>
      <w:pPr>
        <w:spacing w:after="0" w:line="114" w:lineRule="exact"/>
        <w:rPr>
          <w:sz w:val="20"/>
          <w:szCs w:val="20"/>
          <w:color w:val="auto"/>
        </w:rPr>
      </w:pPr>
    </w:p>
    <w:p>
      <w:pPr>
        <w:ind w:left="480" w:right="440" w:hanging="179"/>
        <w:spacing w:after="0" w:line="239" w:lineRule="auto"/>
        <w:tabs>
          <w:tab w:leader="none" w:pos="460" w:val="left"/>
        </w:tabs>
        <w:rPr>
          <w:sz w:val="20"/>
          <w:szCs w:val="20"/>
          <w:color w:val="auto"/>
        </w:rPr>
      </w:pPr>
      <w:r>
        <w:rPr>
          <w:rFonts w:ascii="Arial" w:cs="Arial" w:eastAsia="Arial" w:hAnsi="Arial"/>
          <w:sz w:val="18"/>
          <w:szCs w:val="18"/>
          <w:color w:val="auto"/>
        </w:rPr>
        <w:t>•</w:t>
        <w:tab/>
        <w:t>the conversion of all shares of our outstanding preferred stock as of September 30, 2019 into an equivalent number of shares of common stock immediately upon the consummation of this offering;</w:t>
      </w:r>
    </w:p>
    <w:p>
      <w:pPr>
        <w:spacing w:after="0" w:line="114" w:lineRule="exact"/>
        <w:rPr>
          <w:sz w:val="20"/>
          <w:szCs w:val="20"/>
          <w:color w:val="auto"/>
        </w:rPr>
      </w:pPr>
    </w:p>
    <w:p>
      <w:pPr>
        <w:ind w:left="480" w:right="40" w:hanging="182"/>
        <w:spacing w:after="0" w:line="239" w:lineRule="auto"/>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in Delaware and the adoption of our amended and restated bylaws, each of which will occur immediately upon the consummation of this offering;</w:t>
      </w:r>
    </w:p>
    <w:p>
      <w:pPr>
        <w:spacing w:after="0" w:line="114" w:lineRule="exact"/>
        <w:rPr>
          <w:rFonts w:ascii="Arial" w:cs="Arial" w:eastAsia="Arial" w:hAnsi="Arial"/>
          <w:sz w:val="18"/>
          <w:szCs w:val="18"/>
          <w:color w:val="auto"/>
        </w:rPr>
      </w:pPr>
    </w:p>
    <w:p>
      <w:pPr>
        <w:ind w:left="480" w:hanging="182"/>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exercise of outstanding stock options subsequent to September 30, 2019; and</w:t>
      </w:r>
    </w:p>
    <w:p>
      <w:pPr>
        <w:spacing w:after="0" w:line="117" w:lineRule="exact"/>
        <w:rPr>
          <w:rFonts w:ascii="Arial" w:cs="Arial" w:eastAsia="Arial" w:hAnsi="Arial"/>
          <w:sz w:val="18"/>
          <w:szCs w:val="18"/>
          <w:color w:val="auto"/>
        </w:rPr>
      </w:pPr>
    </w:p>
    <w:p>
      <w:pPr>
        <w:ind w:left="480" w:hanging="182"/>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exercise of the underwriters’ option to purchase additional shares of common stock.</w:t>
      </w:r>
    </w:p>
    <w:p>
      <w:pPr>
        <w:spacing w:after="0" w:line="104" w:lineRule="exact"/>
        <w:rPr>
          <w:sz w:val="20"/>
          <w:szCs w:val="20"/>
          <w:color w:val="auto"/>
        </w:rPr>
      </w:pPr>
    </w:p>
    <w:p>
      <w:pPr>
        <w:ind w:left="300" w:right="60"/>
        <w:spacing w:after="0" w:line="236" w:lineRule="auto"/>
        <w:rPr>
          <w:sz w:val="20"/>
          <w:szCs w:val="20"/>
          <w:color w:val="auto"/>
        </w:rPr>
      </w:pPr>
      <w:r>
        <w:rPr>
          <w:rFonts w:ascii="Arial" w:cs="Arial" w:eastAsia="Arial" w:hAnsi="Arial"/>
          <w:sz w:val="18"/>
          <w:szCs w:val="18"/>
          <w:color w:val="auto"/>
        </w:rPr>
        <w:t>Unless otherwise specified and unless the context otherwise requires, we refer to our Series A, Series B and Series C redeemable convertible preferred stock collectively as “preferred stock” in this prospectus. For financial reporting purposes and in the financial tables included in this prospectus, we refer to our Series A, Series B and Series C redeemable convertible preferred stock collectively as “redeemable convertible preferred stock,” as more fully explained in Note 8 to our consolidated financial statements included in this prospectus.</w:t>
      </w:r>
    </w:p>
    <w:p>
      <w:pPr>
        <w:spacing w:after="0" w:line="15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0"/>
          </w:cols>
          <w:pgMar w:left="320" w:top="459" w:right="6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905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579056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300"/>
        <w:spacing w:after="0"/>
        <w:rPr>
          <w:sz w:val="20"/>
          <w:szCs w:val="20"/>
          <w:color w:val="auto"/>
        </w:rPr>
      </w:pPr>
      <w:r>
        <w:rPr>
          <w:rFonts w:ascii="Arial" w:cs="Arial" w:eastAsia="Arial" w:hAnsi="Arial"/>
          <w:sz w:val="32"/>
          <w:szCs w:val="32"/>
          <w:b w:val="1"/>
          <w:bCs w:val="1"/>
          <w:color w:val="auto"/>
        </w:rPr>
        <w:t>Summary consolidated financial data</w:t>
      </w:r>
    </w:p>
    <w:p>
      <w:pPr>
        <w:spacing w:after="0" w:line="139" w:lineRule="exact"/>
        <w:rPr>
          <w:sz w:val="20"/>
          <w:szCs w:val="20"/>
          <w:color w:val="auto"/>
        </w:rPr>
      </w:pPr>
    </w:p>
    <w:p>
      <w:pPr>
        <w:ind w:left="300" w:right="40"/>
        <w:spacing w:after="0" w:line="243" w:lineRule="auto"/>
        <w:rPr>
          <w:sz w:val="20"/>
          <w:szCs w:val="20"/>
          <w:color w:val="auto"/>
        </w:rPr>
      </w:pPr>
      <w:r>
        <w:rPr>
          <w:rFonts w:ascii="Arial" w:cs="Arial" w:eastAsia="Arial" w:hAnsi="Arial"/>
          <w:sz w:val="18"/>
          <w:szCs w:val="18"/>
          <w:i w:val="1"/>
          <w:iCs w:val="1"/>
          <w:color w:val="auto"/>
        </w:rPr>
        <w:t>The following tables present our summary consolidated financial data. You should read this data together with our consolidated financial statements and related notes appearing elsewhere in this prospectus and the information under the captions “Selected consolidated financial data,” “Unaudited pro forma condensed combined financial statements” and “Management’s discussion and analysis of financial condition and results of operations.”</w:t>
      </w:r>
    </w:p>
    <w:p>
      <w:pPr>
        <w:spacing w:after="0" w:line="98" w:lineRule="exact"/>
        <w:rPr>
          <w:sz w:val="20"/>
          <w:szCs w:val="20"/>
          <w:color w:val="auto"/>
        </w:rPr>
      </w:pPr>
    </w:p>
    <w:p>
      <w:pPr>
        <w:ind w:left="300"/>
        <w:spacing w:after="0" w:line="235" w:lineRule="auto"/>
        <w:rPr>
          <w:sz w:val="20"/>
          <w:szCs w:val="20"/>
          <w:color w:val="auto"/>
        </w:rPr>
      </w:pPr>
      <w:r>
        <w:rPr>
          <w:rFonts w:ascii="Arial" w:cs="Arial" w:eastAsia="Arial" w:hAnsi="Arial"/>
          <w:sz w:val="18"/>
          <w:szCs w:val="18"/>
          <w:color w:val="auto"/>
        </w:rPr>
        <w:t>We have derived the following consolidated summary statements of operations and comprehensive loss data for the years ended December 31, 2017 and 2018 (except for the pro forma net loss per share and the pro forma share information) from our audited consolidated financial statements and related notes appearing elsewhere in this prospectus. The summary consolidated statements of operations and comprehensive loss data for the nine months ended September 30, 2018 and 2019 and the summary consolidated balance sheet data as of September 30, 2019 are derived from our unaudited interim consolidated financial statements included elsewhere in this prospectus. The unaudited interim financial statements have been prepared in accordance with generally accepted accounting principles in the United States and on the same basis as the audited consolidated financial statements and, in the opinion of management, reflect all adjustments, which include only normal recurring adjustments, necessary to state fairly our financial position as of September 30, 2019 and the results of operations for the nine months ended September 30, 2018 and 2019. Our historical results are not necessarily indicative of our future results and results for the nine months ended September 30, 2019 are not necessarily indicative of results to be expected for the full year.</w:t>
      </w:r>
    </w:p>
    <w:p>
      <w:pPr>
        <w:spacing w:after="0" w:line="166"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74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gridSpan w:val="5"/>
          </w:tcPr>
          <w:p>
            <w:pPr>
              <w:jc w:val="right"/>
              <w:ind w:right="860"/>
              <w:spacing w:after="0"/>
              <w:rPr>
                <w:sz w:val="20"/>
                <w:szCs w:val="20"/>
                <w:color w:val="auto"/>
              </w:rPr>
            </w:pPr>
            <w:r>
              <w:rPr>
                <w:rFonts w:ascii="Arial" w:cs="Arial" w:eastAsia="Arial" w:hAnsi="Arial"/>
                <w:sz w:val="13"/>
                <w:szCs w:val="13"/>
                <w:b w:val="1"/>
                <w:bCs w:val="1"/>
                <w:color w:val="auto"/>
              </w:rPr>
              <w:t>Year ended December 31,</w:t>
            </w:r>
          </w:p>
        </w:tc>
        <w:tc>
          <w:tcPr>
            <w:tcW w:w="174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3"/>
                <w:szCs w:val="13"/>
                <w:b w:val="1"/>
                <w:bCs w:val="1"/>
                <w:color w:val="auto"/>
              </w:rPr>
              <w:t>2017</w:t>
            </w:r>
          </w:p>
        </w:tc>
        <w:tc>
          <w:tcPr>
            <w:tcW w:w="2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2018</w:t>
            </w:r>
          </w:p>
        </w:tc>
        <w:tc>
          <w:tcPr>
            <w:tcW w:w="600" w:type="dxa"/>
            <w:vAlign w:val="bottom"/>
            <w:tcBorders>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3"/>
                <w:szCs w:val="13"/>
                <w:b w:val="1"/>
                <w:bCs w:val="1"/>
                <w:color w:val="auto"/>
              </w:rPr>
              <w:t>2018</w:t>
            </w:r>
          </w:p>
        </w:tc>
        <w:tc>
          <w:tcPr>
            <w:tcW w:w="5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2019</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80" w:type="dxa"/>
            <w:vAlign w:val="bottom"/>
            <w:gridSpan w:val="6"/>
          </w:tcPr>
          <w:p>
            <w:pPr>
              <w:jc w:val="right"/>
              <w:ind w:right="33"/>
              <w:spacing w:after="0"/>
              <w:rPr>
                <w:sz w:val="20"/>
                <w:szCs w:val="20"/>
                <w:color w:val="auto"/>
              </w:rPr>
            </w:pPr>
            <w:r>
              <w:rPr>
                <w:rFonts w:ascii="Arial" w:cs="Arial" w:eastAsia="Arial" w:hAnsi="Arial"/>
                <w:sz w:val="13"/>
                <w:szCs w:val="13"/>
                <w:b w:val="1"/>
                <w:bCs w:val="1"/>
                <w:color w:val="auto"/>
              </w:rPr>
              <w:t>(in thousands, except share and per share data)</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20" w:type="dxa"/>
            <w:vAlign w:val="bottom"/>
            <w:vMerge w:val="restart"/>
          </w:tcPr>
          <w:p>
            <w:pPr>
              <w:spacing w:after="0"/>
              <w:rPr>
                <w:sz w:val="3"/>
                <w:szCs w:val="3"/>
                <w:color w:val="auto"/>
              </w:rPr>
            </w:pPr>
          </w:p>
        </w:tc>
        <w:tc>
          <w:tcPr>
            <w:tcW w:w="5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Consolidated Statements of Operations Data:</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20" w:type="dxa"/>
            <w:vAlign w:val="bottom"/>
          </w:tcPr>
          <w:p>
            <w:pPr>
              <w:spacing w:after="0"/>
              <w:rPr>
                <w:sz w:val="20"/>
                <w:szCs w:val="20"/>
                <w:color w:val="auto"/>
              </w:rPr>
            </w:pPr>
            <w:r>
              <w:rPr>
                <w:rFonts w:ascii="Arial" w:cs="Arial" w:eastAsia="Arial" w:hAnsi="Arial"/>
                <w:sz w:val="13"/>
                <w:szCs w:val="13"/>
                <w:color w:val="auto"/>
              </w:rPr>
              <w:t>Revenue:</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Collaboration revenue, related party</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19,420</w:t>
            </w:r>
          </w:p>
        </w:tc>
        <w:tc>
          <w:tcPr>
            <w:tcW w:w="6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20" w:type="dxa"/>
            <w:vAlign w:val="bottom"/>
          </w:tcPr>
          <w:p>
            <w:pPr>
              <w:ind w:left="200"/>
              <w:spacing w:after="0"/>
              <w:rPr>
                <w:sz w:val="20"/>
                <w:szCs w:val="20"/>
                <w:color w:val="auto"/>
              </w:rPr>
            </w:pPr>
            <w:r>
              <w:rPr>
                <w:rFonts w:ascii="Arial" w:cs="Arial" w:eastAsia="Arial" w:hAnsi="Arial"/>
                <w:sz w:val="13"/>
                <w:szCs w:val="13"/>
                <w:color w:val="auto"/>
              </w:rPr>
              <w:t>Collaboration revenue, other</w:t>
            </w:r>
          </w:p>
        </w:tc>
        <w:tc>
          <w:tcPr>
            <w:tcW w:w="5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745</w:t>
            </w:r>
          </w:p>
        </w:tc>
        <w:tc>
          <w:tcPr>
            <w:tcW w:w="6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Total revenue</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20,165</w:t>
            </w:r>
          </w:p>
        </w:tc>
        <w:tc>
          <w:tcPr>
            <w:tcW w:w="6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3"/>
                <w:szCs w:val="13"/>
                <w:color w:val="auto"/>
              </w:rPr>
              <w:t>Operating expenses: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Research and development</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26,586</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51,084</w:t>
            </w:r>
          </w:p>
        </w:tc>
        <w:tc>
          <w:tcPr>
            <w:tcW w:w="6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20" w:type="dxa"/>
            <w:vAlign w:val="bottom"/>
          </w:tcPr>
          <w:p>
            <w:pPr>
              <w:ind w:left="200"/>
              <w:spacing w:after="0"/>
              <w:rPr>
                <w:sz w:val="20"/>
                <w:szCs w:val="20"/>
                <w:color w:val="auto"/>
              </w:rPr>
            </w:pPr>
            <w:r>
              <w:rPr>
                <w:rFonts w:ascii="Arial" w:cs="Arial" w:eastAsia="Arial" w:hAnsi="Arial"/>
                <w:sz w:val="13"/>
                <w:szCs w:val="13"/>
                <w:color w:val="auto"/>
              </w:rPr>
              <w:t>General and administrative</w:t>
            </w:r>
          </w:p>
        </w:tc>
        <w:tc>
          <w:tcPr>
            <w:tcW w:w="5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4,543</w:t>
            </w: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9,410</w:t>
            </w:r>
          </w:p>
        </w:tc>
        <w:tc>
          <w:tcPr>
            <w:tcW w:w="6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Total operating expenses</w:t>
            </w:r>
          </w:p>
        </w:tc>
        <w:tc>
          <w:tcPr>
            <w:tcW w:w="5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3"/>
                <w:szCs w:val="13"/>
                <w:color w:val="auto"/>
              </w:rPr>
              <w:t>31,129</w:t>
            </w:r>
          </w:p>
        </w:tc>
        <w:tc>
          <w:tcPr>
            <w:tcW w:w="2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60,494</w:t>
            </w:r>
          </w:p>
        </w:tc>
        <w:tc>
          <w:tcPr>
            <w:tcW w:w="6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640" w:type="dxa"/>
            <w:vAlign w:val="bottom"/>
            <w:gridSpan w:val="2"/>
          </w:tcPr>
          <w:p>
            <w:pPr>
              <w:spacing w:after="0"/>
              <w:rPr>
                <w:sz w:val="20"/>
                <w:szCs w:val="20"/>
                <w:color w:val="auto"/>
              </w:rPr>
            </w:pPr>
            <w:r>
              <w:rPr>
                <w:rFonts w:ascii="Arial" w:cs="Arial" w:eastAsia="Arial" w:hAnsi="Arial"/>
                <w:sz w:val="13"/>
                <w:szCs w:val="13"/>
                <w:color w:val="auto"/>
              </w:rPr>
              <w:t>Loss from operations</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ind w:right="213"/>
              <w:spacing w:after="0"/>
              <w:rPr>
                <w:sz w:val="20"/>
                <w:szCs w:val="20"/>
                <w:color w:val="auto"/>
              </w:rPr>
            </w:pPr>
            <w:r>
              <w:rPr>
                <w:rFonts w:ascii="Arial" w:cs="Arial" w:eastAsia="Arial" w:hAnsi="Arial"/>
                <w:sz w:val="13"/>
                <w:szCs w:val="13"/>
                <w:color w:val="auto"/>
              </w:rPr>
              <w:t>(31,129)</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3"/>
                <w:szCs w:val="13"/>
                <w:color w:val="auto"/>
              </w:rPr>
              <w:t>(40,329)</w:t>
            </w:r>
          </w:p>
        </w:tc>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3"/>
                <w:szCs w:val="13"/>
                <w:color w:val="auto"/>
              </w:rPr>
              <w:t>Other income (expense), net:</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ind w:left="200"/>
              <w:spacing w:after="0"/>
              <w:rPr>
                <w:sz w:val="20"/>
                <w:szCs w:val="20"/>
                <w:color w:val="auto"/>
              </w:rPr>
            </w:pPr>
            <w:r>
              <w:rPr>
                <w:rFonts w:ascii="Arial" w:cs="Arial" w:eastAsia="Arial" w:hAnsi="Arial"/>
                <w:sz w:val="13"/>
                <w:szCs w:val="13"/>
                <w:color w:val="auto"/>
              </w:rPr>
              <w:t>Interest income</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ind w:right="273"/>
              <w:spacing w:after="0"/>
              <w:rPr>
                <w:sz w:val="20"/>
                <w:szCs w:val="20"/>
                <w:color w:val="auto"/>
              </w:rPr>
            </w:pPr>
            <w:r>
              <w:rPr>
                <w:rFonts w:ascii="Arial" w:cs="Arial" w:eastAsia="Arial" w:hAnsi="Arial"/>
                <w:sz w:val="13"/>
                <w:szCs w:val="13"/>
                <w:color w:val="auto"/>
              </w:rPr>
              <w:t>105</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777</w:t>
            </w:r>
          </w:p>
        </w:tc>
        <w:tc>
          <w:tcPr>
            <w:tcW w:w="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Interest and other expense</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(103)</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(116)</w:t>
            </w:r>
          </w:p>
        </w:tc>
        <w:tc>
          <w:tcPr>
            <w:tcW w:w="1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20" w:type="dxa"/>
            <w:vAlign w:val="bottom"/>
          </w:tcPr>
          <w:p>
            <w:pPr>
              <w:ind w:left="200"/>
              <w:spacing w:after="0"/>
              <w:rPr>
                <w:sz w:val="20"/>
                <w:szCs w:val="20"/>
                <w:color w:val="auto"/>
              </w:rPr>
            </w:pPr>
            <w:r>
              <w:rPr>
                <w:rFonts w:ascii="Arial" w:cs="Arial" w:eastAsia="Arial" w:hAnsi="Arial"/>
                <w:sz w:val="13"/>
                <w:szCs w:val="13"/>
                <w:color w:val="auto"/>
              </w:rPr>
              <w:t>Change in fair value of redeemable convertible preferred stock liability</w:t>
            </w:r>
          </w:p>
        </w:tc>
        <w:tc>
          <w:tcPr>
            <w:tcW w:w="5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3"/>
                <w:szCs w:val="13"/>
                <w:color w:val="auto"/>
              </w:rPr>
              <w:t>(2,121)</w:t>
            </w:r>
          </w:p>
        </w:tc>
        <w:tc>
          <w:tcPr>
            <w:tcW w:w="1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Total other income (expense), net</w:t>
            </w:r>
          </w:p>
        </w:tc>
        <w:tc>
          <w:tcPr>
            <w:tcW w:w="5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3"/>
                <w:szCs w:val="13"/>
                <w:color w:val="auto"/>
              </w:rPr>
              <w:t>2</w:t>
            </w:r>
          </w:p>
        </w:tc>
        <w:tc>
          <w:tcPr>
            <w:tcW w:w="2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(1,460)</w:t>
            </w:r>
          </w:p>
        </w:tc>
        <w:tc>
          <w:tcPr>
            <w:tcW w:w="1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640" w:type="dxa"/>
            <w:vAlign w:val="bottom"/>
            <w:gridSpan w:val="2"/>
          </w:tcPr>
          <w:p>
            <w:pPr>
              <w:spacing w:after="0"/>
              <w:rPr>
                <w:sz w:val="20"/>
                <w:szCs w:val="20"/>
                <w:color w:val="auto"/>
              </w:rPr>
            </w:pPr>
            <w:r>
              <w:rPr>
                <w:rFonts w:ascii="Arial" w:cs="Arial" w:eastAsia="Arial" w:hAnsi="Arial"/>
                <w:sz w:val="13"/>
                <w:szCs w:val="13"/>
                <w:color w:val="auto"/>
              </w:rPr>
              <w:t>Net loss and comprehensive loss</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213"/>
              <w:spacing w:after="0"/>
              <w:rPr>
                <w:sz w:val="20"/>
                <w:szCs w:val="20"/>
                <w:color w:val="auto"/>
              </w:rPr>
            </w:pPr>
            <w:r>
              <w:rPr>
                <w:rFonts w:ascii="Arial" w:cs="Arial" w:eastAsia="Arial" w:hAnsi="Arial"/>
                <w:sz w:val="13"/>
                <w:szCs w:val="13"/>
                <w:color w:val="auto"/>
              </w:rPr>
              <w:t>(31,127)</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560"/>
              <w:spacing w:after="0"/>
              <w:rPr>
                <w:sz w:val="20"/>
                <w:szCs w:val="20"/>
                <w:color w:val="auto"/>
              </w:rPr>
            </w:pPr>
            <w:r>
              <w:rPr>
                <w:rFonts w:ascii="Arial" w:cs="Arial" w:eastAsia="Arial" w:hAnsi="Arial"/>
                <w:sz w:val="13"/>
                <w:szCs w:val="13"/>
                <w:color w:val="auto"/>
              </w:rPr>
              <w:t>(41,789)</w:t>
            </w: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3"/>
                <w:szCs w:val="13"/>
                <w:color w:val="auto"/>
              </w:rPr>
              <w:t>Redeemable convertible preferred stock dividends—undeclared and cumulative</w:t>
            </w:r>
          </w:p>
        </w:tc>
        <w:tc>
          <w:tcPr>
            <w:tcW w:w="52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ind w:right="213"/>
              <w:spacing w:after="0"/>
              <w:rPr>
                <w:sz w:val="20"/>
                <w:szCs w:val="20"/>
                <w:color w:val="auto"/>
              </w:rPr>
            </w:pPr>
            <w:r>
              <w:rPr>
                <w:rFonts w:ascii="Arial" w:cs="Arial" w:eastAsia="Arial" w:hAnsi="Arial"/>
                <w:sz w:val="13"/>
                <w:szCs w:val="13"/>
                <w:color w:val="auto"/>
              </w:rPr>
              <w:t>(3,763)</w:t>
            </w: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360" w:type="dxa"/>
            <w:vAlign w:val="bottom"/>
            <w:tcBorders>
              <w:top w:val="single" w:sz="8" w:color="auto"/>
              <w:bottom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(7,031)</w:t>
            </w:r>
          </w:p>
        </w:tc>
        <w:tc>
          <w:tcPr>
            <w:tcW w:w="112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640" w:type="dxa"/>
            <w:vAlign w:val="bottom"/>
            <w:gridSpan w:val="2"/>
          </w:tcPr>
          <w:p>
            <w:pPr>
              <w:spacing w:after="0"/>
              <w:rPr>
                <w:sz w:val="20"/>
                <w:szCs w:val="20"/>
                <w:color w:val="auto"/>
              </w:rPr>
            </w:pPr>
            <w:r>
              <w:rPr>
                <w:rFonts w:ascii="Arial" w:cs="Arial" w:eastAsia="Arial" w:hAnsi="Arial"/>
                <w:sz w:val="13"/>
                <w:szCs w:val="13"/>
                <w:color w:val="auto"/>
              </w:rPr>
              <w:t>Net loss attributable to common stockholders</w:t>
            </w:r>
          </w:p>
        </w:tc>
        <w:tc>
          <w:tcPr>
            <w:tcW w:w="5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color w:val="auto"/>
              </w:rPr>
              <w:t>(34,890)</w:t>
            </w: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3"/>
                <w:szCs w:val="13"/>
                <w:color w:val="auto"/>
              </w:rPr>
              <w:t>(48,820)</w:t>
            </w:r>
          </w:p>
        </w:tc>
        <w:tc>
          <w:tcPr>
            <w:tcW w:w="1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3"/>
                <w:szCs w:val="13"/>
                <w:color w:val="auto"/>
              </w:rPr>
              <w:t>Net loss per share attributable to common stockholders—basic and diluted(1)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(4.16)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(4.36)</w:t>
            </w:r>
          </w:p>
        </w:tc>
        <w:tc>
          <w:tcPr>
            <w:tcW w:w="1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640" w:type="dxa"/>
            <w:vAlign w:val="bottom"/>
            <w:gridSpan w:val="2"/>
          </w:tcPr>
          <w:p>
            <w:pPr>
              <w:spacing w:after="0"/>
              <w:rPr>
                <w:sz w:val="20"/>
                <w:szCs w:val="20"/>
                <w:color w:val="auto"/>
              </w:rPr>
            </w:pPr>
            <w:r>
              <w:rPr>
                <w:rFonts w:ascii="Arial" w:cs="Arial" w:eastAsia="Arial" w:hAnsi="Arial"/>
                <w:sz w:val="13"/>
                <w:szCs w:val="13"/>
                <w:color w:val="auto"/>
              </w:rPr>
              <w:t>Weighted-average shares used to compute net loss per share attributable to common</w:t>
            </w:r>
          </w:p>
        </w:tc>
        <w:tc>
          <w:tcPr>
            <w:tcW w:w="5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20" w:type="dxa"/>
            <w:vAlign w:val="bottom"/>
          </w:tcPr>
          <w:p>
            <w:pPr>
              <w:ind w:left="200"/>
              <w:spacing w:after="0"/>
              <w:rPr>
                <w:sz w:val="20"/>
                <w:szCs w:val="20"/>
                <w:color w:val="auto"/>
              </w:rPr>
            </w:pPr>
            <w:r>
              <w:rPr>
                <w:rFonts w:ascii="Arial" w:cs="Arial" w:eastAsia="Arial" w:hAnsi="Arial"/>
                <w:sz w:val="13"/>
                <w:szCs w:val="13"/>
                <w:color w:val="auto"/>
              </w:rPr>
              <w:t>stockholders—basic and diluted(1)</w:t>
            </w:r>
          </w:p>
        </w:tc>
        <w:tc>
          <w:tcPr>
            <w:tcW w:w="5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8,386,173</w:t>
            </w: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11,186,287</w:t>
            </w:r>
          </w:p>
        </w:tc>
        <w:tc>
          <w:tcPr>
            <w:tcW w:w="6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3"/>
                <w:szCs w:val="13"/>
                <w:color w:val="auto"/>
              </w:rPr>
              <w:t>Pro forma net loss per share—basic and diluted(1)</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(0.35)</w:t>
            </w:r>
          </w:p>
        </w:tc>
        <w:tc>
          <w:tcPr>
            <w:tcW w:w="1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640" w:type="dxa"/>
            <w:vAlign w:val="bottom"/>
            <w:gridSpan w:val="2"/>
          </w:tcPr>
          <w:p>
            <w:pPr>
              <w:spacing w:after="0"/>
              <w:rPr>
                <w:sz w:val="20"/>
                <w:szCs w:val="20"/>
                <w:color w:val="auto"/>
              </w:rPr>
            </w:pPr>
            <w:r>
              <w:rPr>
                <w:rFonts w:ascii="Arial" w:cs="Arial" w:eastAsia="Arial" w:hAnsi="Arial"/>
                <w:sz w:val="13"/>
                <w:szCs w:val="13"/>
                <w:color w:val="auto"/>
              </w:rPr>
              <w:t>Weighted-average shares used in computing pro forma net loss per share—basic and</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tcBorders>
              <w:bottom w:val="single" w:sz="8" w:color="auto"/>
            </w:tcBorders>
          </w:tcPr>
          <w:p>
            <w:pPr>
              <w:ind w:left="200"/>
              <w:spacing w:after="0"/>
              <w:rPr>
                <w:sz w:val="20"/>
                <w:szCs w:val="20"/>
                <w:color w:val="auto"/>
              </w:rPr>
            </w:pPr>
            <w:r>
              <w:rPr>
                <w:rFonts w:ascii="Arial" w:cs="Arial" w:eastAsia="Arial" w:hAnsi="Arial"/>
                <w:sz w:val="13"/>
                <w:szCs w:val="13"/>
                <w:color w:val="auto"/>
              </w:rPr>
              <w:t>diluted(1)</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112,714,741</w:t>
            </w:r>
          </w:p>
        </w:tc>
        <w:tc>
          <w:tcPr>
            <w:tcW w:w="6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00" w:right="300" w:hanging="302"/>
        <w:spacing w:after="0" w:line="258" w:lineRule="auto"/>
        <w:tabs>
          <w:tab w:leader="none" w:pos="6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For the calculation of our basic and diluted net loss per share attributable to common stockholders, basic and diluted pro forma net loss per share and weighted-average number of shares used in the computation of the per share amounts, see Note 12 to our consolidated financial statements included elsewhere in this prospectus.</w:t>
      </w:r>
    </w:p>
    <w:p>
      <w:pPr>
        <w:spacing w:after="0" w:line="14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1529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415290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As of September 30, 2019</w:t>
      </w:r>
    </w:p>
    <w:p>
      <w:pPr>
        <w:spacing w:after="0" w:line="14" w:lineRule="exact"/>
        <w:rPr>
          <w:sz w:val="20"/>
          <w:szCs w:val="20"/>
          <w:color w:val="auto"/>
        </w:rPr>
      </w:pPr>
    </w:p>
    <w:tbl>
      <w:tblPr>
        <w:tblLayout w:type="fixed"/>
        <w:tblInd w:w="300" w:type="dxa"/>
        <w:tblCellMar>
          <w:top w:w="0" w:type="dxa"/>
          <w:left w:w="0" w:type="dxa"/>
          <w:bottom w:w="0" w:type="dxa"/>
          <w:right w:w="0" w:type="dxa"/>
        </w:tblCellMar>
      </w:tblPr>
      <w:tr>
        <w:trPr>
          <w:trHeight w:val="177"/>
        </w:trPr>
        <w:tc>
          <w:tcPr>
            <w:tcW w:w="696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6"/>
              </w:rPr>
              <w:t>Pro forma</w:t>
            </w:r>
          </w:p>
        </w:tc>
        <w:tc>
          <w:tcPr>
            <w:tcW w:w="60" w:type="dxa"/>
            <w:vAlign w:val="bottom"/>
          </w:tcPr>
          <w:p>
            <w:pPr>
              <w:spacing w:after="0"/>
              <w:rPr>
                <w:sz w:val="15"/>
                <w:szCs w:val="15"/>
                <w:color w:val="auto"/>
              </w:rPr>
            </w:pPr>
          </w:p>
        </w:tc>
      </w:tr>
      <w:tr>
        <w:trPr>
          <w:trHeight w:val="221"/>
        </w:trPr>
        <w:tc>
          <w:tcPr>
            <w:tcW w:w="69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Actual</w:t>
            </w:r>
          </w:p>
        </w:tc>
        <w:tc>
          <w:tcPr>
            <w:tcW w:w="15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Pro forma</w:t>
            </w:r>
          </w:p>
        </w:tc>
        <w:tc>
          <w:tcPr>
            <w:tcW w:w="124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8"/>
                <w:szCs w:val="18"/>
                <w:b w:val="1"/>
                <w:bCs w:val="1"/>
                <w:color w:val="auto"/>
                <w:w w:val="97"/>
              </w:rPr>
              <w:t>as adjusted(1)</w:t>
            </w:r>
          </w:p>
        </w:tc>
      </w:tr>
      <w:tr>
        <w:trPr>
          <w:trHeight w:val="226"/>
        </w:trPr>
        <w:tc>
          <w:tcPr>
            <w:tcW w:w="69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40" w:type="dxa"/>
            <w:vAlign w:val="bottom"/>
          </w:tcPr>
          <w:p>
            <w:pPr>
              <w:ind w:left="300"/>
              <w:spacing w:after="0"/>
              <w:rPr>
                <w:sz w:val="20"/>
                <w:szCs w:val="20"/>
                <w:color w:val="auto"/>
              </w:rPr>
            </w:pPr>
            <w:r>
              <w:rPr>
                <w:rFonts w:ascii="Arial" w:cs="Arial" w:eastAsia="Arial" w:hAnsi="Arial"/>
                <w:sz w:val="18"/>
                <w:szCs w:val="18"/>
                <w:b w:val="1"/>
                <w:bCs w:val="1"/>
                <w:color w:val="auto"/>
                <w:w w:val="98"/>
              </w:rPr>
              <w:t>(in thousands)</w:t>
            </w: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r>
    </w:tbl>
    <w:p>
      <w:pPr>
        <w:spacing w:after="0" w:line="33"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4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Cash, cash equivalents and marketable securities</w:t>
            </w:r>
          </w:p>
        </w:tc>
        <w:tc>
          <w:tcPr>
            <w:tcW w:w="2460" w:type="dxa"/>
            <w:vAlign w:val="bottom"/>
          </w:tcPr>
          <w:p>
            <w:pPr>
              <w:jc w:val="right"/>
              <w:ind w:right="462"/>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512"/>
              <w:spacing w:after="0" w:line="202" w:lineRule="exact"/>
              <w:rPr>
                <w:sz w:val="20"/>
                <w:szCs w:val="20"/>
                <w:color w:val="auto"/>
              </w:rPr>
            </w:pPr>
            <w:r>
              <w:rPr>
                <w:rFonts w:ascii="Arial" w:cs="Arial" w:eastAsia="Arial" w:hAnsi="Arial"/>
                <w:sz w:val="18"/>
                <w:szCs w:val="18"/>
                <w:color w:val="auto"/>
              </w:rPr>
              <w:t>$</w:t>
            </w:r>
          </w:p>
        </w:tc>
        <w:tc>
          <w:tcPr>
            <w:tcW w:w="1760" w:type="dxa"/>
            <w:vAlign w:val="bottom"/>
          </w:tcPr>
          <w:p>
            <w:pPr>
              <w:jc w:val="right"/>
              <w:ind w:right="992"/>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Working capital(2)</w:t>
            </w:r>
          </w:p>
        </w:tc>
        <w:tc>
          <w:tcPr>
            <w:tcW w:w="24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2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Redeemable convertible preferred stock</w:t>
            </w:r>
          </w:p>
        </w:tc>
        <w:tc>
          <w:tcPr>
            <w:tcW w:w="24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Accumulated deficit</w:t>
            </w:r>
          </w:p>
        </w:tc>
        <w:tc>
          <w:tcPr>
            <w:tcW w:w="2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stockholders’ (deficit) equity</w:t>
            </w:r>
          </w:p>
        </w:tc>
        <w:tc>
          <w:tcPr>
            <w:tcW w:w="24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5440" w:type="dxa"/>
            <w:vAlign w:val="bottom"/>
            <w:tcBorders>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2"/>
        </w:trPr>
        <w:tc>
          <w:tcPr>
            <w:tcW w:w="5140" w:type="dxa"/>
            <w:vAlign w:val="bottom"/>
          </w:tcPr>
          <w:p>
            <w:pPr>
              <w:spacing w:after="0"/>
              <w:rPr>
                <w:sz w:val="20"/>
                <w:szCs w:val="20"/>
                <w:color w:val="auto"/>
              </w:rPr>
            </w:pPr>
            <w:r>
              <w:rPr>
                <w:rFonts w:ascii="Arial" w:cs="Arial" w:eastAsia="Arial" w:hAnsi="Arial"/>
                <w:sz w:val="13"/>
                <w:szCs w:val="13"/>
                <w:color w:val="auto"/>
              </w:rPr>
              <w:t>(1)  Each $1.00 increase (decrease) in the assumed initial public offering price of $</w:t>
            </w:r>
          </w:p>
        </w:tc>
        <w:tc>
          <w:tcPr>
            <w:tcW w:w="5500" w:type="dxa"/>
            <w:vAlign w:val="bottom"/>
            <w:gridSpan w:val="4"/>
          </w:tcPr>
          <w:p>
            <w:pPr>
              <w:ind w:left="180"/>
              <w:spacing w:after="0"/>
              <w:rPr>
                <w:sz w:val="20"/>
                <w:szCs w:val="20"/>
                <w:color w:val="auto"/>
              </w:rPr>
            </w:pPr>
            <w:r>
              <w:rPr>
                <w:rFonts w:ascii="Arial" w:cs="Arial" w:eastAsia="Arial" w:hAnsi="Arial"/>
                <w:sz w:val="13"/>
                <w:szCs w:val="13"/>
                <w:color w:val="auto"/>
              </w:rPr>
              <w:t>per share (the midpoint of the price range set forth on the cover of this prospectus),</w:t>
            </w:r>
          </w:p>
        </w:tc>
      </w:tr>
    </w:tbl>
    <w:p>
      <w:pPr>
        <w:ind w:left="600"/>
        <w:spacing w:after="0"/>
        <w:rPr>
          <w:sz w:val="20"/>
          <w:szCs w:val="20"/>
          <w:color w:val="auto"/>
        </w:rPr>
      </w:pPr>
      <w:r>
        <w:rPr>
          <w:rFonts w:ascii="Arial" w:cs="Arial" w:eastAsia="Arial" w:hAnsi="Arial"/>
          <w:sz w:val="13"/>
          <w:szCs w:val="13"/>
          <w:color w:val="auto"/>
        </w:rPr>
        <w:t>would increase (decrease) the amount of each of cash, cash equivalents and marketable securities, working capital, total assets and total stockholders’ equity by $</w:t>
      </w:r>
    </w:p>
    <w:p>
      <w:pPr>
        <w:ind w:left="600" w:right="220"/>
        <w:spacing w:after="0" w:line="238" w:lineRule="auto"/>
        <w:rPr>
          <w:sz w:val="20"/>
          <w:szCs w:val="20"/>
          <w:color w:val="auto"/>
        </w:rPr>
      </w:pPr>
      <w:r>
        <w:rPr>
          <w:rFonts w:ascii="Arial" w:cs="Arial" w:eastAsia="Arial" w:hAnsi="Arial"/>
          <w:sz w:val="13"/>
          <w:szCs w:val="13"/>
          <w:color w:val="auto"/>
        </w:rPr>
        <w:t>million, assuming the number of shares offered by us, as set forth on the cover page of this prospectus, remains the same and after deducting the underwriting discounts and commissions and estimated offering expenses payable by us. We may also increase (decrease) the number of shares we are offering. Each increase (decrease) of 1,000,000 in the number of shares we are offering would increase (decrease) the amount of each of cash, cash equivalents and marketable securities, working capital, total</w:t>
      </w:r>
    </w:p>
    <w:p>
      <w:pPr>
        <w:spacing w:after="0" w:line="1" w:lineRule="exact"/>
        <w:rPr>
          <w:sz w:val="20"/>
          <w:szCs w:val="20"/>
          <w:color w:val="auto"/>
        </w:rPr>
      </w:pPr>
    </w:p>
    <w:p>
      <w:pPr>
        <w:ind w:left="600" w:right="260"/>
        <w:spacing w:after="0" w:line="245" w:lineRule="auto"/>
        <w:rPr>
          <w:sz w:val="20"/>
          <w:szCs w:val="20"/>
          <w:color w:val="auto"/>
        </w:rPr>
      </w:pPr>
      <w:r>
        <w:rPr>
          <w:rFonts w:ascii="Arial" w:cs="Arial" w:eastAsia="Arial" w:hAnsi="Arial"/>
          <w:sz w:val="13"/>
          <w:szCs w:val="13"/>
          <w:color w:val="auto"/>
        </w:rPr>
        <w:t>assets and total stockholders’ equity by $ million, assuming the assumed initial public offering price of $ per share (the midpoint of the price range set forth on the cover of this prospectus), remains the same and after deducting the underwriting discounts and commissions and estimated offering expenses payable by us. The pro forma as adjusted information is illustrative only and we will adjust this information based on the actual initial public offering price and other terms of this offering determined at pricing.</w:t>
      </w:r>
    </w:p>
    <w:p>
      <w:pPr>
        <w:spacing w:after="0" w:line="204" w:lineRule="exact"/>
        <w:rPr>
          <w:sz w:val="20"/>
          <w:szCs w:val="20"/>
          <w:color w:val="auto"/>
        </w:rPr>
      </w:pPr>
    </w:p>
    <w:p>
      <w:pPr>
        <w:ind w:left="300"/>
        <w:spacing w:after="0"/>
        <w:tabs>
          <w:tab w:leader="none" w:pos="580" w:val="left"/>
        </w:tabs>
        <w:rPr>
          <w:sz w:val="20"/>
          <w:szCs w:val="20"/>
          <w:color w:val="auto"/>
        </w:rPr>
      </w:pPr>
      <w:r>
        <w:rPr>
          <w:rFonts w:ascii="Arial" w:cs="Arial" w:eastAsia="Arial" w:hAnsi="Arial"/>
          <w:sz w:val="13"/>
          <w:szCs w:val="13"/>
          <w:color w:val="auto"/>
        </w:rPr>
        <w:t>(2)</w:t>
        <w:tab/>
        <w:t>We define working capital as current assets less current liabilities.</w:t>
      </w:r>
    </w:p>
    <w:p>
      <w:pPr>
        <w:spacing w:after="0" w:line="11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preceding table presents our consolidated balance sheet data as of September 30, 2019:</w:t>
      </w:r>
    </w:p>
    <w:p>
      <w:pPr>
        <w:spacing w:after="0" w:line="117"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2900" w:type="dxa"/>
            <w:vAlign w:val="bottom"/>
            <w:gridSpan w:val="2"/>
          </w:tcPr>
          <w:p>
            <w:pPr>
              <w:ind w:left="180"/>
              <w:spacing w:after="0"/>
              <w:rPr>
                <w:sz w:val="20"/>
                <w:szCs w:val="20"/>
                <w:color w:val="auto"/>
              </w:rPr>
            </w:pPr>
            <w:r>
              <w:rPr>
                <w:rFonts w:ascii="Arial" w:cs="Arial" w:eastAsia="Arial" w:hAnsi="Arial"/>
                <w:sz w:val="18"/>
                <w:szCs w:val="18"/>
                <w:color w:val="auto"/>
              </w:rPr>
              <w:t>•  on an actual basis;</w:t>
            </w:r>
          </w:p>
        </w:tc>
        <w:tc>
          <w:tcPr>
            <w:tcW w:w="2880" w:type="dxa"/>
            <w:vAlign w:val="bottom"/>
          </w:tcPr>
          <w:p>
            <w:pPr>
              <w:spacing w:after="0"/>
              <w:rPr>
                <w:sz w:val="18"/>
                <w:szCs w:val="18"/>
                <w:color w:val="auto"/>
              </w:rPr>
            </w:pPr>
          </w:p>
        </w:tc>
        <w:tc>
          <w:tcPr>
            <w:tcW w:w="5240" w:type="dxa"/>
            <w:vAlign w:val="bottom"/>
          </w:tcPr>
          <w:p>
            <w:pPr>
              <w:spacing w:after="0"/>
              <w:rPr>
                <w:sz w:val="18"/>
                <w:szCs w:val="18"/>
                <w:color w:val="auto"/>
              </w:rPr>
            </w:pPr>
          </w:p>
        </w:tc>
      </w:tr>
      <w:tr>
        <w:trPr>
          <w:trHeight w:val="316"/>
        </w:trPr>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5480" w:type="dxa"/>
            <w:vAlign w:val="bottom"/>
            <w:gridSpan w:val="2"/>
          </w:tcPr>
          <w:p>
            <w:pPr>
              <w:ind w:left="60"/>
              <w:spacing w:after="0"/>
              <w:rPr>
                <w:sz w:val="20"/>
                <w:szCs w:val="20"/>
                <w:color w:val="auto"/>
              </w:rPr>
            </w:pPr>
            <w:r>
              <w:rPr>
                <w:rFonts w:ascii="Arial" w:cs="Arial" w:eastAsia="Arial" w:hAnsi="Arial"/>
                <w:sz w:val="18"/>
                <w:szCs w:val="18"/>
                <w:color w:val="auto"/>
              </w:rPr>
              <w:t>on a pro forma basis to give effect to: (i) the conversion of all</w:t>
            </w:r>
          </w:p>
        </w:tc>
        <w:tc>
          <w:tcPr>
            <w:tcW w:w="5240" w:type="dxa"/>
            <w:vAlign w:val="bottom"/>
          </w:tcPr>
          <w:p>
            <w:pPr>
              <w:ind w:left="160"/>
              <w:spacing w:after="0"/>
              <w:rPr>
                <w:sz w:val="20"/>
                <w:szCs w:val="20"/>
                <w:color w:val="auto"/>
              </w:rPr>
            </w:pPr>
            <w:r>
              <w:rPr>
                <w:rFonts w:ascii="Arial" w:cs="Arial" w:eastAsia="Arial" w:hAnsi="Arial"/>
                <w:sz w:val="18"/>
                <w:szCs w:val="18"/>
                <w:color w:val="auto"/>
              </w:rPr>
              <w:t>shares of our redeemable convertible preferred stock</w:t>
            </w:r>
          </w:p>
        </w:tc>
      </w:tr>
      <w:tr>
        <w:trPr>
          <w:trHeight w:val="203"/>
        </w:trPr>
        <w:tc>
          <w:tcPr>
            <w:tcW w:w="300" w:type="dxa"/>
            <w:vAlign w:val="bottom"/>
          </w:tcPr>
          <w:p>
            <w:pPr>
              <w:spacing w:after="0"/>
              <w:rPr>
                <w:sz w:val="17"/>
                <w:szCs w:val="17"/>
                <w:color w:val="auto"/>
              </w:rPr>
            </w:pPr>
          </w:p>
        </w:tc>
        <w:tc>
          <w:tcPr>
            <w:tcW w:w="10720" w:type="dxa"/>
            <w:vAlign w:val="bottom"/>
            <w:gridSpan w:val="3"/>
          </w:tcPr>
          <w:p>
            <w:pPr>
              <w:ind w:left="60"/>
              <w:spacing w:after="0" w:line="202" w:lineRule="exact"/>
              <w:rPr>
                <w:sz w:val="20"/>
                <w:szCs w:val="20"/>
                <w:color w:val="auto"/>
              </w:rPr>
            </w:pPr>
            <w:r>
              <w:rPr>
                <w:rFonts w:ascii="Arial" w:cs="Arial" w:eastAsia="Arial" w:hAnsi="Arial"/>
                <w:sz w:val="18"/>
                <w:szCs w:val="18"/>
                <w:color w:val="auto"/>
              </w:rPr>
              <w:t>outstanding as of September 30, 2019 into an equivalent number of shares of our common stock, which will be effective upon the</w:t>
            </w:r>
          </w:p>
        </w:tc>
      </w:tr>
      <w:tr>
        <w:trPr>
          <w:trHeight w:val="203"/>
        </w:trPr>
        <w:tc>
          <w:tcPr>
            <w:tcW w:w="300" w:type="dxa"/>
            <w:vAlign w:val="bottom"/>
          </w:tcPr>
          <w:p>
            <w:pPr>
              <w:spacing w:after="0"/>
              <w:rPr>
                <w:sz w:val="17"/>
                <w:szCs w:val="17"/>
                <w:color w:val="auto"/>
              </w:rPr>
            </w:pPr>
          </w:p>
        </w:tc>
        <w:tc>
          <w:tcPr>
            <w:tcW w:w="10720" w:type="dxa"/>
            <w:vAlign w:val="bottom"/>
            <w:gridSpan w:val="3"/>
          </w:tcPr>
          <w:p>
            <w:pPr>
              <w:ind w:left="60"/>
              <w:spacing w:after="0" w:line="202" w:lineRule="exact"/>
              <w:rPr>
                <w:sz w:val="20"/>
                <w:szCs w:val="20"/>
                <w:color w:val="auto"/>
              </w:rPr>
            </w:pPr>
            <w:r>
              <w:rPr>
                <w:rFonts w:ascii="Arial" w:cs="Arial" w:eastAsia="Arial" w:hAnsi="Arial"/>
                <w:sz w:val="18"/>
                <w:szCs w:val="18"/>
                <w:color w:val="auto"/>
              </w:rPr>
              <w:t>closing of this offering; and (ii) the filing and effectiveness of our amended and restated certificate of incorporation, which will occur</w:t>
            </w:r>
          </w:p>
        </w:tc>
      </w:tr>
      <w:tr>
        <w:trPr>
          <w:trHeight w:val="211"/>
        </w:trPr>
        <w:tc>
          <w:tcPr>
            <w:tcW w:w="300" w:type="dxa"/>
            <w:vAlign w:val="bottom"/>
          </w:tcPr>
          <w:p>
            <w:pPr>
              <w:spacing w:after="0"/>
              <w:rPr>
                <w:sz w:val="18"/>
                <w:szCs w:val="18"/>
                <w:color w:val="auto"/>
              </w:rPr>
            </w:pPr>
          </w:p>
        </w:tc>
        <w:tc>
          <w:tcPr>
            <w:tcW w:w="5480" w:type="dxa"/>
            <w:vAlign w:val="bottom"/>
            <w:gridSpan w:val="2"/>
          </w:tcPr>
          <w:p>
            <w:pPr>
              <w:ind w:left="60"/>
              <w:spacing w:after="0"/>
              <w:rPr>
                <w:sz w:val="20"/>
                <w:szCs w:val="20"/>
                <w:color w:val="auto"/>
              </w:rPr>
            </w:pPr>
            <w:r>
              <w:rPr>
                <w:rFonts w:ascii="Arial" w:cs="Arial" w:eastAsia="Arial" w:hAnsi="Arial"/>
                <w:sz w:val="18"/>
                <w:szCs w:val="18"/>
                <w:color w:val="auto"/>
              </w:rPr>
              <w:t>immediately prior to the consummation of this offering; and</w:t>
            </w:r>
          </w:p>
        </w:tc>
        <w:tc>
          <w:tcPr>
            <w:tcW w:w="5240" w:type="dxa"/>
            <w:vAlign w:val="bottom"/>
          </w:tcPr>
          <w:p>
            <w:pPr>
              <w:spacing w:after="0"/>
              <w:rPr>
                <w:sz w:val="18"/>
                <w:szCs w:val="18"/>
                <w:color w:val="auto"/>
              </w:rPr>
            </w:pPr>
          </w:p>
        </w:tc>
      </w:tr>
      <w:tr>
        <w:trPr>
          <w:trHeight w:val="316"/>
        </w:trPr>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5480" w:type="dxa"/>
            <w:vAlign w:val="bottom"/>
            <w:gridSpan w:val="2"/>
          </w:tcPr>
          <w:p>
            <w:pPr>
              <w:ind w:left="60"/>
              <w:spacing w:after="0"/>
              <w:rPr>
                <w:sz w:val="20"/>
                <w:szCs w:val="20"/>
                <w:color w:val="auto"/>
              </w:rPr>
            </w:pPr>
            <w:r>
              <w:rPr>
                <w:rFonts w:ascii="Arial" w:cs="Arial" w:eastAsia="Arial" w:hAnsi="Arial"/>
                <w:sz w:val="18"/>
                <w:szCs w:val="18"/>
                <w:color w:val="auto"/>
              </w:rPr>
              <w:t>on a pro forma as adjusted basis to give further effect to the sale of</w:t>
            </w:r>
          </w:p>
        </w:tc>
        <w:tc>
          <w:tcPr>
            <w:tcW w:w="5240" w:type="dxa"/>
            <w:vAlign w:val="bottom"/>
          </w:tcPr>
          <w:p>
            <w:pPr>
              <w:ind w:left="660"/>
              <w:spacing w:after="0"/>
              <w:rPr>
                <w:sz w:val="20"/>
                <w:szCs w:val="20"/>
                <w:color w:val="auto"/>
              </w:rPr>
            </w:pPr>
            <w:r>
              <w:rPr>
                <w:rFonts w:ascii="Arial" w:cs="Arial" w:eastAsia="Arial" w:hAnsi="Arial"/>
                <w:sz w:val="18"/>
                <w:szCs w:val="18"/>
                <w:color w:val="auto"/>
              </w:rPr>
              <w:t>shares of common stock in this offering at an assumed</w:t>
            </w:r>
          </w:p>
        </w:tc>
      </w:tr>
      <w:tr>
        <w:trPr>
          <w:trHeight w:val="203"/>
        </w:trPr>
        <w:tc>
          <w:tcPr>
            <w:tcW w:w="300" w:type="dxa"/>
            <w:vAlign w:val="bottom"/>
          </w:tcPr>
          <w:p>
            <w:pPr>
              <w:spacing w:after="0"/>
              <w:rPr>
                <w:sz w:val="17"/>
                <w:szCs w:val="17"/>
                <w:color w:val="auto"/>
              </w:rPr>
            </w:pPr>
          </w:p>
        </w:tc>
        <w:tc>
          <w:tcPr>
            <w:tcW w:w="2600" w:type="dxa"/>
            <w:vAlign w:val="bottom"/>
          </w:tcPr>
          <w:p>
            <w:pPr>
              <w:ind w:left="60"/>
              <w:spacing w:after="0" w:line="202" w:lineRule="exact"/>
              <w:rPr>
                <w:sz w:val="20"/>
                <w:szCs w:val="20"/>
                <w:color w:val="auto"/>
              </w:rPr>
            </w:pPr>
            <w:r>
              <w:rPr>
                <w:rFonts w:ascii="Arial" w:cs="Arial" w:eastAsia="Arial" w:hAnsi="Arial"/>
                <w:sz w:val="18"/>
                <w:szCs w:val="18"/>
                <w:color w:val="auto"/>
              </w:rPr>
              <w:t>initial public offering price of $</w:t>
            </w:r>
          </w:p>
        </w:tc>
        <w:tc>
          <w:tcPr>
            <w:tcW w:w="81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per share, the midpoint of the price range set forth on the cover of this prospectus, after deducting</w:t>
            </w:r>
          </w:p>
        </w:tc>
      </w:tr>
      <w:tr>
        <w:trPr>
          <w:trHeight w:val="196"/>
        </w:trPr>
        <w:tc>
          <w:tcPr>
            <w:tcW w:w="300" w:type="dxa"/>
            <w:vAlign w:val="bottom"/>
            <w:tcBorders>
              <w:bottom w:val="single" w:sz="8" w:color="auto"/>
            </w:tcBorders>
          </w:tcPr>
          <w:p>
            <w:pPr>
              <w:spacing w:after="0"/>
              <w:rPr>
                <w:sz w:val="17"/>
                <w:szCs w:val="17"/>
                <w:color w:val="auto"/>
              </w:rPr>
            </w:pPr>
          </w:p>
        </w:tc>
        <w:tc>
          <w:tcPr>
            <w:tcW w:w="10720" w:type="dxa"/>
            <w:vAlign w:val="bottom"/>
            <w:tcBorders>
              <w:bottom w:val="single" w:sz="8" w:color="auto"/>
            </w:tcBorders>
            <w:gridSpan w:val="3"/>
          </w:tcPr>
          <w:p>
            <w:pPr>
              <w:ind w:left="60"/>
              <w:spacing w:after="0" w:line="196" w:lineRule="exact"/>
              <w:rPr>
                <w:sz w:val="20"/>
                <w:szCs w:val="20"/>
                <w:color w:val="auto"/>
              </w:rPr>
            </w:pPr>
            <w:r>
              <w:rPr>
                <w:rFonts w:ascii="Arial" w:cs="Arial" w:eastAsia="Arial" w:hAnsi="Arial"/>
                <w:sz w:val="18"/>
                <w:szCs w:val="18"/>
                <w:color w:val="auto"/>
              </w:rPr>
              <w:t>the underwriting discounts and commissions and estimated offering expenses payable by us.</w:t>
            </w:r>
          </w:p>
        </w:tc>
      </w:tr>
      <w:tr>
        <w:trPr>
          <w:trHeight w:val="359"/>
        </w:trPr>
        <w:tc>
          <w:tcPr>
            <w:tcW w:w="3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88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52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Risk factors</w:t>
      </w:r>
    </w:p>
    <w:p>
      <w:pPr>
        <w:spacing w:after="0" w:line="139" w:lineRule="exact"/>
        <w:rPr>
          <w:sz w:val="20"/>
          <w:szCs w:val="20"/>
          <w:color w:val="auto"/>
        </w:rPr>
      </w:pPr>
    </w:p>
    <w:p>
      <w:pPr>
        <w:ind w:left="120" w:right="40"/>
        <w:spacing w:after="0" w:line="241"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as well as the other information in this prospectus,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our limited operating history, financial position and need for additional capital</w:t>
      </w:r>
    </w:p>
    <w:p>
      <w:pPr>
        <w:spacing w:after="0" w:line="114" w:lineRule="exact"/>
        <w:rPr>
          <w:sz w:val="20"/>
          <w:szCs w:val="20"/>
          <w:color w:val="auto"/>
        </w:rPr>
      </w:pPr>
    </w:p>
    <w:p>
      <w:pPr>
        <w:ind w:left="120"/>
        <w:spacing w:after="0" w:line="294" w:lineRule="auto"/>
        <w:rPr>
          <w:sz w:val="20"/>
          <w:szCs w:val="20"/>
          <w:color w:val="auto"/>
        </w:rPr>
      </w:pPr>
      <w:r>
        <w:rPr>
          <w:rFonts w:ascii="Arial" w:cs="Arial" w:eastAsia="Arial" w:hAnsi="Arial"/>
          <w:sz w:val="16"/>
          <w:szCs w:val="16"/>
          <w:b w:val="1"/>
          <w:bCs w:val="1"/>
          <w:i w:val="1"/>
          <w:iCs w:val="1"/>
          <w:color w:val="auto"/>
        </w:rPr>
        <w:t>We are a clinical-stage precision oncology company with a limited operating history and no products approved for commercial sale. We have incurred significant losses since inception. We expect to incur losses for at least the next several years and may never achieve or maintain profitability, which, together with our limited operating history, makes it difficult to assess our future viability.</w:t>
      </w:r>
    </w:p>
    <w:p>
      <w:pPr>
        <w:spacing w:after="0" w:line="59" w:lineRule="exact"/>
        <w:rPr>
          <w:sz w:val="20"/>
          <w:szCs w:val="20"/>
          <w:color w:val="auto"/>
        </w:rPr>
      </w:pPr>
    </w:p>
    <w:p>
      <w:pPr>
        <w:ind w:left="120"/>
        <w:spacing w:after="0" w:line="271" w:lineRule="auto"/>
        <w:rPr>
          <w:sz w:val="20"/>
          <w:szCs w:val="20"/>
          <w:color w:val="auto"/>
        </w:rPr>
      </w:pPr>
      <w:r>
        <w:rPr>
          <w:rFonts w:ascii="Arial" w:cs="Arial" w:eastAsia="Arial" w:hAnsi="Arial"/>
          <w:sz w:val="16"/>
          <w:szCs w:val="16"/>
          <w:color w:val="auto"/>
        </w:rPr>
        <w:t>Biopharmaceutical product development is a highly speculative undertaking and involves a substantial degree of risk. We are a clinical-stage precision oncology company, and we have only a limited operating history upon which you can evaluate our business and prospects. We currently have no products approved for commercial sale, have not generated any revenue from sales of products and have incurred losses in each year since our inception in October 2014. In addition, we have limited experience as a company and have not yet demonstrated an ability to successfully overcome many of the risks and uncertainties frequently encountered by companies in new and rapidly evolving fields, particularly in the biopharmaceutical industry. Only one of our product candidates, RMC-4630, is currently in clinical development.</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 inception, we have incurred significant net losses. Our net losses were $31.1 million for the year ended December 31, 2017 and</w:t>
      </w:r>
    </w:p>
    <w:p>
      <w:pPr>
        <w:ind w:left="120" w:right="40"/>
        <w:spacing w:after="0" w:line="268" w:lineRule="auto"/>
        <w:rPr>
          <w:sz w:val="20"/>
          <w:szCs w:val="20"/>
          <w:color w:val="auto"/>
        </w:rPr>
      </w:pPr>
      <w:r>
        <w:rPr>
          <w:rFonts w:ascii="Arial" w:cs="Arial" w:eastAsia="Arial" w:hAnsi="Arial"/>
          <w:sz w:val="16"/>
          <w:szCs w:val="16"/>
          <w:color w:val="auto"/>
        </w:rPr>
        <w:t>$41.8 million for the year ended December 31, 2018. As of December 31, 2018, we had an accumulated deficit of $109.7 million. We have funded our operations to date primarily with proceeds from the sale of preferred stock and upfront payments and research and development cost reimbursement received under our collaboration agreement with Genzyme Corporation, an affiliate of Sanofi, or the Sanofi Agreement. To date, we have devoted substantially all of our resources to organizing and staffing our company, business planning, raising capital, acquiring and discovering development programs, securing intellectual property rights and conducting discovery, research and development activities for our programs. We have not yet demonstrated our ability to successfully complete any clinical trials, including pivotal clinical trials, obtain marketing approvals, manufacture a commercial-scale product, or arrange for a third party to do so on our behalf, or conduct sales and marketing activities necessary for successful product commercialization. Our product candidates will require substantial additional development time and resources before we will be able to apply for or receive regulatory approvals and, if approved, begin generating revenue from product sales. We expect to continue to incur significant expenses and operating losses for the foreseeable future.</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be profitable.</w:t>
      </w:r>
    </w:p>
    <w:p>
      <w:pPr>
        <w:spacing w:after="0" w:line="124"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our collaboration partners, to successfully complete the development of, and obtain the regulatory approvals necessary to commercialize, our development programs. We do not anticipate generating revenue from product sales for the next several years, if ever. Our ability to generate future revenue from product sales depends heavily on our, Sanofi’s, and any potential future collaborators’ success in:</w:t>
      </w:r>
    </w:p>
    <w:p>
      <w:pPr>
        <w:spacing w:after="0" w:line="114" w:lineRule="exact"/>
        <w:rPr>
          <w:sz w:val="20"/>
          <w:szCs w:val="20"/>
          <w:color w:val="auto"/>
        </w:rPr>
      </w:pPr>
    </w:p>
    <w:p>
      <w:pPr>
        <w:ind w:left="340" w:right="860" w:hanging="224"/>
        <w:spacing w:after="0" w:line="239"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completing clinical and preclinical development of product candidates and programs and identifying and developing new product candidates;</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hanging="224"/>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seeking and obtaining marketing approvals for any product candidates that we develop;</w:t>
      </w:r>
    </w:p>
    <w:p>
      <w:pPr>
        <w:spacing w:after="0" w:line="117" w:lineRule="exact"/>
        <w:rPr>
          <w:rFonts w:ascii="Arial" w:cs="Arial" w:eastAsia="Arial" w:hAnsi="Arial"/>
          <w:sz w:val="18"/>
          <w:szCs w:val="18"/>
          <w:color w:val="auto"/>
        </w:rPr>
      </w:pPr>
    </w:p>
    <w:p>
      <w:pPr>
        <w:ind w:left="340" w:right="600" w:hanging="224"/>
        <w:spacing w:after="0" w:line="239"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marketing approval by establishing a sales force, marketing, medical affairs and distribution infrastructure or, alternatively, collaborating with a commercialization partner;</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achieving adequate coverage and reimbursement by third-party payors for product candidates that we develop;</w:t>
      </w:r>
    </w:p>
    <w:p>
      <w:pPr>
        <w:spacing w:after="0" w:line="117" w:lineRule="exact"/>
        <w:rPr>
          <w:rFonts w:ascii="Arial" w:cs="Arial" w:eastAsia="Arial" w:hAnsi="Arial"/>
          <w:sz w:val="18"/>
          <w:szCs w:val="18"/>
          <w:color w:val="auto"/>
        </w:rPr>
      </w:pPr>
    </w:p>
    <w:p>
      <w:pPr>
        <w:ind w:left="340" w:right="60" w:hanging="224"/>
        <w:spacing w:after="0" w:line="299"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establishing and maintaining supply and manufacturing relationships with third parties that can provide adequate, in both amount and quality, products and services to support clinical development and the market demand for product candidates that we develop, if approved;</w:t>
      </w:r>
    </w:p>
    <w:p>
      <w:pPr>
        <w:spacing w:after="0" w:line="68" w:lineRule="exact"/>
        <w:rPr>
          <w:rFonts w:ascii="Arial" w:cs="Arial" w:eastAsia="Arial" w:hAnsi="Arial"/>
          <w:sz w:val="16"/>
          <w:szCs w:val="16"/>
          <w:color w:val="auto"/>
        </w:rPr>
      </w:pPr>
    </w:p>
    <w:p>
      <w:pPr>
        <w:ind w:left="340" w:hanging="224"/>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market acceptance of product candidates that we develop as viable treatment options;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17" w:lineRule="exact"/>
        <w:rPr>
          <w:rFonts w:ascii="Arial" w:cs="Arial" w:eastAsia="Arial" w:hAnsi="Arial"/>
          <w:sz w:val="18"/>
          <w:szCs w:val="18"/>
          <w:color w:val="auto"/>
        </w:rPr>
      </w:pPr>
    </w:p>
    <w:p>
      <w:pPr>
        <w:ind w:left="340" w:hanging="224"/>
        <w:spacing w:after="0" w:line="239"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in such collaborations;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maintaining, protecting, enforcing and expanding our portfolio of intellectual property rights, including patents, trade secrets and know-how;</w:t>
      </w:r>
    </w:p>
    <w:p>
      <w:pPr>
        <w:spacing w:after="0" w:line="140" w:lineRule="exact"/>
        <w:rPr>
          <w:rFonts w:ascii="Arial" w:cs="Arial" w:eastAsia="Arial" w:hAnsi="Arial"/>
          <w:sz w:val="16"/>
          <w:szCs w:val="16"/>
          <w:color w:val="auto"/>
        </w:rPr>
      </w:pPr>
    </w:p>
    <w:p>
      <w:pPr>
        <w:ind w:left="340" w:hanging="224"/>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defending against third-party interference, infringement or other intellectual property-related claims, if any;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10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the U.S. Food and Drug Administration, or the FDA, the European Medicines Agency, or the EMA, or other regulatory agencies to perform clinical trials or studies in addition to those that we currently anticipate. Even if we are able to generate revenue from the sale of any approved products, we may not become profitable and may need to obtain additional funding to continue operations.</w:t>
      </w:r>
    </w:p>
    <w:p>
      <w:pPr>
        <w:spacing w:after="0" w:line="83" w:lineRule="exact"/>
        <w:rPr>
          <w:sz w:val="20"/>
          <w:szCs w:val="20"/>
          <w:color w:val="auto"/>
        </w:rPr>
      </w:pPr>
    </w:p>
    <w:p>
      <w:pPr>
        <w:ind w:left="120" w:right="120"/>
        <w:spacing w:after="0" w:line="248" w:lineRule="auto"/>
        <w:rPr>
          <w:sz w:val="20"/>
          <w:szCs w:val="20"/>
          <w:color w:val="auto"/>
        </w:rPr>
      </w:pPr>
      <w:r>
        <w:rPr>
          <w:rFonts w:ascii="Arial" w:cs="Arial" w:eastAsia="Arial" w:hAnsi="Arial"/>
          <w:sz w:val="18"/>
          <w:szCs w:val="18"/>
          <w:b w:val="1"/>
          <w:bCs w:val="1"/>
          <w:i w:val="1"/>
          <w:iCs w:val="1"/>
          <w:color w:val="auto"/>
        </w:rPr>
        <w:t>Even if this offering is successful, 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p>
    <w:p>
      <w:pPr>
        <w:spacing w:after="0" w:line="9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Our operations have consumed substantial amounts of cash since inception. Since our inception, we have invested a significant portion of our efforts and financial resources in research and development activities for our initial preclinical and clinical product candidates. Preclinical studies and clinical trials and additional research and development activities will require substantial funds to complete. As of December 31, 2018, we had cash and cash equivalents of $69.6 million. We expect to continue to spend substantial amounts to continue the preclinical and clinical development of our current and future programs. If we are able to gain marketing approval for product candidates that we develop, including RMC-4630, we will require significant additional amounts of cash in order to launch and commercialize such product candidates to the extent that such launch and commercialization are not the responsibility of Sanofi or another collaborator that we may contract with in the future. In addition, other unanticipated costs may arise. Because the design and outcome of our planned and anticipated clinical trials is highly uncertain, we cannot reasonably estimate the actual amounts necessary to successfully complete the development and commercialization of any product candidate we develop.</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17" w:lineRule="exact"/>
        <w:rPr>
          <w:sz w:val="20"/>
          <w:szCs w:val="20"/>
          <w:color w:val="auto"/>
        </w:rPr>
      </w:pPr>
    </w:p>
    <w:p>
      <w:pPr>
        <w:ind w:left="340" w:right="180" w:hanging="224"/>
        <w:spacing w:after="0" w:line="239"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product candidates and programs, and of conducting preclinical studies and clinical trials;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marketing approvals for product candidates we develop if clinical trials are successful;</w:t>
      </w:r>
    </w:p>
    <w:p>
      <w:pPr>
        <w:spacing w:after="0" w:line="117" w:lineRule="exact"/>
        <w:rPr>
          <w:rFonts w:ascii="Arial" w:cs="Arial" w:eastAsia="Arial" w:hAnsi="Arial"/>
          <w:sz w:val="18"/>
          <w:szCs w:val="18"/>
          <w:color w:val="auto"/>
        </w:rPr>
      </w:pPr>
    </w:p>
    <w:p>
      <w:pPr>
        <w:ind w:left="340" w:right="80" w:hanging="224"/>
        <w:spacing w:after="0" w:line="239"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success of our collaboration with Sanofi, including the continued reimbursement by Sanofi of substantially all of our research costs and all of our development costs for the SHP2 program under the Sanofi Agreement;</w:t>
      </w:r>
    </w:p>
    <w:p>
      <w:pPr>
        <w:spacing w:after="0" w:line="114" w:lineRule="exact"/>
        <w:rPr>
          <w:rFonts w:ascii="Arial" w:cs="Arial" w:eastAsia="Arial" w:hAnsi="Arial"/>
          <w:sz w:val="18"/>
          <w:szCs w:val="18"/>
          <w:color w:val="auto"/>
        </w:rPr>
      </w:pPr>
    </w:p>
    <w:p>
      <w:pPr>
        <w:ind w:left="340" w:right="780" w:hanging="224"/>
        <w:spacing w:after="0" w:line="239"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we achieve certain clinical and regulatory milestones under the Sanofi Agreement, each of which would trigger additional payments to us;</w:t>
      </w:r>
    </w:p>
    <w:p>
      <w:pPr>
        <w:spacing w:after="0" w:line="114" w:lineRule="exact"/>
        <w:rPr>
          <w:rFonts w:ascii="Arial" w:cs="Arial" w:eastAsia="Arial" w:hAnsi="Arial"/>
          <w:sz w:val="18"/>
          <w:szCs w:val="18"/>
          <w:color w:val="auto"/>
        </w:rPr>
      </w:pPr>
    </w:p>
    <w:p>
      <w:pPr>
        <w:ind w:left="340" w:hanging="224"/>
        <w:spacing w:after="0" w:line="238"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commercialization activities for RMC-4630, to the extent not borne by Sanofi, and any other future product candidates we develop, whether alone or in collaboration, including marketing, sales and distribution costs if RMC-4630 or any other product candidate we develop is approved for sale;</w:t>
      </w:r>
    </w:p>
    <w:p>
      <w:pPr>
        <w:spacing w:after="0" w:line="113" w:lineRule="exact"/>
        <w:rPr>
          <w:rFonts w:ascii="Arial" w:cs="Arial" w:eastAsia="Arial" w:hAnsi="Arial"/>
          <w:sz w:val="18"/>
          <w:szCs w:val="18"/>
          <w:color w:val="auto"/>
        </w:rPr>
      </w:pPr>
    </w:p>
    <w:p>
      <w:pPr>
        <w:ind w:left="340" w:right="880" w:hanging="224"/>
        <w:spacing w:after="0" w:line="239"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manufacturing our current and future product candidates for clinical trials in preparation for marketing approval and in preparation for commercialization;</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establish and maintain strategic licenses or other arrangements and the financial terms of such agreements;</w:t>
      </w:r>
    </w:p>
    <w:p>
      <w:pPr>
        <w:spacing w:after="0" w:line="117" w:lineRule="exact"/>
        <w:rPr>
          <w:rFonts w:ascii="Arial" w:cs="Arial" w:eastAsia="Arial" w:hAnsi="Arial"/>
          <w:sz w:val="18"/>
          <w:szCs w:val="18"/>
          <w:color w:val="auto"/>
        </w:rPr>
      </w:pPr>
    </w:p>
    <w:p>
      <w:pPr>
        <w:ind w:left="340" w:right="60" w:hanging="224"/>
        <w:spacing w:after="0" w:line="239"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expanding, defending and enforcing patent claims, including litigation costs and the outcome of such litigation;</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receipt and amount of sales of, profit share or royalties on, our future products, if any;</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emergence of competing cancer therapies and other adverse market developments;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plans to acquire or in-license other programs or technologies.</w:t>
      </w:r>
    </w:p>
    <w:p>
      <w:pPr>
        <w:spacing w:after="0" w:line="104"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Other than our Sanofi collaboration on SHP2 inhibitors, including RMC-4630, we do not have any committed external source of funds or other support for our development efforts. We expect to finance our cash needs through a combination of public or private equity offerings, debt financings, collaborations, strategic alliances, licensing arrangements and other marketing or distribution arrangements. In addition, we may seek additional capital due to favorable market conditions or strategic considerations even if we believe we have sufficient funds for our current or future operating plans. Based on our research and development plans, we expect that the net proceeds from this offering, together with our existing cash, cash equivalents and marketable securities, will enable us to fund our operations for at least 12 months following the date of this offering.</w:t>
      </w:r>
    </w:p>
    <w:p>
      <w:pPr>
        <w:spacing w:after="0" w:line="101" w:lineRule="exact"/>
        <w:rPr>
          <w:sz w:val="20"/>
          <w:szCs w:val="20"/>
          <w:color w:val="auto"/>
        </w:rPr>
      </w:pPr>
    </w:p>
    <w:p>
      <w:pPr>
        <w:jc w:val="both"/>
        <w:ind w:left="120" w:right="280"/>
        <w:spacing w:after="0" w:line="238" w:lineRule="auto"/>
        <w:rPr>
          <w:sz w:val="20"/>
          <w:szCs w:val="20"/>
          <w:color w:val="auto"/>
        </w:rPr>
      </w:pPr>
      <w:r>
        <w:rPr>
          <w:rFonts w:ascii="Arial" w:cs="Arial" w:eastAsia="Arial" w:hAnsi="Arial"/>
          <w:sz w:val="18"/>
          <w:szCs w:val="18"/>
          <w:color w:val="auto"/>
        </w:rPr>
        <w:t>Our ability to raise additional funds will depend on financial, economic and other factors, many of which are beyond our control. Additional funds may not be available when we need them, on terms that are acceptable to us, or at all. If adequate funds are not available to us on a timely basis, we may be required to:</w:t>
      </w:r>
    </w:p>
    <w:p>
      <w:pPr>
        <w:spacing w:after="0" w:line="113" w:lineRule="exact"/>
        <w:rPr>
          <w:sz w:val="20"/>
          <w:szCs w:val="20"/>
          <w:color w:val="auto"/>
        </w:rPr>
      </w:pPr>
    </w:p>
    <w:p>
      <w:pPr>
        <w:ind w:left="340" w:right="240" w:hanging="224"/>
        <w:spacing w:after="0" w:line="239"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 limit, reduce or terminate preclinical studies, clinical trials or other research and development activities or eliminate one or more of our development programs altogether; or</w:t>
      </w:r>
    </w:p>
    <w:p>
      <w:pPr>
        <w:spacing w:after="0" w:line="114" w:lineRule="exact"/>
        <w:rPr>
          <w:rFonts w:ascii="Arial" w:cs="Arial" w:eastAsia="Arial" w:hAnsi="Arial"/>
          <w:sz w:val="18"/>
          <w:szCs w:val="18"/>
          <w:color w:val="auto"/>
        </w:rPr>
      </w:pPr>
    </w:p>
    <w:p>
      <w:pPr>
        <w:ind w:left="340" w:right="220" w:hanging="224"/>
        <w:spacing w:after="0" w:line="238"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 limit, reduce or terminate our efforts to establish manufacturing and sales and marketing capabilities or other activities that may be necessary to commercialize any future approved products, or reduce our flexibility in developing or maintaining our sales and marketing strategy.</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right="280"/>
        <w:spacing w:after="0" w:line="262"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w:t>
      </w:r>
    </w:p>
    <w:p>
      <w:pPr>
        <w:spacing w:after="0" w:line="81" w:lineRule="exact"/>
        <w:rPr>
          <w:sz w:val="20"/>
          <w:szCs w:val="20"/>
          <w:color w:val="auto"/>
        </w:rPr>
      </w:pPr>
    </w:p>
    <w:p>
      <w:pPr>
        <w:ind w:left="120"/>
        <w:spacing w:after="0" w:line="267" w:lineRule="auto"/>
        <w:rPr>
          <w:sz w:val="20"/>
          <w:szCs w:val="20"/>
          <w:color w:val="auto"/>
        </w:rPr>
      </w:pPr>
      <w:r>
        <w:rPr>
          <w:rFonts w:ascii="Arial" w:cs="Arial" w:eastAsia="Arial" w:hAnsi="Arial"/>
          <w:sz w:val="16"/>
          <w:szCs w:val="16"/>
          <w:color w:val="auto"/>
        </w:rPr>
        <w:t>To date, we have primarily financed our operations through the sale of preferred stock and upfront payments and research and development cost reimbursement received in connection with our collaboration with Sanofi. We will be required to seek additional funding in the future and currently intend to do so through collaborations, public or private equity offerings or debt financings, credit or loan facilities or a combination of one or more of these funding sources. 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 If we raise additional funds by issuing equity securities, our stockholders may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 Attempting to secure additional financing may also divert our management from our day-to-day activities, which may adversely affect our ability to develop our product candidates.</w:t>
      </w:r>
    </w:p>
    <w:p>
      <w:pPr>
        <w:spacing w:after="0" w:line="266" w:lineRule="exact"/>
        <w:rPr>
          <w:sz w:val="20"/>
          <w:szCs w:val="20"/>
          <w:color w:val="auto"/>
        </w:rPr>
      </w:pPr>
    </w:p>
    <w:p>
      <w:pPr>
        <w:ind w:left="120" w:right="120"/>
        <w:spacing w:after="0" w:line="262" w:lineRule="auto"/>
        <w:rPr>
          <w:sz w:val="20"/>
          <w:szCs w:val="20"/>
          <w:color w:val="auto"/>
        </w:rPr>
      </w:pPr>
      <w:r>
        <w:rPr>
          <w:rFonts w:ascii="Arial" w:cs="Arial" w:eastAsia="Arial" w:hAnsi="Arial"/>
          <w:sz w:val="18"/>
          <w:szCs w:val="18"/>
          <w:b w:val="1"/>
          <w:bCs w:val="1"/>
          <w:i w:val="1"/>
          <w:iCs w:val="1"/>
          <w:color w:val="auto"/>
        </w:rPr>
        <w:t>Our operating results may fluctuate significantly, which will make our future results difficult to predict and could cause our results to fall below expectations.</w:t>
      </w:r>
    </w:p>
    <w:p>
      <w:pPr>
        <w:spacing w:after="0" w:line="81" w:lineRule="exact"/>
        <w:rPr>
          <w:sz w:val="20"/>
          <w:szCs w:val="20"/>
          <w:color w:val="auto"/>
        </w:rPr>
      </w:pPr>
    </w:p>
    <w:p>
      <w:pPr>
        <w:ind w:left="120" w:right="400"/>
        <w:spacing w:after="0" w:line="299" w:lineRule="auto"/>
        <w:rPr>
          <w:sz w:val="20"/>
          <w:szCs w:val="20"/>
          <w:color w:val="auto"/>
        </w:rPr>
      </w:pPr>
      <w:r>
        <w:rPr>
          <w:rFonts w:ascii="Arial" w:cs="Arial" w:eastAsia="Arial" w:hAnsi="Arial"/>
          <w:sz w:val="16"/>
          <w:szCs w:val="16"/>
          <w:color w:val="auto"/>
        </w:rPr>
        <w:t>Our quarterly and annual operating results may fluctuate significantly, which will make it difficult for us to predict our future results. These fluctuations may occur due to a variety of factors, many of which are outside of our control and may be difficult to predict, including:</w:t>
      </w:r>
    </w:p>
    <w:p>
      <w:pPr>
        <w:spacing w:after="0" w:line="68" w:lineRule="exact"/>
        <w:rPr>
          <w:sz w:val="20"/>
          <w:szCs w:val="20"/>
          <w:color w:val="auto"/>
        </w:rPr>
      </w:pPr>
    </w:p>
    <w:p>
      <w:pPr>
        <w:ind w:left="340" w:right="100" w:hanging="224"/>
        <w:spacing w:after="0" w:line="239"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and commercialization activities, which may change from time to time;</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and status of enrollment for our clinical trials;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regulatory approvals, if any, in the United States and internationally;</w:t>
      </w:r>
    </w:p>
    <w:p>
      <w:pPr>
        <w:spacing w:after="0" w:line="117" w:lineRule="exact"/>
        <w:rPr>
          <w:rFonts w:ascii="Arial" w:cs="Arial" w:eastAsia="Arial" w:hAnsi="Arial"/>
          <w:sz w:val="18"/>
          <w:szCs w:val="18"/>
          <w:color w:val="auto"/>
        </w:rPr>
      </w:pPr>
    </w:p>
    <w:p>
      <w:pPr>
        <w:ind w:left="340" w:right="400" w:hanging="224"/>
        <w:spacing w:after="0" w:line="239"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expanding our operational, financial and management systems and personnel, including personnel to support our clinical development, quality control, manufacturing and commercialization efforts and our operations as a public company;</w:t>
      </w:r>
    </w:p>
    <w:p>
      <w:pPr>
        <w:spacing w:after="0" w:line="114" w:lineRule="exact"/>
        <w:rPr>
          <w:rFonts w:ascii="Arial" w:cs="Arial" w:eastAsia="Arial" w:hAnsi="Arial"/>
          <w:sz w:val="18"/>
          <w:szCs w:val="18"/>
          <w:color w:val="auto"/>
        </w:rPr>
      </w:pPr>
    </w:p>
    <w:p>
      <w:pPr>
        <w:ind w:left="340" w:right="440" w:hanging="224"/>
        <w:spacing w:after="0" w:line="239"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manufacturing, as well as building out our supply chain, which may vary depending on the quantity of productions, and the terms of any agreements we enter into with third-party suppliers;</w:t>
      </w:r>
    </w:p>
    <w:p>
      <w:pPr>
        <w:spacing w:after="0" w:line="114" w:lineRule="exact"/>
        <w:rPr>
          <w:rFonts w:ascii="Arial" w:cs="Arial" w:eastAsia="Arial" w:hAnsi="Arial"/>
          <w:sz w:val="18"/>
          <w:szCs w:val="18"/>
          <w:color w:val="auto"/>
        </w:rPr>
      </w:pPr>
    </w:p>
    <w:p>
      <w:pPr>
        <w:ind w:left="340" w:right="680" w:hanging="224"/>
        <w:spacing w:after="0" w:line="239"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timing and amount of any milestone, royalty or other payments due under any current or future collaboration or license agreement, including the Sanofi Agreement;</w:t>
      </w:r>
    </w:p>
    <w:p>
      <w:pPr>
        <w:spacing w:after="0" w:line="114" w:lineRule="exact"/>
        <w:rPr>
          <w:rFonts w:ascii="Arial" w:cs="Arial" w:eastAsia="Arial" w:hAnsi="Arial"/>
          <w:sz w:val="18"/>
          <w:szCs w:val="18"/>
          <w:color w:val="auto"/>
        </w:rPr>
      </w:pPr>
    </w:p>
    <w:p>
      <w:pPr>
        <w:ind w:left="340" w:right="520" w:hanging="224"/>
        <w:spacing w:after="0" w:line="239"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coverage and reimbursement policies with respect to any future approved products, and potential future drugs that compete with our products;</w:t>
      </w:r>
    </w:p>
    <w:p>
      <w:pPr>
        <w:spacing w:after="0" w:line="114" w:lineRule="exact"/>
        <w:rPr>
          <w:rFonts w:ascii="Arial" w:cs="Arial" w:eastAsia="Arial" w:hAnsi="Arial"/>
          <w:sz w:val="18"/>
          <w:szCs w:val="18"/>
          <w:color w:val="auto"/>
        </w:rPr>
      </w:pPr>
    </w:p>
    <w:p>
      <w:pPr>
        <w:ind w:left="340" w:right="180" w:hanging="224"/>
        <w:spacing w:after="0" w:line="239"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and cost to establish a sales, marketing, medical affairs and distribution infrastructure to commercialize any products for which we may obtain marketing approval and intend to commercialize on our own or jointly with Sanofi;</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expenditures that we may incur to acquire, develop or commercialize additional products and technologies;</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hanging="224"/>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level of demand for any future approved products, which may vary significantly over time;</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117" w:lineRule="exact"/>
        <w:rPr>
          <w:rFonts w:ascii="Arial" w:cs="Arial" w:eastAsia="Arial" w:hAnsi="Arial"/>
          <w:sz w:val="18"/>
          <w:szCs w:val="18"/>
          <w:color w:val="auto"/>
        </w:rPr>
      </w:pPr>
    </w:p>
    <w:p>
      <w:pPr>
        <w:ind w:left="340" w:right="40" w:hanging="224"/>
        <w:spacing w:after="0" w:line="299"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timing and success or failure of preclinical studies and clinical trials for our product candidates or competing product candidates, or any other change in the competitive landscape of our industry, including consolidation among our competitors or collaboration partners.</w:t>
      </w:r>
    </w:p>
    <w:p>
      <w:pPr>
        <w:spacing w:after="0" w:line="55"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00"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product development and regulatory process</w:t>
      </w:r>
    </w:p>
    <w:p>
      <w:pPr>
        <w:spacing w:after="0" w:line="114" w:lineRule="exact"/>
        <w:rPr>
          <w:sz w:val="20"/>
          <w:szCs w:val="20"/>
          <w:color w:val="auto"/>
        </w:rPr>
      </w:pPr>
    </w:p>
    <w:p>
      <w:pPr>
        <w:ind w:left="120" w:right="240"/>
        <w:spacing w:after="0" w:line="244" w:lineRule="auto"/>
        <w:rPr>
          <w:sz w:val="20"/>
          <w:szCs w:val="20"/>
          <w:color w:val="auto"/>
        </w:rPr>
      </w:pPr>
      <w:r>
        <w:rPr>
          <w:rFonts w:ascii="Arial" w:cs="Arial" w:eastAsia="Arial" w:hAnsi="Arial"/>
          <w:sz w:val="18"/>
          <w:szCs w:val="18"/>
          <w:b w:val="1"/>
          <w:bCs w:val="1"/>
          <w:i w:val="1"/>
          <w:iCs w:val="1"/>
          <w:color w:val="auto"/>
        </w:rPr>
        <w:t>We are early in our development efforts. Our business is dependent on the successful development of our current and future product candidates. If we are unable to advance our current or future product candidates through clinical trials, obtain marketing approval and ultimately commercialize any product candidates we develop, or experience significant delays in doing so, our business will be materially harmed.</w:t>
      </w:r>
    </w:p>
    <w:p>
      <w:pPr>
        <w:spacing w:after="0" w:line="96" w:lineRule="exact"/>
        <w:rPr>
          <w:sz w:val="20"/>
          <w:szCs w:val="20"/>
          <w:color w:val="auto"/>
        </w:rPr>
      </w:pPr>
    </w:p>
    <w:p>
      <w:pPr>
        <w:ind w:left="120" w:right="240"/>
        <w:spacing w:after="0" w:line="238" w:lineRule="auto"/>
        <w:rPr>
          <w:sz w:val="20"/>
          <w:szCs w:val="20"/>
          <w:color w:val="auto"/>
        </w:rPr>
      </w:pPr>
      <w:r>
        <w:rPr>
          <w:rFonts w:ascii="Arial" w:cs="Arial" w:eastAsia="Arial" w:hAnsi="Arial"/>
          <w:sz w:val="18"/>
          <w:szCs w:val="18"/>
          <w:color w:val="auto"/>
        </w:rPr>
        <w:t>We are early in our development efforts, and we have only recently initiated our first clinical trials for our most advanced product candidate, RMC-4630. Our other programs are in discovery stages or preclinical development. We have invested substantially all of our efforts and financial resources in the identification of targets and preclinical development of small molecules to treat cancer.</w:t>
      </w:r>
    </w:p>
    <w:p>
      <w:pPr>
        <w:spacing w:after="0" w:line="100"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The success of our business, including our ability to finance our company and generate revenue from products in the future, which we do not expect will occur for several years, if ever, will depend heavily on the successful development and eventual commercialization of the product candidates we develop, which may never occur. Our current product candidates, and any future product candidates we develop, will require additional preclinical and clinical development, management of clinical, preclinical and manufacturing activities, marketing approval in the United States and other markets,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w:t>
      </w:r>
    </w:p>
    <w:p>
      <w:pPr>
        <w:spacing w:after="0" w:line="101" w:lineRule="exact"/>
        <w:rPr>
          <w:sz w:val="20"/>
          <w:szCs w:val="20"/>
          <w:color w:val="auto"/>
        </w:rPr>
      </w:pPr>
    </w:p>
    <w:p>
      <w:pPr>
        <w:ind w:left="120" w:right="100"/>
        <w:spacing w:after="0" w:line="269" w:lineRule="auto"/>
        <w:rPr>
          <w:sz w:val="20"/>
          <w:szCs w:val="20"/>
          <w:color w:val="auto"/>
        </w:rPr>
      </w:pPr>
      <w:r>
        <w:rPr>
          <w:rFonts w:ascii="Arial" w:cs="Arial" w:eastAsia="Arial" w:hAnsi="Arial"/>
          <w:sz w:val="16"/>
          <w:szCs w:val="16"/>
          <w:color w:val="auto"/>
        </w:rPr>
        <w:t>We have not previously submitted a new drug application, or NDA, to the FDA or similar approval filings to a comparable foreign regulatory authority, for any product candidate. An NDA or other relevant regulatory filing must include extensive preclinical and clinical data and supporting information to establish that the product candidate is safe and effective for each desired indication. The NDA or other relevant regulatory filing must also include significant information regarding the chemistry, manufacturing and controls for the product. We cannot be certain that our current or future product candidates will be successful in clinical trials or receive regulatory approval. Further, even if they are successful in clinical trials, our product candidates or any future product candidates may not receive regulatory approval. If we do not receive regulatory approvals for current or future product candidates, we may not be able to continue our operations. Even if we successfully obtain regulatory approval to market a product candidate, our revenue will depend, in part, upon the size of the markets in the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territories for which we gain regulatory approval and have commercial rights, as well as the availability of competitive products, whether there is sufficient third-party reimbursement and adoption by physicians.</w:t>
      </w:r>
    </w:p>
    <w:p>
      <w:pPr>
        <w:spacing w:after="0" w:line="101" w:lineRule="exact"/>
        <w:rPr>
          <w:sz w:val="20"/>
          <w:szCs w:val="20"/>
          <w:color w:val="auto"/>
        </w:rPr>
      </w:pPr>
    </w:p>
    <w:p>
      <w:pPr>
        <w:ind w:left="120" w:right="100"/>
        <w:spacing w:after="0" w:line="272" w:lineRule="auto"/>
        <w:rPr>
          <w:sz w:val="20"/>
          <w:szCs w:val="20"/>
          <w:color w:val="auto"/>
        </w:rPr>
      </w:pPr>
      <w:r>
        <w:rPr>
          <w:rFonts w:ascii="Arial" w:cs="Arial" w:eastAsia="Arial" w:hAnsi="Arial"/>
          <w:sz w:val="16"/>
          <w:szCs w:val="16"/>
          <w:color w:val="auto"/>
        </w:rPr>
        <w:t>We plan to seek regulatory approval to commercialize our product candidates both in the United States and in select foreign countries. While the scope of regulatory approval generally is similar in other countries, in order to obtain separate regulatory approval in other countries we must comply with numerous and varying regulatory requirements of such countries regarding safety and efficacy. Other countries also have their own regulations governing, among other things, clinical trials and commercial sales, as well as pricing and distribution of drugs, and we may be required to expend significant resources to obtain regulatory approval and to comply with ongoing regulations in these jurisdictions.</w:t>
      </w:r>
    </w:p>
    <w:p>
      <w:pPr>
        <w:spacing w:after="0" w:line="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success of our current and future product candidates will depend on several factors, including the following:</w:t>
      </w:r>
    </w:p>
    <w:p>
      <w:pPr>
        <w:spacing w:after="0" w:line="117" w:lineRule="exact"/>
        <w:rPr>
          <w:sz w:val="20"/>
          <w:szCs w:val="20"/>
          <w:color w:val="auto"/>
        </w:rPr>
      </w:pPr>
    </w:p>
    <w:p>
      <w:pPr>
        <w:ind w:left="340" w:hanging="224"/>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 completion of clinical trials and preclinical studies;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preclinical studies and clinical trials;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acceptance of investigational new drug applications, or INDs, for our planned clinical trials or future clinical trials;</w:t>
      </w:r>
    </w:p>
    <w:p>
      <w:pPr>
        <w:spacing w:after="0" w:line="117" w:lineRule="exact"/>
        <w:rPr>
          <w:rFonts w:ascii="Arial" w:cs="Arial" w:eastAsia="Arial" w:hAnsi="Arial"/>
          <w:sz w:val="18"/>
          <w:szCs w:val="18"/>
          <w:color w:val="auto"/>
        </w:rPr>
      </w:pPr>
    </w:p>
    <w:p>
      <w:pPr>
        <w:ind w:left="340" w:right="620" w:hanging="224"/>
        <w:spacing w:after="0" w:line="239"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 enrollment and completion of clinical trials, particularly where competitors may also be recruiting patients with KRAS</w:t>
      </w:r>
      <w:r>
        <w:rPr>
          <w:rFonts w:ascii="Arial" w:cs="Arial" w:eastAsia="Arial" w:hAnsi="Arial"/>
          <w:sz w:val="11"/>
          <w:szCs w:val="11"/>
          <w:color w:val="auto"/>
        </w:rPr>
        <w:t>G12C</w:t>
      </w:r>
      <w:r>
        <w:rPr>
          <w:rFonts w:ascii="Arial" w:cs="Arial" w:eastAsia="Arial" w:hAnsi="Arial"/>
          <w:sz w:val="18"/>
          <w:szCs w:val="18"/>
          <w:color w:val="auto"/>
        </w:rPr>
        <w:t xml:space="preserve"> mutations;</w:t>
      </w:r>
    </w:p>
    <w:p>
      <w:pPr>
        <w:spacing w:after="0" w:line="114" w:lineRule="exact"/>
        <w:rPr>
          <w:rFonts w:ascii="Arial" w:cs="Arial" w:eastAsia="Arial" w:hAnsi="Arial"/>
          <w:sz w:val="18"/>
          <w:szCs w:val="18"/>
          <w:color w:val="auto"/>
        </w:rPr>
      </w:pPr>
    </w:p>
    <w:p>
      <w:pPr>
        <w:ind w:left="340" w:right="720" w:hanging="224"/>
        <w:spacing w:after="0" w:line="239"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 data from our clinical program that supports an acceptable risk-benefit profile of our product candidates in the intended populations;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receipt and maintenance of marketing approvals from applicable regulatory authorities;</w:t>
      </w:r>
    </w:p>
    <w:p>
      <w:pPr>
        <w:spacing w:after="0" w:line="117" w:lineRule="exact"/>
        <w:rPr>
          <w:rFonts w:ascii="Arial" w:cs="Arial" w:eastAsia="Arial" w:hAnsi="Arial"/>
          <w:sz w:val="18"/>
          <w:szCs w:val="18"/>
          <w:color w:val="auto"/>
        </w:rPr>
      </w:pPr>
    </w:p>
    <w:p>
      <w:pPr>
        <w:ind w:left="340" w:hanging="224"/>
        <w:spacing w:after="0" w:line="239"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establishing agreements with third-party manufacturers for clinical supply for our clinical trials and commercial manufacturing, if our product candidate is approved;</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entry into collaborations to further the development of our product candidates;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and maintaining our portfolio of intellectual property rights, including patents, trade secrets and know-how;</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and maintaining regulatory exclusivity for our product candidates;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successfully launching commercial sales of our product candidates, if approved;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acceptance of the product candidate’s benefits and uses, if approved, by patients, the medical community and third-party payors;</w:t>
      </w:r>
    </w:p>
    <w:p>
      <w:pPr>
        <w:spacing w:after="0" w:line="117" w:lineRule="exact"/>
        <w:rPr>
          <w:rFonts w:ascii="Arial" w:cs="Arial" w:eastAsia="Arial" w:hAnsi="Arial"/>
          <w:sz w:val="18"/>
          <w:szCs w:val="18"/>
          <w:color w:val="auto"/>
        </w:rPr>
      </w:pPr>
    </w:p>
    <w:p>
      <w:pPr>
        <w:ind w:left="340" w:right="400" w:hanging="224"/>
        <w:spacing w:after="0" w:line="239"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prevalence, duration and severity of potential side effects or other safety issues experienced with our product candidates following approval;</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effectively competing with other therapies;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and maintaining healthcare coverage and adequate reimbursement from third-party payors.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RMC-4630, or any other product candidate we develop, we may not be able to continue our operations.</w:t>
      </w:r>
    </w:p>
    <w:p>
      <w:pPr>
        <w:spacing w:after="0" w:line="80" w:lineRule="exact"/>
        <w:rPr>
          <w:sz w:val="20"/>
          <w:szCs w:val="20"/>
          <w:color w:val="auto"/>
        </w:rPr>
      </w:pPr>
    </w:p>
    <w:p>
      <w:pPr>
        <w:jc w:val="both"/>
        <w:ind w:left="120" w:right="20"/>
        <w:spacing w:after="0" w:line="248" w:lineRule="auto"/>
        <w:rPr>
          <w:sz w:val="20"/>
          <w:szCs w:val="20"/>
          <w:color w:val="auto"/>
        </w:rPr>
      </w:pPr>
      <w:r>
        <w:rPr>
          <w:rFonts w:ascii="Arial" w:cs="Arial" w:eastAsia="Arial" w:hAnsi="Arial"/>
          <w:sz w:val="18"/>
          <w:szCs w:val="18"/>
          <w:b w:val="1"/>
          <w:bCs w:val="1"/>
          <w:i w:val="1"/>
          <w:iCs w:val="1"/>
          <w:color w:val="auto"/>
        </w:rPr>
        <w:t>Preclinical development is uncertain. Our preclinical programs may experience delays or may never advance to clinical trials, which would adversely affect our ability to obtain regulatory approvals or commercialize our product candidates on a timely basis or at all, which would have an adverse effect on our business.</w:t>
      </w:r>
    </w:p>
    <w:p>
      <w:pPr>
        <w:spacing w:after="0" w:line="94" w:lineRule="exact"/>
        <w:rPr>
          <w:sz w:val="20"/>
          <w:szCs w:val="20"/>
          <w:color w:val="auto"/>
        </w:rPr>
      </w:pPr>
    </w:p>
    <w:p>
      <w:pPr>
        <w:ind w:left="120" w:right="80"/>
        <w:spacing w:after="0" w:line="235" w:lineRule="auto"/>
        <w:rPr>
          <w:sz w:val="20"/>
          <w:szCs w:val="20"/>
          <w:color w:val="auto"/>
        </w:rPr>
      </w:pPr>
      <w:r>
        <w:rPr>
          <w:rFonts w:ascii="Arial" w:cs="Arial" w:eastAsia="Arial" w:hAnsi="Arial"/>
          <w:sz w:val="18"/>
          <w:szCs w:val="18"/>
          <w:color w:val="auto"/>
        </w:rPr>
        <w:t>In order to obtain FDA approval to market a new small molecule product we must demonstrate proof of safety and efficacy in humans. To meet these requirements, we will have to conduct adequate and well-controlled clinical trials. Before we can commence clinical trials for a product candidate, we must complete extensive preclinical studies that support our planned INDs in the United States. We only have one product candidate in clinical development and the rest of our programs are in preclinical research or development, including our RAS portfolio and RMC-5552 product candidate. We cannot be certain of the timely completion or outcome of our preclinical studies and cannot predict if the FDA will accept our proposed clinical programs or if the outcome of our preclinical studies will ultimately support further development of our programs. As a result, we cannot be sure that we will be able to submit INDs or similar applications on the timelines we expect, if at all, and we cannot be sure that submission of INDs or similar applications will result in the FDA or other regulatory authorities allowing additional clinical trials to begin.</w:t>
      </w:r>
    </w:p>
    <w:p>
      <w:pPr>
        <w:spacing w:after="0" w:line="106"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Conducting preclinical testing is a lengthy, time-consuming and expensive process. The length of time may vary substantially according to the type, complexity and novelty of the program, and often can be several years or more per program. Delays associated with programs for which we are directly conducting preclinical studies may cause us to incur additional operating expenses. Moreover, we may be affected by delays associated with the studies of certain programs that are the responsibility of Sanofi or our potential future partners over which we have no control. The commencement and rate of completion of preclinical studies and clinical trials for a product candidate may be delayed by many factors, including, for example:</w:t>
      </w:r>
    </w:p>
    <w:p>
      <w:pPr>
        <w:spacing w:after="0" w:line="97" w:lineRule="exact"/>
        <w:rPr>
          <w:sz w:val="20"/>
          <w:szCs w:val="20"/>
          <w:color w:val="auto"/>
        </w:rPr>
      </w:pPr>
    </w:p>
    <w:p>
      <w:pPr>
        <w:ind w:left="340" w:hanging="224"/>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inability to generate sufficient preclinical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clinical studies;</w:t>
      </w:r>
    </w:p>
    <w:p>
      <w:pPr>
        <w:spacing w:after="0" w:line="135" w:lineRule="exact"/>
        <w:rPr>
          <w:rFonts w:ascii="Arial" w:cs="Arial" w:eastAsia="Arial" w:hAnsi="Arial"/>
          <w:sz w:val="18"/>
          <w:szCs w:val="18"/>
          <w:color w:val="auto"/>
        </w:rPr>
      </w:pPr>
    </w:p>
    <w:p>
      <w:pPr>
        <w:ind w:left="340" w:hanging="224"/>
        <w:spacing w:after="0" w:line="239"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 and obtaining regulatory authorization to commence clinical trials; and</w:t>
      </w:r>
    </w:p>
    <w:p>
      <w:pPr>
        <w:spacing w:after="0" w:line="114" w:lineRule="exact"/>
        <w:rPr>
          <w:rFonts w:ascii="Arial" w:cs="Arial" w:eastAsia="Arial" w:hAnsi="Arial"/>
          <w:sz w:val="18"/>
          <w:szCs w:val="18"/>
          <w:color w:val="auto"/>
        </w:rPr>
      </w:pPr>
    </w:p>
    <w:p>
      <w:pPr>
        <w:ind w:left="340" w:right="100" w:hanging="224"/>
        <w:spacing w:after="0" w:line="239"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sufficient quantities of our product candidates for use in preclinical studies and clinical trials from third-party suppliers on a timely basis.</w:t>
      </w:r>
    </w:p>
    <w:p>
      <w:pPr>
        <w:spacing w:after="0" w:line="101"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Moreover, even if clinical trials do begin for our preclinical programs, our development efforts may not be successful, and clinical trials that we conduct or that third parties conduct on our behalf may not demonstrate sufficient safety or efficacy to obtain the requisite regulatory approvals for any product candidates we develop. Even if we obtain positive results from preclinical studies or initial clinical trials, we may not achieve the same success in future trials.</w:t>
      </w:r>
    </w:p>
    <w:p>
      <w:pPr>
        <w:spacing w:after="0" w:line="80" w:lineRule="exact"/>
        <w:rPr>
          <w:sz w:val="20"/>
          <w:szCs w:val="20"/>
          <w:color w:val="auto"/>
        </w:rPr>
      </w:pPr>
    </w:p>
    <w:p>
      <w:pPr>
        <w:ind w:left="120" w:right="60"/>
        <w:spacing w:after="0" w:line="248" w:lineRule="auto"/>
        <w:rPr>
          <w:sz w:val="20"/>
          <w:szCs w:val="20"/>
          <w:color w:val="auto"/>
        </w:rPr>
      </w:pPr>
      <w:r>
        <w:rPr>
          <w:rFonts w:ascii="Arial" w:cs="Arial" w:eastAsia="Arial" w:hAnsi="Arial"/>
          <w:sz w:val="18"/>
          <w:szCs w:val="18"/>
          <w:b w:val="1"/>
          <w:bCs w:val="1"/>
          <w:i w:val="1"/>
          <w:iCs w:val="1"/>
          <w:color w:val="auto"/>
        </w:rPr>
        <w:t>The regulatory approval processes of the FDA, the EMA and comparable foreign authorities are lengthy, time-consuming and inherently unpredictable, and if we are ultimately unable to obtain regulatory approval for our product candidates, our business will be substantially harmed.</w:t>
      </w:r>
    </w:p>
    <w:p>
      <w:pPr>
        <w:spacing w:after="0" w:line="94"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The time required to obtain approval by the FDA, the EMA and comparable foreign authorities is unpredictable but typically takes many years following the commencement of clinical trials and depends upon numerous factors, including the substantial discretion of the regulatory authorities. In addition, approval policies,</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32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regulations, or the type and amount of clinical data necessary to gain approval may change during the course of a product candidate’s clinical development and may vary among jurisdictions. We have not obtained regulatory approval for any product candidate and it is possible that none of our current or future product candidates will ever obtain regulatory approval.</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current and future product candidates could fail to receive regulatory approval for many reasons, including the following:</w:t>
      </w:r>
    </w:p>
    <w:p>
      <w:pPr>
        <w:spacing w:after="0" w:line="117" w:lineRule="exact"/>
        <w:rPr>
          <w:sz w:val="20"/>
          <w:szCs w:val="20"/>
          <w:color w:val="auto"/>
        </w:rPr>
      </w:pPr>
    </w:p>
    <w:p>
      <w:pPr>
        <w:ind w:left="340" w:hanging="224"/>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disagree with the design or implementation of our clinical trials;</w:t>
      </w:r>
    </w:p>
    <w:p>
      <w:pPr>
        <w:spacing w:after="0" w:line="117" w:lineRule="exact"/>
        <w:rPr>
          <w:rFonts w:ascii="Arial" w:cs="Arial" w:eastAsia="Arial" w:hAnsi="Arial"/>
          <w:sz w:val="18"/>
          <w:szCs w:val="18"/>
          <w:color w:val="auto"/>
        </w:rPr>
      </w:pPr>
    </w:p>
    <w:p>
      <w:pPr>
        <w:ind w:left="340" w:right="480" w:hanging="224"/>
        <w:spacing w:after="0" w:line="239"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the EMA or comparable foreign regulatory authorities that a product candidate is safe or effective for its proposed indication;</w:t>
      </w:r>
    </w:p>
    <w:p>
      <w:pPr>
        <w:spacing w:after="0" w:line="114" w:lineRule="exact"/>
        <w:rPr>
          <w:rFonts w:ascii="Arial" w:cs="Arial" w:eastAsia="Arial" w:hAnsi="Arial"/>
          <w:sz w:val="18"/>
          <w:szCs w:val="18"/>
          <w:color w:val="auto"/>
        </w:rPr>
      </w:pPr>
    </w:p>
    <w:p>
      <w:pPr>
        <w:ind w:left="340" w:right="40" w:hanging="224"/>
        <w:spacing w:after="0" w:line="239"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the EMA or comparable foreign regulatory authorities for approval;</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340" w:right="60" w:hanging="224"/>
        <w:spacing w:after="0" w:line="239"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disagree with our interpretation of data from clinical trials or preclinical studies;</w:t>
      </w:r>
    </w:p>
    <w:p>
      <w:pPr>
        <w:spacing w:after="0" w:line="114" w:lineRule="exact"/>
        <w:rPr>
          <w:rFonts w:ascii="Arial" w:cs="Arial" w:eastAsia="Arial" w:hAnsi="Arial"/>
          <w:sz w:val="18"/>
          <w:szCs w:val="18"/>
          <w:color w:val="auto"/>
        </w:rPr>
      </w:pPr>
    </w:p>
    <w:p>
      <w:pPr>
        <w:ind w:left="340" w:right="320" w:hanging="224"/>
        <w:spacing w:after="0" w:line="239"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to the FDA or other submission or to obtain regulatory approval in the United States, the European Union or elsewhere;</w:t>
      </w:r>
    </w:p>
    <w:p>
      <w:pPr>
        <w:spacing w:after="0" w:line="114" w:lineRule="exact"/>
        <w:rPr>
          <w:rFonts w:ascii="Arial" w:cs="Arial" w:eastAsia="Arial" w:hAnsi="Arial"/>
          <w:sz w:val="18"/>
          <w:szCs w:val="18"/>
          <w:color w:val="auto"/>
        </w:rPr>
      </w:pPr>
    </w:p>
    <w:p>
      <w:pPr>
        <w:ind w:left="340" w:hanging="224"/>
        <w:spacing w:after="0" w:line="239"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find deficiencies with or fail to approve the manufacturing processes or facilities of third-party manufacturers with which we contract for clinical and commercial supplies; and</w:t>
      </w:r>
    </w:p>
    <w:p>
      <w:pPr>
        <w:spacing w:after="0" w:line="114" w:lineRule="exact"/>
        <w:rPr>
          <w:rFonts w:ascii="Arial" w:cs="Arial" w:eastAsia="Arial" w:hAnsi="Arial"/>
          <w:sz w:val="18"/>
          <w:szCs w:val="18"/>
          <w:color w:val="auto"/>
        </w:rPr>
      </w:pPr>
    </w:p>
    <w:p>
      <w:pPr>
        <w:ind w:left="340" w:right="20" w:hanging="224"/>
        <w:spacing w:after="0" w:line="239"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approval policies or regulations of the FDA, the EMA or comparable foreign regulatory authorities may significantly change in a manner rendering our clinical data insufficient for approval.</w:t>
      </w:r>
    </w:p>
    <w:p>
      <w:pPr>
        <w:spacing w:after="0" w:line="101"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This lengthy approval process as well as the unpredictability of clinical trial results may result in our failing to obtain regulatory approval to market any product candidate we develop, which would significantly harm our business, results of operations and prospects. The FDA, the EMA and other comparable foreign authorities have substantial discretion in the approval process, and determining when or whether regulatory approval will be obtained for any product candidate that we develop. Even if we believe the data collected from future clinical trials of our product candidates are promising, such data may not be sufficient to support approval by the FDA, the EMA or any other regulatory authority.</w:t>
      </w:r>
    </w:p>
    <w:p>
      <w:pPr>
        <w:spacing w:after="0" w:line="102"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0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Further, we have not previously submitted a NDA to the FDA, or a Marketing Authorization Application, or MAA, to the EMA. We cannot be certain that any of our programs will be successful in clinical trials or receive regulatory approval. Further, product candidates we develop may not receive regulatory approval even if they are successful in clinical trials. If we do not receive regulatory approvals for our product candidates, we may not be able to continue our operations.</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right="280"/>
        <w:spacing w:after="0" w:line="248" w:lineRule="auto"/>
        <w:rPr>
          <w:sz w:val="20"/>
          <w:szCs w:val="20"/>
          <w:color w:val="auto"/>
        </w:rPr>
      </w:pPr>
      <w:r>
        <w:rPr>
          <w:rFonts w:ascii="Arial" w:cs="Arial" w:eastAsia="Arial" w:hAnsi="Arial"/>
          <w:sz w:val="18"/>
          <w:szCs w:val="18"/>
          <w:b w:val="1"/>
          <w:bCs w:val="1"/>
          <w:i w:val="1"/>
          <w:iCs w:val="1"/>
          <w:color w:val="auto"/>
        </w:rPr>
        <w:t>Clinical product development involves a lengthy and expensive process, with uncertain outcomes. We may experience delays in completing, or ultimately be unable to complete, the development and commercialization of our current and future product candidates.</w:t>
      </w:r>
    </w:p>
    <w:p>
      <w:pPr>
        <w:spacing w:after="0" w:line="94"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To obtain the requisite regulatory approvals to commercialize any of our product candidates, we must demonstrate through extensive preclinical studies and clinical trials that our products are safe or effective in humans. Clinical testing is expensive and can take many years to complete, and its outcome is inherently uncertain. Failure can occur at any time during the clinical trial process and our future clinical trial results may not be successful.</w:t>
      </w:r>
    </w:p>
    <w:p>
      <w:pPr>
        <w:spacing w:after="0" w:line="100" w:lineRule="exact"/>
        <w:rPr>
          <w:sz w:val="20"/>
          <w:szCs w:val="20"/>
          <w:color w:val="auto"/>
        </w:rPr>
      </w:pPr>
    </w:p>
    <w:p>
      <w:pPr>
        <w:jc w:val="both"/>
        <w:ind w:left="120" w:right="120"/>
        <w:spacing w:after="0" w:line="238" w:lineRule="auto"/>
        <w:rPr>
          <w:sz w:val="20"/>
          <w:szCs w:val="20"/>
          <w:color w:val="auto"/>
        </w:rPr>
      </w:pPr>
      <w:r>
        <w:rPr>
          <w:rFonts w:ascii="Arial" w:cs="Arial" w:eastAsia="Arial" w:hAnsi="Arial"/>
          <w:sz w:val="18"/>
          <w:szCs w:val="18"/>
          <w:color w:val="auto"/>
        </w:rPr>
        <w:t>We may experience delays in completing our clinical trials or preclinical studies and initiating or completing additional clinical trials. We may also experience numerous unforeseen events during our clinical trials that could delay or prevent our ability to receive marketing approval or commercialize the product candidates we develop, including:</w:t>
      </w:r>
    </w:p>
    <w:p>
      <w:pPr>
        <w:spacing w:after="0" w:line="113" w:lineRule="exact"/>
        <w:rPr>
          <w:sz w:val="20"/>
          <w:szCs w:val="20"/>
          <w:color w:val="auto"/>
        </w:rPr>
      </w:pPr>
    </w:p>
    <w:p>
      <w:pPr>
        <w:ind w:left="340" w:right="180" w:hanging="224"/>
        <w:spacing w:after="0" w:line="239"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regulators or Institutional Review Boards, or IRBs, or ethics committees may not authorize us or our investigators to commence a clinical trial or conduct a clinical trial at a prospective trial site;</w:t>
      </w:r>
    </w:p>
    <w:p>
      <w:pPr>
        <w:spacing w:after="0" w:line="114" w:lineRule="exact"/>
        <w:rPr>
          <w:rFonts w:ascii="Arial" w:cs="Arial" w:eastAsia="Arial" w:hAnsi="Arial"/>
          <w:sz w:val="18"/>
          <w:szCs w:val="18"/>
          <w:color w:val="auto"/>
        </w:rPr>
      </w:pPr>
    </w:p>
    <w:p>
      <w:pPr>
        <w:ind w:left="340" w:hanging="224"/>
        <w:spacing w:after="0" w:line="239"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terms with prospective trial sites and prospective contract research organizations, or CROs;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may be larger than we anticipate;</w:t>
      </w:r>
    </w:p>
    <w:p>
      <w:pPr>
        <w:spacing w:after="0" w:line="117" w:lineRule="exact"/>
        <w:rPr>
          <w:rFonts w:ascii="Arial" w:cs="Arial" w:eastAsia="Arial" w:hAnsi="Arial"/>
          <w:sz w:val="18"/>
          <w:szCs w:val="18"/>
          <w:color w:val="auto"/>
        </w:rPr>
      </w:pPr>
    </w:p>
    <w:p>
      <w:pPr>
        <w:ind w:left="340" w:right="140" w:hanging="224"/>
        <w:spacing w:after="0" w:line="238"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 may be difficult to enroll a sufficient number of patients with mutations in the signaling pathways our therapies are designed to target, or enrollment in these clinical trials may be slower than we anticipate or participants may drop out of these clinical trials or fail to return for post-treatment follow-up at a higher rate than we anticipate;</w:t>
      </w:r>
    </w:p>
    <w:p>
      <w:pPr>
        <w:spacing w:after="0" w:line="113" w:lineRule="exact"/>
        <w:rPr>
          <w:rFonts w:ascii="Arial" w:cs="Arial" w:eastAsia="Arial" w:hAnsi="Arial"/>
          <w:sz w:val="18"/>
          <w:szCs w:val="18"/>
          <w:color w:val="auto"/>
        </w:rPr>
      </w:pPr>
    </w:p>
    <w:p>
      <w:pPr>
        <w:ind w:left="340" w:right="60" w:hanging="224"/>
        <w:spacing w:after="0" w:line="238"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13" w:lineRule="exact"/>
        <w:rPr>
          <w:rFonts w:ascii="Arial" w:cs="Arial" w:eastAsia="Arial" w:hAnsi="Arial"/>
          <w:sz w:val="18"/>
          <w:szCs w:val="18"/>
          <w:color w:val="auto"/>
        </w:rPr>
      </w:pPr>
    </w:p>
    <w:p>
      <w:pPr>
        <w:ind w:left="340" w:right="780" w:hanging="224"/>
        <w:spacing w:after="0" w:line="239"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supply or quality of materials for product candidates we develop or other materials necessary to conduct clinical trials may be insufficient or inadequate; and</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collaborators may delay the development process by waiting to take action or focusing on other priorities.</w:t>
      </w:r>
    </w:p>
    <w:p>
      <w:pPr>
        <w:spacing w:after="0" w:line="10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could encounter delays if a clinical trial is suspended or terminated by us, by the IRBs or ethics committees of the institutions in which such trials are being conducted, by the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marketing approval of our product candidates.</w:t>
      </w:r>
    </w:p>
    <w:p>
      <w:pPr>
        <w:spacing w:after="0" w:line="100" w:lineRule="exact"/>
        <w:rPr>
          <w:sz w:val="20"/>
          <w:szCs w:val="20"/>
          <w:color w:val="auto"/>
        </w:rPr>
      </w:pPr>
    </w:p>
    <w:p>
      <w:pPr>
        <w:ind w:left="120" w:right="300"/>
        <w:spacing w:after="0" w:line="238" w:lineRule="auto"/>
        <w:rPr>
          <w:sz w:val="20"/>
          <w:szCs w:val="20"/>
          <w:color w:val="auto"/>
        </w:rPr>
      </w:pPr>
      <w:r>
        <w:rPr>
          <w:rFonts w:ascii="Arial" w:cs="Arial" w:eastAsia="Arial" w:hAnsi="Arial"/>
          <w:sz w:val="18"/>
          <w:szCs w:val="18"/>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will increase our costs, slow down our product candidate development and approval process and jeopardize our ability to commence product sales and generate revenues. Significant clinical trial delays could also allow our competitors to bring products to market before we do or shorten any periods during which we have the exclusive right to commercialize our product candidates and impair our ability to commercialize our product candidates and may harm our business and results of operations.</w:t>
      </w:r>
    </w:p>
    <w:p>
      <w:pPr>
        <w:spacing w:after="0" w:line="100" w:lineRule="exact"/>
        <w:rPr>
          <w:sz w:val="20"/>
          <w:szCs w:val="20"/>
          <w:color w:val="auto"/>
        </w:rPr>
      </w:pPr>
    </w:p>
    <w:p>
      <w:pPr>
        <w:jc w:val="both"/>
        <w:ind w:left="120" w:right="260"/>
        <w:spacing w:after="0" w:line="238" w:lineRule="auto"/>
        <w:rPr>
          <w:sz w:val="20"/>
          <w:szCs w:val="20"/>
          <w:color w:val="auto"/>
        </w:rPr>
      </w:pPr>
      <w:r>
        <w:rPr>
          <w:rFonts w:ascii="Arial" w:cs="Arial" w:eastAsia="Arial" w:hAnsi="Arial"/>
          <w:sz w:val="18"/>
          <w:szCs w:val="18"/>
          <w:color w:val="auto"/>
        </w:rPr>
        <w:t>In addition, based on our own preclinical data and supported by observations by others, we are evaluating intermittent dosing schedules in our clinical program to allow us to maximize dose intensity and the depth of response. When dosed in clinical trials, this intermittent dosing approach may reduce patient compliance.</w:t>
      </w:r>
    </w:p>
    <w:p>
      <w:pPr>
        <w:spacing w:after="0" w:line="100"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 or result in the development of our product candidates being stopped early.</w:t>
      </w:r>
    </w:p>
    <w:p>
      <w:pPr>
        <w:spacing w:after="0" w:line="80" w:lineRule="exact"/>
        <w:rPr>
          <w:sz w:val="20"/>
          <w:szCs w:val="20"/>
          <w:color w:val="auto"/>
        </w:rPr>
      </w:pPr>
    </w:p>
    <w:p>
      <w:pPr>
        <w:ind w:left="120" w:right="60"/>
        <w:spacing w:after="0" w:line="248" w:lineRule="auto"/>
        <w:rPr>
          <w:sz w:val="20"/>
          <w:szCs w:val="20"/>
          <w:color w:val="auto"/>
        </w:rPr>
      </w:pPr>
      <w:r>
        <w:rPr>
          <w:rFonts w:ascii="Arial" w:cs="Arial" w:eastAsia="Arial" w:hAnsi="Arial"/>
          <w:sz w:val="18"/>
          <w:szCs w:val="18"/>
          <w:b w:val="1"/>
          <w:bCs w:val="1"/>
          <w:i w:val="1"/>
          <w:iCs w:val="1"/>
          <w:color w:val="auto"/>
        </w:rPr>
        <w:t>Historically, direct inhibition of any RAS protein itself has been challenging due to a lack of tractable, or “druggable,” binding pockets and we are not aware of any programs in clinical development that have successfully targeted any RAS(ON) protein. Given this approach is unproven, it may not be successful.</w:t>
      </w:r>
    </w:p>
    <w:p>
      <w:pPr>
        <w:spacing w:after="0" w:line="94" w:lineRule="exact"/>
        <w:rPr>
          <w:sz w:val="20"/>
          <w:szCs w:val="20"/>
          <w:color w:val="auto"/>
        </w:rPr>
      </w:pPr>
    </w:p>
    <w:p>
      <w:pPr>
        <w:ind w:left="120" w:right="320"/>
        <w:spacing w:after="0" w:line="236" w:lineRule="auto"/>
        <w:rPr>
          <w:sz w:val="20"/>
          <w:szCs w:val="20"/>
          <w:color w:val="auto"/>
        </w:rPr>
      </w:pPr>
      <w:r>
        <w:rPr>
          <w:rFonts w:ascii="Arial" w:cs="Arial" w:eastAsia="Arial" w:hAnsi="Arial"/>
          <w:sz w:val="18"/>
          <w:szCs w:val="18"/>
          <w:color w:val="auto"/>
        </w:rPr>
        <w:t>Historically, direct inhibition of any RAS protein has been challenging due to a lack of tractable, or “druggable,” binding pockets. Our tri-complex technology has enabled us to develop what we believe to be the first potent, selective cell-active inhibitors of multiple mutant RAS(ON) proteins. We are not aware of any programs in clinical development that have successfully targeted any RAS(ON) protein. We cannot be certain that our approach will lead to the development of approvable or marketable products, alone or in combination with other therapies.</w:t>
      </w:r>
    </w:p>
    <w:p>
      <w:pPr>
        <w:spacing w:after="0" w:line="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results of preclinical studies and early-stage clinical trials may not be predictive of future results.</w:t>
      </w:r>
    </w:p>
    <w:p>
      <w:pPr>
        <w:spacing w:after="0" w:line="124"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The results of preclinical studies may not be predictive of the results of clinical trials, and the results of any early-stage clinical trials we commence may not be predictive of the results of the later-stage clinical trials. Product candidates in later stages of clinical trials may fail to show the desired safety and efficacy despite having progressed through preclinical studies and initial clinical trials. There can be no assurance that any of our current or future clinical trials will ultimately be successful or support further clinical development of any of our product candidates. There is a high failure rate for drugs proceeding through clinical trials. A number of companies in the pharmaceutical and biotechnology industries have suffered significant setbacks in clinical development even after achieving promising results in earlier studies. Even if our clinical trials are completed, the results may not be sufficient to obtain regulatory approval of any products. Any such setbacks in our clinical development could have a material adverse effect on our business and operating results.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Interim, “topline” and preliminary data from our clinical trials may differ materially from the final data.</w:t>
      </w:r>
    </w:p>
    <w:p>
      <w:pPr>
        <w:spacing w:after="0" w:line="124"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From time to time, we may disclose interim data from our clinical trials. Interim data from clinical trials are subject to the risk that one or more of the clinical outcomes may materially change as patient enrollment continues and more data on existing patients become available. Adverse differences between interim data and final data could significantly harm our business, financial condition, results of operations and prospects. From time to time, we may also publicly disclose preliminary or “topline” data from our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clinical trials, or different conclusions or</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considerations may qualify such topline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00" w:lineRule="exact"/>
        <w:rPr>
          <w:sz w:val="20"/>
          <w:szCs w:val="20"/>
          <w:color w:val="auto"/>
        </w:rPr>
      </w:pPr>
    </w:p>
    <w:p>
      <w:pPr>
        <w:ind w:left="120" w:right="40"/>
        <w:spacing w:after="0" w:line="268" w:lineRule="auto"/>
        <w:rPr>
          <w:sz w:val="20"/>
          <w:szCs w:val="20"/>
          <w:color w:val="auto"/>
        </w:rPr>
      </w:pPr>
      <w:r>
        <w:rPr>
          <w:rFonts w:ascii="Arial" w:cs="Arial" w:eastAsia="Arial" w:hAnsi="Arial"/>
          <w:sz w:val="16"/>
          <w:szCs w:val="16"/>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the value of our company in general. In addition, the information we choose to publicly disclose regarding a particular study or clinical trial is typically a summary of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financial condition, operating results and prospects.</w:t>
      </w:r>
    </w:p>
    <w:p>
      <w:pPr>
        <w:spacing w:after="0" w:line="267" w:lineRule="exact"/>
        <w:rPr>
          <w:sz w:val="20"/>
          <w:szCs w:val="20"/>
          <w:color w:val="auto"/>
        </w:rPr>
      </w:pPr>
    </w:p>
    <w:p>
      <w:pPr>
        <w:ind w:left="120" w:right="100"/>
        <w:spacing w:after="0" w:line="262" w:lineRule="auto"/>
        <w:rPr>
          <w:sz w:val="20"/>
          <w:szCs w:val="20"/>
          <w:color w:val="auto"/>
        </w:rPr>
      </w:pPr>
      <w:r>
        <w:rPr>
          <w:rFonts w:ascii="Arial" w:cs="Arial" w:eastAsia="Arial" w:hAnsi="Arial"/>
          <w:sz w:val="18"/>
          <w:szCs w:val="18"/>
          <w:b w:val="1"/>
          <w:bCs w:val="1"/>
          <w:i w:val="1"/>
          <w:iCs w:val="1"/>
          <w:color w:val="auto"/>
        </w:rPr>
        <w:t>If we encounter difficulties enrolling patients in our clinical trials, our clinical development activities could be delayed or otherwise be adversely affected.</w:t>
      </w:r>
    </w:p>
    <w:p>
      <w:pPr>
        <w:spacing w:after="0" w:line="81" w:lineRule="exact"/>
        <w:rPr>
          <w:sz w:val="20"/>
          <w:szCs w:val="20"/>
          <w:color w:val="auto"/>
        </w:rPr>
      </w:pPr>
    </w:p>
    <w:p>
      <w:pPr>
        <w:ind w:left="120" w:right="320"/>
        <w:spacing w:after="0" w:line="238" w:lineRule="auto"/>
        <w:rPr>
          <w:sz w:val="20"/>
          <w:szCs w:val="20"/>
          <w:color w:val="auto"/>
        </w:rPr>
      </w:pPr>
      <w:r>
        <w:rPr>
          <w:rFonts w:ascii="Arial" w:cs="Arial" w:eastAsia="Arial" w:hAnsi="Arial"/>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The enrollment of patients depends on many factors, including:</w:t>
      </w:r>
    </w:p>
    <w:p>
      <w:pPr>
        <w:spacing w:after="0" w:line="113" w:lineRule="exact"/>
        <w:rPr>
          <w:sz w:val="20"/>
          <w:szCs w:val="20"/>
          <w:color w:val="auto"/>
        </w:rPr>
      </w:pPr>
    </w:p>
    <w:p>
      <w:pPr>
        <w:ind w:left="340" w:hanging="224"/>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enroll a sufficient number of patients with mutations in the signaling pathways our therapies are designed to target;</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size of the patient population required for analysis of the trial’s primary endpoints;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proximity of patients to study sites;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17" w:lineRule="exact"/>
        <w:rPr>
          <w:rFonts w:ascii="Arial" w:cs="Arial" w:eastAsia="Arial" w:hAnsi="Arial"/>
          <w:sz w:val="18"/>
          <w:szCs w:val="18"/>
          <w:color w:val="auto"/>
        </w:rPr>
      </w:pPr>
    </w:p>
    <w:p>
      <w:pPr>
        <w:ind w:left="340" w:right="400" w:hanging="224"/>
        <w:spacing w:after="0" w:line="239"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of the product candidate being studied in relation to other available therapies, including any new products that may be approved for the indications we are investigating;</w:t>
      </w:r>
    </w:p>
    <w:p>
      <w:pPr>
        <w:spacing w:after="0" w:line="114" w:lineRule="exact"/>
        <w:rPr>
          <w:rFonts w:ascii="Arial" w:cs="Arial" w:eastAsia="Arial" w:hAnsi="Arial"/>
          <w:sz w:val="18"/>
          <w:szCs w:val="18"/>
          <w:color w:val="auto"/>
        </w:rPr>
      </w:pPr>
    </w:p>
    <w:p>
      <w:pPr>
        <w:ind w:left="340" w:right="260" w:hanging="224"/>
        <w:spacing w:after="0" w:line="239"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for participation in our clinical trials and, where appropriate, biopsies for future patient enrichment efforts; and</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remain on the trial through the completion of evaluation.</w:t>
      </w:r>
    </w:p>
    <w:p>
      <w:pPr>
        <w:spacing w:after="0" w:line="104"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In addition, our clinical trials will compete with other clinical trials for product candidates that are in the same therapeutic areas (and that seek to evaluate patients with cancer cells having the same mutations, particularly with patients having KRAS</w:t>
      </w:r>
      <w:r>
        <w:rPr>
          <w:rFonts w:ascii="Arial" w:cs="Arial" w:eastAsia="Arial" w:hAnsi="Arial"/>
          <w:sz w:val="11"/>
          <w:szCs w:val="11"/>
          <w:color w:val="auto"/>
        </w:rPr>
        <w:t>G12C</w:t>
      </w:r>
      <w:r>
        <w:rPr>
          <w:rFonts w:ascii="Arial" w:cs="Arial" w:eastAsia="Arial" w:hAnsi="Arial"/>
          <w:sz w:val="18"/>
          <w:szCs w:val="18"/>
          <w:color w:val="auto"/>
        </w:rPr>
        <w:t xml:space="preserve"> mutations) as our current and potential future product candidates. This competition will reduce the number and types of patients available to us, because some patients who might</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00"/>
        <w:spacing w:after="0" w:line="272" w:lineRule="auto"/>
        <w:rPr>
          <w:sz w:val="20"/>
          <w:szCs w:val="20"/>
          <w:color w:val="auto"/>
        </w:rPr>
      </w:pPr>
      <w:r>
        <w:rPr>
          <w:rFonts w:ascii="Arial" w:cs="Arial" w:eastAsia="Arial" w:hAnsi="Arial"/>
          <w:sz w:val="16"/>
          <w:szCs w:val="16"/>
          <w:color w:val="auto"/>
        </w:rPr>
        <w:t>have opted to enroll in our trials may instead opt to enroll in a trial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sites. Moreover, because our current and potential future product candidates may represent a departure from more commonly used methods for cancer treatment, potential patients and their doctors may be inclined to use conventional therapies, such as chemotherapy, rather than enroll patients in our ongoing or any future clinical trial.</w:t>
      </w:r>
    </w:p>
    <w:p>
      <w:pPr>
        <w:spacing w:after="0" w:line="78"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Delays in patient enrollment may result in increased costs or may affect the timing or outcome of clinical trials, which could prevent completion of these trials and adversely affect our ability to advance the development of the product candidates we develop.</w:t>
      </w:r>
    </w:p>
    <w:p>
      <w:pPr>
        <w:spacing w:after="0" w:line="81" w:lineRule="exact"/>
        <w:rPr>
          <w:sz w:val="20"/>
          <w:szCs w:val="20"/>
          <w:color w:val="auto"/>
        </w:rPr>
      </w:pPr>
    </w:p>
    <w:p>
      <w:pPr>
        <w:ind w:left="120" w:right="100"/>
        <w:spacing w:after="0" w:line="248" w:lineRule="auto"/>
        <w:rPr>
          <w:sz w:val="20"/>
          <w:szCs w:val="20"/>
          <w:color w:val="auto"/>
        </w:rPr>
      </w:pPr>
      <w:r>
        <w:rPr>
          <w:rFonts w:ascii="Arial" w:cs="Arial" w:eastAsia="Arial" w:hAnsi="Arial"/>
          <w:sz w:val="18"/>
          <w:szCs w:val="18"/>
          <w:b w:val="1"/>
          <w:bCs w:val="1"/>
          <w:i w:val="1"/>
          <w:iCs w:val="1"/>
          <w:color w:val="auto"/>
        </w:rPr>
        <w:t>Our current or future product candidates may cause undesirable side effects or have other properties when used alone or in combination with other approved products or investigational new drugs that could delay or halt their clinical development, prevent their marketing approval, limit their commercial potential or result in significant negative consequences.</w:t>
      </w:r>
    </w:p>
    <w:p>
      <w:pPr>
        <w:spacing w:after="0" w:line="94" w:lineRule="exact"/>
        <w:rPr>
          <w:sz w:val="20"/>
          <w:szCs w:val="20"/>
          <w:color w:val="auto"/>
        </w:rPr>
      </w:pPr>
    </w:p>
    <w:p>
      <w:pPr>
        <w:ind w:left="120" w:right="160"/>
        <w:spacing w:after="0" w:line="281" w:lineRule="auto"/>
        <w:rPr>
          <w:sz w:val="20"/>
          <w:szCs w:val="20"/>
          <w:color w:val="auto"/>
        </w:rPr>
      </w:pPr>
      <w:r>
        <w:rPr>
          <w:rFonts w:ascii="Arial" w:cs="Arial" w:eastAsia="Arial" w:hAnsi="Arial"/>
          <w:sz w:val="16"/>
          <w:szCs w:val="16"/>
          <w:color w:val="auto"/>
        </w:rPr>
        <w:t>Undesirable or clinically unmanageable side effects could occur and cause us or regulatory authorities to interrupt, delay or halt clinical trials and could result in a more restrictive label or the delay or denial of marketing approval by the FDA or comparable foreign regulatory authorities. Results of our trials could reveal a high and unacceptable severity and prevalence of side effects or unexpected characteristics.</w:t>
      </w:r>
    </w:p>
    <w:p>
      <w:pPr>
        <w:spacing w:after="0" w:line="69" w:lineRule="exact"/>
        <w:rPr>
          <w:sz w:val="20"/>
          <w:szCs w:val="20"/>
          <w:color w:val="auto"/>
        </w:rPr>
      </w:pPr>
    </w:p>
    <w:p>
      <w:pPr>
        <w:ind w:left="120" w:right="120"/>
        <w:spacing w:after="0" w:line="269" w:lineRule="auto"/>
        <w:rPr>
          <w:sz w:val="20"/>
          <w:szCs w:val="20"/>
          <w:color w:val="auto"/>
        </w:rPr>
      </w:pPr>
      <w:r>
        <w:rPr>
          <w:rFonts w:ascii="Arial" w:cs="Arial" w:eastAsia="Arial" w:hAnsi="Arial"/>
          <w:sz w:val="16"/>
          <w:szCs w:val="16"/>
          <w:color w:val="auto"/>
        </w:rPr>
        <w:t>If unacceptable toxicities or other undesirable side effects arise in the development of any of our current or future product candidates, we or our collaborators could suspend or terminate our trials, or the FDA or comparable foreign regulatory authorities could order us to cease clinical trials or deny approval of the product candidate for any or all targeted indications. Treatment-related side effects could also affect patient recruitment or the ability of enrolled subjects to complete the trial, or result in potential product liability claims. In addition, these side effects may not be appropriately recognized or managed by the treating medical staff. Inadequately recognizing or managing the potential side effects of our product candidates could result in patient injury or death. Any of these occurrences may prevent us from achieving or maintaining market acceptance of the affected product candidate and may harm our business, financial condition and prospects significantly.</w:t>
      </w:r>
    </w:p>
    <w:p>
      <w:pPr>
        <w:spacing w:after="0" w:line="82" w:lineRule="exact"/>
        <w:rPr>
          <w:sz w:val="20"/>
          <w:szCs w:val="20"/>
          <w:color w:val="auto"/>
        </w:rPr>
      </w:pPr>
    </w:p>
    <w:p>
      <w:pPr>
        <w:ind w:left="120"/>
        <w:spacing w:after="0" w:line="272" w:lineRule="auto"/>
        <w:rPr>
          <w:sz w:val="20"/>
          <w:szCs w:val="20"/>
          <w:color w:val="auto"/>
        </w:rPr>
      </w:pPr>
      <w:r>
        <w:rPr>
          <w:rFonts w:ascii="Arial" w:cs="Arial" w:eastAsia="Arial" w:hAnsi="Arial"/>
          <w:sz w:val="16"/>
          <w:szCs w:val="16"/>
          <w:color w:val="auto"/>
        </w:rPr>
        <w:t>Although our current and future product candidates will undergo safety testing to the extent possible and, where applicable, under such conditions discussed with regulatory authorities, not all adverse effects of drugs can be predicted or anticipated. Unforeseen side effects could arise either during clinical development or, if such side effects are more rare, after our products have been approved by regulatory authorities and the approved product has been marketed, resulting in the exposure of additional patients. So far, we have not previously demonstrated that RMC-4630 or any other product candidate is safe in humans, and we cannot predict if ongoing or future clinical trials will do so.</w:t>
      </w:r>
    </w:p>
    <w:p>
      <w:pPr>
        <w:spacing w:after="0" w:line="78"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Furthermore, certain of our product candidates, such as RMC-4630, may be co-administered with approved or experimental therapies. These combinations may have additional side effects. The uncertainty resulting from the use of our product candidates in combination with other therapies may make it difficult to accurately predict side effects in future clinical trials.</w:t>
      </w:r>
    </w:p>
    <w:p>
      <w:pPr>
        <w:spacing w:after="0" w:line="100"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If any of our product candidates receives marketing approval and we or others later identify undesirable side effects caused by such products, a number of potentially significant negative consequences could result, including:</w:t>
      </w:r>
    </w:p>
    <w:p>
      <w:pPr>
        <w:spacing w:after="0" w:line="114" w:lineRule="exact"/>
        <w:rPr>
          <w:sz w:val="20"/>
          <w:szCs w:val="20"/>
          <w:color w:val="auto"/>
        </w:rPr>
      </w:pPr>
    </w:p>
    <w:p>
      <w:pPr>
        <w:ind w:left="120"/>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regulatory authorities may withdraw their approval of the product;</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hanging="224"/>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such product is administered to patients;</w:t>
      </w:r>
    </w:p>
    <w:p>
      <w:pPr>
        <w:spacing w:after="0" w:line="117" w:lineRule="exact"/>
        <w:rPr>
          <w:rFonts w:ascii="Arial" w:cs="Arial" w:eastAsia="Arial" w:hAnsi="Arial"/>
          <w:sz w:val="18"/>
          <w:szCs w:val="18"/>
          <w:color w:val="auto"/>
        </w:rPr>
      </w:pPr>
    </w:p>
    <w:p>
      <w:pPr>
        <w:ind w:left="340" w:right="340" w:hanging="224"/>
        <w:spacing w:after="0" w:line="239"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the particular product or the manufacturing processes for the product or any component thereof;</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17" w:lineRule="exact"/>
        <w:rPr>
          <w:rFonts w:ascii="Arial" w:cs="Arial" w:eastAsia="Arial" w:hAnsi="Arial"/>
          <w:sz w:val="18"/>
          <w:szCs w:val="18"/>
          <w:color w:val="auto"/>
        </w:rPr>
      </w:pPr>
    </w:p>
    <w:p>
      <w:pPr>
        <w:ind w:left="340" w:right="200" w:hanging="224"/>
        <w:spacing w:after="0" w:line="239"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to implement a Risk Evaluation and Mitigation Strategy, or REMS, or create a Medication Guide outlining the risks of such side effects for distribution to patients;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04" w:lineRule="exact"/>
        <w:rPr>
          <w:sz w:val="20"/>
          <w:szCs w:val="20"/>
          <w:color w:val="auto"/>
        </w:rPr>
      </w:pPr>
    </w:p>
    <w:p>
      <w:pPr>
        <w:ind w:left="120"/>
        <w:spacing w:after="0" w:line="275" w:lineRule="auto"/>
        <w:rPr>
          <w:sz w:val="20"/>
          <w:szCs w:val="20"/>
          <w:color w:val="auto"/>
        </w:rPr>
      </w:pPr>
      <w:r>
        <w:rPr>
          <w:rFonts w:ascii="Arial" w:cs="Arial" w:eastAsia="Arial" w:hAnsi="Arial"/>
          <w:sz w:val="16"/>
          <w:szCs w:val="16"/>
          <w:color w:val="auto"/>
        </w:rPr>
        <w:t>Any of the foregoing events could prevent us from achieving or maintaining market acceptance of the particular product candidate, if approved, and result in the loss of significant revenues to us, which would adversely affect our business, financial condition, results of operations and prospects. In addition, if one or more of our product candidates prove to be unsafe, our entire technology platform and pipeline could be affected, which would have a material adverse effect on our business, financial condition, results of operations and prospects.</w:t>
      </w:r>
    </w:p>
    <w:p>
      <w:pPr>
        <w:spacing w:after="0" w:line="55" w:lineRule="exact"/>
        <w:rPr>
          <w:sz w:val="20"/>
          <w:szCs w:val="20"/>
          <w:color w:val="auto"/>
        </w:rPr>
      </w:pPr>
    </w:p>
    <w:p>
      <w:pPr>
        <w:ind w:left="120" w:right="220"/>
        <w:spacing w:after="0" w:line="248"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the marketing approval process is expensive, time-consuming and uncertain and may prevent us or any of our existing or future collaboration partners from obtaining approvals for the commercialization of RMC-4630 and any other product candidate we develop.</w:t>
      </w:r>
    </w:p>
    <w:p>
      <w:pPr>
        <w:spacing w:after="0" w:line="94"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Any current or future product candidate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product candidate will prevent us from commercializing the product candidate in a given jurisdiction. We have not received approval to market any product candidates from regulatory authorities in any jurisdiction and it is possible that none of our current or future product candidates will ever obtain regulatory approval. We have no experience in filing and supporting the applications necessary to gain marketing approvals and expect to rely on third-party CROs 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106"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00" w:lineRule="exact"/>
        <w:rPr>
          <w:sz w:val="20"/>
          <w:szCs w:val="20"/>
          <w:color w:val="auto"/>
        </w:rPr>
      </w:pPr>
    </w:p>
    <w:p>
      <w:pPr>
        <w:ind w:left="120" w:right="160"/>
        <w:spacing w:after="0" w:line="239" w:lineRule="auto"/>
        <w:rPr>
          <w:sz w:val="20"/>
          <w:szCs w:val="20"/>
          <w:color w:val="auto"/>
        </w:rPr>
      </w:pPr>
      <w:r>
        <w:rPr>
          <w:rFonts w:ascii="Arial" w:cs="Arial" w:eastAsia="Arial" w:hAnsi="Arial"/>
          <w:sz w:val="18"/>
          <w:szCs w:val="18"/>
          <w:color w:val="auto"/>
        </w:rPr>
        <w:t>If we experience delays in obtaining approval or if we fail to obtain approval of any current or future product candidates we may develop, the commercial prospects for those product candidates may be harmed, and our ability to generate revenues will be materially impaired.</w:t>
      </w:r>
    </w:p>
    <w:p>
      <w:pPr>
        <w:spacing w:after="0" w:line="81" w:lineRule="exact"/>
        <w:rPr>
          <w:sz w:val="20"/>
          <w:szCs w:val="20"/>
          <w:color w:val="auto"/>
        </w:rPr>
      </w:pPr>
    </w:p>
    <w:p>
      <w:pPr>
        <w:ind w:left="120" w:right="140"/>
        <w:spacing w:after="0" w:line="262" w:lineRule="auto"/>
        <w:rPr>
          <w:sz w:val="20"/>
          <w:szCs w:val="20"/>
          <w:color w:val="auto"/>
        </w:rPr>
      </w:pPr>
      <w:r>
        <w:rPr>
          <w:rFonts w:ascii="Arial" w:cs="Arial" w:eastAsia="Arial" w:hAnsi="Arial"/>
          <w:sz w:val="18"/>
          <w:szCs w:val="18"/>
          <w:b w:val="1"/>
          <w:bCs w:val="1"/>
          <w:i w:val="1"/>
          <w:iCs w:val="1"/>
          <w:color w:val="auto"/>
        </w:rPr>
        <w:t>Obtaining and maintaining marketing approval of our current and future product candidates in one jurisdiction does not mean that we will be successful in obtaining marketing approval of our current and future product candidates in other jurisdictions.</w:t>
      </w:r>
    </w:p>
    <w:p>
      <w:pPr>
        <w:spacing w:after="0" w:line="81" w:lineRule="exact"/>
        <w:rPr>
          <w:sz w:val="20"/>
          <w:szCs w:val="20"/>
          <w:color w:val="auto"/>
        </w:rPr>
      </w:pPr>
    </w:p>
    <w:p>
      <w:pPr>
        <w:ind w:left="120" w:right="60"/>
        <w:spacing w:after="0" w:line="235" w:lineRule="auto"/>
        <w:rPr>
          <w:sz w:val="20"/>
          <w:szCs w:val="20"/>
          <w:color w:val="auto"/>
        </w:rPr>
      </w:pPr>
      <w:r>
        <w:rPr>
          <w:rFonts w:ascii="Arial" w:cs="Arial" w:eastAsia="Arial" w:hAnsi="Arial"/>
          <w:sz w:val="18"/>
          <w:szCs w:val="18"/>
          <w:color w:val="auto"/>
        </w:rPr>
        <w:t>Obtaining and maintaining marketing approval of our current and future product candidates in one jurisdiction does not guarantee that we will be able to obtain or maintain marketing approval in any other jurisdiction, while a failure or delay in obtaining marketing approval in one jurisdiction may have a negative effect on the marketing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06"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marketing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82" w:lineRule="exact"/>
        <w:rPr>
          <w:sz w:val="20"/>
          <w:szCs w:val="20"/>
          <w:color w:val="auto"/>
        </w:rPr>
      </w:pPr>
    </w:p>
    <w:p>
      <w:pPr>
        <w:ind w:left="120" w:right="100"/>
        <w:spacing w:after="0" w:line="262" w:lineRule="auto"/>
        <w:rPr>
          <w:sz w:val="20"/>
          <w:szCs w:val="20"/>
          <w:color w:val="auto"/>
        </w:rPr>
      </w:pPr>
      <w:r>
        <w:rPr>
          <w:rFonts w:ascii="Arial" w:cs="Arial" w:eastAsia="Arial" w:hAnsi="Arial"/>
          <w:sz w:val="18"/>
          <w:szCs w:val="18"/>
          <w:b w:val="1"/>
          <w:bCs w:val="1"/>
          <w:i w:val="1"/>
          <w:iCs w:val="1"/>
          <w:color w:val="auto"/>
        </w:rPr>
        <w:t>Adverse events in the field of oncology could damage public perception of our current or future product candidates and negatively affect our business.</w:t>
      </w:r>
    </w:p>
    <w:p>
      <w:pPr>
        <w:spacing w:after="0" w:line="81" w:lineRule="exact"/>
        <w:rPr>
          <w:sz w:val="20"/>
          <w:szCs w:val="20"/>
          <w:color w:val="auto"/>
        </w:rPr>
      </w:pPr>
    </w:p>
    <w:p>
      <w:pPr>
        <w:ind w:left="120" w:right="120"/>
        <w:spacing w:after="0" w:line="269" w:lineRule="auto"/>
        <w:rPr>
          <w:sz w:val="20"/>
          <w:szCs w:val="20"/>
          <w:color w:val="auto"/>
        </w:rPr>
      </w:pPr>
      <w:r>
        <w:rPr>
          <w:rFonts w:ascii="Arial" w:cs="Arial" w:eastAsia="Arial" w:hAnsi="Arial"/>
          <w:sz w:val="16"/>
          <w:szCs w:val="16"/>
          <w:color w:val="auto"/>
        </w:rPr>
        <w:t>The commercial success of our products will depend in part on public acceptance of the use of targeted cancer therapies. While a number of targeted cancer therapies have received regulatory approval and are being commercialized, our approach to targeting cancer cells carrying tumor causing mutations, including oncogenic RAS(ON) pathway mutations, is novel and unproven. Adverse events in clinical trials of our product candidates, or post-marketing activities, or in clinical trials of others developing similar products and the resulting publicity, as well as any other adverse events in the field of oncology that may occur in the future, could result in a decrease in demand for any product that we may develop. If public perception is influenced by claims that the use of cancer therapies is unsafe, whether related to our therapies or those of our competitors, our products may not be accepted by the general public or the medical community.</w:t>
      </w:r>
    </w:p>
    <w:p>
      <w:pPr>
        <w:spacing w:after="0" w:line="82" w:lineRule="exact"/>
        <w:rPr>
          <w:sz w:val="20"/>
          <w:szCs w:val="20"/>
          <w:color w:val="auto"/>
        </w:rPr>
      </w:pPr>
    </w:p>
    <w:p>
      <w:pPr>
        <w:ind w:left="120" w:right="380"/>
        <w:spacing w:after="0" w:line="239" w:lineRule="auto"/>
        <w:rPr>
          <w:sz w:val="20"/>
          <w:szCs w:val="20"/>
          <w:color w:val="auto"/>
        </w:rPr>
      </w:pPr>
      <w:r>
        <w:rPr>
          <w:rFonts w:ascii="Arial" w:cs="Arial" w:eastAsia="Arial" w:hAnsi="Arial"/>
          <w:sz w:val="18"/>
          <w:szCs w:val="18"/>
          <w:color w:val="auto"/>
        </w:rPr>
        <w:t>Future adverse events in oncology or the biopharmaceutical industry could also result in greater governmental regulation, stricter labeling requirements and potential regulatory delays in the testing or approvals of our</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products. Any increased scrutiny could delay or increase the costs of obtaining marketing approval for the product candidates we develop.</w:t>
      </w:r>
    </w:p>
    <w:p>
      <w:pPr>
        <w:spacing w:after="0" w:line="84" w:lineRule="exact"/>
        <w:rPr>
          <w:sz w:val="20"/>
          <w:szCs w:val="20"/>
          <w:color w:val="auto"/>
        </w:rPr>
      </w:pPr>
    </w:p>
    <w:p>
      <w:pPr>
        <w:jc w:val="both"/>
        <w:ind w:left="120" w:right="220"/>
        <w:spacing w:after="0" w:line="248" w:lineRule="auto"/>
        <w:rPr>
          <w:sz w:val="20"/>
          <w:szCs w:val="20"/>
          <w:color w:val="auto"/>
        </w:rPr>
      </w:pPr>
      <w:r>
        <w:rPr>
          <w:rFonts w:ascii="Arial" w:cs="Arial" w:eastAsia="Arial" w:hAnsi="Arial"/>
          <w:sz w:val="18"/>
          <w:szCs w:val="18"/>
          <w:b w:val="1"/>
          <w:bCs w:val="1"/>
          <w:i w:val="1"/>
          <w:iCs w:val="1"/>
          <w:color w:val="auto"/>
        </w:rPr>
        <w:t>Even if we receive marketing approval of a product candidate, we will be subject to ongoing regulatory obligations and continued regulatory review, which may result in significant additional expense and we may be subject to penalties if we fail to comply with regulatory requirements or experience unanticipated problems with our products, if approved.</w:t>
      </w:r>
    </w:p>
    <w:p>
      <w:pPr>
        <w:spacing w:after="0" w:line="9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Any marketing approvals that we receive for any current or future product candidate may be subject to limitations on the approved indicated uses for which the product may be marketed or the conditions of approval, or contain requirements for potentially costly post-market testing and surveillance to monitor the safety and efficacy of the product candidate. The FDA may also require REMS as a condition of approval of any product candidate, which could include requirements for a medication guide, physician communication plans or additional elements to ensure safe use, such as restricted distribution methods, patient registries and other risk minimization tools. In addition, if the FDA or a comparable foreign regulatory authority approves a product candidate, the manufacturing processes, labeling, packaging, distribution, adverse event reporting, storage, advertising, promotion, import and export and record keeping for the product candidate will be subject to extensive and ongoing regulatory requirements. These requirements include submissions of safety and other post-marketing information and reports, registration, as well as continued compliance with current Good Manufacturing Practice, or cGMP, and Good Clinical Practice, or GCP, for any clinical trials that we conduct post-approval. Later discovery of previously unknown problems with any approved candidate, including adverse events of unanticipated severity or frequency, or with our third-party manufacturers or manufacturing processes, or failure to comply with regulatory requirements, may result in, among other things:</w:t>
      </w:r>
    </w:p>
    <w:p>
      <w:pPr>
        <w:spacing w:after="0" w:line="119" w:lineRule="exact"/>
        <w:rPr>
          <w:sz w:val="20"/>
          <w:szCs w:val="20"/>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product recalls;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fines, untitled and warning letters, or holds on clinical trials;</w:t>
      </w:r>
    </w:p>
    <w:p>
      <w:pPr>
        <w:spacing w:after="0" w:line="117" w:lineRule="exact"/>
        <w:rPr>
          <w:rFonts w:ascii="Arial" w:cs="Arial" w:eastAsia="Arial" w:hAnsi="Arial"/>
          <w:sz w:val="18"/>
          <w:szCs w:val="18"/>
          <w:color w:val="auto"/>
        </w:rPr>
      </w:pPr>
    </w:p>
    <w:p>
      <w:pPr>
        <w:ind w:left="340" w:right="560" w:hanging="224"/>
        <w:spacing w:after="0" w:line="239"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we filed or suspension or revocation of license approvals;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the product;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04"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83" w:lineRule="exact"/>
        <w:rPr>
          <w:sz w:val="20"/>
          <w:szCs w:val="20"/>
          <w:color w:val="auto"/>
        </w:rPr>
      </w:pPr>
    </w:p>
    <w:p>
      <w:pPr>
        <w:ind w:left="120" w:right="20"/>
        <w:spacing w:after="0" w:line="262" w:lineRule="auto"/>
        <w:rPr>
          <w:sz w:val="20"/>
          <w:szCs w:val="20"/>
          <w:color w:val="auto"/>
        </w:rPr>
      </w:pPr>
      <w:r>
        <w:rPr>
          <w:rFonts w:ascii="Arial" w:cs="Arial" w:eastAsia="Arial" w:hAnsi="Arial"/>
          <w:sz w:val="18"/>
          <w:szCs w:val="18"/>
          <w:b w:val="1"/>
          <w:bCs w:val="1"/>
          <w:i w:val="1"/>
          <w:iCs w:val="1"/>
          <w:color w:val="auto"/>
        </w:rPr>
        <w:t>Even if a current or future product candidate receives marketing approval, it may fail to achieve the degree of market acceptance by physicians, patients, third-party payors and others in the medical community necessary for commercial success.</w:t>
      </w:r>
    </w:p>
    <w:p>
      <w:pPr>
        <w:spacing w:after="0" w:line="81" w:lineRule="exact"/>
        <w:rPr>
          <w:sz w:val="20"/>
          <w:szCs w:val="20"/>
          <w:color w:val="auto"/>
        </w:rPr>
      </w:pPr>
    </w:p>
    <w:p>
      <w:pPr>
        <w:ind w:left="120" w:right="120"/>
        <w:spacing w:after="0" w:line="275" w:lineRule="auto"/>
        <w:rPr>
          <w:sz w:val="20"/>
          <w:szCs w:val="20"/>
          <w:color w:val="auto"/>
        </w:rPr>
      </w:pPr>
      <w:r>
        <w:rPr>
          <w:rFonts w:ascii="Arial" w:cs="Arial" w:eastAsia="Arial" w:hAnsi="Arial"/>
          <w:sz w:val="16"/>
          <w:szCs w:val="16"/>
          <w:color w:val="auto"/>
        </w:rPr>
        <w:t>If any current or future product candidate we develop receives marketing approval, whether as a single agent or in combination with other therapies, it may nonetheless fail to gain sufficient market acceptance by physicians, patients, third-party payors, and others in the medical community. For example, current approved immunotherapies, and other cancer treatments like chemotherapy and radiation therapy, are well established in the medical community, and doctors may continue to rely on these therapies. If the product candidates we</w:t>
      </w:r>
    </w:p>
    <w:p>
      <w:pPr>
        <w:spacing w:after="0" w:line="1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20"/>
        <w:spacing w:after="0" w:line="238" w:lineRule="auto"/>
        <w:rPr>
          <w:sz w:val="20"/>
          <w:szCs w:val="20"/>
          <w:color w:val="auto"/>
        </w:rPr>
      </w:pPr>
      <w:r>
        <w:rPr>
          <w:rFonts w:ascii="Arial" w:cs="Arial" w:eastAsia="Arial" w:hAnsi="Arial"/>
          <w:sz w:val="18"/>
          <w:szCs w:val="18"/>
          <w:color w:val="auto"/>
        </w:rPr>
        <w:t>develop do not achieve an adequate level of acceptance, we may not generate significant product revenues and we may not become profitable. The degree of market acceptance of any product candidate, if approved for commercial sale, will depend on a number of factors, including:</w:t>
      </w:r>
    </w:p>
    <w:p>
      <w:pPr>
        <w:spacing w:after="0" w:line="113" w:lineRule="exact"/>
        <w:rPr>
          <w:sz w:val="20"/>
          <w:szCs w:val="20"/>
          <w:color w:val="auto"/>
        </w:rPr>
      </w:pPr>
    </w:p>
    <w:p>
      <w:pPr>
        <w:ind w:left="340" w:hanging="224"/>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efficacy and potential advantages compared to alternative treatments;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to offer our products, if approved, for sale at competitive prices;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17" w:lineRule="exact"/>
        <w:rPr>
          <w:rFonts w:ascii="Arial" w:cs="Arial" w:eastAsia="Arial" w:hAnsi="Arial"/>
          <w:sz w:val="18"/>
          <w:szCs w:val="18"/>
          <w:color w:val="auto"/>
        </w:rPr>
      </w:pPr>
    </w:p>
    <w:p>
      <w:pPr>
        <w:ind w:left="340" w:right="140" w:hanging="224"/>
        <w:spacing w:after="0" w:line="239"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to obtain sufficient third-party coverage and adequate reimbursement, including with respect to the use of the approved product as a combination therapy;</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adoption of a companion diagnostic and/or complementary diagnostic (if any);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84" w:lineRule="exact"/>
        <w:rPr>
          <w:sz w:val="20"/>
          <w:szCs w:val="20"/>
          <w:color w:val="auto"/>
        </w:rPr>
      </w:pPr>
    </w:p>
    <w:p>
      <w:pPr>
        <w:ind w:left="120" w:right="320"/>
        <w:spacing w:after="0" w:line="262" w:lineRule="auto"/>
        <w:rPr>
          <w:sz w:val="20"/>
          <w:szCs w:val="20"/>
          <w:color w:val="auto"/>
        </w:rPr>
      </w:pPr>
      <w:r>
        <w:rPr>
          <w:rFonts w:ascii="Arial" w:cs="Arial" w:eastAsia="Arial" w:hAnsi="Arial"/>
          <w:sz w:val="18"/>
          <w:szCs w:val="18"/>
          <w:b w:val="1"/>
          <w:bCs w:val="1"/>
          <w:i w:val="1"/>
          <w:iCs w:val="1"/>
          <w:color w:val="auto"/>
        </w:rPr>
        <w:t>The market opportunities for any current or future product candidate we develop, if and when approved, may be limited to those patients who are ineligible for established therapies or for whom prior therapies have failed, and may be small.</w:t>
      </w:r>
    </w:p>
    <w:p>
      <w:pPr>
        <w:spacing w:after="0" w:line="81"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Cancer therapies are sometimes characterized as first-line, second-line, or third-line, and the FDA often approves new therapies initially only for third-line use. When cancer is detected early enough, first-line therapy, usually chemotherapy, hormone therapy, surgery, radiation therapy or a combination of these, is sometimes adequate to cure the cancer or prolong life without a cure. Second- and third-line therapies are administered to patients when prior therapy is not effective. We expect to initially seek approval of RMC-4630 and any other product candidates we develop as a therapy for patients who have received one or more prior treatments. Subsequently, for those products that prove to be sufficiently beneficial, if any, we would expect to seek approval potentially as a first-line therapy, but there is no guarantee that product candidates we develop, even if approved, would be approved for first-line therapy, and, prior to any such approvals, we may have to conduct additional clinical trials.</w:t>
      </w:r>
    </w:p>
    <w:p>
      <w:pPr>
        <w:spacing w:after="0" w:line="100" w:lineRule="exact"/>
        <w:rPr>
          <w:sz w:val="20"/>
          <w:szCs w:val="20"/>
          <w:color w:val="auto"/>
        </w:rPr>
      </w:pPr>
    </w:p>
    <w:p>
      <w:pPr>
        <w:ind w:left="120" w:right="40"/>
        <w:spacing w:after="0" w:line="275" w:lineRule="auto"/>
        <w:rPr>
          <w:sz w:val="20"/>
          <w:szCs w:val="20"/>
          <w:color w:val="auto"/>
        </w:rPr>
      </w:pPr>
      <w:r>
        <w:rPr>
          <w:rFonts w:ascii="Arial" w:cs="Arial" w:eastAsia="Arial" w:hAnsi="Arial"/>
          <w:sz w:val="16"/>
          <w:szCs w:val="16"/>
          <w:color w:val="auto"/>
        </w:rPr>
        <w:t>The number of patients who have the cancers we are targeting may turn out to be lower than expected. Additionally, the potentially addressable patient population for our current programs or future product candidates may be limited, if and when approved. Even if we obtain significant market share for any product candidate, if and when approved, if the potential target populations are small, we may never achieve profitability without obtaining marketing approval for additional indications, including to be used as first- or second-line therapy.</w:t>
      </w:r>
    </w:p>
    <w:p>
      <w:pPr>
        <w:spacing w:after="0" w:line="55" w:lineRule="exact"/>
        <w:rPr>
          <w:sz w:val="20"/>
          <w:szCs w:val="20"/>
          <w:color w:val="auto"/>
        </w:rPr>
      </w:pPr>
    </w:p>
    <w:p>
      <w:pPr>
        <w:ind w:left="120"/>
        <w:spacing w:after="0" w:line="262" w:lineRule="auto"/>
        <w:rPr>
          <w:sz w:val="20"/>
          <w:szCs w:val="20"/>
          <w:color w:val="auto"/>
        </w:rPr>
      </w:pPr>
      <w:r>
        <w:rPr>
          <w:rFonts w:ascii="Arial" w:cs="Arial" w:eastAsia="Arial" w:hAnsi="Arial"/>
          <w:sz w:val="18"/>
          <w:szCs w:val="18"/>
          <w:b w:val="1"/>
          <w:bCs w:val="1"/>
          <w:i w:val="1"/>
          <w:iCs w:val="1"/>
          <w:color w:val="auto"/>
        </w:rPr>
        <w:t>We intend to develop RMC-4630, and may develop other current and future product candidates, in combination with other therapies, which exposes us to additional risks.</w:t>
      </w:r>
    </w:p>
    <w:p>
      <w:pPr>
        <w:spacing w:after="0" w:line="81"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We intend to develop RMC-4630, and may develop other current and future product candidates, in combination with one or more currently approved cancer therapies. Even if any product candidate we develop were to receive marketing approval or be commercialized for use in combination with other existing therapies, we would continue to be subject to the risks that the FDA or similar regulatory authorities outside of the United States could revoke approval of the therapy used in combination with our product candidate or that safety, efficacy, manufacturing or supply issues could arise with these existing therapies. Combination therapies are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120" w:right="280"/>
        <w:spacing w:after="0" w:line="238" w:lineRule="auto"/>
        <w:rPr>
          <w:sz w:val="20"/>
          <w:szCs w:val="20"/>
          <w:color w:val="auto"/>
        </w:rPr>
      </w:pPr>
      <w:r>
        <w:rPr>
          <w:rFonts w:ascii="Arial" w:cs="Arial" w:eastAsia="Arial" w:hAnsi="Arial"/>
          <w:sz w:val="18"/>
          <w:szCs w:val="18"/>
          <w:color w:val="auto"/>
        </w:rPr>
        <w:t>commonly used for the treatment of cancer, and we would be subject to similar risks if we develop any of our product candidates for use in combination with other drugs or for indications other than cancer. This could result in our own products being removed from the market or being less successful commercially.</w:t>
      </w:r>
    </w:p>
    <w:p>
      <w:pPr>
        <w:spacing w:after="0" w:line="100"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We may also evaluate RMC-4630 or any other current or future product candidates in combination with one or more other cancer therapies that have not yet been approved for marketing by the FDA or similar regulatory authorities outside of the United States. We will not be able to market and sell RMC-4630 or any product candidate we develop in combination with any such unapproved cancer therapies that do not ultimately obtain marketing approval.</w:t>
      </w:r>
    </w:p>
    <w:p>
      <w:pPr>
        <w:spacing w:after="0" w:line="100"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If the FDA or similar regulatory authorities outside of the United States do not approve these other drugs or revoke their approval of, or if safety, efficacy, manufacturing, or supply issues arise with, the drugs we choose to evaluate in combination with or any product candidate we develop, we may be unable to obtain approval of or market or any product candidate we develop.</w:t>
      </w:r>
    </w:p>
    <w:p>
      <w:pPr>
        <w:spacing w:after="0" w:line="100"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In addition, Sanofi primarily controls the research and development activities of our SHP2 inhibitors, including RMC-4630, pursuant to the terms of the Sanofi Agreement, and may disagree with us regarding which other therapies should be evaluated in combination with RMC-4630. As a result of this disagreement, our completion of a trial in combination with our preferred combination product candidate may be delayed or prevented. We rely on Sanofi for the supply of RMC-4630 for future combination studies and if Sanofi is unwilling to supply RMC-4630 to be used in combination with a product candidate from our pipeline, our ability to complete a trial evaluating such combination may be delayed or prevented.</w:t>
      </w:r>
    </w:p>
    <w:p>
      <w:pPr>
        <w:spacing w:after="0" w:line="82" w:lineRule="exact"/>
        <w:rPr>
          <w:sz w:val="20"/>
          <w:szCs w:val="20"/>
          <w:color w:val="auto"/>
        </w:rPr>
      </w:pPr>
    </w:p>
    <w:p>
      <w:pPr>
        <w:ind w:left="120" w:right="860"/>
        <w:spacing w:after="0" w:line="262"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and market products that are more effective, safer or less expensive than the product candidates we develop, our commercial opportunities will be negatively impacted.</w:t>
      </w:r>
    </w:p>
    <w:p>
      <w:pPr>
        <w:spacing w:after="0" w:line="81" w:lineRule="exact"/>
        <w:rPr>
          <w:sz w:val="20"/>
          <w:szCs w:val="20"/>
          <w:color w:val="auto"/>
        </w:rPr>
      </w:pPr>
    </w:p>
    <w:p>
      <w:pPr>
        <w:ind w:left="120" w:right="40"/>
        <w:spacing w:after="0" w:line="235" w:lineRule="auto"/>
        <w:rPr>
          <w:sz w:val="20"/>
          <w:szCs w:val="20"/>
          <w:color w:val="auto"/>
        </w:rPr>
      </w:pPr>
      <w:r>
        <w:rPr>
          <w:rFonts w:ascii="Arial" w:cs="Arial" w:eastAsia="Arial" w:hAnsi="Arial"/>
          <w:sz w:val="18"/>
          <w:szCs w:val="18"/>
          <w:color w:val="auto"/>
        </w:rPr>
        <w:t>The life sciences industry is highly competitive. We are currently developing therapies that will compete, if approved, with other products and therapies that currently exist or are being developed. Products we may develop in the future are also likely to face competition from other products and therapies, some of which we may not currently be aware. We have competitors both in the United States and internationally, including major multinational pharmaceutical companies, established biotechnology companies, specialty pharmaceutical companies, universities and other research institutions. Many of our competitors have significantly greater financial, manufacturing, marketing, product development, technical and human resources than we do. Large pharmaceutical companies, in particular, have extensive experience in clinical testing, obtaining marketing approvals, recruiting patients and manufacturing pharmaceutical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product candidates that we develop obsolete. Mergers and acquisitions in the pharmaceutical and biotechnology industries may result in even more resources being concentrated among a smaller number of our competitors. As a result of all of these factors, our competitors may succeed in obtaining patent protection and/or marketing approval or discovering, developing and commercializing products in our field before we do.</w:t>
      </w:r>
    </w:p>
    <w:p>
      <w:pPr>
        <w:spacing w:after="0" w:line="106" w:lineRule="exact"/>
        <w:rPr>
          <w:sz w:val="20"/>
          <w:szCs w:val="20"/>
          <w:color w:val="auto"/>
        </w:rPr>
      </w:pPr>
    </w:p>
    <w:p>
      <w:pPr>
        <w:ind w:left="120" w:right="260"/>
        <w:spacing w:after="0" w:line="275" w:lineRule="auto"/>
        <w:rPr>
          <w:sz w:val="20"/>
          <w:szCs w:val="20"/>
          <w:color w:val="auto"/>
        </w:rPr>
      </w:pPr>
      <w:r>
        <w:rPr>
          <w:rFonts w:ascii="Arial" w:cs="Arial" w:eastAsia="Arial" w:hAnsi="Arial"/>
          <w:sz w:val="16"/>
          <w:szCs w:val="16"/>
          <w:color w:val="auto"/>
        </w:rPr>
        <w:t>There are a large number of companies developing or marketing treatments for cancer, including many major pharmaceutical and biotechnology companies. These treatments consist of small molecule drug products, biologics, cell-based therapies and traditional chemotherapy. There are also several programs in development targeting SHP2, including those clinical programs run by Novartis AG and Jacobio Pharmaceuticals Co. Ltd. There are several RAS pathway mutations programs, including those directed at KRAS</w:t>
      </w:r>
      <w:r>
        <w:rPr>
          <w:rFonts w:ascii="Arial" w:cs="Arial" w:eastAsia="Arial" w:hAnsi="Arial"/>
          <w:sz w:val="10"/>
          <w:szCs w:val="10"/>
          <w:color w:val="auto"/>
        </w:rPr>
        <w:t>G12C</w:t>
      </w:r>
      <w:r>
        <w:rPr>
          <w:rFonts w:ascii="Arial" w:cs="Arial" w:eastAsia="Arial" w:hAnsi="Arial"/>
          <w:sz w:val="16"/>
          <w:szCs w:val="16"/>
          <w:color w:val="auto"/>
        </w:rPr>
        <w:t>(OFF) and</w:t>
      </w:r>
    </w:p>
    <w:p>
      <w:pPr>
        <w:spacing w:after="0" w:line="1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KRAS</w:t>
      </w:r>
      <w:r>
        <w:rPr>
          <w:rFonts w:ascii="Arial" w:cs="Arial" w:eastAsia="Arial" w:hAnsi="Arial"/>
          <w:sz w:val="11"/>
          <w:szCs w:val="11"/>
          <w:color w:val="auto"/>
        </w:rPr>
        <w:t>G12D</w:t>
      </w:r>
      <w:r>
        <w:rPr>
          <w:rFonts w:ascii="Arial" w:cs="Arial" w:eastAsia="Arial" w:hAnsi="Arial"/>
          <w:sz w:val="18"/>
          <w:szCs w:val="18"/>
          <w:color w:val="auto"/>
        </w:rPr>
        <w:t>(OFF) mutations, including clinical programs directed at KRAS</w:t>
      </w:r>
      <w:r>
        <w:rPr>
          <w:rFonts w:ascii="Arial" w:cs="Arial" w:eastAsia="Arial" w:hAnsi="Arial"/>
          <w:sz w:val="11"/>
          <w:szCs w:val="11"/>
          <w:color w:val="auto"/>
        </w:rPr>
        <w:t>G12C</w:t>
      </w:r>
      <w:r>
        <w:rPr>
          <w:rFonts w:ascii="Arial" w:cs="Arial" w:eastAsia="Arial" w:hAnsi="Arial"/>
          <w:sz w:val="18"/>
          <w:szCs w:val="18"/>
          <w:color w:val="auto"/>
        </w:rPr>
        <w:t>(OFF) being conducted by Amgen Inc., Mirati Therapeutics, Inc. and Johnson &amp; Johnson. Other clinical programs directed at mutant RAS are being conducted by Merck &amp; Co./Moderna Therapeutics and Gilead Sciences, Inc.</w:t>
      </w:r>
    </w:p>
    <w:p>
      <w:pPr>
        <w:spacing w:after="0" w:line="100"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effects, are more convenient, have a broader label, are marketed more effectively, are reimbursed or are less expensive than any products that we may develop. Our competitors also may obtain FDA, EMA or other marketing approval for their products more rapidly than we may obtain approval for ours, which could result in our competitors establishing a strong market position before we are able to enter the market. Even if the product candidate we develop achieve marketing approval, they may be priced at a significant premium over competitive products if any have been approved by then, resulting in reduced competitiveness.</w:t>
      </w:r>
    </w:p>
    <w:p>
      <w:pPr>
        <w:spacing w:after="0" w:line="102"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Smaller and other early stage companies may also prove to be significant competitors. In addition, academic research departments and public and private research institutions may be conducting research on compounds that could prove to be competitive. These third parties compete with us in recruiting and retaining qualified scientific and management personnel, establishing clinical trial sites and patient registration for clinical trials, as well as in acquiring technologies complementary to, or necessary for, our programs. In addition, the biopharmaceutical industry is characterized by rapid technological change. If we fail to stay at the forefront of technological change, we may be unable to compete effectively. Technological advances or products developed by our competitors may render our product candidates obsolete, less competitive or not economical.</w:t>
      </w:r>
    </w:p>
    <w:p>
      <w:pPr>
        <w:spacing w:after="0" w:line="81" w:lineRule="exact"/>
        <w:rPr>
          <w:sz w:val="20"/>
          <w:szCs w:val="20"/>
          <w:color w:val="auto"/>
        </w:rPr>
      </w:pPr>
    </w:p>
    <w:p>
      <w:pPr>
        <w:ind w:left="120" w:right="960"/>
        <w:spacing w:after="0" w:line="262"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such products may become subject to unfavorable pricing regulations or third-party coverage and reimbursement policies, which would harm our business.</w:t>
      </w:r>
    </w:p>
    <w:p>
      <w:pPr>
        <w:spacing w:after="0" w:line="81" w:lineRule="exact"/>
        <w:rPr>
          <w:sz w:val="20"/>
          <w:szCs w:val="20"/>
          <w:color w:val="auto"/>
        </w:rPr>
      </w:pPr>
    </w:p>
    <w:p>
      <w:pPr>
        <w:ind w:left="120" w:right="40"/>
        <w:spacing w:after="0" w:line="269" w:lineRule="auto"/>
        <w:rPr>
          <w:sz w:val="20"/>
          <w:szCs w:val="20"/>
          <w:color w:val="auto"/>
        </w:rPr>
      </w:pPr>
      <w:r>
        <w:rPr>
          <w:rFonts w:ascii="Arial" w:cs="Arial" w:eastAsia="Arial" w:hAnsi="Arial"/>
          <w:sz w:val="16"/>
          <w:szCs w:val="16"/>
          <w:color w:val="auto"/>
        </w:rPr>
        <w:t>The regulations that govern marketing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candidate, possibly for lengthy time periods, and negatively impact the revenues we are able to generate from the sale of the product candidate in that country. Adverse pricing limitations may hinder our ability to recoup our investment in one or more product candidates, even if our product candidates obtain marketing approval.</w:t>
      </w:r>
    </w:p>
    <w:p>
      <w:pPr>
        <w:spacing w:after="0" w:line="82" w:lineRule="exact"/>
        <w:rPr>
          <w:sz w:val="20"/>
          <w:szCs w:val="20"/>
          <w:color w:val="auto"/>
        </w:rPr>
      </w:pPr>
    </w:p>
    <w:p>
      <w:pPr>
        <w:ind w:left="120"/>
        <w:spacing w:after="0" w:line="272" w:lineRule="auto"/>
        <w:rPr>
          <w:sz w:val="20"/>
          <w:szCs w:val="20"/>
          <w:color w:val="auto"/>
        </w:rPr>
      </w:pPr>
      <w:r>
        <w:rPr>
          <w:rFonts w:ascii="Arial" w:cs="Arial" w:eastAsia="Arial" w:hAnsi="Arial"/>
          <w:sz w:val="16"/>
          <w:szCs w:val="16"/>
          <w:color w:val="auto"/>
        </w:rPr>
        <w:t>Our ability to commercialize any product candidates, whether as a single agent or combination therapy, successfully also will depend in part on the extent to which coverage and reimbursement for these product candidates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establish reimbursement levels. It is difficult to predict at this time what government authorities and third-party payors will decide with respect to coverage and reimbursement for our programs.</w:t>
      </w:r>
    </w:p>
    <w:p>
      <w:pPr>
        <w:spacing w:after="0" w:line="78"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and third-party payors have attempted to control costs by limiting coverage and the amount of reimbursement for particular products and requiring substitutions of generic products and/or biosimilars. Increasingly, third-party payors are requiring that drug companies provide them with predetermined discounts from list prices and are challenging the prices charged for drugs. We cannot be sure that coverage will be available for any product candidate that we commercialize and, if coverage is available, the level of reimbursement. These third-party payors are also examining the cost-effectiveness of drugs in addition to their safety and efficacy.</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Reimbursement may impact the demand for, or the price of, any product candidate for which we obtain marketing approval. If reimbursement is not available or is available only to limited levels, we may not be able to successfully commercialize any product candidate for which we obtain marketing approval.</w:t>
      </w:r>
    </w:p>
    <w:p>
      <w:pPr>
        <w:spacing w:after="0" w:line="100"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There may be significant delays in obtaining coverage and reimbursement for newly approved drugs, as the process is time-consuming and costly, and coverage may be more limited than the purposes for which the drug is approved by the FDA or comparable foreign regulatory authorities. Additionally, no uniform policy requirement for coverage and reimbursement for drug products exists among third-party payors in the United States, which may result in coverage and reimbursement for drug products that can differ significantly from payor to payor.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spacing w:after="0" w:line="86" w:lineRule="exact"/>
        <w:rPr>
          <w:sz w:val="20"/>
          <w:szCs w:val="20"/>
          <w:color w:val="auto"/>
        </w:rPr>
      </w:pPr>
    </w:p>
    <w:p>
      <w:pPr>
        <w:ind w:left="120" w:right="300"/>
        <w:spacing w:after="0" w:line="262" w:lineRule="auto"/>
        <w:rPr>
          <w:sz w:val="20"/>
          <w:szCs w:val="20"/>
          <w:color w:val="auto"/>
        </w:rPr>
      </w:pPr>
      <w:r>
        <w:rPr>
          <w:rFonts w:ascii="Arial" w:cs="Arial" w:eastAsia="Arial" w:hAnsi="Arial"/>
          <w:sz w:val="18"/>
          <w:szCs w:val="18"/>
          <w:b w:val="1"/>
          <w:bCs w:val="1"/>
          <w:i w:val="1"/>
          <w:iCs w:val="1"/>
          <w:color w:val="auto"/>
        </w:rPr>
        <w:t>We may fail to select or capitalize on the most scientifically, clinically and commercially promising or profitable mutant RAS(ON) target.</w:t>
      </w:r>
    </w:p>
    <w:p>
      <w:pPr>
        <w:spacing w:after="0" w:line="81"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have limited technical, managerial and financial resources to determine which of our lead generation stage RAS(ON) inhibitors should be advanced into further preclinical development, initial clinical trials, later-stage clinical development and potential commercialization. Initially, we are prioritizing four mutant RAS(ON) targets—KRAS</w:t>
      </w:r>
      <w:r>
        <w:rPr>
          <w:rFonts w:ascii="Arial" w:cs="Arial" w:eastAsia="Arial" w:hAnsi="Arial"/>
          <w:sz w:val="11"/>
          <w:szCs w:val="11"/>
          <w:color w:val="auto"/>
        </w:rPr>
        <w:t>G12C</w:t>
      </w:r>
      <w:r>
        <w:rPr>
          <w:rFonts w:ascii="Arial" w:cs="Arial" w:eastAsia="Arial" w:hAnsi="Arial"/>
          <w:sz w:val="18"/>
          <w:szCs w:val="18"/>
          <w:color w:val="auto"/>
        </w:rPr>
        <w:t>, KRAS</w:t>
      </w:r>
      <w:r>
        <w:rPr>
          <w:rFonts w:ascii="Arial" w:cs="Arial" w:eastAsia="Arial" w:hAnsi="Arial"/>
          <w:sz w:val="11"/>
          <w:szCs w:val="11"/>
          <w:color w:val="auto"/>
        </w:rPr>
        <w:t>G13C</w:t>
      </w:r>
      <w:r>
        <w:rPr>
          <w:rFonts w:ascii="Arial" w:cs="Arial" w:eastAsia="Arial" w:hAnsi="Arial"/>
          <w:sz w:val="18"/>
          <w:szCs w:val="18"/>
          <w:color w:val="auto"/>
        </w:rPr>
        <w:t>, KRAS</w:t>
      </w:r>
      <w:r>
        <w:rPr>
          <w:rFonts w:ascii="Arial" w:cs="Arial" w:eastAsia="Arial" w:hAnsi="Arial"/>
          <w:sz w:val="11"/>
          <w:szCs w:val="11"/>
          <w:color w:val="auto"/>
        </w:rPr>
        <w:t>G12D</w:t>
      </w:r>
      <w:r>
        <w:rPr>
          <w:rFonts w:ascii="Arial" w:cs="Arial" w:eastAsia="Arial" w:hAnsi="Arial"/>
          <w:sz w:val="18"/>
          <w:szCs w:val="18"/>
          <w:color w:val="auto"/>
        </w:rPr>
        <w:t xml:space="preserve"> and NRAS</w:t>
      </w:r>
      <w:r>
        <w:rPr>
          <w:rFonts w:ascii="Arial" w:cs="Arial" w:eastAsia="Arial" w:hAnsi="Arial"/>
          <w:sz w:val="11"/>
          <w:szCs w:val="11"/>
          <w:color w:val="auto"/>
        </w:rPr>
        <w:t>G12C</w:t>
      </w:r>
      <w:r>
        <w:rPr>
          <w:rFonts w:ascii="Arial" w:cs="Arial" w:eastAsia="Arial" w:hAnsi="Arial"/>
          <w:sz w:val="18"/>
          <w:szCs w:val="18"/>
          <w:color w:val="auto"/>
        </w:rPr>
        <w:t>—and expect to nominate our first development candidate in 2020. In selecting a development candidate, we may make incorrect determinations. Our decisions to allocate our research and development, management and financial resources toward particular development candidates or therapeutic areas may not lead to the development of viable commercial products and may divert resources from better opportunities. Similarly, our decisions to delay or terminate development programs may also be incorrect and could cause us to miss valuable opportunities.</w:t>
      </w:r>
    </w:p>
    <w:p>
      <w:pPr>
        <w:spacing w:after="0" w:line="81" w:lineRule="exact"/>
        <w:rPr>
          <w:sz w:val="20"/>
          <w:szCs w:val="20"/>
          <w:color w:val="auto"/>
        </w:rPr>
      </w:pPr>
    </w:p>
    <w:p>
      <w:pPr>
        <w:ind w:left="120" w:right="180"/>
        <w:spacing w:after="0" w:line="325" w:lineRule="auto"/>
        <w:rPr>
          <w:sz w:val="20"/>
          <w:szCs w:val="20"/>
          <w:color w:val="auto"/>
        </w:rPr>
      </w:pPr>
      <w:r>
        <w:rPr>
          <w:rFonts w:ascii="Arial" w:cs="Arial" w:eastAsia="Arial" w:hAnsi="Arial"/>
          <w:sz w:val="16"/>
          <w:szCs w:val="16"/>
          <w:b w:val="1"/>
          <w:bCs w:val="1"/>
          <w:i w:val="1"/>
          <w:iCs w:val="1"/>
          <w:color w:val="auto"/>
        </w:rPr>
        <w:t>We may not be successful in our efforts to identify or discover other product candidates and may fail to capitalize on programs or product candidates that may present a greater commercial opportunity or for which there is a greater likelihood of success.</w:t>
      </w:r>
    </w:p>
    <w:p>
      <w:pPr>
        <w:spacing w:after="0" w:line="35" w:lineRule="exact"/>
        <w:rPr>
          <w:sz w:val="20"/>
          <w:szCs w:val="20"/>
          <w:color w:val="auto"/>
        </w:rPr>
      </w:pPr>
    </w:p>
    <w:p>
      <w:pPr>
        <w:ind w:left="120" w:right="280"/>
        <w:spacing w:after="0" w:line="275" w:lineRule="auto"/>
        <w:rPr>
          <w:sz w:val="20"/>
          <w:szCs w:val="20"/>
          <w:color w:val="auto"/>
        </w:rPr>
      </w:pPr>
      <w:r>
        <w:rPr>
          <w:rFonts w:ascii="Arial" w:cs="Arial" w:eastAsia="Arial" w:hAnsi="Arial"/>
          <w:sz w:val="16"/>
          <w:szCs w:val="16"/>
          <w:color w:val="auto"/>
        </w:rPr>
        <w:t>The success of our business depends upon our ability to identify, develop and commercialize product candidates. If we do not successfully develop and eventually commercialize products, we will face difficulty in obtaining product revenue in future periods, resulting in significant harm to our financial position and adversely affecting our share price. Research programs to identify new product candidates require substantial technical, financial and human resources, and we may fail to identify potential product candidates for numerous reasons.</w:t>
      </w:r>
    </w:p>
    <w:p>
      <w:pPr>
        <w:spacing w:after="0" w:line="75"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Additionally, because we have limited resources beyond those provided by Sanofi on SHP2 and RMC-4630, we may forego or delay pursuit of opportunities with certain programs or product candidates or for indications that later prove to have greater commercial potential. For example, we currently intend to focus on the</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development of RMC-4630. However, the advancement of this product candidate may ultimately prove to be unsuccessful or less successful than another program in our pipeline that we might have chosen to pursue on a less aggressive basis. Our estimates regarding the potential market for our product candidates could be inaccurate, and our spending on current and future research and development programs may not yield any commercially viable products. If we do not accurately evaluate the commercial potential for a particular product candidate, we may relinquish valuable rights to that product candidate through collaboration, licensing or other arrangements in cases in which it would have been more advantageous for us to retain sole development and commercialization rights to such product candidate. For example, we licensed worldwide development and commercialization rights with respect to RMC-4630 to Sanofi and will receive only milestone payments, an equal share of profits and losses in the United States and royalties on annual net sales of each product outside the United States. Alternatively, we may allocate internal resources to a product candidate in a therapeutic area in which it would have been more advantageous to enter into a partnering arrangement.</w:t>
      </w:r>
    </w:p>
    <w:p>
      <w:pPr>
        <w:spacing w:after="0" w:line="106"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If any of these events occur, we may be forced to abandon or delay our development efforts with respect to a particular product candidate or fail to develop a potentially successful product candidate, which could have a material adverse effect on our business, financial condition, results of operations and prospects.</w:t>
      </w:r>
    </w:p>
    <w:p>
      <w:pPr>
        <w:spacing w:after="0" w:line="80" w:lineRule="exact"/>
        <w:rPr>
          <w:sz w:val="20"/>
          <w:szCs w:val="20"/>
          <w:color w:val="auto"/>
        </w:rPr>
      </w:pPr>
    </w:p>
    <w:p>
      <w:pPr>
        <w:ind w:left="120" w:right="120"/>
        <w:spacing w:after="0" w:line="244" w:lineRule="auto"/>
        <w:rPr>
          <w:sz w:val="20"/>
          <w:szCs w:val="20"/>
          <w:color w:val="auto"/>
        </w:rPr>
      </w:pPr>
      <w:r>
        <w:rPr>
          <w:rFonts w:ascii="Arial" w:cs="Arial" w:eastAsia="Arial" w:hAnsi="Arial"/>
          <w:sz w:val="18"/>
          <w:szCs w:val="18"/>
          <w:b w:val="1"/>
          <w:bCs w:val="1"/>
          <w:i w:val="1"/>
          <w:iCs w:val="1"/>
          <w:color w:val="auto"/>
        </w:rPr>
        <w:t>We may need to use existing commercial diagnostic tests or develop, or enter into a collaboration or partnership to develop, novel complementary diagnostics and/or novel companion diagnostics for some of our current or future product candidates. If we or our future partners are unable to successfully develop such companion diagnostics or complementary diagnostics, or experience significant delays in doing so, we may not realize the full commercial potential of our future product candidates.</w:t>
      </w:r>
    </w:p>
    <w:p>
      <w:pPr>
        <w:spacing w:after="0" w:line="96" w:lineRule="exact"/>
        <w:rPr>
          <w:sz w:val="20"/>
          <w:szCs w:val="20"/>
          <w:color w:val="auto"/>
        </w:rPr>
      </w:pPr>
    </w:p>
    <w:p>
      <w:pPr>
        <w:ind w:left="120" w:right="240"/>
        <w:spacing w:after="0" w:line="236" w:lineRule="auto"/>
        <w:rPr>
          <w:sz w:val="20"/>
          <w:szCs w:val="20"/>
          <w:color w:val="auto"/>
        </w:rPr>
      </w:pPr>
      <w:r>
        <w:rPr>
          <w:rFonts w:ascii="Arial" w:cs="Arial" w:eastAsia="Arial" w:hAnsi="Arial"/>
          <w:sz w:val="18"/>
          <w:szCs w:val="18"/>
          <w:color w:val="auto"/>
        </w:rPr>
        <w:t>As one of the key elements of our product development strategy, we seek to identify cancer patient populations that may derive meaningful benefit from our current or future product candidates. Because predictive biomarkers may be used to identify the right patients for our programs and our current or future product candidates, we believe that our success may depend, in part, on our ability to use existing diagnostic tests (such as Foundation Medicine’s FoundationOne</w:t>
      </w:r>
      <w:r>
        <w:rPr>
          <w:rFonts w:ascii="Arial" w:cs="Arial" w:eastAsia="Arial" w:hAnsi="Arial"/>
          <w:sz w:val="11"/>
          <w:szCs w:val="11"/>
          <w:color w:val="auto"/>
        </w:rPr>
        <w:t>®</w:t>
      </w:r>
      <w:r>
        <w:rPr>
          <w:rFonts w:ascii="Arial" w:cs="Arial" w:eastAsia="Arial" w:hAnsi="Arial"/>
          <w:sz w:val="18"/>
          <w:szCs w:val="18"/>
          <w:color w:val="auto"/>
        </w:rPr>
        <w:t xml:space="preserve"> CDX), or develop novel complementary diagnostics and/or novel companion diagnostics in collaboration with partners.</w:t>
      </w:r>
    </w:p>
    <w:p>
      <w:pPr>
        <w:spacing w:after="0" w:line="10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In the event that novel tests will need to be developed, we have little experience in the development of diagnostics. As such, we expect to rely on future partners in developing appropriate diagnostics to pair with our current or future product candidates. We have not yet begun discussions with any potential partners with respect to the development of complementary diagnostics and/or companion diagnostics and may be unsuccessful in entering into collaborations for the development of companion diagnostics for our programs and our current or future product candidates.</w:t>
      </w:r>
    </w:p>
    <w:p>
      <w:pPr>
        <w:spacing w:after="0" w:line="103"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Complementary diagnostics and/or companion diagnostics are subject to regulation by the FDA and similar regulatory authorities outside the United States as medical devices and require separate regulatory approval or clearance prior to commercialization. If we, our partners, or any third parties that we engage to assist us, are unable to successfully develop complementary diagnostics and/or companion diagnostics for our product candidates and any future product candidates, or experience delays in doing so:</w:t>
      </w:r>
    </w:p>
    <w:p>
      <w:pPr>
        <w:spacing w:after="0" w:line="114" w:lineRule="exact"/>
        <w:rPr>
          <w:sz w:val="20"/>
          <w:szCs w:val="20"/>
          <w:color w:val="auto"/>
        </w:rPr>
      </w:pPr>
    </w:p>
    <w:p>
      <w:pPr>
        <w:ind w:left="340" w:right="740" w:hanging="224"/>
        <w:spacing w:after="0" w:line="239"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development of our product candidates and any other future product candidates may be adversely affected if we are unable to appropriately select patients for enrollment in our clinical trials; and</w:t>
      </w:r>
    </w:p>
    <w:p>
      <w:pPr>
        <w:spacing w:after="0" w:line="114" w:lineRule="exact"/>
        <w:rPr>
          <w:rFonts w:ascii="Arial" w:cs="Arial" w:eastAsia="Arial" w:hAnsi="Arial"/>
          <w:sz w:val="18"/>
          <w:szCs w:val="18"/>
          <w:color w:val="auto"/>
        </w:rPr>
      </w:pPr>
    </w:p>
    <w:p>
      <w:pPr>
        <w:jc w:val="both"/>
        <w:ind w:left="340" w:right="140" w:hanging="224"/>
        <w:spacing w:after="0" w:line="238"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not realize the full commercial potential of our product candidates and any other future product candidates that receive marketing approval if, among other reasons, we are unable to appropriately identify, or it takes us longer to identify, patients who are likely to benefit from therapy with our products, if approved.</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any of these events were to occur, our business would be harmed, possibly materially.</w:t>
      </w:r>
    </w:p>
    <w:p>
      <w:pPr>
        <w:spacing w:after="0" w:line="14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right="140"/>
        <w:spacing w:after="0" w:line="244" w:lineRule="auto"/>
        <w:rPr>
          <w:sz w:val="20"/>
          <w:szCs w:val="20"/>
          <w:color w:val="auto"/>
        </w:rPr>
      </w:pPr>
      <w:r>
        <w:rPr>
          <w:rFonts w:ascii="Arial" w:cs="Arial" w:eastAsia="Arial" w:hAnsi="Arial"/>
          <w:sz w:val="18"/>
          <w:szCs w:val="18"/>
          <w:b w:val="1"/>
          <w:bCs w:val="1"/>
          <w:i w:val="1"/>
          <w:iCs w:val="1"/>
          <w:color w:val="auto"/>
        </w:rPr>
        <w:t>We may seek and fail to obtain fast track or breakthrough therapy designations for our current or future product candidates. If we are successful, these programs may not lead to a faster development or regulatory review process, and they do not guarantee we will receive approval for any product candidate. We may also seek to obtain accelerated approval for one or more of our product candidates but the FDA may disagree that we have met the requirements for such approval.</w:t>
      </w:r>
    </w:p>
    <w:p>
      <w:pPr>
        <w:spacing w:after="0" w:line="96"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If a product is intended for the treatment of a serious or life-threatening condition and preclinical or clinical data demonstrate the potential to address an unmet medical need for this condition, the product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spacing w:after="0" w:line="102"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We may also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 product candidate we develop qualifies as a breakthrough therapy, the FDA may later decide that the drug no longer meets the conditions for qualification and rescind the designation.</w:t>
      </w:r>
    </w:p>
    <w:p>
      <w:pPr>
        <w:spacing w:after="0" w:line="106"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Drugs designated as fast track products or breakthrough therapies by the FDA are also eligible for accelerated approval if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requires pre-approval of promotional materials for accelerated approval products, once approved. We cannot guarantee that the FDA will agree any of our product candidates has met the criteria to receive accelerated approval, which would require us to conduct additional clinical testing prior to seeking FDA approval. Even if any of our product candidates received approval through this pathway, the product may fail required post-approval confirmatory clinical trials, and we may be required to remove the product from the market or amend the product label in a way that adversely impacts its marketing.</w:t>
      </w:r>
    </w:p>
    <w:p>
      <w:pPr>
        <w:spacing w:after="0" w:line="86" w:lineRule="exact"/>
        <w:rPr>
          <w:sz w:val="20"/>
          <w:szCs w:val="20"/>
          <w:color w:val="auto"/>
        </w:rPr>
      </w:pPr>
    </w:p>
    <w:p>
      <w:pPr>
        <w:ind w:left="120" w:right="500"/>
        <w:spacing w:after="0" w:line="262" w:lineRule="auto"/>
        <w:rPr>
          <w:sz w:val="20"/>
          <w:szCs w:val="20"/>
          <w:color w:val="auto"/>
        </w:rPr>
      </w:pPr>
      <w:r>
        <w:rPr>
          <w:rFonts w:ascii="Arial" w:cs="Arial" w:eastAsia="Arial" w:hAnsi="Arial"/>
          <w:sz w:val="18"/>
          <w:szCs w:val="18"/>
          <w:b w:val="1"/>
          <w:bCs w:val="1"/>
          <w:i w:val="1"/>
          <w:iCs w:val="1"/>
          <w:color w:val="auto"/>
        </w:rPr>
        <w:t>We may seek Orphan Drug Designation for product candidates we develop, and we may be unsuccessful or may be unable to maintain the benefits associated with Orphan Drug Designation, including the potential for market exclusivity.</w:t>
      </w:r>
    </w:p>
    <w:p>
      <w:pPr>
        <w:spacing w:after="0" w:line="81" w:lineRule="exact"/>
        <w:rPr>
          <w:sz w:val="20"/>
          <w:szCs w:val="20"/>
          <w:color w:val="auto"/>
        </w:rPr>
      </w:pPr>
    </w:p>
    <w:p>
      <w:pPr>
        <w:ind w:left="120" w:right="980"/>
        <w:spacing w:after="0" w:line="239" w:lineRule="auto"/>
        <w:rPr>
          <w:sz w:val="20"/>
          <w:szCs w:val="20"/>
          <w:color w:val="auto"/>
        </w:rPr>
      </w:pPr>
      <w:r>
        <w:rPr>
          <w:rFonts w:ascii="Arial" w:cs="Arial" w:eastAsia="Arial" w:hAnsi="Arial"/>
          <w:sz w:val="18"/>
          <w:szCs w:val="18"/>
          <w:color w:val="auto"/>
        </w:rPr>
        <w:t>As part of our business strategy, we may seek Orphan Drug Designation for any product candidates we develop, and we may be unsuccessful. Regulatory authorities in some jurisdictions, including the United States and</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60"/>
          </w:cols>
          <w:pgMar w:left="320" w:top="459" w:right="5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w:t>
      </w:r>
    </w:p>
    <w:p>
      <w:pPr>
        <w:spacing w:after="0" w:line="102"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Similarly, in Europe, the European Commission grants Orphan Drug Designation after receiving the opinion of the EMA Committee for Orphan Medicinal Products on an Orphan Drug Designation application. Orphan Drug Designation is intended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a number of incentives, such as protocol assistance and scientific advice specifically for designated orphan medicines, and potential fee reductions depending on the status of the sponsor.</w:t>
      </w:r>
    </w:p>
    <w:p>
      <w:pPr>
        <w:spacing w:after="0" w:line="106"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The applicable period is seven years in the United States and ten years in Europe. The European exclusivity period can be reduced to six years if a drug no longer meets the criteria for Orphan Drug Designation or if the drug is sufficiently profitable such that market exclusivity is no longer justified.</w:t>
      </w:r>
    </w:p>
    <w:p>
      <w:pPr>
        <w:spacing w:after="0" w:line="103" w:lineRule="exact"/>
        <w:rPr>
          <w:sz w:val="20"/>
          <w:szCs w:val="20"/>
          <w:color w:val="auto"/>
        </w:rPr>
      </w:pPr>
    </w:p>
    <w:p>
      <w:pPr>
        <w:ind w:left="120" w:right="100"/>
        <w:spacing w:after="0" w:line="235" w:lineRule="auto"/>
        <w:rPr>
          <w:sz w:val="20"/>
          <w:szCs w:val="20"/>
          <w:color w:val="auto"/>
        </w:rPr>
      </w:pPr>
      <w:r>
        <w:rPr>
          <w:rFonts w:ascii="Arial" w:cs="Arial" w:eastAsia="Arial" w:hAnsi="Arial"/>
          <w:sz w:val="18"/>
          <w:szCs w:val="18"/>
          <w:color w:val="auto"/>
        </w:rPr>
        <w:t>Even if we obtain orphan drug exclusivity for a product candidate, that exclusivity may not effectively protect the product candidate from competition because different therapies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may seek Orphan Drug Designation for applicable indications for our current and any future product candidates, we may never receive such designations. Even if we do receive such designations, there is no guarantee that we will enjoy the benefits of those designations.</w:t>
      </w:r>
    </w:p>
    <w:p>
      <w:pPr>
        <w:spacing w:after="0" w:line="86" w:lineRule="exact"/>
        <w:rPr>
          <w:sz w:val="20"/>
          <w:szCs w:val="20"/>
          <w:color w:val="auto"/>
        </w:rPr>
      </w:pPr>
    </w:p>
    <w:p>
      <w:pPr>
        <w:ind w:left="120" w:right="1480"/>
        <w:spacing w:after="0" w:line="262"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any approved products.</w:t>
      </w:r>
    </w:p>
    <w:p>
      <w:pPr>
        <w:spacing w:after="0" w:line="81" w:lineRule="exact"/>
        <w:rPr>
          <w:sz w:val="20"/>
          <w:szCs w:val="20"/>
          <w:color w:val="auto"/>
        </w:rPr>
      </w:pPr>
    </w:p>
    <w:p>
      <w:pPr>
        <w:ind w:left="120" w:right="180"/>
        <w:spacing w:after="0" w:line="237" w:lineRule="auto"/>
        <w:rPr>
          <w:sz w:val="20"/>
          <w:szCs w:val="20"/>
          <w:color w:val="auto"/>
        </w:rPr>
      </w:pPr>
      <w:r>
        <w:rPr>
          <w:rFonts w:ascii="Arial" w:cs="Arial" w:eastAsia="Arial" w:hAnsi="Arial"/>
          <w:sz w:val="18"/>
          <w:szCs w:val="18"/>
          <w:color w:val="auto"/>
        </w:rPr>
        <w:t>We face an inherent risk of product liability as a result of the clinical testing of product candidates and will face an even greater risk if we commercialize any products. For example, we may be sued if any product candidate we develop causes or is perceived to cause injury or is found to be otherwise unsuitable during clinical testing, manufacturing, marketing or sale. Any such product liability claims may include allegations of defects in</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60"/>
        <w:spacing w:after="0" w:line="275" w:lineRule="auto"/>
        <w:rPr>
          <w:sz w:val="20"/>
          <w:szCs w:val="20"/>
          <w:color w:val="auto"/>
        </w:rPr>
      </w:pPr>
      <w:r>
        <w:rPr>
          <w:rFonts w:ascii="Arial" w:cs="Arial" w:eastAsia="Arial" w:hAnsi="Arial"/>
          <w:sz w:val="16"/>
          <w:szCs w:val="16"/>
          <w:color w:val="auto"/>
        </w:rPr>
        <w:t>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any approved products. Even successful defense would require significant financial and management resources. Regardless of the merits or eventual outcome, liability claims may result in:</w:t>
      </w:r>
    </w:p>
    <w:p>
      <w:pPr>
        <w:spacing w:after="0" w:line="88" w:lineRule="exact"/>
        <w:rPr>
          <w:sz w:val="20"/>
          <w:szCs w:val="20"/>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decreased demand for any approved product;</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104" w:lineRule="exact"/>
        <w:rPr>
          <w:sz w:val="20"/>
          <w:szCs w:val="20"/>
          <w:color w:val="auto"/>
        </w:rPr>
      </w:pPr>
    </w:p>
    <w:p>
      <w:pPr>
        <w:ind w:left="120" w:right="560"/>
        <w:spacing w:after="0" w:line="239" w:lineRule="auto"/>
        <w:rPr>
          <w:sz w:val="20"/>
          <w:szCs w:val="20"/>
          <w:color w:val="auto"/>
        </w:rPr>
      </w:pPr>
      <w:r>
        <w:rPr>
          <w:rFonts w:ascii="Arial" w:cs="Arial" w:eastAsia="Arial" w:hAnsi="Arial"/>
          <w:sz w:val="18"/>
          <w:szCs w:val="18"/>
          <w:color w:val="auto"/>
        </w:rPr>
        <w:t>Our inability to obtain sufficient product liability insurance at an acceptable cost to protect against potential product liability claims could prevent or inhibit the commercialization of products we develop, alone or with collaboration partners.</w:t>
      </w:r>
    </w:p>
    <w:p>
      <w:pPr>
        <w:spacing w:after="0" w:line="101"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Insurance coverage is increasingly expensive. We may not be able to maintain insurance at a reasonable cost or in an amount adequate to satisfy any liability that may arise, if at all. Our insurance policy contains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Sanofi or any future collaborator entitle us to indemnification against losses, such indemnification may not be available or adequate should any claim arise.</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business and results of operations.</w:t>
      </w:r>
    </w:p>
    <w:p>
      <w:pPr>
        <w:spacing w:after="0" w:line="12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In the United States, there have been and continue to be a number of legislative initiatives to contain healthcare costs. For example, in March 2010, the Affordable Care Act, or the ACA, was passed, which substantially changes the way healthcare is financed by both governmental and private insurers, and significantly impacts the U.S. pharmaceutical industry. The ACA, among other things,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creates 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color w:val="auto"/>
        </w:rPr>
        <w:t>Some of the provisions of the ACA have yet to be fully implemented, while certain provisions have been subject to judicial and Congressional challenges, as well as efforts by the Trump administration to repeal or replace certain aspects of the ACA. Since January 2017, President Trump has signed two Executive Orders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 comprehensive repeal legislation, two bills affecting the implementation of certain taxes under the ACA have been signed into law. The Tax Cuts and Jobs Act of 2017, or TCJA, includes a provision repealing, effective January 1, 2019, the tax-based shared responsibility payment imposed by the ACA on certain individuals who fail to maintain qualifying health coverage for all or part of a year that is commonly referred to as the “individual mandate.” Additionally, on January 22, 2018, President Trump signed a continuing resolution on appropriations for fiscal year 2018 that delayed the implementation of certain ACA-mandated fees, including the so-called “Cadillac” tax on certain high cost employer-sponsored insurance plans, the annual fee imposed on certain high cost employer-sponsored insurance plans, the annual fee imposed on certain health insurance providers based on market share, and the medical device excise tax on non-exempt medical devices. Further, the Bipartisan Budget Act of 2018, or the BBA, among other things, amends the ACA, effective January 1, 2019, to reduce the coverage gap in most Medicare drug plans, commonly referred to as the “donut hole.” On December 14, 2018, a Texas U.S. District Court Judge ruled that the ACA is unconstitutional in its entirety because the “individual mandate” was repealed by Congress as part of the Tax Cuts and Jobs Act of 2017. While the Texas U.S. District Court Judge, as well as the Trump administration and Centers for Medicare and Medicaid Services, or CMS, have stated that the ruling will have no immediate effect pending appeal of the decision, it is unclear how this decision, subsequent appeals, and other efforts to repeal and replace the ACA will impact the ACA and our business. The effect that the ACA and its possible repeal and replacement may have on our business remains unclear.</w:t>
      </w:r>
    </w:p>
    <w:p>
      <w:pPr>
        <w:spacing w:after="0" w:line="286"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Other legislative changes have been proposed and adopted in the United States since the ACA was enacted. On August 2, 2011, the Budget Control Act of 2011, among other things, included aggregate reductions of Medicare payments to providers of 2% per fiscal year. These reductions went into effect on April 1, 2013 and, due to subsequent legislative amendments to the statute, will remain in effect through 2027 unless additional congressional action is taken. On January 2, 2013, the American Taxpayer Relief Act of 2012 was signed into law, which, among other things, further reduced Medicare payments to several types of providers.</w:t>
      </w:r>
    </w:p>
    <w:p>
      <w:pPr>
        <w:spacing w:after="0" w:line="103" w:lineRule="exact"/>
        <w:rPr>
          <w:sz w:val="20"/>
          <w:szCs w:val="20"/>
          <w:color w:val="auto"/>
        </w:rPr>
      </w:pPr>
    </w:p>
    <w:p>
      <w:pPr>
        <w:ind w:left="120" w:right="260"/>
        <w:spacing w:after="0" w:line="237" w:lineRule="auto"/>
        <w:rPr>
          <w:sz w:val="20"/>
          <w:szCs w:val="20"/>
          <w:color w:val="auto"/>
        </w:rPr>
      </w:pPr>
      <w:r>
        <w:rPr>
          <w:rFonts w:ascii="Arial" w:cs="Arial" w:eastAsia="Arial" w:hAnsi="Arial"/>
          <w:sz w:val="18"/>
          <w:szCs w:val="18"/>
          <w:color w:val="auto"/>
        </w:rPr>
        <w:t>Moreover, payment methodologies may be subject to changes in healthcare legislation and regulatory initiatives. We expect that additional state and federal healthcare reform measures will be adopted in the future, any of which could limit the amounts that federal and state governments will pay for healthcare products and services, which could result in reduced demand for any product candidate we develop or complementary diagnostics or companion diagnostics or additional pricing pressures.</w:t>
      </w:r>
    </w:p>
    <w:p>
      <w:pPr>
        <w:spacing w:after="0" w:line="100" w:lineRule="exact"/>
        <w:rPr>
          <w:sz w:val="20"/>
          <w:szCs w:val="20"/>
          <w:color w:val="auto"/>
        </w:rPr>
      </w:pPr>
    </w:p>
    <w:p>
      <w:pPr>
        <w:ind w:left="120" w:right="200"/>
        <w:spacing w:after="0" w:line="275" w:lineRule="auto"/>
        <w:rPr>
          <w:sz w:val="20"/>
          <w:szCs w:val="20"/>
          <w:color w:val="auto"/>
        </w:rPr>
      </w:pPr>
      <w:r>
        <w:rPr>
          <w:rFonts w:ascii="Arial" w:cs="Arial" w:eastAsia="Arial" w:hAnsi="Arial"/>
          <w:sz w:val="16"/>
          <w:szCs w:val="16"/>
          <w:color w:val="auto"/>
        </w:rPr>
        <w:t>Additionally,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55" w:lineRule="exact"/>
        <w:rPr>
          <w:sz w:val="20"/>
          <w:szCs w:val="20"/>
          <w:color w:val="auto"/>
        </w:rPr>
      </w:pPr>
    </w:p>
    <w:p>
      <w:pPr>
        <w:ind w:left="120" w:right="240"/>
        <w:spacing w:after="0" w:line="262"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81"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00"/>
          </w:cols>
          <w:pgMar w:left="32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reliance on third parties</w:t>
      </w:r>
    </w:p>
    <w:p>
      <w:pPr>
        <w:spacing w:after="0" w:line="114" w:lineRule="exact"/>
        <w:rPr>
          <w:sz w:val="20"/>
          <w:szCs w:val="20"/>
          <w:color w:val="auto"/>
        </w:rPr>
      </w:pPr>
    </w:p>
    <w:p>
      <w:pPr>
        <w:ind w:left="120" w:right="300"/>
        <w:spacing w:after="0" w:line="294" w:lineRule="auto"/>
        <w:rPr>
          <w:sz w:val="20"/>
          <w:szCs w:val="20"/>
          <w:color w:val="auto"/>
        </w:rPr>
      </w:pPr>
      <w:r>
        <w:rPr>
          <w:rFonts w:ascii="Arial" w:cs="Arial" w:eastAsia="Arial" w:hAnsi="Arial"/>
          <w:sz w:val="16"/>
          <w:szCs w:val="16"/>
          <w:b w:val="1"/>
          <w:bCs w:val="1"/>
          <w:i w:val="1"/>
          <w:iCs w:val="1"/>
          <w:color w:val="auto"/>
        </w:rPr>
        <w:t>We are dependent on our collaboration with Sanofi for the development of RMC-4630 and may depend on Sanofi for the development and commercialization of any other future SHP2 inhibitor product candidates. Under certain circumstances, Sanofi may unilaterally terminate the collaboration for convenience, which would materially and adversely affect our business.</w:t>
      </w:r>
    </w:p>
    <w:p>
      <w:pPr>
        <w:spacing w:after="0" w:line="59" w:lineRule="exact"/>
        <w:rPr>
          <w:sz w:val="20"/>
          <w:szCs w:val="20"/>
          <w:color w:val="auto"/>
        </w:rPr>
      </w:pPr>
    </w:p>
    <w:p>
      <w:pPr>
        <w:ind w:left="120" w:right="20"/>
        <w:spacing w:after="0" w:line="267" w:lineRule="auto"/>
        <w:rPr>
          <w:sz w:val="20"/>
          <w:szCs w:val="20"/>
          <w:color w:val="auto"/>
        </w:rPr>
      </w:pPr>
      <w:r>
        <w:rPr>
          <w:rFonts w:ascii="Arial" w:cs="Arial" w:eastAsia="Arial" w:hAnsi="Arial"/>
          <w:sz w:val="16"/>
          <w:szCs w:val="16"/>
          <w:color w:val="auto"/>
        </w:rPr>
        <w:t>In June 2018, we entered into a collaborative research, development and commercialization agreement with Sanofi, or the Sanofi Agreement, focused on researching, developing and commercializing SHP2 inhibitors as cancer therapies and potentially other indications. Sanofi primarily controls the research and development activities pursuant to the terms of the Sanofi Agreement, and our lack of control over such activities, including with respect to RMC-4630, could result in delays or other difficulties in the development and commercialization of product candidates, which may prevent completion of intended NDA filings in a timely fashion, if at all. Because of the allocation of responsibilities under the Sanofi Agreement, we are wholly dependent on Sanofi for the success of the RMC-4630 program. Any dispute with Sanofi may result in the delay or termination of the research, development or commercialization of RMC-4630 or other SHP2 inhibitor product candidates, and may result in costly litigation that diverts management attention and resources away from our day-to-day activities, which may adversely affect our business, financial condition, results of operation and prospects. For example, we plan to evaluate RMC-4630 in combination with other therapies (which may include product candidates from our pipeline), and Sanofi may disagree with us regarding which other therapies should be evaluated in combination with RMC-4630. As a result of this disagreement, our completion of a trial in combination with our preferred combination product candidate may be delayed or prevented. We rely on Sanofi for the supply of RMC-4630 for future combination studies and if Sanofi is unwilling to supply RMC-4630 to be used in combination with a product candidate from our pipeline, our ability to complete a trial evaluating such combination may be delayed or prevented.</w:t>
      </w:r>
    </w:p>
    <w:p>
      <w:pPr>
        <w:spacing w:after="0" w:line="282"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In addition, Sanofi can terminate the Sanofi Agreement (including for convenience), and in the event Sanofi terminates the Sanofi Agreement, we would be prevented from receiving any research and development funding, milestone payments, profit share payments, royalty payments and other benefits under that agreement. Termination of the Sanofi Agreement could require us to seek additional funding in order to avoid delaying, reducing the scope of, or suspending, one or more of our research and development programs or clinical trials. In addition, any decision by Sanofi to terminate the Sanofi Agreement may negatively impact public perception of RMC-4630, or all of the SHP2 program covered by the Sanofi Agreement, which could adversely affect the market price of our common stock. We cannot provide any assurance with respect to the success of the Sanofi collaboration. Any of the foregoing events could have a materially adverse effect on our business, financial condition, results of operation and prospects. For more information regarding the Sanofi Agreement, see “Business—Collaboration agreement with Sanofi.”</w:t>
      </w:r>
    </w:p>
    <w:p>
      <w:pPr>
        <w:spacing w:after="0" w:line="14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00"/>
          </w:cols>
          <w:pgMar w:left="32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right="80"/>
        <w:spacing w:after="0" w:line="248" w:lineRule="auto"/>
        <w:rPr>
          <w:sz w:val="20"/>
          <w:szCs w:val="20"/>
          <w:color w:val="auto"/>
        </w:rPr>
      </w:pPr>
      <w:r>
        <w:rPr>
          <w:rFonts w:ascii="Arial" w:cs="Arial" w:eastAsia="Arial" w:hAnsi="Arial"/>
          <w:sz w:val="18"/>
          <w:szCs w:val="18"/>
          <w:b w:val="1"/>
          <w:bCs w:val="1"/>
          <w:i w:val="1"/>
          <w:iCs w:val="1"/>
          <w:color w:val="auto"/>
        </w:rPr>
        <w:t>In addition to our collaboration with Sanofi, we may depend on collaborations with other third parties for the development and commercialization of our product candidates in the future. If our collaborations are not successful, we may not be able to capitalize on the market potential of these product candidates.</w:t>
      </w:r>
    </w:p>
    <w:p>
      <w:pPr>
        <w:spacing w:after="0" w:line="94" w:lineRule="exact"/>
        <w:rPr>
          <w:sz w:val="20"/>
          <w:szCs w:val="20"/>
          <w:color w:val="auto"/>
        </w:rPr>
      </w:pPr>
    </w:p>
    <w:p>
      <w:pPr>
        <w:ind w:left="120" w:right="240"/>
        <w:spacing w:after="0" w:line="238" w:lineRule="auto"/>
        <w:rPr>
          <w:sz w:val="20"/>
          <w:szCs w:val="20"/>
          <w:color w:val="auto"/>
        </w:rPr>
      </w:pPr>
      <w:r>
        <w:rPr>
          <w:rFonts w:ascii="Arial" w:cs="Arial" w:eastAsia="Arial" w:hAnsi="Arial"/>
          <w:sz w:val="18"/>
          <w:szCs w:val="18"/>
          <w:color w:val="auto"/>
        </w:rPr>
        <w:t>In the future, we may form or seek other strategic alliances, joint ventures, or collaborations, or enter into additional licensing arrangements with third parties that we believe will complement or augment our development and commercialization efforts with respect to product candidates we develop.</w:t>
      </w:r>
    </w:p>
    <w:p>
      <w:pPr>
        <w:spacing w:after="0" w:line="100" w:lineRule="exact"/>
        <w:rPr>
          <w:sz w:val="20"/>
          <w:szCs w:val="20"/>
          <w:color w:val="auto"/>
        </w:rPr>
      </w:pPr>
    </w:p>
    <w:p>
      <w:pPr>
        <w:ind w:left="120" w:right="380"/>
        <w:spacing w:after="0" w:line="239" w:lineRule="auto"/>
        <w:rPr>
          <w:sz w:val="20"/>
          <w:szCs w:val="20"/>
          <w:color w:val="auto"/>
        </w:rPr>
      </w:pPr>
      <w:r>
        <w:rPr>
          <w:rFonts w:ascii="Arial" w:cs="Arial" w:eastAsia="Arial" w:hAnsi="Arial"/>
          <w:sz w:val="18"/>
          <w:szCs w:val="18"/>
          <w:color w:val="auto"/>
        </w:rPr>
        <w:t>Collaborations involving our current and future product candidates, including our current collaboration with Sanofi, may pose the following risks to us:</w:t>
      </w:r>
    </w:p>
    <w:p>
      <w:pPr>
        <w:spacing w:after="0" w:line="114" w:lineRule="exact"/>
        <w:rPr>
          <w:sz w:val="20"/>
          <w:szCs w:val="20"/>
          <w:color w:val="auto"/>
        </w:rPr>
      </w:pPr>
    </w:p>
    <w:p>
      <w:pPr>
        <w:ind w:left="340" w:hanging="224"/>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17" w:lineRule="exact"/>
        <w:rPr>
          <w:rFonts w:ascii="Arial" w:cs="Arial" w:eastAsia="Arial" w:hAnsi="Arial"/>
          <w:sz w:val="18"/>
          <w:szCs w:val="18"/>
          <w:color w:val="auto"/>
        </w:rPr>
      </w:pPr>
    </w:p>
    <w:p>
      <w:pPr>
        <w:ind w:left="340" w:right="740" w:hanging="224"/>
        <w:spacing w:after="0" w:line="239"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abandon a product candidate, repeat or conduct new clinical trials or require a new formulation of a product candidate for clinical testing;</w:t>
      </w:r>
    </w:p>
    <w:p>
      <w:pPr>
        <w:spacing w:after="0" w:line="114" w:lineRule="exact"/>
        <w:rPr>
          <w:rFonts w:ascii="Arial" w:cs="Arial" w:eastAsia="Arial" w:hAnsi="Arial"/>
          <w:sz w:val="18"/>
          <w:szCs w:val="18"/>
          <w:color w:val="auto"/>
        </w:rPr>
      </w:pPr>
    </w:p>
    <w:p>
      <w:pPr>
        <w:ind w:left="340" w:right="320" w:hanging="224"/>
        <w:spacing w:after="0" w:line="239"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w:t>
      </w:r>
    </w:p>
    <w:p>
      <w:pPr>
        <w:spacing w:after="0" w:line="114" w:lineRule="exact"/>
        <w:rPr>
          <w:rFonts w:ascii="Arial" w:cs="Arial" w:eastAsia="Arial" w:hAnsi="Arial"/>
          <w:sz w:val="18"/>
          <w:szCs w:val="18"/>
          <w:color w:val="auto"/>
        </w:rPr>
      </w:pPr>
    </w:p>
    <w:p>
      <w:pPr>
        <w:ind w:left="340" w:right="480" w:hanging="224"/>
        <w:spacing w:after="0" w:line="239"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114" w:lineRule="exact"/>
        <w:rPr>
          <w:rFonts w:ascii="Arial" w:cs="Arial" w:eastAsia="Arial" w:hAnsi="Arial"/>
          <w:sz w:val="18"/>
          <w:szCs w:val="18"/>
          <w:color w:val="auto"/>
        </w:rPr>
      </w:pPr>
    </w:p>
    <w:p>
      <w:pPr>
        <w:ind w:left="340" w:right="20" w:hanging="224"/>
        <w:spacing w:after="0" w:line="238"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not properly prosecute, maintain, enforce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w:t>
      </w:r>
    </w:p>
    <w:p>
      <w:pPr>
        <w:spacing w:after="0" w:line="113" w:lineRule="exact"/>
        <w:rPr>
          <w:rFonts w:ascii="Arial" w:cs="Arial" w:eastAsia="Arial" w:hAnsi="Arial"/>
          <w:sz w:val="18"/>
          <w:szCs w:val="18"/>
          <w:color w:val="auto"/>
        </w:rPr>
      </w:pPr>
    </w:p>
    <w:p>
      <w:pPr>
        <w:ind w:left="340" w:right="40" w:hanging="224"/>
        <w:spacing w:after="0" w:line="239"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products that result from our collaboration with them, and in such cases, we may not have the exclusive right to develop, license or commercialize such intellectual property;</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disputes may arise with respect to ownership of any intellectual property developed pursuant to our collaborations;</w:t>
      </w:r>
    </w:p>
    <w:p>
      <w:pPr>
        <w:spacing w:after="0" w:line="117" w:lineRule="exact"/>
        <w:rPr>
          <w:rFonts w:ascii="Arial" w:cs="Arial" w:eastAsia="Arial" w:hAnsi="Arial"/>
          <w:sz w:val="18"/>
          <w:szCs w:val="18"/>
          <w:color w:val="auto"/>
        </w:rPr>
      </w:pPr>
    </w:p>
    <w:p>
      <w:pPr>
        <w:ind w:left="340" w:right="20" w:hanging="224"/>
        <w:spacing w:after="0" w:line="299"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disputes may arise between a collaborator and us that cause the delay or termination of the research, development or commercialization of the product candidate, or that result in costly litigation or arbitration that diverts management attention and resources; and</w:t>
      </w:r>
    </w:p>
    <w:p>
      <w:pPr>
        <w:spacing w:after="0" w:line="68" w:lineRule="exact"/>
        <w:rPr>
          <w:rFonts w:ascii="Arial" w:cs="Arial" w:eastAsia="Arial" w:hAnsi="Arial"/>
          <w:sz w:val="16"/>
          <w:szCs w:val="16"/>
          <w:color w:val="auto"/>
        </w:rPr>
      </w:pPr>
    </w:p>
    <w:p>
      <w:pPr>
        <w:ind w:left="340" w:hanging="224"/>
        <w:spacing w:after="0" w:line="239"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101" w:lineRule="exact"/>
        <w:rPr>
          <w:sz w:val="20"/>
          <w:szCs w:val="20"/>
          <w:color w:val="auto"/>
        </w:rPr>
      </w:pPr>
    </w:p>
    <w:p>
      <w:pPr>
        <w:ind w:left="120" w:right="260"/>
        <w:spacing w:after="0" w:line="271" w:lineRule="auto"/>
        <w:rPr>
          <w:sz w:val="20"/>
          <w:szCs w:val="20"/>
          <w:color w:val="auto"/>
        </w:rPr>
      </w:pPr>
      <w:r>
        <w:rPr>
          <w:rFonts w:ascii="Arial" w:cs="Arial" w:eastAsia="Arial" w:hAnsi="Arial"/>
          <w:sz w:val="16"/>
          <w:szCs w:val="16"/>
          <w:color w:val="auto"/>
        </w:rPr>
        <w:t>As a result, if we enter into additional collaboration agreements and strategic partnerships or license our intellectual property, products or businesses, we may not be able to realize the benefit of such transactions if we are unable to successfully integrate them with our existing operations,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any product candidate we develop could delay the development and commercialization of our product candidates, which would harm our business prospects, financial condition, and results of operations.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right="40"/>
        <w:spacing w:after="0" w:line="262"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81"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advancement of our product candidates and development programs and the potential commercialization of our current and future product candidates will require substantial additional cash to fund expenses. For some of our programs, we may decide to collaborate with additional pharmaceutical and biotechnology companies with respect to development and potential commercialization. Any of these relationships may require us to incur non-recurring and other charges, increase our near and long term expenditures, issue securities that dilute our existing stockholders, or disrupt our management and business.</w:t>
      </w:r>
    </w:p>
    <w:p>
      <w:pPr>
        <w:spacing w:after="0" w:line="103" w:lineRule="exact"/>
        <w:rPr>
          <w:sz w:val="20"/>
          <w:szCs w:val="20"/>
          <w:color w:val="auto"/>
        </w:rPr>
      </w:pPr>
    </w:p>
    <w:p>
      <w:pPr>
        <w:ind w:left="120" w:right="20"/>
        <w:spacing w:after="0" w:line="267" w:lineRule="auto"/>
        <w:rPr>
          <w:sz w:val="20"/>
          <w:szCs w:val="20"/>
          <w:color w:val="auto"/>
        </w:rPr>
      </w:pPr>
      <w:r>
        <w:rPr>
          <w:rFonts w:ascii="Arial" w:cs="Arial" w:eastAsia="Arial" w:hAnsi="Arial"/>
          <w:sz w:val="16"/>
          <w:szCs w:val="16"/>
          <w:color w:val="auto"/>
        </w:rPr>
        <w:t>We face significant competition in seeking appropriate strategic partners and the negotiation process is time-consuming and complex. Whether we reach a definitive agreement for other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Further, we may not be successful in our efforts to establish a strategic partnership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spacing w:after="0" w:line="286"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We may also be restricted under existing collaboration agreements from entering into future agreements on certain terms with potential collaborators. For example, under the Sanofi Agreement, we have granted worldwide exclusive rights under our intellectual property to Sanofi for SHP2 inhibitors, and during the term of the agreement we will be restricted from granting similar rights to other parties. This exclusivity could limit our ability to enter into collaborations with future collaborators.</w:t>
      </w:r>
    </w:p>
    <w:p>
      <w:pPr>
        <w:spacing w:after="0" w:line="100"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In addition, there have been a significant number of recent business combinations among large pharmaceutical companies that have resulted in a reduced number of potential future collaborators.</w:t>
      </w:r>
    </w:p>
    <w:p>
      <w:pPr>
        <w:spacing w:after="0" w:line="101"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81" w:lineRule="exact"/>
        <w:rPr>
          <w:sz w:val="20"/>
          <w:szCs w:val="20"/>
          <w:color w:val="auto"/>
        </w:rPr>
      </w:pPr>
    </w:p>
    <w:p>
      <w:pPr>
        <w:ind w:left="120" w:right="60"/>
        <w:spacing w:after="0" w:line="262" w:lineRule="auto"/>
        <w:rPr>
          <w:sz w:val="20"/>
          <w:szCs w:val="20"/>
          <w:color w:val="auto"/>
        </w:rPr>
      </w:pPr>
      <w:r>
        <w:rPr>
          <w:rFonts w:ascii="Arial" w:cs="Arial" w:eastAsia="Arial" w:hAnsi="Arial"/>
          <w:sz w:val="18"/>
          <w:szCs w:val="18"/>
          <w:b w:val="1"/>
          <w:bCs w:val="1"/>
          <w:i w:val="1"/>
          <w:iCs w:val="1"/>
          <w:color w:val="auto"/>
        </w:rPr>
        <w:t>If conflicts arise between us and our collaborators or strategic partners, these parties may act in a manner adverse to us and could limit our ability to implement our strategies.</w:t>
      </w:r>
    </w:p>
    <w:p>
      <w:pPr>
        <w:spacing w:after="0" w:line="81"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If conflicts arise between our corporate or academic collaborators or strategic partners and us, the other party may act in a manner adverse to us and could limit our ability to implement our strategies. Sanofi or future collaborators or strategic partners may develop, either alone or with others, products in related fields that are</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00"/>
        <w:spacing w:after="0" w:line="272" w:lineRule="auto"/>
        <w:rPr>
          <w:sz w:val="20"/>
          <w:szCs w:val="20"/>
          <w:color w:val="auto"/>
        </w:rPr>
      </w:pPr>
      <w:r>
        <w:rPr>
          <w:rFonts w:ascii="Arial" w:cs="Arial" w:eastAsia="Arial" w:hAnsi="Arial"/>
          <w:sz w:val="16"/>
          <w:szCs w:val="16"/>
          <w:color w:val="auto"/>
        </w:rPr>
        <w:t>competitive with the products or potential products that are the subject of these collaborations. Competing products, either developed by the collaborators or strategic partners or to which the collaborators or strategic partners have rights, may result in the withdrawal of partner support for our product candidates. 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our product development efforts.</w:t>
      </w:r>
    </w:p>
    <w:p>
      <w:pPr>
        <w:spacing w:after="0" w:line="58" w:lineRule="exact"/>
        <w:rPr>
          <w:sz w:val="20"/>
          <w:szCs w:val="20"/>
          <w:color w:val="auto"/>
        </w:rPr>
      </w:pPr>
    </w:p>
    <w:p>
      <w:pPr>
        <w:ind w:left="120" w:right="220"/>
        <w:spacing w:after="0" w:line="244" w:lineRule="auto"/>
        <w:rPr>
          <w:sz w:val="20"/>
          <w:szCs w:val="20"/>
          <w:color w:val="auto"/>
        </w:rPr>
      </w:pPr>
      <w:r>
        <w:rPr>
          <w:rFonts w:ascii="Arial" w:cs="Arial" w:eastAsia="Arial" w:hAnsi="Arial"/>
          <w:sz w:val="18"/>
          <w:szCs w:val="18"/>
          <w:b w:val="1"/>
          <w:bCs w:val="1"/>
          <w:i w:val="1"/>
          <w:iCs w:val="1"/>
          <w:color w:val="auto"/>
        </w:rPr>
        <w:t>We will rely on third parties to conduct our planned clinical trials for RMC-4630 and any other product candidates we develop. If these third parties do not successfully carry out their contractual duties, comply with regulatory requirements or meet expected deadlines, we may not be able to obtain marketing approval for or commercialize RMC-4630 and any other product candidates we develop and our business could be substantially harmed.</w:t>
      </w:r>
    </w:p>
    <w:p>
      <w:pPr>
        <w:spacing w:after="0" w:line="96"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do not have the ability to independently conduct clinical trials. We will rely on medical institutions, clinical investigators, contract laboratories, and other third parties, such as CROs, to conduct or otherwise support clinical trials for RMC-4630 and other product candidates. We will rely heavily on these parties for execution of clinical trials for RMC-4630 and other product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untitled and warning letters or enforcement action that may include civil penalties up to and including criminal prosecution.</w:t>
      </w:r>
    </w:p>
    <w:p>
      <w:pPr>
        <w:spacing w:after="0" w:line="101"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We and our CROs are required to comply with regulations and requirements, including GCP,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EEA and comparable foreign regulatory authorities for any drugs in clinical development. The FDA enforces GCP requirements through periodic inspections of clinical trial sponsors, principal investigators and trial sites. If we or our CROs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will comply with GCP. In addition, our clinical trials must be conducted with product candidates produced under cGMP regulations. Our failure or the failure of our CROs to comply with these regulations may require us to repeat clinical trials, which would delay the marketing approval process and could also subject us to enforcement action.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w:t>
      </w:r>
    </w:p>
    <w:p>
      <w:pPr>
        <w:spacing w:after="0" w:line="106" w:lineRule="exact"/>
        <w:rPr>
          <w:sz w:val="20"/>
          <w:szCs w:val="20"/>
          <w:color w:val="auto"/>
        </w:rPr>
      </w:pPr>
    </w:p>
    <w:p>
      <w:pPr>
        <w:ind w:left="120" w:right="160"/>
        <w:spacing w:after="0" w:line="236" w:lineRule="auto"/>
        <w:rPr>
          <w:sz w:val="20"/>
          <w:szCs w:val="20"/>
          <w:color w:val="auto"/>
        </w:rPr>
      </w:pPr>
      <w:r>
        <w:rPr>
          <w:rFonts w:ascii="Arial" w:cs="Arial" w:eastAsia="Arial" w:hAnsi="Arial"/>
          <w:sz w:val="18"/>
          <w:szCs w:val="18"/>
          <w:color w:val="auto"/>
        </w:rPr>
        <w:t>Although we intend to design the clinical trials for our product candidates, CROs will conduct all of the clinical trials. As a result, many important aspects of our clinical development, including their conduct and timing, will be outside of our direct control. Our reliance on third parties to conduct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12" w:lineRule="exact"/>
        <w:rPr>
          <w:sz w:val="20"/>
          <w:szCs w:val="20"/>
          <w:color w:val="auto"/>
        </w:rPr>
      </w:pPr>
    </w:p>
    <w:p>
      <w:pPr>
        <w:ind w:left="340" w:hanging="224"/>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have staffing difficulties;</w:t>
      </w:r>
    </w:p>
    <w:p>
      <w:pPr>
        <w:ind w:left="340" w:hanging="224"/>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340" w:hanging="224"/>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ind w:left="340" w:hanging="224"/>
        <w:spacing w:after="0" w:line="234"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ind w:left="340" w:hanging="224"/>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10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marketing approval and commercialization of our product candidates may be delayed, we may not be able to obtain marketing approval and commercialize our product candidates, or our development program may be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01"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If any of our relationships with these third-party CROs terminate, we may not be able to enter into arrangements with alternative CROs on commercially reasonable terms, or at all. If CROs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CROs are associated with may be extended, delayed or terminated, and we may not be able to obtain marketing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81" w:lineRule="exact"/>
        <w:rPr>
          <w:sz w:val="20"/>
          <w:szCs w:val="20"/>
          <w:color w:val="auto"/>
        </w:rPr>
      </w:pPr>
    </w:p>
    <w:p>
      <w:pPr>
        <w:ind w:left="120" w:right="240"/>
        <w:spacing w:after="0" w:line="244" w:lineRule="auto"/>
        <w:rPr>
          <w:sz w:val="20"/>
          <w:szCs w:val="20"/>
          <w:color w:val="auto"/>
        </w:rPr>
      </w:pPr>
      <w:r>
        <w:rPr>
          <w:rFonts w:ascii="Arial" w:cs="Arial" w:eastAsia="Arial" w:hAnsi="Arial"/>
          <w:sz w:val="18"/>
          <w:szCs w:val="18"/>
          <w:b w:val="1"/>
          <w:bCs w:val="1"/>
          <w:i w:val="1"/>
          <w:iCs w:val="1"/>
          <w:color w:val="auto"/>
        </w:rPr>
        <w:t>We rely on third parties to manufacture preclinical and clinical drug supplies, and we intend to rely on third parties to produce commercial supplies of any approved product which increases the risk that we will not have sufficient quantities of such product candidates or products or such quantities at an acceptable cost, which could delay, prevent or impair our development or commercialization efforts.</w:t>
      </w:r>
    </w:p>
    <w:p>
      <w:pPr>
        <w:spacing w:after="0" w:line="96"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We do not own or operate manufacturing facilities for the production of preclinical, clinical or commercial supplies of the product candidates that we are developing or evaluating in our development programs. We have limited personnel with experience in drug manufacturing and lack the resources and the capabilities to manufacture any of our product candidates on a preclinical, clinical or commercial scale. We rely on third parties for supply of our preclinical and clinical drug supplies (including key starting and intermediate materials), and our strategy is to outsource all manufacturing of our product candidates and products to third parties, including Sanofi.</w:t>
      </w:r>
    </w:p>
    <w:p>
      <w:pPr>
        <w:spacing w:after="0" w:line="10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In order to conduct clinical trials of product candidates, we will need to have them manufactured in potentially large quantities. Our third-party manufacturers may be unable to successfully increase the manufacturing capacity for any of our clinical drug supplies (including key starting and intermediate materials) in a timely or cost-effective manner, or at all. In addition, quality issues may arise during scale-up activities and at any other time. For example, ongoing data on the stability of our product candidates may shorten the expiry of our product candidates and lead to clinical trial material supply shortages, and potentially clinical trial delays. If these third-party manufacturers are unable to successfully scale up the manufacture of our product candidates in sufficient quality and quantity, the development, testing and clinical trials of that product candidate may be delayed or infeasible, and regulatory approval or commercial launch of that product candidate may be delayed or not obtained, which could significantly harm our business.</w:t>
      </w:r>
    </w:p>
    <w:p>
      <w:pPr>
        <w:spacing w:after="0" w:line="100"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Our use of new third-party manufacturers increases the risk of delays in production or insufficient supplies of our product candidates (and the key starting and intermediate materials for such product candidates) as we</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00"/>
          </w:cols>
          <w:pgMar w:left="320" w:top="459"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80"/>
        <w:spacing w:after="0" w:line="239" w:lineRule="auto"/>
        <w:rPr>
          <w:sz w:val="20"/>
          <w:szCs w:val="20"/>
          <w:color w:val="auto"/>
        </w:rPr>
      </w:pPr>
      <w:r>
        <w:rPr>
          <w:rFonts w:ascii="Arial" w:cs="Arial" w:eastAsia="Arial" w:hAnsi="Arial"/>
          <w:sz w:val="18"/>
          <w:szCs w:val="18"/>
          <w:color w:val="auto"/>
        </w:rPr>
        <w:t>transfer our manufacturing technology to these manufacturers and as they gain experience manufacturing our product candidates (and the key starting and intermediate materials for such product candidates).</w:t>
      </w:r>
    </w:p>
    <w:p>
      <w:pPr>
        <w:spacing w:after="0" w:line="101"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Even after a third-party manufacturer has gained significant experience in manufacturing our product candidates (or the key starting and intermediate materials for such product candidates) or even if we believe we have succeeded in optimizing the manufacturing process, there can be no assurance that such manufacturer will produce sufficient quantities of our product candidates (or the key starting and intermediate materials for such product candidates) in a timely manner or continuously over time, or at all.</w:t>
      </w:r>
    </w:p>
    <w:p>
      <w:pPr>
        <w:spacing w:after="0" w:line="100" w:lineRule="exact"/>
        <w:rPr>
          <w:sz w:val="20"/>
          <w:szCs w:val="20"/>
          <w:color w:val="auto"/>
        </w:rPr>
      </w:pPr>
    </w:p>
    <w:p>
      <w:pPr>
        <w:jc w:val="both"/>
        <w:ind w:left="120" w:right="100"/>
        <w:spacing w:after="0" w:line="238" w:lineRule="auto"/>
        <w:rPr>
          <w:sz w:val="20"/>
          <w:szCs w:val="20"/>
          <w:color w:val="auto"/>
        </w:rPr>
      </w:pPr>
      <w:r>
        <w:rPr>
          <w:rFonts w:ascii="Arial" w:cs="Arial" w:eastAsia="Arial" w:hAnsi="Arial"/>
          <w:sz w:val="18"/>
          <w:szCs w:val="18"/>
          <w:color w:val="auto"/>
        </w:rPr>
        <w:t>We may be delayed if we need to change the manufacturing process used by a third party. Further, if we change an approved manufacturing process, then we may be delayed if the FDA or a comparable foreign authority needs to review the new manufacturing process before it may be used.</w:t>
      </w:r>
    </w:p>
    <w:p>
      <w:pPr>
        <w:spacing w:after="0" w:line="100" w:lineRule="exact"/>
        <w:rPr>
          <w:sz w:val="20"/>
          <w:szCs w:val="20"/>
          <w:color w:val="auto"/>
        </w:rPr>
      </w:pPr>
    </w:p>
    <w:p>
      <w:pPr>
        <w:jc w:val="both"/>
        <w:ind w:left="120" w:right="60"/>
        <w:spacing w:after="0" w:line="237" w:lineRule="auto"/>
        <w:rPr>
          <w:sz w:val="20"/>
          <w:szCs w:val="20"/>
          <w:color w:val="auto"/>
        </w:rPr>
      </w:pPr>
      <w:r>
        <w:rPr>
          <w:rFonts w:ascii="Arial" w:cs="Arial" w:eastAsia="Arial" w:hAnsi="Arial"/>
          <w:sz w:val="18"/>
          <w:szCs w:val="18"/>
          <w:color w:val="auto"/>
        </w:rPr>
        <w:t>We do not currently have any agreements with third-party manufacturers for long-term commercial supply. In the future, we may be unable to enter into agreements with third-party manufacturers for commercial supplies of any product candidate that we develop, or may be unable to do so on acceptable terms. Even if we are able to establish and maintain arrangements with third-party manufacturers, reliance on third-party manufacturers entails risks, including:</w:t>
      </w:r>
    </w:p>
    <w:p>
      <w:pPr>
        <w:spacing w:after="0" w:line="114" w:lineRule="exact"/>
        <w:rPr>
          <w:sz w:val="20"/>
          <w:szCs w:val="20"/>
          <w:color w:val="auto"/>
        </w:rPr>
      </w:pPr>
    </w:p>
    <w:p>
      <w:pPr>
        <w:ind w:left="340" w:hanging="224"/>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0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Third-party manufacturers may not be able to comply with cGMP requirements or similar regulatory requirements outside the United States. Our failure, or the failure of our third-party manufacturers, to comply with applicable requirements could result in sanctions being imposed on us, including fines, injunctions, civil penalties, delays, suspension or withdrawal of approvals, license revocation, seizures or recalls of product candidates or products, operating restrictions and/or criminal prosecutions, any of which could significantly and adversely affect supplies of our product candidates.</w:t>
      </w:r>
    </w:p>
    <w:p>
      <w:pPr>
        <w:spacing w:after="0" w:line="103" w:lineRule="exact"/>
        <w:rPr>
          <w:sz w:val="20"/>
          <w:szCs w:val="20"/>
          <w:color w:val="auto"/>
        </w:rPr>
      </w:pPr>
    </w:p>
    <w:p>
      <w:pPr>
        <w:jc w:val="both"/>
        <w:ind w:left="120" w:right="60"/>
        <w:spacing w:after="0" w:line="238" w:lineRule="auto"/>
        <w:rPr>
          <w:sz w:val="20"/>
          <w:szCs w:val="20"/>
          <w:color w:val="auto"/>
        </w:rPr>
      </w:pPr>
      <w:r>
        <w:rPr>
          <w:rFonts w:ascii="Arial" w:cs="Arial" w:eastAsia="Arial" w:hAnsi="Arial"/>
          <w:sz w:val="18"/>
          <w:szCs w:val="18"/>
          <w:color w:val="auto"/>
        </w:rPr>
        <w:t>Our future product candidates and any products that we may develop may compete with other product candidates and products for access to manufacturing facilities. There are a limited number of manufacturers that operate under cGMP requirements particularly for the development of monoclonal antibodies, and that might be capable of manufacturing for us.</w:t>
      </w:r>
    </w:p>
    <w:p>
      <w:pPr>
        <w:spacing w:after="0" w:line="100"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If the third parties that we engage to supply any materials or manufacture product for our preclinical tests and clinical trials should cease to continue to do so for any reason, we likely would experience delays in advancing these tests and trials while we identify and qualify replacement suppliers or manufacturers and we may be unable to obtain replacement supplies on terms that are favorable to us. In addition, if we are not able to obtain adequate supplies of our product candidates or the substances used to manufacture them, it will be more difficult for us to develop our product candidates and compete effectively.</w:t>
      </w:r>
    </w:p>
    <w:p>
      <w:pPr>
        <w:spacing w:after="0" w:line="103" w:lineRule="exact"/>
        <w:rPr>
          <w:sz w:val="20"/>
          <w:szCs w:val="20"/>
          <w:color w:val="auto"/>
        </w:rPr>
      </w:pPr>
    </w:p>
    <w:p>
      <w:pPr>
        <w:ind w:left="120" w:right="820"/>
        <w:spacing w:after="0" w:line="238" w:lineRule="auto"/>
        <w:rPr>
          <w:sz w:val="20"/>
          <w:szCs w:val="20"/>
          <w:color w:val="auto"/>
        </w:rPr>
      </w:pPr>
      <w:r>
        <w:rPr>
          <w:rFonts w:ascii="Arial" w:cs="Arial" w:eastAsia="Arial" w:hAnsi="Arial"/>
          <w:sz w:val="18"/>
          <w:szCs w:val="18"/>
          <w:color w:val="auto"/>
        </w:rPr>
        <w:t>Our current and anticipated future dependence upon others for the manufacture of our product candidates (or the key starting and intermediate materials for such product candidates) may adversely affect our future profit margins and our ability to develop product candidates and commercialize any products that receive marketing approval on a timely and competitive basis.</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right="440"/>
        <w:spacing w:after="0" w:line="244" w:lineRule="auto"/>
        <w:rPr>
          <w:sz w:val="20"/>
          <w:szCs w:val="20"/>
          <w:color w:val="auto"/>
        </w:rPr>
      </w:pPr>
      <w:r>
        <w:rPr>
          <w:rFonts w:ascii="Arial" w:cs="Arial" w:eastAsia="Arial" w:hAnsi="Arial"/>
          <w:sz w:val="18"/>
          <w:szCs w:val="18"/>
          <w:b w:val="1"/>
          <w:bCs w:val="1"/>
          <w:i w:val="1"/>
          <w:iCs w:val="1"/>
          <w:color w:val="auto"/>
        </w:rPr>
        <w:t>Our future relationships with customers and third-party payors in the United States and elsewhere may be subject, directly or indirectly, to applicable anti-kickback, fraud and abuse, false claims, transparency, health information privacy and security and other healthcare laws and regulations, which could expose us to criminal sanctions, civil penalties, contractual damages, reputational harm, administrative burdens and diminished profits and future earnings.</w:t>
      </w:r>
    </w:p>
    <w:p>
      <w:pPr>
        <w:spacing w:after="0" w:line="96" w:lineRule="exact"/>
        <w:rPr>
          <w:sz w:val="20"/>
          <w:szCs w:val="20"/>
          <w:color w:val="auto"/>
        </w:rPr>
      </w:pPr>
    </w:p>
    <w:p>
      <w:pPr>
        <w:ind w:left="120" w:right="180"/>
        <w:spacing w:after="0" w:line="236" w:lineRule="auto"/>
        <w:rPr>
          <w:sz w:val="20"/>
          <w:szCs w:val="20"/>
          <w:color w:val="auto"/>
        </w:rPr>
      </w:pPr>
      <w:r>
        <w:rPr>
          <w:rFonts w:ascii="Arial" w:cs="Arial" w:eastAsia="Arial" w:hAnsi="Arial"/>
          <w:sz w:val="18"/>
          <w:szCs w:val="18"/>
          <w:color w:val="auto"/>
        </w:rPr>
        <w:t>Healthcare providers, physicians and third-party payors in the United States and elsewhere will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including, without limitation, the federal Anti-Kickback Statute and the federal False Claims Act, or FCA, which may constrain the business or financial arrangements and relationships through which we sell, market and distribute any products for which we obtain marketing approval. In addition, we may be subject to transparency laws and patient privacy regulation by the U.S. federal and state governments and by governments in foreign jurisdictions in which we conduct our business. The applicable federal, state and foreign healthcare laws and regulations that may affect our ability to operate include:</w:t>
      </w:r>
    </w:p>
    <w:p>
      <w:pPr>
        <w:spacing w:after="0" w:line="113" w:lineRule="exact"/>
        <w:rPr>
          <w:sz w:val="20"/>
          <w:szCs w:val="20"/>
          <w:color w:val="auto"/>
        </w:rPr>
      </w:pPr>
    </w:p>
    <w:p>
      <w:pPr>
        <w:ind w:left="340" w:right="20" w:hanging="224"/>
        <w:spacing w:after="0" w:line="235"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the Medicare and Medicaid programs or other federal healthcare programs. A person or entity can be found guilty of violating the statute without actual knowledge of the statute or specific intent to violate it. In addition, the government may assert that a claim including items or services resulting from a violation of the federal Anti-Kickback Statute constitutes a false or fraudulent claim for purposes of the FCA.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w:t>
      </w:r>
    </w:p>
    <w:p>
      <w:pPr>
        <w:spacing w:after="0" w:line="119" w:lineRule="exact"/>
        <w:rPr>
          <w:rFonts w:ascii="Arial" w:cs="Arial" w:eastAsia="Arial" w:hAnsi="Arial"/>
          <w:sz w:val="18"/>
          <w:szCs w:val="18"/>
          <w:color w:val="auto"/>
        </w:rPr>
      </w:pPr>
    </w:p>
    <w:p>
      <w:pPr>
        <w:ind w:left="340" w:right="100" w:hanging="224"/>
        <w:spacing w:after="0" w:line="23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civil and criminal false claims laws and civil monetary penalty laws, including the FCA, which prohibit any person or entity from, among other things, knowingly presenting, or causing to be presented, a false, fictitious or fraudulent claim for payment to, or approval by, the federal government or knowingly making, using or causing to be made or used a false record or statement material to a false or fraudulent claim to the federal government;</w:t>
      </w:r>
    </w:p>
    <w:p>
      <w:pPr>
        <w:spacing w:after="0" w:line="113" w:lineRule="exact"/>
        <w:rPr>
          <w:rFonts w:ascii="Arial" w:cs="Arial" w:eastAsia="Arial" w:hAnsi="Arial"/>
          <w:sz w:val="18"/>
          <w:szCs w:val="18"/>
          <w:color w:val="auto"/>
        </w:rPr>
      </w:pPr>
    </w:p>
    <w:p>
      <w:pPr>
        <w:ind w:left="340" w:hanging="224"/>
        <w:spacing w:after="0" w:line="236"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statutes or specific intent to violate them;</w:t>
      </w:r>
    </w:p>
    <w:p>
      <w:pPr>
        <w:spacing w:after="0" w:line="114" w:lineRule="exact"/>
        <w:rPr>
          <w:rFonts w:ascii="Arial" w:cs="Arial" w:eastAsia="Arial" w:hAnsi="Arial"/>
          <w:sz w:val="18"/>
          <w:szCs w:val="18"/>
          <w:color w:val="auto"/>
        </w:rPr>
      </w:pPr>
    </w:p>
    <w:p>
      <w:pPr>
        <w:ind w:left="340" w:right="180" w:hanging="224"/>
        <w:spacing w:after="0" w:line="23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their respective implementing regulations, which impose, among other things, specified requirements relating to the privacy, security and transmission of individually identifiable health information held by covered entities and their business associates. HITECH also created new tiers of civil monetary</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32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20"/>
        <w:spacing w:after="0" w:line="238" w:lineRule="auto"/>
        <w:rPr>
          <w:sz w:val="20"/>
          <w:szCs w:val="20"/>
          <w:color w:val="auto"/>
        </w:rPr>
      </w:pPr>
      <w:r>
        <w:rPr>
          <w:rFonts w:ascii="Arial" w:cs="Arial" w:eastAsia="Arial" w:hAnsi="Arial"/>
          <w:sz w:val="18"/>
          <w:szCs w:val="18"/>
          <w:color w:val="auto"/>
        </w:rPr>
        <w:t>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13" w:lineRule="exact"/>
        <w:rPr>
          <w:sz w:val="20"/>
          <w:szCs w:val="20"/>
          <w:color w:val="auto"/>
        </w:rPr>
      </w:pPr>
    </w:p>
    <w:p>
      <w:pPr>
        <w:ind w:left="340" w:right="20" w:hanging="224"/>
        <w:spacing w:after="0" w:line="236"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Physician Payments Sunshine Act, created under the ACA, and its implementing regulations, which requires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w:t>
      </w:r>
    </w:p>
    <w:p>
      <w:pPr>
        <w:spacing w:after="0" w:line="116" w:lineRule="exact"/>
        <w:rPr>
          <w:rFonts w:ascii="Arial" w:cs="Arial" w:eastAsia="Arial" w:hAnsi="Arial"/>
          <w:sz w:val="18"/>
          <w:szCs w:val="18"/>
          <w:color w:val="auto"/>
        </w:rPr>
      </w:pPr>
    </w:p>
    <w:p>
      <w:pPr>
        <w:ind w:left="340" w:right="160" w:hanging="224"/>
        <w:spacing w:after="0" w:line="239"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14" w:lineRule="exact"/>
        <w:rPr>
          <w:rFonts w:ascii="Arial" w:cs="Arial" w:eastAsia="Arial" w:hAnsi="Arial"/>
          <w:sz w:val="18"/>
          <w:szCs w:val="18"/>
          <w:color w:val="auto"/>
        </w:rPr>
      </w:pPr>
    </w:p>
    <w:p>
      <w:pPr>
        <w:ind w:left="340" w:right="40" w:hanging="224"/>
        <w:spacing w:after="0" w:line="235"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which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require drug manufacturers to report information related to payments and other transfers of value to physicians and other healthcare providers or marketing expenditures; and healthcare and data protection laws in the European Union and other jurisdictions, including reporting requirements detailing interactions with and payments to healthcare providers and laws governing the privacy and security of certain protected information, such as the General Data Protection Regulation, or GDPR, which imposes obligations and restrictions on the collection and use of personal data relating to individuals located in the European Economic Area, or the EEA, and the United Kingdom (including health data).</w:t>
      </w:r>
    </w:p>
    <w:p>
      <w:pPr>
        <w:spacing w:after="0" w:line="106"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Because of the breadth of these laws and the narrowness of the statutory exceptions and regulatory safe harbors available under such laws, it is possible that some of our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that our business arrangements with third parties comply with applicable healthcare laws, as well as responding to investigations by government authorities, can be time- and resource-consuming and can divert management’s attention from the business.</w:t>
      </w:r>
    </w:p>
    <w:p>
      <w:pPr>
        <w:spacing w:after="0" w:line="82"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 regulations that apply to us, we may be subject to penalties, including civil, criminal and administrative penalties, damages, fines, disgorgement, individual imprisonment,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any of which could harm our ability to operate our business and our financial results. Further, if the physicians or other providers or entities with whom we expect to do business are found not to be in compliance with applicable laws, they may be subject to criminal, civil or administrative sanctions, including exclusions from government funded healthcare programs. In addition, the approval and commercialization of any product candidate we</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80"/>
        <w:spacing w:after="0" w:line="239" w:lineRule="auto"/>
        <w:rPr>
          <w:sz w:val="20"/>
          <w:szCs w:val="20"/>
          <w:color w:val="auto"/>
        </w:rPr>
      </w:pPr>
      <w:r>
        <w:rPr>
          <w:rFonts w:ascii="Arial" w:cs="Arial" w:eastAsia="Arial" w:hAnsi="Arial"/>
          <w:sz w:val="18"/>
          <w:szCs w:val="18"/>
          <w:color w:val="auto"/>
        </w:rPr>
        <w:t>develop outside the United States will also likely subject us to foreign equivalents of the healthcare laws mentioned above, among other foreign laws.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intellectual property</w:t>
      </w:r>
    </w:p>
    <w:p>
      <w:pPr>
        <w:spacing w:after="0" w:line="114"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b w:val="1"/>
          <w:bCs w:val="1"/>
          <w:i w:val="1"/>
          <w:iCs w:val="1"/>
          <w:color w:val="auto"/>
        </w:rPr>
        <w:t>If we and our collaborators are unable to obtain and maintain sufficient patent and other intellectual property protection for our product candidates and technology, our competitors could develop and commercialize products and technology similar or identical to ours, and we may not be able to compete effectively in our market or successfully commercialize any product candidates we may develop.</w:t>
      </w:r>
    </w:p>
    <w:p>
      <w:pPr>
        <w:spacing w:after="0" w:line="96" w:lineRule="exact"/>
        <w:rPr>
          <w:sz w:val="20"/>
          <w:szCs w:val="20"/>
          <w:color w:val="auto"/>
        </w:rPr>
      </w:pPr>
    </w:p>
    <w:p>
      <w:pPr>
        <w:ind w:left="120" w:right="60"/>
        <w:spacing w:after="0" w:line="267" w:lineRule="auto"/>
        <w:rPr>
          <w:sz w:val="20"/>
          <w:szCs w:val="20"/>
          <w:color w:val="auto"/>
        </w:rPr>
      </w:pPr>
      <w:r>
        <w:rPr>
          <w:rFonts w:ascii="Arial" w:cs="Arial" w:eastAsia="Arial" w:hAnsi="Arial"/>
          <w:sz w:val="16"/>
          <w:szCs w:val="16"/>
          <w:color w:val="auto"/>
        </w:rPr>
        <w:t>Our success depends in significant part on our ability and the ability of our collaborators to obtain, maintain, enforce and defend patents and other intellectual property rights with respect to our product candidates and technology and to operate our business without infringing, misappropriating, or otherwise violating the intellectual property rights of others. If we and our collaborators are unable to obtain and maintain sufficient intellectual property protection for RMC-4630 or other product candidates that we may identify, or if the scope of the intellectual property protection obtained is not sufficiently broad, our competitors and other third parties could develop and commercialize product candidates similar or identical to ours, and our ability (and the ability of our collaborators) to successfully commercialize RMC-4630 and other product candidates that we (and our collaborators) may pursue may be impaired. We do not have any issued patents with respect to our SHP2 program, including RMC-4630, and we can provide no assurance that any of our current or future patent applications will result in issued patents or that any issued patents will provide us with any competitive advantage. Failure to obtain such issued patents could have a material adverse effect on our and Sanofi’s ability to develop and commercialize SHP2 inhibitor products, including RMC-4630, and on our ability to receive milestone, royalty or other payments from Sanofi pursuant to the Sanofi Agreement.</w:t>
      </w:r>
    </w:p>
    <w:p>
      <w:pPr>
        <w:spacing w:after="0" w:line="289"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We seek to protect our proprietary positions by, among other things, filing patent applications in the United States and abroad related to RMC-4630 or other product candidates that we may identify. Obtaining, maintaining, defending and enforcing pharmaceutical patents is costly, time consuming and complex, and we may not be able to file and prosecute all necessary or desirable patent applications, or maintain, enforce and license any patents that may issue from such patent applications, at a reasonable cost or in a timely manner. It is also possible that we will fail to identify patentable aspects of our research and development output before it is too late to obtain patent protection. We may not have the right to control the preparation, filing, prosecution and maintenance of patent applications, or to maintain the rights to patents licensed to or from third parties.</w:t>
      </w:r>
    </w:p>
    <w:p>
      <w:pPr>
        <w:spacing w:after="0" w:line="101"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Although we enter into confidentiality agreements with parties who have access to confidential or patentable aspects of our research and development output, such as our employees, collaborators, CROs, contract manufacturers, consultants, advisors and other third parties, any of these parties may breach the agreements and disclose such output before a patent application is filed, thereby jeopardizing our ability to seek patent protection. Further, we may not be aware of all third-party intellectual property rights potentially relating to our product candidates.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w:t>
      </w:r>
    </w:p>
    <w:p>
      <w:pPr>
        <w:spacing w:after="0" w:line="100" w:lineRule="exact"/>
        <w:rPr>
          <w:sz w:val="20"/>
          <w:szCs w:val="20"/>
          <w:color w:val="auto"/>
        </w:rPr>
      </w:pPr>
    </w:p>
    <w:p>
      <w:pPr>
        <w:ind w:left="120" w:right="240"/>
        <w:spacing w:after="0" w:line="275" w:lineRule="auto"/>
        <w:rPr>
          <w:sz w:val="20"/>
          <w:szCs w:val="20"/>
          <w:color w:val="auto"/>
        </w:rPr>
      </w:pPr>
      <w:r>
        <w:rPr>
          <w:rFonts w:ascii="Arial" w:cs="Arial" w:eastAsia="Arial" w:hAnsi="Arial"/>
          <w:sz w:val="16"/>
          <w:szCs w:val="16"/>
          <w:color w:val="auto"/>
        </w:rPr>
        <w:t>The patent position of pharmaceutical companies generally is highly uncertain, involves complex legal, technological and factual questions and has, in recent years, been the subject of much debate and litigation throughout the world. In addition, the laws of foreign countries may not protect our rights to the same extent as the laws of the United States, or vice versa. As a result, the issuance, scope, validity, enforceability, and commercial value of our patent rights are highly uncertain. The subject matter claimed in a patent application</w:t>
      </w:r>
    </w:p>
    <w:p>
      <w:pPr>
        <w:spacing w:after="0" w:line="1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0"/>
        <w:spacing w:after="0" w:line="271" w:lineRule="auto"/>
        <w:rPr>
          <w:sz w:val="20"/>
          <w:szCs w:val="20"/>
          <w:color w:val="auto"/>
        </w:rPr>
      </w:pPr>
      <w:r>
        <w:rPr>
          <w:rFonts w:ascii="Arial" w:cs="Arial" w:eastAsia="Arial" w:hAnsi="Arial"/>
          <w:sz w:val="16"/>
          <w:szCs w:val="16"/>
          <w:color w:val="auto"/>
        </w:rPr>
        <w:t>can be significantly reduced before the patent is issued, and its scope can be reinterpreted after issuance. Therefore, our pending and future patent applications may not result in patents being issued in relevant jurisdictions that protect our product candidates, in whole or in part, or which effectively prevent others from commercializing competitive product candidates, and even if our patent applications issue as patents in relevant jurisdictions, they may not issue in a form that will provide us with any meaningful protection for our product candidates or technology, prevent competitors from competing with us or otherwise provide us with any competitive advantage. Additionally, our competitors may be able to circumvent our patents by developing similar or alternative product candidates or technologies in a non-infringing manner.</w:t>
      </w:r>
    </w:p>
    <w:p>
      <w:pPr>
        <w:spacing w:after="0" w:line="76" w:lineRule="exact"/>
        <w:rPr>
          <w:sz w:val="20"/>
          <w:szCs w:val="20"/>
          <w:color w:val="auto"/>
        </w:rPr>
      </w:pPr>
    </w:p>
    <w:p>
      <w:pPr>
        <w:ind w:left="120" w:right="20"/>
        <w:spacing w:after="0" w:line="267" w:lineRule="auto"/>
        <w:rPr>
          <w:sz w:val="20"/>
          <w:szCs w:val="20"/>
          <w:color w:val="auto"/>
        </w:rPr>
      </w:pPr>
      <w:r>
        <w:rPr>
          <w:rFonts w:ascii="Arial" w:cs="Arial" w:eastAsia="Arial" w:hAnsi="Arial"/>
          <w:sz w:val="16"/>
          <w:szCs w:val="16"/>
          <w:color w:val="auto"/>
        </w:rPr>
        <w:t xml:space="preserve">The issuance of a patent is not conclusive as to its inventorship, scope, validity or enforceability, and our patents may be challenged in the courts or patent offices in the United States and abroad. We may be subject to a third-party preissuance submission of prior art to the United States Patent and Trademark Office, or the USPTO, or become involved in opposition, derivation, revocation,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proceedings challenging our patent rights or the patent rights of others, or other proceedings in the USPTO or applicable foreign offices that challenge priority of invention or other features of patentability. An adverse determination in any such submission, proceeding or litigation could result in loss of exclusivity or freedom to operate, patent claims being narrowed, invalidated or held unenforceable, in whole or in part, limit the scope or duration of the patent protection of our product candidates, all of which could limit our ability to stop others from using or commercializing similar or identical product candidates or technology to compete directly with us, without payment to us, or result in our inability to manufacture or commercialize products without infringing third-party patent rights. In addition, if the breadth or strength of protection provided by our patents and patent applications is threatened, regardless of the outcome, it could dissuade companies from collaborating with us to license, develop or commercialize current or future product candidates, or could have a material adverse effect on our ability to raise funds necessary to continue our research programs or clinical trials. Such proceedings also may result in substantial cost and require significant time from our scientists and management, even if the eventual outcome is favorable to us.</w:t>
      </w:r>
    </w:p>
    <w:p>
      <w:pPr>
        <w:spacing w:after="0" w:line="80" w:lineRule="exact"/>
        <w:rPr>
          <w:sz w:val="20"/>
          <w:szCs w:val="20"/>
          <w:color w:val="auto"/>
        </w:rPr>
      </w:pPr>
    </w:p>
    <w:p>
      <w:pPr>
        <w:ind w:left="120" w:right="140"/>
        <w:spacing w:after="0" w:line="235" w:lineRule="auto"/>
        <w:rPr>
          <w:sz w:val="20"/>
          <w:szCs w:val="20"/>
          <w:color w:val="auto"/>
        </w:rPr>
      </w:pPr>
      <w:r>
        <w:rPr>
          <w:rFonts w:ascii="Arial" w:cs="Arial" w:eastAsia="Arial" w:hAnsi="Arial"/>
          <w:sz w:val="18"/>
          <w:szCs w:val="18"/>
          <w:color w:val="auto"/>
        </w:rPr>
        <w:t>In addition,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or technology similar or identical to ours for a meaningful amount of time, or at all. Moreover, some of our owned or licensed patents and patent applications are, and may in the future be, co-owned with third parties. If we are unable to obtain exclusive licenses to any such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in order to enforce such patents against third parties, and such cooperation may not be provided to us. Any of the foregoing could harm our competitive position, business, financial condition, results of operations and prospects.</w:t>
      </w:r>
    </w:p>
    <w:p>
      <w:pPr>
        <w:spacing w:after="0" w:line="86" w:lineRule="exact"/>
        <w:rPr>
          <w:sz w:val="20"/>
          <w:szCs w:val="20"/>
          <w:color w:val="auto"/>
        </w:rPr>
      </w:pPr>
    </w:p>
    <w:p>
      <w:pPr>
        <w:ind w:left="120" w:right="160"/>
        <w:spacing w:after="0" w:line="244" w:lineRule="auto"/>
        <w:rPr>
          <w:sz w:val="20"/>
          <w:szCs w:val="20"/>
          <w:color w:val="auto"/>
        </w:rPr>
      </w:pPr>
      <w:r>
        <w:rPr>
          <w:rFonts w:ascii="Arial" w:cs="Arial" w:eastAsia="Arial" w:hAnsi="Arial"/>
          <w:sz w:val="18"/>
          <w:szCs w:val="18"/>
          <w:b w:val="1"/>
          <w:bCs w:val="1"/>
          <w:i w:val="1"/>
          <w:iCs w:val="1"/>
          <w:color w:val="auto"/>
        </w:rPr>
        <w:t>We have entered into licensing agreements with third parties. If we fail to comply with our obligations in the agreements under which we license intellectual property rights to or from third parties, or these agreements are terminated, or we otherwise experience disruptions to our business relationships with our licensors or licensees, our competitive position, business, financial condition, results of operations and prospects could be harmed.</w:t>
      </w:r>
    </w:p>
    <w:p>
      <w:pPr>
        <w:spacing w:after="0" w:line="96"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In addition to patent and other intellectual property rights we own or co-own, we have licensed, and may in the future license, patent and other intellectual property rights to and from other parties. Licenses may not provide us with exclusive rights to use the applicable intellectual property and technology in all relevant fields of use and in all territories in which we may wish to develop or commercialize our products and technology in the</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future. As a result, we may not be able to prevent competitors from developing and commercializing competitive products or technologies.</w:t>
      </w:r>
    </w:p>
    <w:p>
      <w:pPr>
        <w:spacing w:after="0" w:line="127"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In addition, in some circumstances, we may not have the right to control the preparation, filing and prosecution of patent applications or to maintain, defend and enforce the patents that we license to or from third parties, and we may have to rely on our partners to fulfill these responsibilities. For example, in June 2018, we entered into the Sanofi Agreement, wherein we exclusively licensed the worldwide rights in our SHP2 inhibitor program, including RMC-4630, to Sanofi. Although we have review and comment rights regarding patent prosecution decisions, Sanofi retains ultimate decision-making control, as well as the sole and exclusive right to enforce infringement of or defend claims against patents that relate to SHP2 inhibitor products licensed to it pursuant to the Sanofi Agreement. Consequently, any such licensed patents and applications may not be prepared, filed, prosecuted, maintained, enforced, and defended in a manner consistent with the best interests of our business. If our current or future licensors, licensees or collaborators fail to prepare, file, prosecute, maintain, enforce, and defend licensed patents and other intellectual property rights, such rights may be reduced or eliminated, and our right to develop and commercialize any of our product candidates or technology that are the subject of such licensed rights could be adversely affected. In addition, our licensors may own or control intellectual property that has not been licensed to us and, as a result, we may be subject to claims, regardless of their merit, that we are infringing or otherwise violating the licensor’s rights.</w:t>
      </w:r>
    </w:p>
    <w:p>
      <w:pPr>
        <w:spacing w:after="0" w:line="106" w:lineRule="exact"/>
        <w:rPr>
          <w:sz w:val="20"/>
          <w:szCs w:val="20"/>
          <w:color w:val="auto"/>
        </w:rPr>
      </w:pPr>
    </w:p>
    <w:p>
      <w:pPr>
        <w:ind w:left="120"/>
        <w:spacing w:after="0" w:line="267" w:lineRule="auto"/>
        <w:rPr>
          <w:sz w:val="20"/>
          <w:szCs w:val="20"/>
          <w:color w:val="auto"/>
        </w:rPr>
      </w:pPr>
      <w:r>
        <w:rPr>
          <w:rFonts w:ascii="Arial" w:cs="Arial" w:eastAsia="Arial" w:hAnsi="Arial"/>
          <w:sz w:val="16"/>
          <w:szCs w:val="16"/>
          <w:color w:val="auto"/>
        </w:rPr>
        <w:t>If we fail to comply with our obligations in the agreements under which we license intellectual property rights from third parties, the licensor may have the right to terminate the license. If these agreements are terminated, the underlying patents fail to provide the intended exclusivity or we otherwise experience disruptions to our business relationships with our licensors, we could lose intellectual property rights that are important to our business or be prevented from developing and commercializing our product candidates, and competitors could have the freedom to seek regulatory approval of, and to market, products identical to ours. Termination of these agreements or reduction or elimination of our rights under these agreements may also result in our having to negotiate new or reinstated agreements with less favorable terms, cause us to lose our rights under these agreements, including our rights to important intellectual property or technology, or impede, delay or prohibit the further development or commercialization of one or more product candidates that rely on such agreements. It is possible that we may be unable to obtain any additional licenses at a reasonable cost or on reasonable terms, if at all. In that event, we may be required to expend significant time and resources to redesign our product candidates or the methods for manufacturing them or to develop or license replacement technology, all of which may not be feasible on a technical or commercial basis.</w:t>
      </w:r>
    </w:p>
    <w:p>
      <w:pPr>
        <w:spacing w:after="0" w:line="289"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In addition, the research resulting in certain of our owned and in-licensed patent rights and technology was funded in part by the U.S. federal or state governments. As a result, the government may have certain rights, including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of the foregoing could harm our competitive position, business, financial condition, results of operations and prospects.</w:t>
      </w:r>
    </w:p>
    <w:p>
      <w:pPr>
        <w:spacing w:after="0" w:line="106" w:lineRule="exact"/>
        <w:rPr>
          <w:sz w:val="20"/>
          <w:szCs w:val="20"/>
          <w:color w:val="auto"/>
        </w:rPr>
      </w:pPr>
    </w:p>
    <w:p>
      <w:pPr>
        <w:ind w:left="120" w:right="480"/>
        <w:spacing w:after="0" w:line="239"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and certain provisions in intellectual property license agreements may be susceptible to</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60"/>
          </w:cols>
          <w:pgMar w:left="320" w:top="459" w:right="5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740"/>
        <w:spacing w:after="0" w:line="239" w:lineRule="auto"/>
        <w:rPr>
          <w:sz w:val="20"/>
          <w:szCs w:val="20"/>
          <w:color w:val="auto"/>
        </w:rPr>
      </w:pPr>
      <w:r>
        <w:rPr>
          <w:rFonts w:ascii="Arial" w:cs="Arial" w:eastAsia="Arial" w:hAnsi="Arial"/>
          <w:sz w:val="18"/>
          <w:szCs w:val="18"/>
          <w:color w:val="auto"/>
        </w:rPr>
        <w:t>multiple interpretations. Disputes may arise between us and our licensing partners regarding intellectual property subject to a license agreement, including:</w:t>
      </w:r>
    </w:p>
    <w:p>
      <w:pPr>
        <w:spacing w:after="0" w:line="114" w:lineRule="exact"/>
        <w:rPr>
          <w:sz w:val="20"/>
          <w:szCs w:val="20"/>
          <w:color w:val="auto"/>
        </w:rPr>
      </w:pPr>
    </w:p>
    <w:p>
      <w:pPr>
        <w:ind w:left="340" w:hanging="224"/>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340" w:right="500" w:hanging="224"/>
        <w:spacing w:after="0" w:line="239"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and the extent to which technology and processes of one party infringe on intellectual property of the other party that are not subject to the licensing agreement;</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rights to sublicense patent and other rights to third parties;</w:t>
      </w:r>
    </w:p>
    <w:p>
      <w:pPr>
        <w:spacing w:after="0" w:line="117" w:lineRule="exact"/>
        <w:rPr>
          <w:rFonts w:ascii="Arial" w:cs="Arial" w:eastAsia="Arial" w:hAnsi="Arial"/>
          <w:sz w:val="18"/>
          <w:szCs w:val="18"/>
          <w:color w:val="auto"/>
        </w:rPr>
      </w:pPr>
    </w:p>
    <w:p>
      <w:pPr>
        <w:ind w:left="340" w:hanging="224"/>
        <w:spacing w:after="0" w:line="239"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diligence obligations with respect to the use of the licensed technology in relation to development and commercialization of our product candidates, and what activities satisfy those diligence obligations;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rights to transfer or assign the license;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effects of termination.</w:t>
      </w:r>
    </w:p>
    <w:p>
      <w:pPr>
        <w:spacing w:after="0" w:line="104"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harm our business, financial condition, results of operations and prospects. Moreover, 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03" w:lineRule="exact"/>
        <w:rPr>
          <w:sz w:val="20"/>
          <w:szCs w:val="20"/>
          <w:color w:val="auto"/>
        </w:rPr>
      </w:pPr>
    </w:p>
    <w:p>
      <w:pPr>
        <w:ind w:left="120" w:right="60"/>
        <w:spacing w:after="0" w:line="275" w:lineRule="auto"/>
        <w:rPr>
          <w:sz w:val="20"/>
          <w:szCs w:val="20"/>
          <w:color w:val="auto"/>
        </w:rPr>
      </w:pPr>
      <w:r>
        <w:rPr>
          <w:rFonts w:ascii="Arial" w:cs="Arial" w:eastAsia="Arial" w:hAnsi="Arial"/>
          <w:sz w:val="16"/>
          <w:szCs w:val="16"/>
          <w:color w:val="auto"/>
        </w:rPr>
        <w:t>In addition, if our licensors fail to abide by the terms of the license, if the licensors fail to prevent infringement by third parties or if the licensed patents or other rights are found to be invalid or unenforceable, our business, competitive position, financial condition, results of operations and prospects could be materially harmed. For more information regarding our license agreements, see “Business—Collaboration agreement with Sanofi.” Any of the foregoing could harm our competitive position, business, financial condition, results of operations and prospects.</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are unable to obtain licenses from third parties on commercially reasonable terms or at all, our business could be harmed.</w:t>
      </w:r>
    </w:p>
    <w:p>
      <w:pPr>
        <w:spacing w:after="0" w:line="12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 giving our competitors access to the same technologies licensed to us. Any of the foregoing could harm our competitive position, business, financial condition, results of operations and prospects.</w:t>
      </w:r>
    </w:p>
    <w:p>
      <w:pPr>
        <w:spacing w:after="0" w:line="1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right="80"/>
        <w:spacing w:after="0" w:line="325" w:lineRule="auto"/>
        <w:rPr>
          <w:sz w:val="20"/>
          <w:szCs w:val="20"/>
          <w:color w:val="auto"/>
        </w:rPr>
      </w:pPr>
      <w:r>
        <w:rPr>
          <w:rFonts w:ascii="Arial" w:cs="Arial" w:eastAsia="Arial" w:hAnsi="Arial"/>
          <w:sz w:val="16"/>
          <w:szCs w:val="16"/>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product candidates.</w:t>
      </w:r>
    </w:p>
    <w:p>
      <w:pPr>
        <w:spacing w:after="0" w:line="35"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product candidates in any jurisdiction. For example, U.S. patent applications filed before November 29, 2000 and certain U.S. patent applications filed after that date that will not be filed outside the United States remain confidential until patents issue. As mentioned above, patent applications in the United States and elsewhere are published approximately 18 months after the earliest filing for which priority is claimed, with such earliest filing date being commonly referred to as the priority date. Therefore, patent applications covering our product candidates could have been filed by third parties without our knowledge. Additionally, pending patent applications that have been published can, subject to certain limitations, be later amended in a manner that could cover our product candidates or the use of our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 candidates. We may incorrectly determine that our product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 Our failure to identify and correctly interpret relevant patents may negatively impact our ability to develop and market our product candidates.</w:t>
      </w:r>
    </w:p>
    <w:p>
      <w:pPr>
        <w:spacing w:after="0" w:line="105"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product candidates that are held to be infringing. We might, if possible, also be forced to redesign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24" w:lineRule="exact"/>
        <w:rPr>
          <w:sz w:val="20"/>
          <w:szCs w:val="20"/>
          <w:color w:val="auto"/>
        </w:rPr>
      </w:pPr>
    </w:p>
    <w:p>
      <w:pPr>
        <w:ind w:left="120" w:right="160"/>
        <w:spacing w:after="0" w:line="236"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for a product candidate, we may be open to competition from competitive medications, including generic medications.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sufficient rights to exclude others from commercializing product candidates similar or identical to ours for a meaningful amount of time, or at all.</w:t>
      </w:r>
    </w:p>
    <w:p>
      <w:pPr>
        <w:spacing w:after="0" w:line="100" w:lineRule="exact"/>
        <w:rPr>
          <w:sz w:val="20"/>
          <w:szCs w:val="20"/>
          <w:color w:val="auto"/>
        </w:rPr>
      </w:pPr>
    </w:p>
    <w:p>
      <w:pPr>
        <w:jc w:val="both"/>
        <w:ind w:left="120" w:right="140"/>
        <w:spacing w:after="0" w:line="238" w:lineRule="auto"/>
        <w:rPr>
          <w:sz w:val="20"/>
          <w:szCs w:val="20"/>
          <w:color w:val="auto"/>
        </w:rPr>
      </w:pPr>
      <w:r>
        <w:rPr>
          <w:rFonts w:ascii="Arial" w:cs="Arial" w:eastAsia="Arial" w:hAnsi="Arial"/>
          <w:sz w:val="18"/>
          <w:szCs w:val="18"/>
          <w:color w:val="auto"/>
        </w:rPr>
        <w:t>Depending upon the timing, duration and conditions of any FDA marketing approval of our product candidates, one or more of our owned or licensed U.S. patents may be eligible for limited patent term extension under the Drug Price Competition and Patent Term Restoration Act of 1984, referred to as the Hatch-Waxman</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67" w:lineRule="auto"/>
        <w:rPr>
          <w:sz w:val="20"/>
          <w:szCs w:val="20"/>
          <w:color w:val="auto"/>
        </w:rPr>
      </w:pPr>
      <w:r>
        <w:rPr>
          <w:rFonts w:ascii="Arial" w:cs="Arial" w:eastAsia="Arial" w:hAnsi="Arial"/>
          <w:sz w:val="16"/>
          <w:szCs w:val="16"/>
          <w:color w:val="auto"/>
        </w:rPr>
        <w:t>Amendments, and similar legislation in the European Union and certain other countries.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covering the approved drug, a method for using it or a method for manufacturing it may be extended. If we are unable to obtain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preclinical data and launch their product earlier than might otherwise be the case, and our competitive position, business, financial condition, results of operations and prospects could be materially harmed.</w:t>
      </w:r>
    </w:p>
    <w:p>
      <w:pPr>
        <w:spacing w:after="0" w:line="286"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Also, there are detailed rules and requirements regarding the patents that may be submitted to the FDA for listing in the Approved Drug Products with Therapeutic Equivalence Evaluations, or the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 manufacturer of generic drugs would not have to provide advance notice to us of any abbreviated new drug application filed with the FDA to obtain permission to sell a generic version of such product candidate. Any of the foregoing could harm our competitive position, business, financial condition, results of operations and prospects.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2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Filing, prosecuting, maintaining, defending and enforcing patents on our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may export otherwise infringing products to territories where we have patent protection, but enforcement rights are not as strong as those in the United States. These products may compete with our product candidates and our patents or other intellectual property rights may not be effective or sufficient to prevent them from competing.</w:t>
      </w:r>
    </w:p>
    <w:p>
      <w:pPr>
        <w:spacing w:after="0" w:line="106" w:lineRule="exact"/>
        <w:rPr>
          <w:sz w:val="20"/>
          <w:szCs w:val="20"/>
          <w:color w:val="auto"/>
        </w:rPr>
      </w:pPr>
    </w:p>
    <w:p>
      <w:pPr>
        <w:ind w:left="120" w:right="140"/>
        <w:spacing w:after="0" w:line="236"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some countries do not favor the enforcement or protection of patents, trade secrets and other intellectual property, which could make it difficult for us to stop the infringement of our patents or marketing of competing products in violation of our intellectual property and proprietary rights generally. Proceedings to enforce our intellectual property rights in foreign jurisdictions could result in substantial costs and divert our efforts and attention from other aspects of our business, could put our patents at risk of being invalidated or interpreted narrowly and our patent applications at risk of not</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80"/>
        <w:spacing w:after="0" w:line="239" w:lineRule="auto"/>
        <w:rPr>
          <w:sz w:val="20"/>
          <w:szCs w:val="20"/>
          <w:color w:val="auto"/>
        </w:rPr>
      </w:pPr>
      <w:r>
        <w:rPr>
          <w:rFonts w:ascii="Arial" w:cs="Arial" w:eastAsia="Arial" w:hAnsi="Arial"/>
          <w:sz w:val="18"/>
          <w:szCs w:val="18"/>
          <w:color w:val="auto"/>
        </w:rPr>
        <w:t>issuing and could provoke third parties to assert claims against us. We may not prevail in any lawsuits that we initiate, and the damages or other remedies awarded, if any, may not be commercially meaningful.</w:t>
      </w:r>
    </w:p>
    <w:p>
      <w:pPr>
        <w:spacing w:after="0" w:line="101"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Many foreign countries, including some European Union countries, India, Japan and China,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if patents are infringed or if we are compelled to grant a license to a third party, which could materially diminish the value of the applicable patents. This could limit our potential revenue opportunities. Accordingly, our efforts to enforce our intellectual property rights around the world may be inadequate to obtain a significant commercial advantage from the intellectual property that we develop or license, which could adversely affect our business, financial condition, results of operations and prospects.</w:t>
      </w:r>
    </w:p>
    <w:p>
      <w:pPr>
        <w:spacing w:after="0" w:line="81" w:lineRule="exact"/>
        <w:rPr>
          <w:sz w:val="20"/>
          <w:szCs w:val="20"/>
          <w:color w:val="auto"/>
        </w:rPr>
      </w:pPr>
    </w:p>
    <w:p>
      <w:pPr>
        <w:ind w:left="120" w:right="940"/>
        <w:spacing w:after="0" w:line="262" w:lineRule="auto"/>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 candidates.</w:t>
      </w:r>
    </w:p>
    <w:p>
      <w:pPr>
        <w:spacing w:after="0" w:line="81"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Obtaining and enforcing patents in the pharmaceutical industry is inherently uncertain, due in part to ongoing changes in the patent laws. For example, in the United States, depending on decisions by Congress, the federal courts, and the USPTO, the laws and regulations governing patents, and interpretation thereof, could change in unpredictable ways that could weaken our and our licensors’ or collaborators’ ability to obtain new patents or to enforce existing or future patents. For example, the U.S. Supreme Court has ruled on several patent cases in recent years, either narrowing the scope of patent protection available in certain circumstances or weakening the rights of patent owners in certain situations. Therefore, there is increased uncertainty with regard to our and our licensors’ or collaborators’ ability to obtain patents in the future, as well as uncertainty with respect to the value of patents once obtained.</w:t>
      </w:r>
    </w:p>
    <w:p>
      <w:pPr>
        <w:spacing w:after="0" w:line="101" w:lineRule="exact"/>
        <w:rPr>
          <w:sz w:val="20"/>
          <w:szCs w:val="20"/>
          <w:color w:val="auto"/>
        </w:rPr>
      </w:pPr>
    </w:p>
    <w:p>
      <w:pPr>
        <w:ind w:left="120" w:right="100"/>
        <w:spacing w:after="0" w:line="266" w:lineRule="auto"/>
        <w:rPr>
          <w:sz w:val="20"/>
          <w:szCs w:val="20"/>
          <w:color w:val="auto"/>
        </w:rPr>
      </w:pPr>
      <w:r>
        <w:rPr>
          <w:rFonts w:ascii="Arial" w:cs="Arial" w:eastAsia="Arial" w:hAnsi="Arial"/>
          <w:sz w:val="16"/>
          <w:szCs w:val="16"/>
          <w:color w:val="auto"/>
        </w:rPr>
        <w:t xml:space="preserve">Recent patent reform legislation could increase the uncertainties and costs surrounding the prosecution of our and our licensors’ or collaborators’ patent applications and the enforcement or defense of our or our licensors’ or collaborators’ issued patents. For example,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or the Leahy-Smith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Leahy-Smith Act also includes a number of significant changes that affect the way patent applications are prosecuted and may also affect patent litigation. These include allowing third-party submission of prior art to the USPTO during patent prosecution and additional procedures to challenge the validity of a patent by USPTO-administered post-grant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The USPTO recently developed new regulations and procedures to govern administration of the Leahy-Smith Act, and many of the substantive changes to patent law associated with the Leahy-Smith Act, particularly the first inventor-to-file provisions. Accordingly, it is not clear what, if any, impact the Leahy-Smith Act will have on the operation of our business. However, the Leahy-Smith Act and its implementation could increase the uncertainties and costs surrounding the prosecution of our or our licensors’ patent applications and the enforcement or defense of our or our licensors’ issued patents. Similarly, statutory or judicial changes to the patent laws of other countries may increase the uncertainties and costs surrounding the prosecution of patent applications and the enforcement or defense of issued patents. All of the foregoing could harm our business, financial condition, results of operations and prospects.</w:t>
      </w:r>
    </w:p>
    <w:p>
      <w:pPr>
        <w:spacing w:after="0" w:line="32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right="580"/>
        <w:spacing w:after="0" w:line="248"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if we fail to comply with these requirements.</w:t>
      </w:r>
    </w:p>
    <w:p>
      <w:pPr>
        <w:spacing w:after="0" w:line="94"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Periodic maintenance fees, renewal fees, annuity fees, and various other fees are required to be paid to the USPTO and foreign patent agencies in several stages over the lifetime of a patent. In certain circumstances, we rely on our licensors and collaborators to pay these fees. The USPTO and various foreign patent agencies also require compliance with a number of procedural, documentary, fee payment and other similar requirements during the patent application and prosecution process. Non-compliance events that could result in abandonment or lapse of a patent or patent application include failure to respond to official communications within prescribed time limits, non-payment of fees and failure to properly legalize and submit formal documents. While an inadvertent lapse can in some cases be cured by payment of a late fee or by other means in accordance with the applicable rules, there are situations in which non-compliance can result in irrevocable abandonment or lapse of the patent or patent application, resulting in partial or complete loss of patent rights in the relevant jurisdiction. If we or our licensors or collaborators fail to maintain the patents and patent applications covering our product candidates, our competitors might be able to enter the market with similar or identical products or technology, which would harm our business, financial condition, results of operations and prospects.</w:t>
      </w:r>
    </w:p>
    <w:p>
      <w:pPr>
        <w:spacing w:after="0" w:line="86" w:lineRule="exact"/>
        <w:rPr>
          <w:sz w:val="20"/>
          <w:szCs w:val="20"/>
          <w:color w:val="auto"/>
        </w:rPr>
      </w:pPr>
    </w:p>
    <w:p>
      <w:pPr>
        <w:ind w:left="120" w:right="160"/>
        <w:spacing w:after="0" w:line="248"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time-consuming and unsuccessful, and issued patents covering our technology and product candidates could be found invalid or unenforceable if challenged.</w:t>
      </w:r>
    </w:p>
    <w:p>
      <w:pPr>
        <w:spacing w:after="0" w:line="94" w:lineRule="exact"/>
        <w:rPr>
          <w:sz w:val="20"/>
          <w:szCs w:val="20"/>
          <w:color w:val="auto"/>
        </w:rPr>
      </w:pPr>
    </w:p>
    <w:p>
      <w:pPr>
        <w:ind w:left="120" w:right="20"/>
        <w:spacing w:after="0" w:line="267" w:lineRule="auto"/>
        <w:rPr>
          <w:sz w:val="20"/>
          <w:szCs w:val="20"/>
          <w:color w:val="auto"/>
        </w:rPr>
      </w:pPr>
      <w:r>
        <w:rPr>
          <w:rFonts w:ascii="Arial" w:cs="Arial" w:eastAsia="Arial" w:hAnsi="Arial"/>
          <w:sz w:val="16"/>
          <w:szCs w:val="16"/>
          <w:color w:val="auto"/>
        </w:rPr>
        <w:t>Competitors and other third parties may infringe or otherwise violate our issued patents or other intellectual property or the patents or other intellectual property of our licensors. In addition, our patents or the patents of our licensors may become involved in inventorship or priority disputes. Our pending patent applications cannot be enforced against third parties practicing the technology claimed in such applications unless and until a patent issues from such applications. To counter infringement or other unauthorized use, we may be required to file infringement claims, which can be expensive and time-consuming. Our ability to enforce patent rights also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Any claims we assert against perceived infringers could provoke these parties to assert counterclaims against us alleging that we infringe their patents or that our patents are invalid or unenforceable.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owned or licensed patents at risk of being invalidated, held unenforceable or interpreted narrowly. We may find it impractical or undesirable to enforce our intellectual property against some third parties.</w:t>
      </w:r>
    </w:p>
    <w:p>
      <w:pPr>
        <w:spacing w:after="0" w:line="284"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If we were to initiate legal proceedings against a third party to enforce a patent directed to our product candidates, or one of our future product candidates, the defendant could counterclaim that our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Third parties may also raise similar claims before the USPTO or an equivalent foreign body, even outside the context of litigation. Potential proceedings include re-examination, post-grant review, inter</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partes review, interference proceedings, derivation proceedings and equivalent proceedings in foreign jurisdictions (e.g., opposition proceedings). Such proceedings could result in the revocation of, cancellation of, or amendment to our patents in such a way that they no longer cover our technology or any product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the applicable product candidates or technology covered by the patent rendered invalid or unenforceable. Such a loss of patent protection would materially harm our business, financial condition, results of operations and prospects.</w:t>
      </w:r>
    </w:p>
    <w:p>
      <w:pPr>
        <w:spacing w:after="0" w:line="100" w:lineRule="exact"/>
        <w:rPr>
          <w:sz w:val="20"/>
          <w:szCs w:val="20"/>
          <w:color w:val="auto"/>
        </w:rPr>
      </w:pPr>
    </w:p>
    <w:p>
      <w:pPr>
        <w:jc w:val="both"/>
        <w:ind w:left="120" w:right="40"/>
        <w:spacing w:after="0" w:line="237" w:lineRule="auto"/>
        <w:rPr>
          <w:sz w:val="20"/>
          <w:szCs w:val="20"/>
          <w:color w:val="auto"/>
        </w:rPr>
      </w:pPr>
      <w:r>
        <w:rPr>
          <w:rFonts w:ascii="Arial" w:cs="Arial" w:eastAsia="Arial" w:hAnsi="Arial"/>
          <w:sz w:val="18"/>
          <w:szCs w:val="18"/>
          <w:color w:val="auto"/>
        </w:rPr>
        <w:t>Interference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materially harmed if the prevailing party does not offer us a license on commercially reasonable terms.</w:t>
      </w:r>
    </w:p>
    <w:p>
      <w:pPr>
        <w:spacing w:after="0" w:line="100" w:lineRule="exact"/>
        <w:rPr>
          <w:sz w:val="20"/>
          <w:szCs w:val="20"/>
          <w:color w:val="auto"/>
        </w:rPr>
      </w:pPr>
    </w:p>
    <w:p>
      <w:pPr>
        <w:ind w:left="120" w:right="400"/>
        <w:spacing w:after="0" w:line="23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01" w:lineRule="exact"/>
        <w:rPr>
          <w:sz w:val="20"/>
          <w:szCs w:val="20"/>
          <w:color w:val="auto"/>
        </w:rPr>
      </w:pPr>
    </w:p>
    <w:p>
      <w:pPr>
        <w:ind w:left="120" w:right="100"/>
        <w:spacing w:after="0" w:line="235" w:lineRule="auto"/>
        <w:rPr>
          <w:sz w:val="20"/>
          <w:szCs w:val="20"/>
          <w:color w:val="auto"/>
        </w:rPr>
      </w:pPr>
      <w:r>
        <w:rPr>
          <w:rFonts w:ascii="Arial" w:cs="Arial" w:eastAsia="Arial" w:hAnsi="Arial"/>
          <w:sz w:val="18"/>
          <w:szCs w:val="18"/>
          <w:color w:val="auto"/>
        </w:rPr>
        <w:t>Some of our competitors are larger than we are and have substantially greater resources. They are, therefore, likely to be able to sustain the costs of complex patent litigation or proceedings more effectively than we can because of their greater financial resources and more mature and developed intellectual property portfolios. Accordingly, despite our efforts, we may not be able to prevent third parties from infringing upon, misappropriating or otherwise violating our intellectual property. Even if resolved in our favor, litigation or other legal proceedings relating to intellectual property claims could result in substantial costs and diversion of management resources, which could harm our business. In addition, the uncertainties associated with litigation could compromise our ability to raise the funds necessary to continue our clinical trials, continue our internal research programs, or in-license needed technology or other product candidates. There could also be public announcements of the results of the hearing, motions, or other interim proceedings or developments. If securities analysts or investors perceive those results to be negative, it could cause the price of shares of our common stock to decline. Any of the foregoing events could harm our business, financial condition, results of operation and prospects.</w:t>
      </w:r>
    </w:p>
    <w:p>
      <w:pPr>
        <w:spacing w:after="0" w:line="86" w:lineRule="exact"/>
        <w:rPr>
          <w:sz w:val="20"/>
          <w:szCs w:val="20"/>
          <w:color w:val="auto"/>
        </w:rPr>
      </w:pPr>
    </w:p>
    <w:p>
      <w:pPr>
        <w:ind w:left="120" w:right="60"/>
        <w:spacing w:after="0" w:line="262"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negatively impact the success of our business.</w:t>
      </w:r>
    </w:p>
    <w:p>
      <w:pPr>
        <w:spacing w:after="0" w:line="81"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Our commercial success depends upon our ability to develop, manufacture, market and sell our product candidates and use our proprietary technologies without infringing, misappropriating or otherwise violating the intellectual property and other proprietary rights of third parties. There is considerable intellectual property litigation in the pharmaceutical industry. We may become party to, or threatened with, future adversarial proceedings or litigation regarding intellectual property rights with respect to our product candidates and their manufacture and our other technology, including re-examination, interference, post-grant review, inter partes review or derivation proceedings before the USPTO or an equivalent foreign body. Numerous U.S. and foreign issued patents and pending patent applications owned by third parties exist in the fields in which we are developing our product candidates. Third parties may assert infringement claims against us based on existing patents or patents that may be granted in the future, regardless of their merit.</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60"/>
        <w:spacing w:after="0" w:line="235" w:lineRule="auto"/>
        <w:rPr>
          <w:sz w:val="20"/>
          <w:szCs w:val="20"/>
          <w:color w:val="auto"/>
        </w:rPr>
      </w:pPr>
      <w:r>
        <w:rPr>
          <w:rFonts w:ascii="Arial" w:cs="Arial" w:eastAsia="Arial" w:hAnsi="Arial"/>
          <w:sz w:val="18"/>
          <w:szCs w:val="18"/>
          <w:color w:val="auto"/>
        </w:rPr>
        <w:t>Even if we believe third-party intellectual property claims are without merit, there is no assurance that a court would find in our favor on questions of infringement, validity, enforceability or priority. A court of competent jurisdiction could hold that third-party patents asserted against us are valid, enforceable and infringed, which could materially and adversely affect our ability to commercialize any product candidates we may develop and any other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misappropriate or otherwise violate a third party’s intellectual property rights, and we are unsuccessful in demonstrating that such rights are invalid or unenforceable, we could be required to obtain a license from such a third party in order to continue developing and marketing our products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A finding of infringement could prevent us from commercializing our product candidates or force us to cease some of our business operations. In the event of a successful claim of infringement against us, we may have to pay substantial damages, including treble damages and attorneys’ fees for willful infringement, pay royalties and other fees, redesign our infringing product candidate or obtain one or more licenses from third parties, which may be impossible or require substantial time and monetary expenditure. Claims that we have misappropriated the confidential information or trade secrets of third parties could have a similar negative impact on our business. Any of the foregoing events would harm our business, financial condition, results of operations and prospects.</w:t>
      </w:r>
    </w:p>
    <w:p>
      <w:pPr>
        <w:spacing w:after="0" w:line="85" w:lineRule="exact"/>
        <w:rPr>
          <w:sz w:val="20"/>
          <w:szCs w:val="20"/>
          <w:color w:val="auto"/>
        </w:rPr>
      </w:pPr>
    </w:p>
    <w:p>
      <w:pPr>
        <w:ind w:left="120" w:right="20"/>
        <w:spacing w:after="0" w:line="262"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infringed upon, misappropriated or otherwise violated their intellectual property rights, or claiming ownership of what we regard as our own intellectual property.</w:t>
      </w:r>
    </w:p>
    <w:p>
      <w:pPr>
        <w:spacing w:after="0" w:line="81"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of our employees, consultants and advisors, even those related to one or more of our product candidates, are rightfully owned by their former or concurrent employer. Litigation may be necessary to defend against these claims.</w:t>
      </w:r>
    </w:p>
    <w:p>
      <w:pPr>
        <w:spacing w:after="0" w:line="102"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delay development of our product candidates and be a distraction to management. Any of the foregoing events would harm our business, financial condition, results of operations and prospects.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24" w:lineRule="exact"/>
        <w:rPr>
          <w:sz w:val="20"/>
          <w:szCs w:val="20"/>
          <w:color w:val="auto"/>
        </w:rPr>
      </w:pPr>
    </w:p>
    <w:p>
      <w:pPr>
        <w:ind w:left="120" w:right="440"/>
        <w:spacing w:after="0" w:line="275"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others who are involved in developing our product candidates. While it is our policy to require our employees and contractors who may be involved in the development of intellectual</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80" w:lineRule="exact"/>
        <w:rPr>
          <w:sz w:val="20"/>
          <w:szCs w:val="20"/>
          <w:color w:val="auto"/>
        </w:rPr>
      </w:pPr>
    </w:p>
    <w:p>
      <w:pPr>
        <w:ind w:left="120" w:right="800"/>
        <w:spacing w:after="0" w:line="262" w:lineRule="auto"/>
        <w:rPr>
          <w:sz w:val="20"/>
          <w:szCs w:val="20"/>
          <w:color w:val="auto"/>
        </w:rPr>
      </w:pPr>
      <w:r>
        <w:rPr>
          <w:rFonts w:ascii="Arial" w:cs="Arial" w:eastAsia="Arial" w:hAnsi="Arial"/>
          <w:sz w:val="18"/>
          <w:szCs w:val="18"/>
          <w:b w:val="1"/>
          <w:bCs w:val="1"/>
          <w:i w:val="1"/>
          <w:iCs w:val="1"/>
          <w:color w:val="auto"/>
        </w:rPr>
        <w:t>Intellectual property litigation could cause us to spend substantial resources and distract our personnel from their normal responsibilities.</w:t>
      </w:r>
    </w:p>
    <w:p>
      <w:pPr>
        <w:spacing w:after="0" w:line="81" w:lineRule="exact"/>
        <w:rPr>
          <w:sz w:val="20"/>
          <w:szCs w:val="20"/>
          <w:color w:val="auto"/>
        </w:rPr>
      </w:pPr>
    </w:p>
    <w:p>
      <w:pPr>
        <w:ind w:left="120" w:right="100"/>
        <w:spacing w:after="0" w:line="235" w:lineRule="auto"/>
        <w:rPr>
          <w:sz w:val="20"/>
          <w:szCs w:val="20"/>
          <w:color w:val="auto"/>
        </w:rPr>
      </w:pPr>
      <w:r>
        <w:rPr>
          <w:rFonts w:ascii="Arial" w:cs="Arial" w:eastAsia="Arial" w:hAnsi="Arial"/>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product candidates, if approved. Any of the foregoing events would harm our business, financial condition, results of operations and prospects.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24"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We rely on trade secrets and confidentiality agreements to protect our unpatented know-how, technology and other proprietary information (including unpatented know-how associated with Warp Drive) and to maintain our competitive position. Trade secrets and know-how can be difficult to protect. We seek to protect these trade secrets and other proprietary technology, in part, by entering into non-disclosure and confidentiality agreements with parties who have access to them, such as our employees, collaborators, CROs, contract manufacturers, consultants, advisors and other third parties. We also enter into confidentiality and invention or patent assignment agreements with our employees and consultants. We cannot guarantee that we have entered into such agreements with each party that may have or has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Unauthorized parties may also attempt to copy or reverse engineer certain aspects of our products that we consider proprietary. Monitoring unauthorized uses and disclosures is difficult, and we do not know whether the steps we have taken to protect our proprietary information will be effective.</w:t>
      </w:r>
    </w:p>
    <w:p>
      <w:pPr>
        <w:spacing w:after="0" w:line="106"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Enforcing a claim that a</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00"/>
          </w:cols>
          <w:pgMar w:left="32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83" w:lineRule="exact"/>
        <w:rPr>
          <w:sz w:val="20"/>
          <w:szCs w:val="20"/>
          <w:color w:val="auto"/>
        </w:rPr>
      </w:pPr>
    </w:p>
    <w:p>
      <w:pPr>
        <w:ind w:left="120" w:right="100"/>
        <w:spacing w:after="0" w:line="262"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81"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business, financial condition, results of operations and prospects.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24"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14" w:lineRule="exact"/>
        <w:rPr>
          <w:sz w:val="20"/>
          <w:szCs w:val="20"/>
          <w:color w:val="auto"/>
        </w:rPr>
      </w:pPr>
    </w:p>
    <w:p>
      <w:pPr>
        <w:ind w:left="340" w:right="240" w:hanging="224"/>
        <w:spacing w:after="0" w:line="239"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any product candidates we may develop or utilize similar technology but that are not covered by the claims of the patents that we license or may own in the future;</w:t>
      </w:r>
    </w:p>
    <w:p>
      <w:pPr>
        <w:spacing w:after="0" w:line="114" w:lineRule="exact"/>
        <w:rPr>
          <w:rFonts w:ascii="Arial" w:cs="Arial" w:eastAsia="Arial" w:hAnsi="Arial"/>
          <w:sz w:val="18"/>
          <w:szCs w:val="18"/>
          <w:color w:val="auto"/>
        </w:rPr>
      </w:pPr>
    </w:p>
    <w:p>
      <w:pPr>
        <w:ind w:left="340" w:right="200" w:hanging="224"/>
        <w:spacing w:after="0" w:line="239"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or our current or future licensors might not have been the first to make the inventions covered by the issued patent or pending patent application that we license or may own in the future;</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or our current or future licensors might not have been the first to file patent applications covering certain of our or their inventions;</w:t>
      </w:r>
    </w:p>
    <w:p>
      <w:pPr>
        <w:spacing w:after="0" w:line="117" w:lineRule="exact"/>
        <w:rPr>
          <w:rFonts w:ascii="Arial" w:cs="Arial" w:eastAsia="Arial" w:hAnsi="Arial"/>
          <w:sz w:val="18"/>
          <w:szCs w:val="18"/>
          <w:color w:val="auto"/>
        </w:rPr>
      </w:pPr>
    </w:p>
    <w:p>
      <w:pPr>
        <w:ind w:left="340" w:right="200" w:hanging="224"/>
        <w:spacing w:after="0" w:line="239"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114" w:lineRule="exact"/>
        <w:rPr>
          <w:rFonts w:ascii="Arial" w:cs="Arial" w:eastAsia="Arial" w:hAnsi="Arial"/>
          <w:sz w:val="18"/>
          <w:szCs w:val="18"/>
          <w:color w:val="auto"/>
        </w:rPr>
      </w:pPr>
    </w:p>
    <w:p>
      <w:pPr>
        <w:ind w:left="340" w:hanging="224"/>
        <w:spacing w:after="0" w:line="239"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it is possible that our pending owned or licensed patent applications or those that we may own or license in the future will not lead to issued patents;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our competitors;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500" w:hanging="224"/>
        <w:spacing w:after="0" w:line="239"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17" w:lineRule="exact"/>
        <w:rPr>
          <w:rFonts w:ascii="Arial" w:cs="Arial" w:eastAsia="Arial" w:hAnsi="Arial"/>
          <w:sz w:val="18"/>
          <w:szCs w:val="18"/>
          <w:color w:val="auto"/>
        </w:rPr>
      </w:pPr>
    </w:p>
    <w:p>
      <w:pPr>
        <w:ind w:left="340" w:right="120" w:hanging="224"/>
        <w:spacing w:after="0" w:line="239"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Should any of these events occur, they could harm our business, financial condition, results of operations and prospects.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employee matters, managing our growth and other risks related to our business</w:t>
      </w:r>
    </w:p>
    <w:p>
      <w:pPr>
        <w:spacing w:after="0" w:line="114" w:lineRule="exact"/>
        <w:rPr>
          <w:sz w:val="20"/>
          <w:szCs w:val="20"/>
          <w:color w:val="auto"/>
        </w:rPr>
      </w:pPr>
    </w:p>
    <w:p>
      <w:pPr>
        <w:ind w:left="120" w:right="140"/>
        <w:spacing w:after="0" w:line="262" w:lineRule="auto"/>
        <w:rPr>
          <w:sz w:val="20"/>
          <w:szCs w:val="20"/>
          <w:color w:val="auto"/>
        </w:rPr>
      </w:pPr>
      <w:r>
        <w:rPr>
          <w:rFonts w:ascii="Arial" w:cs="Arial" w:eastAsia="Arial" w:hAnsi="Arial"/>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81"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We are highly dependent on members of our executive team. The loss of the services of any of them may adversely impact the achievement of our objectives. Any of our executive officers could leave our employment at any time, as all of our employees are “at-will” employees. We currently do not have “key person” insurance on any of our employees. The loss of the services of one or more of our key personnel might impede the achievement of our research, development and commercialization objectives.</w:t>
      </w:r>
    </w:p>
    <w:p>
      <w:pPr>
        <w:spacing w:after="0" w:line="100" w:lineRule="exact"/>
        <w:rPr>
          <w:sz w:val="20"/>
          <w:szCs w:val="20"/>
          <w:color w:val="auto"/>
        </w:rPr>
      </w:pPr>
    </w:p>
    <w:p>
      <w:pPr>
        <w:ind w:left="120" w:right="100"/>
        <w:spacing w:after="0" w:line="269" w:lineRule="auto"/>
        <w:rPr>
          <w:sz w:val="20"/>
          <w:szCs w:val="20"/>
          <w:color w:val="auto"/>
        </w:rPr>
      </w:pPr>
      <w:r>
        <w:rPr>
          <w:rFonts w:ascii="Arial" w:cs="Arial" w:eastAsia="Arial" w:hAnsi="Arial"/>
          <w:sz w:val="16"/>
          <w:szCs w:val="16"/>
          <w:color w:val="auto"/>
        </w:rPr>
        <w:t>Recruiting and retaining qualified employees, consultants and advisors for our business, including scientific and technical personnel, also will be critical to our success. Competition for skilled personnel is intense and the turnover rate can be high. We may not be able to attract and retain personnel on acceptable terms given the competition among numerous pharmaceutical and biotechnology companies and academic institutions for skilled individuals. In addition, failure to succeed in preclinical studies, clinical trials or applications for marketing approval may make it more challenging to recruit and retain qualified personnel. The inability to recruit, or the loss of services of certain executives, key employees, consultants or advisors, may impede the progress of our research, development and commercialization objectives and have a material adverse effect on our business, financial condition, results of operations and prospects.</w:t>
      </w:r>
    </w:p>
    <w:p>
      <w:pPr>
        <w:spacing w:after="0" w:line="62" w:lineRule="exact"/>
        <w:rPr>
          <w:sz w:val="20"/>
          <w:szCs w:val="20"/>
          <w:color w:val="auto"/>
        </w:rPr>
      </w:pPr>
    </w:p>
    <w:p>
      <w:pPr>
        <w:ind w:left="120"/>
        <w:spacing w:after="0" w:line="262" w:lineRule="auto"/>
        <w:rPr>
          <w:sz w:val="20"/>
          <w:szCs w:val="20"/>
          <w:color w:val="auto"/>
        </w:rPr>
      </w:pPr>
      <w:r>
        <w:rPr>
          <w:rFonts w:ascii="Arial" w:cs="Arial" w:eastAsia="Arial" w:hAnsi="Arial"/>
          <w:sz w:val="18"/>
          <w:szCs w:val="18"/>
          <w:b w:val="1"/>
          <w:bCs w:val="1"/>
          <w:i w:val="1"/>
          <w:iCs w:val="1"/>
          <w:color w:val="auto"/>
        </w:rPr>
        <w:t>We currently have no sales organization. If we are unable to establish sales capabilities on our own or through third parties, we may not be able to market and sell any products effectively, if approved, or generate product revenue.</w:t>
      </w:r>
    </w:p>
    <w:p>
      <w:pPr>
        <w:spacing w:after="0" w:line="81"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We currently do not have a marketing or sales organization. In order to commercialize any product, if approved, in the United States and foreign jurisdictions, we must build our marketing, sales, distribution, managerial and other non-technical capabilities or make arrangements with third parties to perform these services, and we may not be successful in doing so. In advance of any of our product candidates receiving regulatory approval, we expect to establish a sales organization with technical expertise and supporting distribution capabilities to commercialize each such product candidate, which will be expensive and time-consuming. We have no prior experience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0"/>
        <w:spacing w:after="0" w:line="272" w:lineRule="auto"/>
        <w:rPr>
          <w:sz w:val="20"/>
          <w:szCs w:val="20"/>
          <w:color w:val="auto"/>
        </w:rPr>
      </w:pPr>
      <w:r>
        <w:rPr>
          <w:rFonts w:ascii="Arial" w:cs="Arial" w:eastAsia="Arial" w:hAnsi="Arial"/>
          <w:sz w:val="16"/>
          <w:szCs w:val="16"/>
          <w:color w:val="auto"/>
        </w:rPr>
        <w:t>commercialization of these products. We may choose to collaborate with third parties that have direct sales forces and established distribution systems, either to augment our own sales force and distribution systems or in lieu of our own sales force and distribution systems. If we are unable to enter into such arrangements on acceptable terms or at all, we may not be able to successfully commercialize our product candidates. If we are not successful in commercializing products, either on our own or through arrangements with one or more third parties, we may not be able to generate any future product revenue and we would incur significant additional losses.</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will need to grow the size of our organization, and we may experience difficulties in managing this growth.</w:t>
      </w:r>
    </w:p>
    <w:p>
      <w:pPr>
        <w:spacing w:after="0" w:line="124"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As of July 31, 2019, we had 87 full-time employees, including 71 employees engaged in research and development. As our development and commercialization plans and strategies develop, and as we transition into operating as a public company, we expect to need additional managerial, operational, sales, marketing, financial and other personnel. Future growth would impose significant added responsibilities on members of management, including:</w:t>
      </w:r>
    </w:p>
    <w:p>
      <w:pPr>
        <w:spacing w:after="0" w:line="114" w:lineRule="exact"/>
        <w:rPr>
          <w:sz w:val="20"/>
          <w:szCs w:val="20"/>
          <w:color w:val="auto"/>
        </w:rPr>
      </w:pPr>
    </w:p>
    <w:p>
      <w:pPr>
        <w:ind w:left="340" w:hanging="224"/>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17" w:lineRule="exact"/>
        <w:rPr>
          <w:rFonts w:ascii="Arial" w:cs="Arial" w:eastAsia="Arial" w:hAnsi="Arial"/>
          <w:sz w:val="18"/>
          <w:szCs w:val="18"/>
          <w:color w:val="auto"/>
        </w:rPr>
      </w:pPr>
    </w:p>
    <w:p>
      <w:pPr>
        <w:ind w:left="340" w:right="160" w:hanging="224"/>
        <w:spacing w:after="0" w:line="239"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and FDA review process for RMC-4630 and any other product candidate we develop, while complying with our contractual obligations to contractors and other third parties; and</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104"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Our future financial performance and our ability to advance development of and, if approved, commercialize RMC-4630 and any other product candidate we develop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00"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including substantially all aspects of marketing approval, clinical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marketing approval of any current or future product candidates or otherwise advance our business. We cannot assure you that we will be able to manage our existing consultants or find other competent outside contractors and consultants on economically reasonable terms, or at all.</w:t>
      </w:r>
    </w:p>
    <w:p>
      <w:pPr>
        <w:spacing w:after="0" w:line="100" w:lineRule="exact"/>
        <w:rPr>
          <w:sz w:val="20"/>
          <w:szCs w:val="20"/>
          <w:color w:val="auto"/>
        </w:rPr>
      </w:pPr>
    </w:p>
    <w:p>
      <w:pPr>
        <w:jc w:val="both"/>
        <w:ind w:left="120" w:right="200"/>
        <w:spacing w:after="0" w:line="238" w:lineRule="auto"/>
        <w:rPr>
          <w:sz w:val="20"/>
          <w:szCs w:val="20"/>
          <w:color w:val="auto"/>
        </w:rPr>
      </w:pPr>
      <w:r>
        <w:rPr>
          <w:rFonts w:ascii="Arial" w:cs="Arial" w:eastAsia="Arial" w:hAnsi="Arial"/>
          <w:sz w:val="18"/>
          <w:szCs w:val="18"/>
          <w:color w:val="auto"/>
        </w:rPr>
        <w:t>If we are not able to effectively expand our organization by hiring new employees and expanding our groups of consultants and contractors, we may not be able to successfully implement the tasks necessary to further develop and commercialize RMC-4630 and any future product candidates we develop and, accordingly, may not achieve our research, development and commercialization goals.</w:t>
      </w:r>
    </w:p>
    <w:p>
      <w:pPr>
        <w:spacing w:after="0" w:line="80" w:lineRule="exact"/>
        <w:rPr>
          <w:sz w:val="20"/>
          <w:szCs w:val="20"/>
          <w:color w:val="auto"/>
        </w:rPr>
      </w:pPr>
    </w:p>
    <w:p>
      <w:pPr>
        <w:ind w:left="120" w:right="60"/>
        <w:spacing w:after="0" w:line="248" w:lineRule="auto"/>
        <w:rPr>
          <w:sz w:val="20"/>
          <w:szCs w:val="20"/>
          <w:color w:val="auto"/>
        </w:rPr>
      </w:pPr>
      <w:r>
        <w:rPr>
          <w:rFonts w:ascii="Arial" w:cs="Arial" w:eastAsia="Arial" w:hAnsi="Arial"/>
          <w:sz w:val="18"/>
          <w:szCs w:val="18"/>
          <w:b w:val="1"/>
          <w:bCs w:val="1"/>
          <w:i w:val="1"/>
          <w:iCs w:val="1"/>
          <w:color w:val="auto"/>
        </w:rPr>
        <w:t>We have in the past engaged and may in the future engage in strategic transactions; such transactions could affect our liquidity, dilute our existing stockholders, increase our expenses and present significant challenges in focus and energy to our management or prove not to be successful.</w:t>
      </w:r>
    </w:p>
    <w:p>
      <w:pPr>
        <w:spacing w:after="0" w:line="94" w:lineRule="exact"/>
        <w:rPr>
          <w:sz w:val="20"/>
          <w:szCs w:val="20"/>
          <w:color w:val="auto"/>
        </w:rPr>
      </w:pPr>
    </w:p>
    <w:p>
      <w:pPr>
        <w:ind w:left="120" w:right="800"/>
        <w:spacing w:after="0" w:line="239" w:lineRule="auto"/>
        <w:rPr>
          <w:sz w:val="20"/>
          <w:szCs w:val="20"/>
          <w:color w:val="auto"/>
        </w:rPr>
      </w:pPr>
      <w:r>
        <w:rPr>
          <w:rFonts w:ascii="Arial" w:cs="Arial" w:eastAsia="Arial" w:hAnsi="Arial"/>
          <w:sz w:val="18"/>
          <w:szCs w:val="18"/>
          <w:color w:val="auto"/>
        </w:rPr>
        <w:t>From time to time, we may consider strategic transactions, such as acquisitions of companies, asset purchases and out-licensing or in-licensing of intellectual property, products or technologies. For example, in October</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560"/>
        <w:spacing w:after="0" w:line="239" w:lineRule="auto"/>
        <w:rPr>
          <w:sz w:val="20"/>
          <w:szCs w:val="20"/>
          <w:color w:val="auto"/>
        </w:rPr>
      </w:pPr>
      <w:r>
        <w:rPr>
          <w:rFonts w:ascii="Arial" w:cs="Arial" w:eastAsia="Arial" w:hAnsi="Arial"/>
          <w:sz w:val="18"/>
          <w:szCs w:val="18"/>
          <w:color w:val="auto"/>
        </w:rPr>
        <w:t>2018, we acquired all of the outstanding shares of Warp Drive Bio, which became our direct wholly-owned subsidiary. See “Business— Acquisition of Warp Drive.”</w:t>
      </w:r>
    </w:p>
    <w:p>
      <w:pPr>
        <w:spacing w:after="0" w:line="101"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Additional potential transactions that we may consider in the future include a variety of business arrangements, including spin-offs, strategic partnerships, joint ventures, restructurings, divestitures, business combinations and investments. Any future transactions could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full benefits of the acquisition.</w:t>
      </w:r>
    </w:p>
    <w:p>
      <w:pPr>
        <w:spacing w:after="0" w:line="80" w:lineRule="exact"/>
        <w:rPr>
          <w:sz w:val="20"/>
          <w:szCs w:val="20"/>
          <w:color w:val="auto"/>
        </w:rPr>
      </w:pPr>
    </w:p>
    <w:p>
      <w:pPr>
        <w:ind w:left="120" w:right="320"/>
        <w:spacing w:after="0" w:line="262"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81"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01"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80" w:lineRule="exact"/>
        <w:rPr>
          <w:sz w:val="20"/>
          <w:szCs w:val="20"/>
          <w:color w:val="auto"/>
        </w:rPr>
      </w:pPr>
    </w:p>
    <w:p>
      <w:pPr>
        <w:ind w:left="120" w:right="740"/>
        <w:spacing w:after="0" w:line="262"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81"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Our corporate headquarters and other facilities are located in the San Francisco Bay Area, which in the past has experienced both severe earthquakes and wildfires. We do not carry earthquake insurance. Earthquakes, wildfires or other natural disasters could severely disrupt our operations, and have a material adverse effect on our business, results of operations, financial condition and prospects.</w:t>
      </w:r>
    </w:p>
    <w:p>
      <w:pPr>
        <w:spacing w:after="0" w:line="100"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If a natural disaster, power outage or other event occurred that prevented us from using all or a significant portion of our headquarters, that damaged critical infrastructure, such as our enterprise financial systems or manufacturing resource planning and enterprise quality systems,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Furthermore, integral parties in our supply chain are similarly vulnerable to natural disasters or other sudden, unforeseen and severe adverse events. If such an event were to affect our supply chain, it could have a material adverse effect on our business.</w:t>
      </w:r>
    </w:p>
    <w:p>
      <w:pPr>
        <w:spacing w:after="0" w:line="81" w:lineRule="exact"/>
        <w:rPr>
          <w:sz w:val="20"/>
          <w:szCs w:val="20"/>
          <w:color w:val="auto"/>
        </w:rPr>
      </w:pPr>
    </w:p>
    <w:p>
      <w:pPr>
        <w:ind w:left="120" w:right="820"/>
        <w:spacing w:after="0" w:line="262" w:lineRule="auto"/>
        <w:rPr>
          <w:sz w:val="20"/>
          <w:szCs w:val="20"/>
          <w:color w:val="auto"/>
        </w:rPr>
      </w:pPr>
      <w:r>
        <w:rPr>
          <w:rFonts w:ascii="Arial" w:cs="Arial" w:eastAsia="Arial" w:hAnsi="Arial"/>
          <w:sz w:val="18"/>
          <w:szCs w:val="18"/>
          <w:b w:val="1"/>
          <w:bCs w:val="1"/>
          <w:i w:val="1"/>
          <w:iCs w:val="1"/>
          <w:color w:val="auto"/>
        </w:rPr>
        <w:t>Our internal computer systems, or those used by our CROs or other contractors or consultants, may fail or suffer security breaches.</w:t>
      </w:r>
    </w:p>
    <w:p>
      <w:pPr>
        <w:spacing w:after="0" w:line="81" w:lineRule="exact"/>
        <w:rPr>
          <w:sz w:val="20"/>
          <w:szCs w:val="20"/>
          <w:color w:val="auto"/>
        </w:rPr>
      </w:pPr>
    </w:p>
    <w:p>
      <w:pPr>
        <w:ind w:left="120" w:right="20"/>
        <w:spacing w:after="0" w:line="268" w:lineRule="auto"/>
        <w:rPr>
          <w:sz w:val="20"/>
          <w:szCs w:val="20"/>
          <w:color w:val="auto"/>
        </w:rPr>
      </w:pPr>
      <w:r>
        <w:rPr>
          <w:rFonts w:ascii="Arial" w:cs="Arial" w:eastAsia="Arial" w:hAnsi="Arial"/>
          <w:sz w:val="16"/>
          <w:szCs w:val="16"/>
          <w:color w:val="auto"/>
        </w:rPr>
        <w:t>Despite the implementation of security measures, our internal computer systems and those of our future CROs and other contractors and consultants are vulnerable to damage from computer viruses and unauthorized access. While we have not to our knowledge experienced any such material system failure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marketing approval efforts and significantly increase our costs to recover or reproduce the data. Likewise, we rely on third parties for the manufacture of our product candidates and to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future product candidates could be delayed.</w:t>
      </w:r>
    </w:p>
    <w:p>
      <w:pPr>
        <w:spacing w:after="0" w:line="61" w:lineRule="exact"/>
        <w:rPr>
          <w:sz w:val="20"/>
          <w:szCs w:val="20"/>
          <w:color w:val="auto"/>
        </w:rPr>
      </w:pPr>
    </w:p>
    <w:p>
      <w:pPr>
        <w:ind w:left="120" w:right="320"/>
        <w:spacing w:after="0" w:line="325" w:lineRule="auto"/>
        <w:rPr>
          <w:sz w:val="20"/>
          <w:szCs w:val="20"/>
          <w:color w:val="auto"/>
        </w:rPr>
      </w:pPr>
      <w:r>
        <w:rPr>
          <w:rFonts w:ascii="Arial" w:cs="Arial" w:eastAsia="Arial" w:hAnsi="Arial"/>
          <w:sz w:val="16"/>
          <w:szCs w:val="16"/>
          <w:b w:val="1"/>
          <w:bCs w:val="1"/>
          <w:i w:val="1"/>
          <w:iCs w:val="1"/>
          <w:color w:val="auto"/>
        </w:rPr>
        <w:t>Our employees, independent contractors, vendors, principal investigators, CROs and consultants may engage in misconduct or other improper activities, including non-compliance with regulatory standards and requirements and insider trading.</w:t>
      </w:r>
    </w:p>
    <w:p>
      <w:pPr>
        <w:spacing w:after="0" w:line="35"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color w:val="auto"/>
        </w:rPr>
        <w:t>We are exposed to the risk that our employees, independent contractors, vendors,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comparable foreign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our common stock and this offering</w:t>
      </w:r>
    </w:p>
    <w:p>
      <w:pPr>
        <w:spacing w:after="0" w:line="114" w:lineRule="exact"/>
        <w:rPr>
          <w:sz w:val="20"/>
          <w:szCs w:val="20"/>
          <w:color w:val="auto"/>
        </w:rPr>
      </w:pPr>
    </w:p>
    <w:p>
      <w:pPr>
        <w:ind w:left="120" w:right="520"/>
        <w:spacing w:after="0" w:line="262" w:lineRule="auto"/>
        <w:rPr>
          <w:sz w:val="20"/>
          <w:szCs w:val="20"/>
          <w:color w:val="auto"/>
        </w:rPr>
      </w:pPr>
      <w:r>
        <w:rPr>
          <w:rFonts w:ascii="Arial" w:cs="Arial" w:eastAsia="Arial" w:hAnsi="Arial"/>
          <w:sz w:val="18"/>
          <w:szCs w:val="18"/>
          <w:b w:val="1"/>
          <w:bCs w:val="1"/>
          <w:i w:val="1"/>
          <w:iCs w:val="1"/>
          <w:color w:val="auto"/>
        </w:rPr>
        <w:t>If you purchase our common stock in this offering, you will incur immediate and substantial dilution in the book value of your shares.</w:t>
      </w:r>
    </w:p>
    <w:p>
      <w:pPr>
        <w:spacing w:after="0" w:line="81" w:lineRule="exact"/>
        <w:rPr>
          <w:sz w:val="20"/>
          <w:szCs w:val="20"/>
          <w:color w:val="auto"/>
        </w:rPr>
      </w:pPr>
    </w:p>
    <w:p>
      <w:pPr>
        <w:ind w:left="120" w:right="100"/>
        <w:spacing w:after="0" w:line="264" w:lineRule="auto"/>
        <w:rPr>
          <w:sz w:val="20"/>
          <w:szCs w:val="20"/>
          <w:color w:val="auto"/>
        </w:rPr>
      </w:pPr>
      <w:r>
        <w:rPr>
          <w:rFonts w:ascii="Arial" w:cs="Arial" w:eastAsia="Arial" w:hAnsi="Arial"/>
          <w:sz w:val="16"/>
          <w:szCs w:val="16"/>
          <w:color w:val="auto"/>
        </w:rPr>
        <w:t>The initial public offering price of our common stock will be substantially higher than the pro forma as adjusted net tangible book value per share of our common stock. Therefore, if you purchase our common stock in this offering, you will pay a price per share that substantially exceeds the pro forma as adjusted net tangible book value per share after the completion of this offering. Based on an assumed initial public</w:t>
      </w:r>
    </w:p>
    <w:p>
      <w:pPr>
        <w:ind w:left="120"/>
        <w:spacing w:after="0"/>
        <w:tabs>
          <w:tab w:leader="none" w:pos="1840" w:val="left"/>
        </w:tabs>
        <w:rPr>
          <w:sz w:val="20"/>
          <w:szCs w:val="20"/>
          <w:color w:val="auto"/>
        </w:rPr>
      </w:pPr>
      <w:r>
        <w:rPr>
          <w:rFonts w:ascii="Arial" w:cs="Arial" w:eastAsia="Arial" w:hAnsi="Arial"/>
          <w:sz w:val="18"/>
          <w:szCs w:val="18"/>
          <w:color w:val="auto"/>
        </w:rPr>
        <w:t>offering price of $</w:t>
      </w:r>
      <w:r>
        <w:rPr>
          <w:sz w:val="20"/>
          <w:szCs w:val="20"/>
          <w:color w:val="auto"/>
        </w:rPr>
        <w:tab/>
      </w:r>
      <w:r>
        <w:rPr>
          <w:rFonts w:ascii="Arial" w:cs="Arial" w:eastAsia="Arial" w:hAnsi="Arial"/>
          <w:sz w:val="16"/>
          <w:szCs w:val="16"/>
          <w:color w:val="auto"/>
        </w:rPr>
        <w:t>per share, which is the midpoint of the price range set forth on the cover page of this prospectus, you will experience</w:t>
      </w:r>
    </w:p>
    <w:p>
      <w:pPr>
        <w:ind w:left="120"/>
        <w:spacing w:after="0" w:line="236" w:lineRule="auto"/>
        <w:rPr>
          <w:sz w:val="20"/>
          <w:szCs w:val="20"/>
          <w:color w:val="auto"/>
        </w:rPr>
      </w:pPr>
      <w:r>
        <w:rPr>
          <w:rFonts w:ascii="Arial" w:cs="Arial" w:eastAsia="Arial" w:hAnsi="Arial"/>
          <w:sz w:val="18"/>
          <w:szCs w:val="18"/>
          <w:color w:val="auto"/>
        </w:rPr>
        <w:t>immediate dilution of $ per share, representing the difference between our pro forma as adjusted net tangible book value per share after giving effect to this offering at the assumed initial public offering price. In addition, investors purchasing common stock in this offering will contribute % of the total amount invested by stockholders since inception, but will own only % of our common stock outstanding after this offering. In the past, we issued options and other securities to acquire common stock at prices significantly below the initial public offering price. To the extent these outstanding securities are ultimately exercised, investors purchasing common stock in this offering will incur further dilution. See “Dilution” for a more detailed description of the dilution to new investors in the offering.</w:t>
      </w:r>
    </w:p>
    <w:p>
      <w:pPr>
        <w:spacing w:after="0" w:line="82" w:lineRule="exact"/>
        <w:rPr>
          <w:sz w:val="20"/>
          <w:szCs w:val="20"/>
          <w:color w:val="auto"/>
        </w:rPr>
      </w:pPr>
    </w:p>
    <w:p>
      <w:pPr>
        <w:ind w:left="120" w:right="120"/>
        <w:spacing w:after="0" w:line="262"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purchasers of our common stock in this offering.</w:t>
      </w:r>
    </w:p>
    <w:p>
      <w:pPr>
        <w:spacing w:after="0" w:line="81"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Our stock price is likely to be volatile. The stock market in general and the market for biopharmaceutical companies in particular have experienced extreme volatility that has often been unrelated to the operating performance of particular companies. As a result of this volatility, you may not be able to sell your common stock at or above the initial public offering price. The market price for our common stock may be influenced by many factors, including:</w:t>
      </w:r>
    </w:p>
    <w:p>
      <w:pPr>
        <w:spacing w:after="0" w:line="114" w:lineRule="exact"/>
        <w:rPr>
          <w:sz w:val="20"/>
          <w:szCs w:val="20"/>
          <w:color w:val="auto"/>
        </w:rPr>
      </w:pPr>
    </w:p>
    <w:p>
      <w:pPr>
        <w:ind w:left="340" w:hanging="224"/>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results of clinical trials and preclinical studies or those of our competitors;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level of expenses related to our product candidates or clinical development programs;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product candidates or companion diagnostics;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00"/>
          </w:cols>
          <w:pgMar w:left="320" w:top="459"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right="380"/>
        <w:spacing w:after="0" w:line="262" w:lineRule="auto"/>
        <w:rPr>
          <w:sz w:val="20"/>
          <w:szCs w:val="20"/>
          <w:color w:val="auto"/>
        </w:rPr>
      </w:pPr>
      <w:r>
        <w:rPr>
          <w:rFonts w:ascii="Arial" w:cs="Arial" w:eastAsia="Arial" w:hAnsi="Arial"/>
          <w:sz w:val="18"/>
          <w:szCs w:val="18"/>
          <w:b w:val="1"/>
          <w:bCs w:val="1"/>
          <w:i w:val="1"/>
          <w:iCs w:val="1"/>
          <w:color w:val="auto"/>
        </w:rPr>
        <w:t>An active trading market for our common stock may not develop, and you may not be able to resell your shares at or above the initial public offering price.</w:t>
      </w:r>
    </w:p>
    <w:p>
      <w:pPr>
        <w:spacing w:after="0" w:line="81"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Prior to this offering, there has been no public market for shares of our common stock and an active trading market for our shares may never develop or be sustained following this offering. The initial public offering price of our common stock will be determined through negotiations between us and the underwriters. This initial public offering price may not be indicative of the market price of our common stock after this offering. In the absence of an active trading market for our common stock, investors may not be able to sell their common stock at or above the initial public offering price or at the time that they would like to sell.</w:t>
      </w:r>
    </w:p>
    <w:p>
      <w:pPr>
        <w:spacing w:after="0" w:line="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do not currently intend to pay any cash dividends on our common stock for the foreseeable future. We currently intend to invest our future earnings, if any, to fund our growth. Therefore, you are not likely to receive any dividends on your common stock for the foreseeable future. Since we do not intend to pay dividends, your ability to receive a return on your investment will depend on any future appreciation in the market value of our common stock. There is no guarantee that our common stock will appreciate or even maintain the price at which our holders have purchased it.</w:t>
      </w:r>
    </w:p>
    <w:p>
      <w:pPr>
        <w:spacing w:after="0" w:line="83" w:lineRule="exact"/>
        <w:rPr>
          <w:sz w:val="20"/>
          <w:szCs w:val="20"/>
          <w:color w:val="auto"/>
        </w:rPr>
      </w:pPr>
    </w:p>
    <w:p>
      <w:pPr>
        <w:ind w:left="120" w:right="520"/>
        <w:spacing w:after="0" w:line="262"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81"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this prospectus and our periodic reports and proxy statements and exemptions from the requirements of holding nonbinding advisory votes on executive compensation and stockholder approval of any golden parachute payments not previously approved. We could be an emerging growth company for up to five years following the year in which we complete this offering, although circumstances could cause us to lose that status earlier. 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requires the market value of our common stock that is held by non-affiliates to exceed $700.0 million as of the prior June 30th, and (2) the date on which we have issued more than $1.0 billion in non-convertible debt during the prior three-year period.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06" w:lineRule="exact"/>
        <w:rPr>
          <w:sz w:val="20"/>
          <w:szCs w:val="20"/>
          <w:color w:val="auto"/>
        </w:rPr>
      </w:pPr>
    </w:p>
    <w:p>
      <w:pPr>
        <w:ind w:left="120" w:right="320"/>
        <w:spacing w:after="0" w:line="236"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use the extended transition period for any other new or revised accounting standards during the period in which we remain an emerging growth company; however, we may adopt certain new or revised accounting standards early. As a result, changes in rules of U.S. generally accepted accounting principles or their interpretation, the adoption of new guidance or the application of existing guidance to changes in our business could significantly affect our financial position and results of operations.</w:t>
      </w:r>
    </w:p>
    <w:p>
      <w:pPr>
        <w:spacing w:after="0" w:line="14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80"/>
          </w:cols>
          <w:pgMar w:left="320" w:top="459" w:right="4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both"/>
        <w:ind w:left="120" w:right="580"/>
        <w:spacing w:after="0" w:line="325" w:lineRule="auto"/>
        <w:rPr>
          <w:sz w:val="20"/>
          <w:szCs w:val="20"/>
          <w:color w:val="auto"/>
        </w:rPr>
      </w:pPr>
      <w:r>
        <w:rPr>
          <w:rFonts w:ascii="Arial" w:cs="Arial" w:eastAsia="Arial" w:hAnsi="Arial"/>
          <w:sz w:val="16"/>
          <w:szCs w:val="16"/>
          <w:b w:val="1"/>
          <w:bCs w:val="1"/>
          <w:i w:val="1"/>
          <w:iCs w:val="1"/>
          <w:color w:val="auto"/>
        </w:rPr>
        <w:t>Our executive officers, directors and their affiliates will continue to exercise significant influence over our company after this offering, which will limit your ability to influence corporate matters and could delay or prevent a change in corporate control.</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Immediately following the completion of this offering, our executive officers, directors and their affiliates will beneficially own, in the aggregate,</w:t>
      </w:r>
    </w:p>
    <w:p>
      <w:pPr>
        <w:spacing w:after="0" w:line="14" w:lineRule="exact"/>
        <w:rPr>
          <w:sz w:val="20"/>
          <w:szCs w:val="20"/>
          <w:color w:val="auto"/>
        </w:rPr>
      </w:pPr>
    </w:p>
    <w:p>
      <w:pPr>
        <w:ind w:left="120"/>
        <w:spacing w:after="0"/>
        <w:tabs>
          <w:tab w:leader="none" w:pos="1440" w:val="left"/>
          <w:tab w:leader="none" w:pos="7280" w:val="left"/>
        </w:tabs>
        <w:rPr>
          <w:sz w:val="20"/>
          <w:szCs w:val="20"/>
          <w:color w:val="auto"/>
        </w:rPr>
      </w:pPr>
      <w:r>
        <w:rPr>
          <w:rFonts w:ascii="Arial" w:cs="Arial" w:eastAsia="Arial" w:hAnsi="Arial"/>
          <w:sz w:val="18"/>
          <w:szCs w:val="18"/>
          <w:color w:val="auto"/>
        </w:rPr>
        <w:t>approximately</w:t>
        <w:tab/>
        <w:t>% of our outstanding common stock, assuming the sale by us of</w:t>
      </w:r>
      <w:r>
        <w:rPr>
          <w:sz w:val="20"/>
          <w:szCs w:val="20"/>
          <w:color w:val="auto"/>
        </w:rPr>
        <w:tab/>
      </w:r>
      <w:r>
        <w:rPr>
          <w:rFonts w:ascii="Arial" w:cs="Arial" w:eastAsia="Arial" w:hAnsi="Arial"/>
          <w:sz w:val="16"/>
          <w:szCs w:val="16"/>
          <w:color w:val="auto"/>
        </w:rPr>
        <w:t>shares of common stock in this offering, based</w:t>
      </w:r>
    </w:p>
    <w:p>
      <w:pPr>
        <w:ind w:left="120" w:right="80"/>
        <w:spacing w:after="0" w:line="236" w:lineRule="auto"/>
        <w:rPr>
          <w:sz w:val="20"/>
          <w:szCs w:val="20"/>
          <w:color w:val="auto"/>
        </w:rPr>
      </w:pPr>
      <w:r>
        <w:rPr>
          <w:rFonts w:ascii="Arial" w:cs="Arial" w:eastAsia="Arial" w:hAnsi="Arial"/>
          <w:sz w:val="18"/>
          <w:szCs w:val="18"/>
          <w:color w:val="auto"/>
        </w:rPr>
        <w:t>on an assumed initial public offering price of $ per share, which is the midpoint of the price range set forth on the cover page of this prospectus. As a result, these stockholders, if they act together, will be able to influence our management and affairs and the outcome of matters submitted to our stockholders for approval, including the election of directors and any sale, merger, consolidation or sale of all or substantially all of our assets. These stockholders acquired their shares of common stock for substantially less than the price of the shares of common stock being acquired in this offering, and these stockholders may have interests, with respect to their common stock, that are different from those of investors in this offering, and the concentration of voting power among these stockholders may have an adverse effect on the price of our common stock. In addition, this concentration of ownership might adversely affect the market price of our common stock by:</w:t>
      </w:r>
    </w:p>
    <w:p>
      <w:pPr>
        <w:spacing w:after="0" w:line="113" w:lineRule="exact"/>
        <w:rPr>
          <w:sz w:val="20"/>
          <w:szCs w:val="20"/>
          <w:color w:val="auto"/>
        </w:rPr>
      </w:pPr>
    </w:p>
    <w:p>
      <w:pPr>
        <w:ind w:left="340" w:hanging="224"/>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w:t>
      </w:r>
    </w:p>
    <w:p>
      <w:pPr>
        <w:spacing w:after="0" w:line="104" w:lineRule="exact"/>
        <w:rPr>
          <w:sz w:val="20"/>
          <w:szCs w:val="20"/>
          <w:color w:val="auto"/>
        </w:rPr>
      </w:pPr>
    </w:p>
    <w:p>
      <w:pPr>
        <w:ind w:left="120" w:right="680"/>
        <w:spacing w:after="0" w:line="239" w:lineRule="auto"/>
        <w:rPr>
          <w:sz w:val="20"/>
          <w:szCs w:val="20"/>
          <w:color w:val="auto"/>
        </w:rPr>
      </w:pPr>
      <w:r>
        <w:rPr>
          <w:rFonts w:ascii="Arial" w:cs="Arial" w:eastAsia="Arial" w:hAnsi="Arial"/>
          <w:sz w:val="18"/>
          <w:szCs w:val="18"/>
          <w:color w:val="auto"/>
        </w:rPr>
        <w:t>See “Principal stockholders” in this prospectus for more information regarding the ownership of our outstanding common stock by our executive officers, directors and their affiliates.</w:t>
      </w:r>
    </w:p>
    <w:p>
      <w:pPr>
        <w:spacing w:after="0" w:line="81" w:lineRule="exact"/>
        <w:rPr>
          <w:sz w:val="20"/>
          <w:szCs w:val="20"/>
          <w:color w:val="auto"/>
        </w:rPr>
      </w:pPr>
    </w:p>
    <w:p>
      <w:pPr>
        <w:ind w:left="120" w:right="440"/>
        <w:spacing w:after="0" w:line="262" w:lineRule="auto"/>
        <w:rPr>
          <w:sz w:val="20"/>
          <w:szCs w:val="20"/>
          <w:color w:val="auto"/>
        </w:rPr>
      </w:pPr>
      <w:r>
        <w:rPr>
          <w:rFonts w:ascii="Arial" w:cs="Arial" w:eastAsia="Arial" w:hAnsi="Arial"/>
          <w:sz w:val="18"/>
          <w:szCs w:val="18"/>
          <w:b w:val="1"/>
          <w:bCs w:val="1"/>
          <w:i w:val="1"/>
          <w:iCs w:val="1"/>
          <w:color w:val="auto"/>
        </w:rPr>
        <w:t>We have broad discretion in how we use the proceeds of this offering and may not use these proceeds effectively, which could affect our results of operations and cause our stock price to decline.</w:t>
      </w:r>
    </w:p>
    <w:p>
      <w:pPr>
        <w:spacing w:after="0" w:line="81" w:lineRule="exact"/>
        <w:rPr>
          <w:sz w:val="20"/>
          <w:szCs w:val="20"/>
          <w:color w:val="auto"/>
        </w:rPr>
      </w:pPr>
    </w:p>
    <w:p>
      <w:pPr>
        <w:ind w:left="120" w:right="140"/>
        <w:spacing w:after="0" w:line="275" w:lineRule="auto"/>
        <w:rPr>
          <w:sz w:val="20"/>
          <w:szCs w:val="20"/>
          <w:color w:val="auto"/>
        </w:rPr>
      </w:pPr>
      <w:r>
        <w:rPr>
          <w:rFonts w:ascii="Arial" w:cs="Arial" w:eastAsia="Arial" w:hAnsi="Arial"/>
          <w:sz w:val="16"/>
          <w:szCs w:val="16"/>
          <w:color w:val="auto"/>
        </w:rPr>
        <w:t>We will have considerable discretion in the application of the net proceeds from this offering. As a result, investors will be relying upon management’s judgment with only limited information about our specific intentions for the use of the net proceeds from this offering. We may use the net proceeds from this offering for purposes that do not yield a significant return or any return at all for our stockholders. In addition, pending their use, we may invest the net proceeds from this offering in a manner that does not produce income or that loses value.</w:t>
      </w:r>
    </w:p>
    <w:p>
      <w:pPr>
        <w:spacing w:after="0" w:line="55" w:lineRule="exact"/>
        <w:rPr>
          <w:sz w:val="20"/>
          <w:szCs w:val="20"/>
          <w:color w:val="auto"/>
        </w:rPr>
      </w:pPr>
    </w:p>
    <w:p>
      <w:pPr>
        <w:ind w:left="120" w:right="320"/>
        <w:spacing w:after="0" w:line="262" w:lineRule="auto"/>
        <w:rPr>
          <w:sz w:val="20"/>
          <w:szCs w:val="20"/>
          <w:color w:val="auto"/>
        </w:rPr>
      </w:pPr>
      <w:r>
        <w:rPr>
          <w:rFonts w:ascii="Arial" w:cs="Arial" w:eastAsia="Arial" w:hAnsi="Arial"/>
          <w:sz w:val="18"/>
          <w:szCs w:val="18"/>
          <w:b w:val="1"/>
          <w:bCs w:val="1"/>
          <w:i w:val="1"/>
          <w:iCs w:val="1"/>
          <w:color w:val="auto"/>
        </w:rPr>
        <w:t>We will incur significantly increased costs as a result of operating as a public company, and our management will be required to devote substantial time to new compliance initiatives.</w:t>
      </w:r>
    </w:p>
    <w:p>
      <w:pPr>
        <w:spacing w:after="0" w:line="81"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As a public company, we will incur significant legal, accounting and other expenses that we did not incur as a private company. We will be subject to the reporting requirements of the Securities Exchange Act of 1934, as amended, or the Exchange Act, which will require, among other things, that we file with the U.S. Securities and Exchange Commission, or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or the Dodd-Frank Act, was enacted. There are significant corporate governance and executive compensation-related provisions in the Dodd-Frank Act that require the SEC to adopt additional rules and regulations in these areas such as “say on pay” and proxy access. Recent legislation permits emerging growth companies to implement many of these requirements over a longer period and up to five years from the</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40"/>
        <w:spacing w:after="0" w:line="236" w:lineRule="auto"/>
        <w:rPr>
          <w:sz w:val="20"/>
          <w:szCs w:val="20"/>
          <w:color w:val="auto"/>
        </w:rPr>
      </w:pPr>
      <w:r>
        <w:rPr>
          <w:rFonts w:ascii="Arial" w:cs="Arial" w:eastAsia="Arial" w:hAnsi="Arial"/>
          <w:sz w:val="18"/>
          <w:szCs w:val="18"/>
          <w:color w:val="auto"/>
        </w:rPr>
        <w:t>pricing of this offering. We intend to take advantage of this new legislation, but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03"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results of operations and prospects.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24" w:lineRule="exact"/>
        <w:rPr>
          <w:sz w:val="20"/>
          <w:szCs w:val="20"/>
          <w:color w:val="auto"/>
        </w:rPr>
      </w:pPr>
    </w:p>
    <w:p>
      <w:pPr>
        <w:jc w:val="both"/>
        <w:ind w:left="120" w:right="20"/>
        <w:spacing w:after="0" w:line="267" w:lineRule="auto"/>
        <w:rPr>
          <w:sz w:val="20"/>
          <w:szCs w:val="20"/>
          <w:color w:val="auto"/>
        </w:rPr>
      </w:pPr>
      <w:r>
        <w:rPr>
          <w:rFonts w:ascii="Arial" w:cs="Arial" w:eastAsia="Arial" w:hAnsi="Arial"/>
          <w:sz w:val="16"/>
          <w:szCs w:val="16"/>
          <w:color w:val="auto"/>
        </w:rPr>
        <w:t>If our existing stockholders sell, or indicate an intention to sell, substantial amounts of our common stock in the public market after the lock-up and other legal restrictions on resale discussed in this prospectus lapse, the market price of our common stock could decline. Based upon the number of shares of common stock, on an as-converted basis, outstanding as of September 30, 2019, upon the completion of this offering,</w:t>
      </w:r>
    </w:p>
    <w:p>
      <w:pPr>
        <w:sectPr>
          <w:pgSz w:w="11900" w:h="16838" w:orient="portrait"/>
          <w:cols w:equalWidth="0" w:num="1">
            <w:col w:w="11120"/>
          </w:cols>
          <w:pgMar w:left="320" w:top="459" w:right="459" w:bottom="1440" w:gutter="0" w:footer="0" w:header="0"/>
        </w:sectPr>
      </w:pPr>
    </w:p>
    <w:p>
      <w:pPr>
        <w:spacing w:after="0" w:line="2" w:lineRule="exact"/>
        <w:rPr>
          <w:sz w:val="20"/>
          <w:szCs w:val="20"/>
          <w:color w:val="auto"/>
        </w:rPr>
      </w:pPr>
    </w:p>
    <w:p>
      <w:pPr>
        <w:ind w:left="120"/>
        <w:spacing w:after="0" w:line="234" w:lineRule="auto"/>
        <w:rPr>
          <w:sz w:val="20"/>
          <w:szCs w:val="20"/>
          <w:color w:val="auto"/>
        </w:rPr>
      </w:pPr>
      <w:r>
        <w:rPr>
          <w:rFonts w:ascii="Arial" w:cs="Arial" w:eastAsia="Arial" w:hAnsi="Arial"/>
          <w:sz w:val="18"/>
          <w:szCs w:val="18"/>
          <w:color w:val="auto"/>
        </w:rPr>
        <w:t>we will have outstanding a total of shares of common stock, assuming no exercise of the underwriters’ option to purchase an additional shares. Of these shares, as of the date of this prospectus, approximately shares of our common stock, or</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6" w:lineRule="exact"/>
        <w:rPr>
          <w:sz w:val="20"/>
          <w:szCs w:val="20"/>
          <w:color w:val="auto"/>
        </w:rPr>
      </w:pPr>
    </w:p>
    <w:p>
      <w:pPr>
        <w:sectPr>
          <w:pgSz w:w="11900" w:h="16838" w:orient="portrait"/>
          <w:cols w:equalWidth="0" w:num="2">
            <w:col w:w="10720" w:space="240"/>
            <w:col w:w="160"/>
          </w:cols>
          <w:pgMar w:left="320" w:top="459" w:right="459" w:bottom="1440" w:gutter="0" w:footer="0" w:header="0"/>
          <w:type w:val="continuous"/>
        </w:sectPr>
      </w:pPr>
    </w:p>
    <w:p>
      <w:pPr>
        <w:ind w:left="120" w:right="300"/>
        <w:spacing w:after="0" w:line="234" w:lineRule="auto"/>
        <w:rPr>
          <w:sz w:val="20"/>
          <w:szCs w:val="20"/>
          <w:color w:val="auto"/>
        </w:rPr>
      </w:pPr>
      <w:r>
        <w:rPr>
          <w:rFonts w:ascii="Arial" w:cs="Arial" w:eastAsia="Arial" w:hAnsi="Arial"/>
          <w:sz w:val="18"/>
          <w:szCs w:val="18"/>
          <w:color w:val="auto"/>
        </w:rPr>
        <w:t>of shares of our common stock, plus any shares sold upon exercise of the underwriters’ option to purchase additional shares, will be freely tradable, without restriction, in the public market immediately following this offering, assuming that current stockholders do not purchase shares in this offering.</w:t>
      </w:r>
    </w:p>
    <w:p>
      <w:pPr>
        <w:spacing w:after="0" w:line="102" w:lineRule="exact"/>
        <w:rPr>
          <w:sz w:val="20"/>
          <w:szCs w:val="20"/>
          <w:color w:val="auto"/>
        </w:rPr>
      </w:pPr>
    </w:p>
    <w:p>
      <w:pPr>
        <w:jc w:val="both"/>
        <w:ind w:left="120" w:right="280"/>
        <w:spacing w:after="0" w:line="264" w:lineRule="auto"/>
        <w:rPr>
          <w:sz w:val="20"/>
          <w:szCs w:val="20"/>
          <w:color w:val="auto"/>
        </w:rPr>
      </w:pPr>
      <w:r>
        <w:rPr>
          <w:rFonts w:ascii="Arial" w:cs="Arial" w:eastAsia="Arial" w:hAnsi="Arial"/>
          <w:sz w:val="16"/>
          <w:szCs w:val="16"/>
          <w:color w:val="auto"/>
        </w:rPr>
        <w:t>The lock-up agreements pertaining to this offering will expire 180 days from the date of this prospectus, subject to earlier release of all or a portion of the shares subject to such agreements by J.P. Morgan Securities LLC in its sole discretion. After the lock-up agreements expire, based upon the number of shares of common stock, on an as-converted basis, outstanding as of September 30, 2019, up to an</w:t>
      </w:r>
    </w:p>
    <w:p>
      <w:pPr>
        <w:jc w:val="both"/>
        <w:ind w:left="120" w:right="160"/>
        <w:spacing w:after="0" w:line="238" w:lineRule="auto"/>
        <w:rPr>
          <w:sz w:val="20"/>
          <w:szCs w:val="20"/>
          <w:color w:val="auto"/>
        </w:rPr>
      </w:pPr>
      <w:r>
        <w:rPr>
          <w:rFonts w:ascii="Arial" w:cs="Arial" w:eastAsia="Arial" w:hAnsi="Arial"/>
          <w:sz w:val="18"/>
          <w:szCs w:val="18"/>
          <w:color w:val="auto"/>
        </w:rPr>
        <w:t>additional shares of common stock will be eligible for sale in the public market. Approximately % of these additional shares are held by directors, executive officers and other affiliates and will be subject to certain limitations of Rule 144 under the Securities Act of 1933, as amended, or the Securities Act.</w:t>
      </w:r>
    </w:p>
    <w:p>
      <w:pPr>
        <w:spacing w:after="0" w:line="100"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Upon completion of this offering, shares of common stock that are either subject to outstanding options or reserved for future issuance under our equity incentive plans will become eligible for sale in the public market to the extent permitted by the provisions of various vesting schedules, the lock-up agreements and Rule 144 and Rule 701 under the Securities Act. If these additional shares of common stock are sold, or if it is perceived that they will be sold, in the public market, the market price of our common stock could decline.</w:t>
      </w:r>
    </w:p>
    <w:p>
      <w:pPr>
        <w:spacing w:after="0" w:line="100"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After this offering, the holders of approximately 193 million shares of our common stock, including those issuable upon the conversion of our preferred stock, will be entitled to rights with respect to the registration of their shares under the Securities Act, subject to the lock-up agreements described above. Registration of these</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shares under the Securities Act would result in the shares becoming freely tradable without restriction under the Securities Act, except for shares purchased by affiliates. Any sales of securities by these stockholders could have a material adverse effect on the market price of our common stock.</w:t>
      </w:r>
    </w:p>
    <w:p>
      <w:pPr>
        <w:spacing w:after="0" w:line="80" w:lineRule="exact"/>
        <w:rPr>
          <w:sz w:val="20"/>
          <w:szCs w:val="20"/>
          <w:color w:val="auto"/>
        </w:rPr>
      </w:pPr>
    </w:p>
    <w:p>
      <w:pPr>
        <w:ind w:left="120" w:right="60"/>
        <w:spacing w:after="0" w:line="262" w:lineRule="auto"/>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has been limited by “ownership changes” and may be further limited.</w:t>
      </w:r>
    </w:p>
    <w:p>
      <w:pPr>
        <w:spacing w:after="0" w:line="81"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Under Sections 382 and 383 of the Internal Revenue Code of 1986, as amended, or the Code, and corresponding provisions of state law, if a corporation undergoes an “ownership change” (generally defined as a greater than 50 percentage point change (by value) in its equity ownership over a rolling three-year period), the corporation’s ability to use its pre-change net operating loss carryforwards and other pre-change tax attributes to offset its post-change income may be limited. We have in the past experienced, and we may in the future experience ownership changes as a result of this offering or other changes in our stock ownership (some of which are not in our control). Use of our federal and state net operating loss carryforwards have been limited and could be further limited if we experience additional ownership changes, which could have an adverse effect on our future results of operations.</w:t>
      </w:r>
    </w:p>
    <w:p>
      <w:pPr>
        <w:spacing w:after="0" w:line="81" w:lineRule="exact"/>
        <w:rPr>
          <w:sz w:val="20"/>
          <w:szCs w:val="20"/>
          <w:color w:val="auto"/>
        </w:rPr>
      </w:pPr>
    </w:p>
    <w:p>
      <w:pPr>
        <w:ind w:left="120" w:right="240"/>
        <w:spacing w:after="0" w:line="262" w:lineRule="auto"/>
        <w:rPr>
          <w:sz w:val="20"/>
          <w:szCs w:val="20"/>
          <w:color w:val="auto"/>
        </w:rPr>
      </w:pPr>
      <w:r>
        <w:rPr>
          <w:rFonts w:ascii="Arial" w:cs="Arial" w:eastAsia="Arial" w:hAnsi="Arial"/>
          <w:sz w:val="18"/>
          <w:szCs w:val="18"/>
          <w:b w:val="1"/>
          <w:bCs w:val="1"/>
          <w:i w:val="1"/>
          <w:iCs w:val="1"/>
          <w:color w:val="auto"/>
        </w:rPr>
        <w:t>If we sell shares of our common stock in future financings, stockholders may experience immediate dilution and, as a result, our stock price may decline.</w:t>
      </w:r>
    </w:p>
    <w:p>
      <w:pPr>
        <w:spacing w:after="0" w:line="81"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83" w:lineRule="exact"/>
        <w:rPr>
          <w:sz w:val="20"/>
          <w:szCs w:val="20"/>
          <w:color w:val="auto"/>
        </w:rPr>
      </w:pPr>
    </w:p>
    <w:p>
      <w:pPr>
        <w:ind w:left="120"/>
        <w:spacing w:after="0" w:line="262"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81" w:lineRule="exact"/>
        <w:rPr>
          <w:sz w:val="20"/>
          <w:szCs w:val="20"/>
          <w:color w:val="auto"/>
        </w:rPr>
      </w:pPr>
    </w:p>
    <w:p>
      <w:pPr>
        <w:jc w:val="both"/>
        <w:ind w:left="120" w:right="120"/>
        <w:spacing w:after="0" w:line="236"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or our business. We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83" w:lineRule="exact"/>
        <w:rPr>
          <w:sz w:val="20"/>
          <w:szCs w:val="20"/>
          <w:color w:val="auto"/>
        </w:rPr>
      </w:pPr>
    </w:p>
    <w:p>
      <w:pPr>
        <w:ind w:left="120" w:right="40"/>
        <w:spacing w:after="0" w:line="248" w:lineRule="auto"/>
        <w:rPr>
          <w:sz w:val="20"/>
          <w:szCs w:val="20"/>
          <w:color w:val="auto"/>
        </w:rPr>
      </w:pPr>
      <w:r>
        <w:rPr>
          <w:rFonts w:ascii="Arial" w:cs="Arial" w:eastAsia="Arial" w:hAnsi="Arial"/>
          <w:sz w:val="18"/>
          <w:szCs w:val="18"/>
          <w:b w:val="1"/>
          <w:bCs w:val="1"/>
          <w:i w:val="1"/>
          <w:iCs w:val="1"/>
          <w:color w:val="auto"/>
        </w:rPr>
        <w:t>If we fail to implement and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9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Pursuant to Section 404 of Sarbanes-Oxley, our management will be required to report upon the effectiveness of our internal control over financial reporting beginning with the annual report for our fiscal year ending December 31, 202 . When we lose our status as an “emerging growth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will need to implement additional financial and management controls, reporting systems and procedures and hire additional accounting and finance staff.</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80"/>
          </w:cols>
          <w:pgMar w:left="320" w:top="459" w:right="4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We cannot assure you that there will not be material weaknesses in our internal control over financial reporting in the future. Any failure to implement and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80" w:lineRule="exact"/>
        <w:rPr>
          <w:sz w:val="20"/>
          <w:szCs w:val="20"/>
          <w:color w:val="auto"/>
        </w:rPr>
      </w:pPr>
    </w:p>
    <w:p>
      <w:pPr>
        <w:ind w:left="120" w:right="780"/>
        <w:spacing w:after="0" w:line="262"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81"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Our amended and restated certificate of incorporation and amended and restated bylaws that will be in effect immediately prior to the consummation of this offering will contain provisions that could delay or prevent changes in control or changes in our management without the consent of our board of directors. These provisions will include the following:</w:t>
      </w:r>
    </w:p>
    <w:p>
      <w:pPr>
        <w:spacing w:after="0" w:line="113" w:lineRule="exact"/>
        <w:rPr>
          <w:sz w:val="20"/>
          <w:szCs w:val="20"/>
          <w:color w:val="auto"/>
        </w:rPr>
      </w:pPr>
    </w:p>
    <w:p>
      <w:pPr>
        <w:ind w:left="340" w:right="100" w:hanging="224"/>
        <w:spacing w:after="0" w:line="239"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17" w:lineRule="exact"/>
        <w:rPr>
          <w:rFonts w:ascii="Arial" w:cs="Arial" w:eastAsia="Arial" w:hAnsi="Arial"/>
          <w:sz w:val="18"/>
          <w:szCs w:val="18"/>
          <w:color w:val="auto"/>
        </w:rPr>
      </w:pPr>
    </w:p>
    <w:p>
      <w:pPr>
        <w:ind w:left="340" w:right="420" w:hanging="224"/>
        <w:spacing w:after="0" w:line="299"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68" w:lineRule="exact"/>
        <w:rPr>
          <w:rFonts w:ascii="Arial" w:cs="Arial" w:eastAsia="Arial" w:hAnsi="Arial"/>
          <w:sz w:val="16"/>
          <w:szCs w:val="16"/>
          <w:color w:val="auto"/>
        </w:rPr>
      </w:pPr>
    </w:p>
    <w:p>
      <w:pPr>
        <w:ind w:left="340" w:right="380" w:hanging="224"/>
        <w:spacing w:after="0" w:line="238"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113" w:lineRule="exact"/>
        <w:rPr>
          <w:rFonts w:ascii="Arial" w:cs="Arial" w:eastAsia="Arial" w:hAnsi="Arial"/>
          <w:sz w:val="18"/>
          <w:szCs w:val="18"/>
          <w:color w:val="auto"/>
        </w:rPr>
      </w:pPr>
    </w:p>
    <w:p>
      <w:pPr>
        <w:ind w:left="340" w:hanging="224"/>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amended and restated bylaws without obtaining stockholder approval;</w:t>
      </w:r>
    </w:p>
    <w:p>
      <w:pPr>
        <w:spacing w:after="0" w:line="117" w:lineRule="exact"/>
        <w:rPr>
          <w:rFonts w:ascii="Arial" w:cs="Arial" w:eastAsia="Arial" w:hAnsi="Arial"/>
          <w:sz w:val="18"/>
          <w:szCs w:val="18"/>
          <w:color w:val="auto"/>
        </w:rPr>
      </w:pPr>
    </w:p>
    <w:p>
      <w:pPr>
        <w:ind w:left="340" w:right="40" w:hanging="224"/>
        <w:spacing w:after="0" w:line="238"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required approval of at least 66 2/3% of the shares entitled to vote at an election of directors to adopt, amend or repeal our amended and restated bylaws or repeal the provisions of our amended and restated certificate of incorporation regarding the election and removal of directors;</w:t>
      </w:r>
    </w:p>
    <w:p>
      <w:pPr>
        <w:spacing w:after="0" w:line="113" w:lineRule="exact"/>
        <w:rPr>
          <w:rFonts w:ascii="Arial" w:cs="Arial" w:eastAsia="Arial" w:hAnsi="Arial"/>
          <w:sz w:val="18"/>
          <w:szCs w:val="18"/>
          <w:color w:val="auto"/>
        </w:rPr>
      </w:pPr>
    </w:p>
    <w:p>
      <w:pPr>
        <w:ind w:left="340" w:right="220" w:hanging="224"/>
        <w:spacing w:after="0" w:line="239"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14" w:lineRule="exact"/>
        <w:rPr>
          <w:rFonts w:ascii="Arial" w:cs="Arial" w:eastAsia="Arial" w:hAnsi="Arial"/>
          <w:sz w:val="18"/>
          <w:szCs w:val="18"/>
          <w:color w:val="auto"/>
        </w:rPr>
      </w:pPr>
    </w:p>
    <w:p>
      <w:pPr>
        <w:jc w:val="both"/>
        <w:ind w:left="340" w:right="360" w:hanging="224"/>
        <w:spacing w:after="0" w:line="238"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our chief executive officer or president or by the board of directors, which may delay the ability of our stockholders to force consideration of a proposal or to take action, including the removal of directors; and</w:t>
      </w:r>
    </w:p>
    <w:p>
      <w:pPr>
        <w:spacing w:after="0" w:line="113" w:lineRule="exact"/>
        <w:rPr>
          <w:rFonts w:ascii="Arial" w:cs="Arial" w:eastAsia="Arial" w:hAnsi="Arial"/>
          <w:sz w:val="18"/>
          <w:szCs w:val="18"/>
          <w:color w:val="auto"/>
        </w:rPr>
      </w:pPr>
    </w:p>
    <w:p>
      <w:pPr>
        <w:ind w:left="340" w:right="220" w:hanging="224"/>
        <w:spacing w:after="0" w:line="238"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 For a description of our capital stock, see the section titled “Description of capital stock.”</w:t>
      </w:r>
    </w:p>
    <w:p>
      <w:pPr>
        <w:spacing w:after="0" w:line="80" w:lineRule="exact"/>
        <w:rPr>
          <w:sz w:val="20"/>
          <w:szCs w:val="20"/>
          <w:color w:val="auto"/>
        </w:rPr>
      </w:pPr>
    </w:p>
    <w:p>
      <w:pPr>
        <w:ind w:left="120" w:right="420"/>
        <w:spacing w:after="0" w:line="262"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81" w:lineRule="exact"/>
        <w:rPr>
          <w:sz w:val="20"/>
          <w:szCs w:val="20"/>
          <w:color w:val="auto"/>
        </w:rPr>
      </w:pPr>
    </w:p>
    <w:p>
      <w:pPr>
        <w:ind w:left="120" w:right="140"/>
        <w:spacing w:after="0" w:line="239" w:lineRule="auto"/>
        <w:rPr>
          <w:sz w:val="20"/>
          <w:szCs w:val="20"/>
          <w:color w:val="auto"/>
        </w:rPr>
      </w:pPr>
      <w:r>
        <w:rPr>
          <w:rFonts w:ascii="Arial" w:cs="Arial" w:eastAsia="Arial" w:hAnsi="Arial"/>
          <w:sz w:val="18"/>
          <w:szCs w:val="18"/>
          <w:color w:val="auto"/>
        </w:rPr>
        <w:t>Our amended and restated certificate of incorporation and amended and restated bylaws will provide that we will indemnify our directors and officers, in each case to the fullest extent permitted by Delaware law.</w:t>
      </w:r>
    </w:p>
    <w:p>
      <w:pPr>
        <w:spacing w:after="0" w:line="101" w:lineRule="exact"/>
        <w:rPr>
          <w:sz w:val="20"/>
          <w:szCs w:val="20"/>
          <w:color w:val="auto"/>
        </w:rPr>
      </w:pPr>
    </w:p>
    <w:p>
      <w:pPr>
        <w:ind w:left="120" w:right="580"/>
        <w:spacing w:after="0" w:line="238" w:lineRule="auto"/>
        <w:rPr>
          <w:sz w:val="20"/>
          <w:szCs w:val="20"/>
          <w:color w:val="auto"/>
        </w:rPr>
      </w:pPr>
      <w:r>
        <w:rPr>
          <w:rFonts w:ascii="Arial" w:cs="Arial" w:eastAsia="Arial" w:hAnsi="Arial"/>
          <w:sz w:val="18"/>
          <w:szCs w:val="18"/>
          <w:color w:val="auto"/>
        </w:rPr>
        <w:t>In addition, as permitted by Section 145 of the Delaware General Corporation Law, our amended and restated bylaws to be effective immediately prior to the completion of this offering and our indemnification agreements that we have entered into with our directors and officers will provide that:</w:t>
      </w:r>
    </w:p>
    <w:p>
      <w:pPr>
        <w:spacing w:after="0" w:line="113" w:lineRule="exact"/>
        <w:rPr>
          <w:sz w:val="20"/>
          <w:szCs w:val="20"/>
          <w:color w:val="auto"/>
        </w:rPr>
      </w:pPr>
    </w:p>
    <w:p>
      <w:pPr>
        <w:ind w:left="340" w:hanging="224"/>
        <w:spacing w:after="0" w:line="237"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13" w:lineRule="exact"/>
        <w:rPr>
          <w:rFonts w:ascii="Arial" w:cs="Arial" w:eastAsia="Arial" w:hAnsi="Arial"/>
          <w:sz w:val="18"/>
          <w:szCs w:val="18"/>
          <w:color w:val="auto"/>
        </w:rPr>
      </w:pPr>
    </w:p>
    <w:p>
      <w:pPr>
        <w:ind w:left="340" w:hanging="224"/>
        <w:spacing w:after="0"/>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may, in our discretion, indemnify employees and agents in those circumstances where indemnification is permitted by applicable law;</w:t>
      </w:r>
    </w:p>
    <w:p>
      <w:pPr>
        <w:spacing w:after="0" w:line="140" w:lineRule="exact"/>
        <w:rPr>
          <w:rFonts w:ascii="Arial" w:cs="Arial" w:eastAsia="Arial" w:hAnsi="Arial"/>
          <w:sz w:val="16"/>
          <w:szCs w:val="16"/>
          <w:color w:val="auto"/>
        </w:rPr>
      </w:pPr>
    </w:p>
    <w:p>
      <w:pPr>
        <w:ind w:left="340" w:right="420" w:hanging="224"/>
        <w:spacing w:after="0" w:line="238"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13" w:lineRule="exact"/>
        <w:rPr>
          <w:rFonts w:ascii="Arial" w:cs="Arial" w:eastAsia="Arial" w:hAnsi="Arial"/>
          <w:sz w:val="18"/>
          <w:szCs w:val="18"/>
          <w:color w:val="auto"/>
        </w:rPr>
      </w:pPr>
    </w:p>
    <w:p>
      <w:pPr>
        <w:ind w:left="340" w:right="20" w:hanging="224"/>
        <w:spacing w:after="0" w:line="238"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113" w:lineRule="exact"/>
        <w:rPr>
          <w:rFonts w:ascii="Arial" w:cs="Arial" w:eastAsia="Arial" w:hAnsi="Arial"/>
          <w:sz w:val="18"/>
          <w:szCs w:val="18"/>
          <w:color w:val="auto"/>
        </w:rPr>
      </w:pPr>
    </w:p>
    <w:p>
      <w:pPr>
        <w:ind w:left="340" w:right="40" w:hanging="224"/>
        <w:spacing w:after="0" w:line="239"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114" w:lineRule="exact"/>
        <w:rPr>
          <w:rFonts w:ascii="Arial" w:cs="Arial" w:eastAsia="Arial" w:hAnsi="Arial"/>
          <w:sz w:val="18"/>
          <w:szCs w:val="18"/>
          <w:color w:val="auto"/>
        </w:rPr>
      </w:pPr>
    </w:p>
    <w:p>
      <w:pPr>
        <w:ind w:left="340" w:right="80" w:hanging="224"/>
        <w:spacing w:after="0" w:line="239"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81" w:lineRule="exact"/>
        <w:rPr>
          <w:sz w:val="20"/>
          <w:szCs w:val="20"/>
          <w:color w:val="auto"/>
        </w:rPr>
      </w:pPr>
    </w:p>
    <w:p>
      <w:pPr>
        <w:ind w:left="120" w:right="280"/>
        <w:spacing w:after="0" w:line="248" w:lineRule="auto"/>
        <w:rPr>
          <w:sz w:val="20"/>
          <w:szCs w:val="20"/>
          <w:color w:val="auto"/>
        </w:rPr>
      </w:pPr>
      <w:r>
        <w:rPr>
          <w:rFonts w:ascii="Arial" w:cs="Arial" w:eastAsia="Arial" w:hAnsi="Arial"/>
          <w:sz w:val="18"/>
          <w:szCs w:val="18"/>
          <w:b w:val="1"/>
          <w:bCs w:val="1"/>
          <w:i w:val="1"/>
          <w:iCs w:val="1"/>
          <w:color w:val="auto"/>
        </w:rPr>
        <w:t>Our amended and restated certificate of incorporation will provide for an exclusive forum in the Court of Chancery of the State of Delaware and in the U.S. federal district courts for certain disputes between us and our stockholders, which could limit our stockholders’ ability to obtain a favorable judicial forum for disputes with us or our directors, officers or employees.</w:t>
      </w:r>
    </w:p>
    <w:p>
      <w:pPr>
        <w:spacing w:after="0" w:line="94"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Our amended and restated certificate of incorporation will provide that the Court of Chancery of the State of Delaware is the exclusive forum for any state law derivative action or proceeding brought on our behalf, any action asserting a breach of fiduciary duty, any action asserting a claim against us arising pursuant to the Delaware General Corporation Law, any action to interpret, apply, enforce, or determine the validity of our amended and restated certificate of incorporation or amended and restated bylaws, or any action asserting a claim against us that is governed by the internal affairs doctrine. The choice of forum provision may limit a stockholder’s ability to bring a claim in a judicial forum that it finds favorable for disputes with us or our</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directors, officers or other employees, which may discourage such lawsuits against us and our directors, officers and other employees. Alternatively, if a court were to find the choice of forum provision that will be contained in our amended and restated certificate of incorporation to be inapplicable or unenforceable in an action, we may incur additional costs associated with resolving such action in other jurisdictions, which could adversely affect our business, financial condition, results of operations and prospects.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Comprehensive tax reform legislation could adversely affect our business and financial condition.</w:t>
      </w:r>
    </w:p>
    <w:p>
      <w:pPr>
        <w:spacing w:after="0" w:line="12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On December 22, 2017, the U.S. government enacted the TCJA, which significantly reforms the Code. The TCJA, among other things, contains significant changes to corporate taxation, including reduction of the U.S. federal income corporate tax rate from a top marginal rate of 35% to a flat rate of 21%, effective January 1, 2018; limitation of the tax deduction for interest expense; limitation of the deduction for net operating losses and elimination of net operating loss carrybacks, in each case, for losses arising in taxable years beginning after December 31, 2017 (though any such tax losses may be carried forward indefinitely); and modifying or repealing many business deductions and credits, including reducing the business tax credit for certain clinical testing expenses incurred in the testing of certain drugs for rare diseases or conditions generally referred to as “orphan drugs.” The tax rate change resulted in (i) a reduction in the gross amount of our deferred tax assets recorded as of December 31, 2017, without an impact on the net amount of our deferred tax assets, which are recorded with a full valuation allowance, and (ii) no income tax expense or benefit being recognized as of the enactment date of the TCJA. We continue to examine the impact this tax reform legislation may have on our business. The U.S. Department of Treasury has broad authority to issue regulations and interpretative guidance that may significantly impact how we will apply the law and impact our results of operations in the period issued. As such, the application of accounting guidance for such items is currently uncertain. While we have completed our accounting for the effects of the TCJA, additional regulatory guidance may still be issued by the applicable taxing authorities which could materially affect our tax obligations and effective tax rate.</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Special note regarding forward-looking statements</w:t>
      </w:r>
    </w:p>
    <w:p>
      <w:pPr>
        <w:spacing w:after="0" w:line="15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This prospectus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114" w:lineRule="exact"/>
        <w:rPr>
          <w:sz w:val="20"/>
          <w:szCs w:val="20"/>
          <w:color w:val="auto"/>
        </w:rPr>
      </w:pPr>
    </w:p>
    <w:p>
      <w:pPr>
        <w:ind w:left="340" w:right="600" w:hanging="224"/>
        <w:spacing w:after="0" w:line="239"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scope, progress, results and costs of developing our product candidates or any other future product candidates, and conducting preclinical studies and clinical trials, including our RMC-4630 Phase 1/2 clinical program;</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scope, progress, results and costs related to the research and development of our pipeline;</w:t>
      </w:r>
    </w:p>
    <w:p>
      <w:pPr>
        <w:spacing w:after="0" w:line="117" w:lineRule="exact"/>
        <w:rPr>
          <w:rFonts w:ascii="Arial" w:cs="Arial" w:eastAsia="Arial" w:hAnsi="Arial"/>
          <w:sz w:val="18"/>
          <w:szCs w:val="18"/>
          <w:color w:val="auto"/>
        </w:rPr>
      </w:pPr>
    </w:p>
    <w:p>
      <w:pPr>
        <w:ind w:left="340" w:right="220" w:hanging="224"/>
        <w:spacing w:after="0" w:line="239"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timing of and costs involved in obtaining and maintaining regulatory approval for any of current or future product candidates, and any related restrictions, limitations, and/or warnings in the label of an approved product candidate;</w:t>
      </w:r>
    </w:p>
    <w:p>
      <w:pPr>
        <w:spacing w:after="0" w:line="114" w:lineRule="exact"/>
        <w:rPr>
          <w:rFonts w:ascii="Arial" w:cs="Arial" w:eastAsia="Arial" w:hAnsi="Arial"/>
          <w:sz w:val="18"/>
          <w:szCs w:val="18"/>
          <w:color w:val="auto"/>
        </w:rPr>
      </w:pPr>
    </w:p>
    <w:p>
      <w:pPr>
        <w:ind w:left="340" w:right="740" w:hanging="224"/>
        <w:spacing w:after="0" w:line="239"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expectations regarding the potential market size and size of the potential patient populations for RMC-4630, our other product candidates and any future product candidates, if approved for commercial use;</w:t>
      </w:r>
    </w:p>
    <w:p>
      <w:pPr>
        <w:spacing w:after="0" w:line="114" w:lineRule="exact"/>
        <w:rPr>
          <w:rFonts w:ascii="Arial" w:cs="Arial" w:eastAsia="Arial" w:hAnsi="Arial"/>
          <w:sz w:val="18"/>
          <w:szCs w:val="18"/>
          <w:color w:val="auto"/>
        </w:rPr>
      </w:pPr>
    </w:p>
    <w:p>
      <w:pPr>
        <w:ind w:left="340" w:right="480" w:hanging="224"/>
        <w:spacing w:after="0" w:line="239"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maintain existing, and establish new, collaborations, licensing or other arrangements and the financial terms of any such agreements, including our collaboration with Sanofi;</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expectations;</w:t>
      </w:r>
    </w:p>
    <w:p>
      <w:pPr>
        <w:spacing w:after="0" w:line="117" w:lineRule="exact"/>
        <w:rPr>
          <w:rFonts w:ascii="Arial" w:cs="Arial" w:eastAsia="Arial" w:hAnsi="Arial"/>
          <w:sz w:val="18"/>
          <w:szCs w:val="18"/>
          <w:color w:val="auto"/>
        </w:rPr>
      </w:pPr>
    </w:p>
    <w:p>
      <w:pPr>
        <w:ind w:left="340" w:hanging="224"/>
        <w:spacing w:after="0" w:line="239"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as well as the pricing and reimbursement of our product candidates, if approved;</w:t>
      </w:r>
    </w:p>
    <w:p>
      <w:pPr>
        <w:spacing w:after="0" w:line="114" w:lineRule="exact"/>
        <w:rPr>
          <w:rFonts w:ascii="Arial" w:cs="Arial" w:eastAsia="Arial" w:hAnsi="Arial"/>
          <w:sz w:val="18"/>
          <w:szCs w:val="18"/>
          <w:color w:val="auto"/>
        </w:rPr>
      </w:pPr>
    </w:p>
    <w:p>
      <w:pPr>
        <w:ind w:left="340" w:right="320" w:hanging="224"/>
        <w:spacing w:after="0" w:line="239"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product candidates and technology, including additional indications for which we may pursue;</w:t>
      </w:r>
    </w:p>
    <w:p>
      <w:pPr>
        <w:spacing w:after="0" w:line="114" w:lineRule="exact"/>
        <w:rPr>
          <w:rFonts w:ascii="Arial" w:cs="Arial" w:eastAsia="Arial" w:hAnsi="Arial"/>
          <w:sz w:val="18"/>
          <w:szCs w:val="18"/>
          <w:color w:val="auto"/>
        </w:rPr>
      </w:pPr>
    </w:p>
    <w:p>
      <w:pPr>
        <w:ind w:left="340" w:right="140" w:hanging="224"/>
        <w:spacing w:after="0" w:line="239"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 including the projected term of patent protection;</w:t>
      </w:r>
    </w:p>
    <w:p>
      <w:pPr>
        <w:spacing w:after="0" w:line="114" w:lineRule="exact"/>
        <w:rPr>
          <w:rFonts w:ascii="Arial" w:cs="Arial" w:eastAsia="Arial" w:hAnsi="Arial"/>
          <w:sz w:val="18"/>
          <w:szCs w:val="18"/>
          <w:color w:val="auto"/>
        </w:rPr>
      </w:pPr>
    </w:p>
    <w:p>
      <w:pPr>
        <w:ind w:left="340" w:right="480" w:hanging="224"/>
        <w:spacing w:after="0" w:line="239"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estimates of our expenses, future revenue, capital requirements, our needs for additional financing and our ability to obtain additional capital;</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 including competing therapies and procedures;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regulatory and legal developments in the United States and foreign countries;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performance of our third-party suppliers and manufacturers;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JOBS Act;</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hanging="224"/>
        <w:spacing w:after="0"/>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expectations regarding our ability to obtain, maintain, enforce and defend our intellectual property protection for our product candidates;</w:t>
      </w:r>
    </w:p>
    <w:p>
      <w:pPr>
        <w:spacing w:after="0" w:line="140" w:lineRule="exact"/>
        <w:rPr>
          <w:rFonts w:ascii="Arial" w:cs="Arial" w:eastAsia="Arial" w:hAnsi="Arial"/>
          <w:sz w:val="16"/>
          <w:szCs w:val="16"/>
          <w:color w:val="auto"/>
        </w:rPr>
      </w:pPr>
    </w:p>
    <w:p>
      <w:pPr>
        <w:ind w:left="340" w:hanging="224"/>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use of proceeds from this offering;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104" w:lineRule="exact"/>
        <w:rPr>
          <w:sz w:val="20"/>
          <w:szCs w:val="20"/>
          <w:color w:val="auto"/>
        </w:rPr>
      </w:pPr>
    </w:p>
    <w:p>
      <w:pPr>
        <w:ind w:left="120" w:right="20"/>
        <w:spacing w:after="0" w:line="268" w:lineRule="auto"/>
        <w:rPr>
          <w:sz w:val="20"/>
          <w:szCs w:val="20"/>
          <w:color w:val="auto"/>
        </w:rPr>
      </w:pPr>
      <w:r>
        <w:rPr>
          <w:rFonts w:ascii="Arial" w:cs="Arial" w:eastAsia="Arial" w:hAnsi="Arial"/>
          <w:sz w:val="16"/>
          <w:szCs w:val="16"/>
          <w:color w:val="auto"/>
        </w:rPr>
        <w:t>These forward-looking statements are based on management’s current expectations, estimates, forecasts and projections about our business and the industry in which we operate and management’s beliefs and assumptions and are not guarantees of future performance or development and involve known and unknown risks, uncertainties and other factors that are in some cases beyond our control. As a result, any or all of our forward-looking statements in this prospectus may turn out to be inaccurate. Factors that may cause actual results to differ materially from current expectations include, among other things, those listed under “Risk factors” and elsewhere in this prospectus. Potential investors are urged to consider these factors carefully in evaluating the forward-looking statements. These forward-looking statements speak only as of the date of this prospectus. Except as required by law, we assume no obligation to update or revise these forward-looking statements for any reason, even if new information becomes available in the future. You should, however, review the factors and risks we describe in the reports we will file from time to time with the SEC after the date of this prospectus. See “Where you can find more information.”</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40"/>
          </w:cols>
          <w:pgMar w:left="32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Market and industry data</w:t>
      </w:r>
    </w:p>
    <w:p>
      <w:pPr>
        <w:spacing w:after="0" w:line="157"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This prospectus contains estimates, projections and other information concerning our industry and, business, as well as data regarding market research, estimates and forecasts prepared by our management.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pacing w:after="0" w:line="106" w:lineRule="exact"/>
        <w:rPr>
          <w:sz w:val="20"/>
          <w:szCs w:val="20"/>
          <w:color w:val="auto"/>
        </w:rPr>
      </w:pPr>
    </w:p>
    <w:p>
      <w:pPr>
        <w:ind w:left="120" w:right="200"/>
        <w:spacing w:after="0" w:line="236" w:lineRule="auto"/>
        <w:rPr>
          <w:sz w:val="20"/>
          <w:szCs w:val="20"/>
          <w:color w:val="auto"/>
        </w:rPr>
      </w:pPr>
      <w:r>
        <w:rPr>
          <w:rFonts w:ascii="Arial" w:cs="Arial" w:eastAsia="Arial" w:hAnsi="Arial"/>
          <w:sz w:val="18"/>
          <w:szCs w:val="18"/>
          <w:color w:val="auto"/>
        </w:rPr>
        <w:t>This industry, business, market and other information involves a number of assumptions and limitations, and you are cautioned not to give undue weight to such estimates. We have not independently verified any third-party information and cannot assure you of its accuracy or completeness. Although we are responsible for all of the disclosure contained in this prospectus and we believe the market position, market opportunity, market size and other information included in this prospectus is reliable, such information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the section titled “Risk factors” and elsewhere in this prospectus. These and other factors could cause results to differ materially from those expressed in the estimates made by the independent parties and by us.</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Use of proceeds</w:t>
      </w:r>
    </w:p>
    <w:p>
      <w:pPr>
        <w:spacing w:after="0" w:line="153" w:lineRule="exact"/>
        <w:rPr>
          <w:sz w:val="20"/>
          <w:szCs w:val="20"/>
          <w:color w:val="auto"/>
        </w:rPr>
      </w:pPr>
    </w:p>
    <w:p>
      <w:pPr>
        <w:ind w:left="120"/>
        <w:spacing w:after="0"/>
        <w:tabs>
          <w:tab w:leader="none" w:pos="5340" w:val="left"/>
        </w:tabs>
        <w:rPr>
          <w:sz w:val="20"/>
          <w:szCs w:val="20"/>
          <w:color w:val="auto"/>
        </w:rPr>
      </w:pPr>
      <w:r>
        <w:rPr>
          <w:rFonts w:ascii="Arial" w:cs="Arial" w:eastAsia="Arial" w:hAnsi="Arial"/>
          <w:sz w:val="18"/>
          <w:szCs w:val="18"/>
          <w:color w:val="auto"/>
        </w:rPr>
        <w:t>We estimate that the net proceeds to us from the sale of</w:t>
      </w:r>
      <w:r>
        <w:rPr>
          <w:sz w:val="20"/>
          <w:szCs w:val="20"/>
          <w:color w:val="auto"/>
        </w:rPr>
        <w:tab/>
      </w:r>
      <w:r>
        <w:rPr>
          <w:rFonts w:ascii="Arial" w:cs="Arial" w:eastAsia="Arial" w:hAnsi="Arial"/>
          <w:sz w:val="16"/>
          <w:szCs w:val="16"/>
          <w:color w:val="auto"/>
        </w:rPr>
        <w:t>shares of our common stock in this offering will be approximately</w:t>
      </w:r>
    </w:p>
    <w:p>
      <w:pPr>
        <w:ind w:left="800" w:hanging="684"/>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million at an assumed initial public offering price of $</w:t>
      </w:r>
      <w:r>
        <w:rPr>
          <w:rFonts w:ascii="Arial" w:cs="Arial" w:eastAsia="Arial" w:hAnsi="Arial"/>
          <w:sz w:val="16"/>
          <w:szCs w:val="16"/>
          <w:color w:val="auto"/>
        </w:rPr>
        <w:t>per share (the midpoint of the price range set forth on the cover of this</w:t>
      </w:r>
    </w:p>
    <w:p>
      <w:pPr>
        <w:ind w:left="120"/>
        <w:spacing w:after="0"/>
        <w:rPr>
          <w:rFonts w:ascii="Arial" w:cs="Arial" w:eastAsia="Arial" w:hAnsi="Arial"/>
          <w:sz w:val="18"/>
          <w:szCs w:val="18"/>
          <w:color w:val="auto"/>
        </w:rPr>
      </w:pPr>
      <w:r>
        <w:rPr>
          <w:rFonts w:ascii="Arial" w:cs="Arial" w:eastAsia="Arial" w:hAnsi="Arial"/>
          <w:sz w:val="16"/>
          <w:szCs w:val="16"/>
          <w:color w:val="auto"/>
        </w:rPr>
        <w:t>prospectus), after deducting the underwriting discounts and commissions and estimated offering expenses payable by us. If the underwriters</w:t>
      </w:r>
    </w:p>
    <w:p>
      <w:pPr>
        <w:spacing w:after="0" w:line="203" w:lineRule="exact"/>
        <w:rPr>
          <w:sz w:val="20"/>
          <w:szCs w:val="20"/>
          <w:color w:val="auto"/>
        </w:rPr>
      </w:pPr>
    </w:p>
    <w:p>
      <w:pPr>
        <w:ind w:left="120" w:right="500"/>
        <w:spacing w:after="0" w:line="238" w:lineRule="auto"/>
        <w:rPr>
          <w:sz w:val="20"/>
          <w:szCs w:val="20"/>
          <w:color w:val="auto"/>
        </w:rPr>
      </w:pPr>
      <w:r>
        <w:rPr>
          <w:rFonts w:ascii="Arial" w:cs="Arial" w:eastAsia="Arial" w:hAnsi="Arial"/>
          <w:sz w:val="18"/>
          <w:szCs w:val="18"/>
          <w:color w:val="auto"/>
        </w:rPr>
        <w:t>exercise their option to purchase additional shares in full, we estimate that the net proceeds will be approximately $ million at an assumed initial public offering price of $ per share (the midpoint of the price range set forth on the cover of this prospectus), after deducting the underwriting discounts and commissions and estimated offering expenses payable by us.</w:t>
      </w:r>
    </w:p>
    <w:p>
      <w:pPr>
        <w:spacing w:after="0" w:line="95" w:lineRule="exact"/>
        <w:rPr>
          <w:sz w:val="20"/>
          <w:szCs w:val="20"/>
          <w:color w:val="auto"/>
        </w:rPr>
      </w:pPr>
    </w:p>
    <w:p>
      <w:pPr>
        <w:ind w:left="120"/>
        <w:spacing w:after="0"/>
        <w:tabs>
          <w:tab w:leader="none" w:pos="6760" w:val="left"/>
        </w:tabs>
        <w:rPr>
          <w:sz w:val="20"/>
          <w:szCs w:val="20"/>
          <w:color w:val="auto"/>
        </w:rPr>
      </w:pPr>
      <w:r>
        <w:rPr>
          <w:rFonts w:ascii="Arial" w:cs="Arial" w:eastAsia="Arial" w:hAnsi="Arial"/>
          <w:sz w:val="18"/>
          <w:szCs w:val="18"/>
          <w:color w:val="auto"/>
        </w:rPr>
        <w:t>Each $1.00 increase (decrease) in the assumed initial public offering price of $</w:t>
      </w:r>
      <w:r>
        <w:rPr>
          <w:sz w:val="20"/>
          <w:szCs w:val="20"/>
          <w:color w:val="auto"/>
        </w:rPr>
        <w:tab/>
      </w:r>
      <w:r>
        <w:rPr>
          <w:rFonts w:ascii="Arial" w:cs="Arial" w:eastAsia="Arial" w:hAnsi="Arial"/>
          <w:sz w:val="16"/>
          <w:szCs w:val="16"/>
          <w:color w:val="auto"/>
        </w:rPr>
        <w:t>per share (the midpoint of the price range set forth on</w:t>
      </w:r>
    </w:p>
    <w:p>
      <w:pPr>
        <w:ind w:left="120"/>
        <w:spacing w:after="0"/>
        <w:rPr>
          <w:sz w:val="20"/>
          <w:szCs w:val="20"/>
          <w:color w:val="auto"/>
        </w:rPr>
      </w:pPr>
      <w:r>
        <w:rPr>
          <w:rFonts w:ascii="Arial" w:cs="Arial" w:eastAsia="Arial" w:hAnsi="Arial"/>
          <w:sz w:val="16"/>
          <w:szCs w:val="16"/>
          <w:color w:val="auto"/>
        </w:rPr>
        <w:t>the cover of this prospectus) would increase (decrease) the net proceeds to us from this offering, after deducting the underwriting discounts</w:t>
      </w:r>
    </w:p>
    <w:p>
      <w:pPr>
        <w:spacing w:after="0" w:line="19" w:lineRule="exact"/>
        <w:rPr>
          <w:sz w:val="20"/>
          <w:szCs w:val="20"/>
          <w:color w:val="auto"/>
        </w:rPr>
      </w:pPr>
    </w:p>
    <w:p>
      <w:pPr>
        <w:jc w:val="both"/>
        <w:ind w:left="120" w:right="180"/>
        <w:spacing w:after="0" w:line="264" w:lineRule="auto"/>
        <w:rPr>
          <w:sz w:val="20"/>
          <w:szCs w:val="20"/>
          <w:color w:val="auto"/>
        </w:rPr>
      </w:pPr>
      <w:r>
        <w:rPr>
          <w:rFonts w:ascii="Arial" w:cs="Arial" w:eastAsia="Arial" w:hAnsi="Arial"/>
          <w:sz w:val="16"/>
          <w:szCs w:val="16"/>
          <w:color w:val="auto"/>
        </w:rPr>
        <w:t>and commissions and estimated offering expenses payable by us, by $ million, assuming that the number of shares offered by us, as set forth on the cover page of this prospectus, remains the same. We may also increase or decrease the number of shares we are offering. Each increase (decrease) of 1,000,000 in the number of shares we are offering would increase (decrease) the net proceeds to us from this</w:t>
      </w:r>
    </w:p>
    <w:p>
      <w:pPr>
        <w:ind w:left="120" w:right="80"/>
        <w:spacing w:after="0" w:line="237" w:lineRule="auto"/>
        <w:rPr>
          <w:sz w:val="20"/>
          <w:szCs w:val="20"/>
          <w:color w:val="auto"/>
        </w:rPr>
      </w:pPr>
      <w:r>
        <w:rPr>
          <w:rFonts w:ascii="Arial" w:cs="Arial" w:eastAsia="Arial" w:hAnsi="Arial"/>
          <w:sz w:val="18"/>
          <w:szCs w:val="18"/>
          <w:color w:val="auto"/>
        </w:rPr>
        <w:t>offering, after deducting the underwriting discounts and commissions and estimated offering expenses payable by us, by $ million, assuming the assumed initial public offering price stays the same. We do not expect that a change in the offering price or the number of shares by these amounts would have a material effect on our intended uses of the net proceeds from this offering, although it may impact the amount of time prior to which we may need to seek additional capital.</w:t>
      </w:r>
    </w:p>
    <w:p>
      <w:pPr>
        <w:spacing w:after="0" w:line="100"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We currently expect to use our net proceeds from this offering, together with our existing cash, cash equivalents and marketable securities, as follows:</w:t>
      </w:r>
    </w:p>
    <w:p>
      <w:pPr>
        <w:spacing w:after="0" w:line="11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900" w:type="dxa"/>
            <w:vAlign w:val="bottom"/>
          </w:tcPr>
          <w:p>
            <w:pPr>
              <w:ind w:left="80"/>
              <w:spacing w:after="0"/>
              <w:rPr>
                <w:sz w:val="20"/>
                <w:szCs w:val="20"/>
                <w:color w:val="auto"/>
              </w:rPr>
            </w:pPr>
            <w:r>
              <w:rPr>
                <w:rFonts w:ascii="Arial" w:cs="Arial" w:eastAsia="Arial" w:hAnsi="Arial"/>
                <w:sz w:val="18"/>
                <w:szCs w:val="18"/>
                <w:color w:val="auto"/>
              </w:rPr>
              <w:t>Approximately $</w:t>
            </w:r>
          </w:p>
        </w:tc>
        <w:tc>
          <w:tcPr>
            <w:tcW w:w="680" w:type="dxa"/>
            <w:vAlign w:val="bottom"/>
          </w:tcPr>
          <w:p>
            <w:pPr>
              <w:ind w:left="60"/>
              <w:spacing w:after="0"/>
              <w:rPr>
                <w:sz w:val="20"/>
                <w:szCs w:val="20"/>
                <w:color w:val="auto"/>
              </w:rPr>
            </w:pPr>
            <w:r>
              <w:rPr>
                <w:rFonts w:ascii="Arial" w:cs="Arial" w:eastAsia="Arial" w:hAnsi="Arial"/>
                <w:sz w:val="18"/>
                <w:szCs w:val="18"/>
                <w:color w:val="auto"/>
              </w:rPr>
              <w:t>to $</w:t>
            </w:r>
          </w:p>
        </w:tc>
        <w:tc>
          <w:tcPr>
            <w:tcW w:w="8140" w:type="dxa"/>
            <w:vAlign w:val="bottom"/>
          </w:tcPr>
          <w:p>
            <w:pPr>
              <w:ind w:left="320"/>
              <w:spacing w:after="0"/>
              <w:rPr>
                <w:sz w:val="20"/>
                <w:szCs w:val="20"/>
                <w:color w:val="auto"/>
              </w:rPr>
            </w:pPr>
            <w:r>
              <w:rPr>
                <w:rFonts w:ascii="Arial" w:cs="Arial" w:eastAsia="Arial" w:hAnsi="Arial"/>
                <w:sz w:val="18"/>
                <w:szCs w:val="18"/>
                <w:color w:val="auto"/>
                <w:w w:val="99"/>
              </w:rPr>
              <w:t>million to fund the development of our multiple RAS programs, including our RAS(ON) portfolio and</w:t>
            </w:r>
          </w:p>
        </w:tc>
      </w:tr>
      <w:tr>
        <w:trPr>
          <w:trHeight w:val="211"/>
        </w:trPr>
        <w:tc>
          <w:tcPr>
            <w:tcW w:w="140" w:type="dxa"/>
            <w:vAlign w:val="bottom"/>
          </w:tcPr>
          <w:p>
            <w:pPr>
              <w:spacing w:after="0"/>
              <w:rPr>
                <w:sz w:val="18"/>
                <w:szCs w:val="18"/>
                <w:color w:val="auto"/>
              </w:rPr>
            </w:pPr>
          </w:p>
        </w:tc>
        <w:tc>
          <w:tcPr>
            <w:tcW w:w="1900" w:type="dxa"/>
            <w:vAlign w:val="bottom"/>
          </w:tcPr>
          <w:p>
            <w:pPr>
              <w:ind w:left="80"/>
              <w:spacing w:after="0"/>
              <w:rPr>
                <w:sz w:val="20"/>
                <w:szCs w:val="20"/>
                <w:color w:val="auto"/>
              </w:rPr>
            </w:pPr>
            <w:r>
              <w:rPr>
                <w:rFonts w:ascii="Arial" w:cs="Arial" w:eastAsia="Arial" w:hAnsi="Arial"/>
                <w:sz w:val="18"/>
                <w:szCs w:val="18"/>
                <w:color w:val="auto"/>
              </w:rPr>
              <w:t>SOS1 program;</w:t>
            </w:r>
          </w:p>
        </w:tc>
        <w:tc>
          <w:tcPr>
            <w:tcW w:w="680" w:type="dxa"/>
            <w:vAlign w:val="bottom"/>
          </w:tcPr>
          <w:p>
            <w:pPr>
              <w:spacing w:after="0"/>
              <w:rPr>
                <w:sz w:val="18"/>
                <w:szCs w:val="18"/>
                <w:color w:val="auto"/>
              </w:rPr>
            </w:pPr>
          </w:p>
        </w:tc>
        <w:tc>
          <w:tcPr>
            <w:tcW w:w="8140" w:type="dxa"/>
            <w:vAlign w:val="bottom"/>
          </w:tcPr>
          <w:p>
            <w:pPr>
              <w:spacing w:after="0"/>
              <w:rPr>
                <w:sz w:val="18"/>
                <w:szCs w:val="18"/>
                <w:color w:val="auto"/>
              </w:rPr>
            </w:pPr>
          </w:p>
        </w:tc>
      </w:tr>
      <w:tr>
        <w:trPr>
          <w:trHeight w:val="3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900" w:type="dxa"/>
            <w:vAlign w:val="bottom"/>
          </w:tcPr>
          <w:p>
            <w:pPr>
              <w:ind w:left="80"/>
              <w:spacing w:after="0"/>
              <w:rPr>
                <w:sz w:val="20"/>
                <w:szCs w:val="20"/>
                <w:color w:val="auto"/>
              </w:rPr>
            </w:pPr>
            <w:r>
              <w:rPr>
                <w:rFonts w:ascii="Arial" w:cs="Arial" w:eastAsia="Arial" w:hAnsi="Arial"/>
                <w:sz w:val="18"/>
                <w:szCs w:val="18"/>
                <w:color w:val="auto"/>
              </w:rPr>
              <w:t>Approximately $</w:t>
            </w:r>
          </w:p>
        </w:tc>
        <w:tc>
          <w:tcPr>
            <w:tcW w:w="680" w:type="dxa"/>
            <w:vAlign w:val="bottom"/>
          </w:tcPr>
          <w:p>
            <w:pPr>
              <w:ind w:left="60"/>
              <w:spacing w:after="0"/>
              <w:rPr>
                <w:sz w:val="20"/>
                <w:szCs w:val="20"/>
                <w:color w:val="auto"/>
              </w:rPr>
            </w:pPr>
            <w:r>
              <w:rPr>
                <w:rFonts w:ascii="Arial" w:cs="Arial" w:eastAsia="Arial" w:hAnsi="Arial"/>
                <w:sz w:val="18"/>
                <w:szCs w:val="18"/>
                <w:color w:val="auto"/>
              </w:rPr>
              <w:t>to $</w:t>
            </w:r>
          </w:p>
        </w:tc>
        <w:tc>
          <w:tcPr>
            <w:tcW w:w="8140" w:type="dxa"/>
            <w:vAlign w:val="bottom"/>
          </w:tcPr>
          <w:p>
            <w:pPr>
              <w:ind w:left="320"/>
              <w:spacing w:after="0"/>
              <w:rPr>
                <w:sz w:val="20"/>
                <w:szCs w:val="20"/>
                <w:color w:val="auto"/>
              </w:rPr>
            </w:pPr>
            <w:r>
              <w:rPr>
                <w:rFonts w:ascii="Arial" w:cs="Arial" w:eastAsia="Arial" w:hAnsi="Arial"/>
                <w:sz w:val="18"/>
                <w:szCs w:val="18"/>
                <w:color w:val="auto"/>
                <w:w w:val="97"/>
              </w:rPr>
              <w:t>million to fund the development of our 4EBP1/mTORC1 program through completion of IND-enabling</w:t>
            </w:r>
          </w:p>
        </w:tc>
      </w:tr>
      <w:tr>
        <w:trPr>
          <w:trHeight w:val="211"/>
        </w:trPr>
        <w:tc>
          <w:tcPr>
            <w:tcW w:w="140" w:type="dxa"/>
            <w:vAlign w:val="bottom"/>
          </w:tcPr>
          <w:p>
            <w:pPr>
              <w:spacing w:after="0"/>
              <w:rPr>
                <w:sz w:val="18"/>
                <w:szCs w:val="18"/>
                <w:color w:val="auto"/>
              </w:rPr>
            </w:pPr>
          </w:p>
        </w:tc>
        <w:tc>
          <w:tcPr>
            <w:tcW w:w="1900" w:type="dxa"/>
            <w:vAlign w:val="bottom"/>
          </w:tcPr>
          <w:p>
            <w:pPr>
              <w:ind w:left="80"/>
              <w:spacing w:after="0"/>
              <w:rPr>
                <w:sz w:val="20"/>
                <w:szCs w:val="20"/>
                <w:color w:val="auto"/>
              </w:rPr>
            </w:pPr>
            <w:r>
              <w:rPr>
                <w:rFonts w:ascii="Arial" w:cs="Arial" w:eastAsia="Arial" w:hAnsi="Arial"/>
                <w:sz w:val="18"/>
                <w:szCs w:val="18"/>
                <w:color w:val="auto"/>
                <w:w w:val="99"/>
              </w:rPr>
              <w:t>studies for RMC-5552;</w:t>
            </w:r>
          </w:p>
        </w:tc>
        <w:tc>
          <w:tcPr>
            <w:tcW w:w="680" w:type="dxa"/>
            <w:vAlign w:val="bottom"/>
          </w:tcPr>
          <w:p>
            <w:pPr>
              <w:spacing w:after="0"/>
              <w:rPr>
                <w:sz w:val="18"/>
                <w:szCs w:val="18"/>
                <w:color w:val="auto"/>
              </w:rPr>
            </w:pPr>
          </w:p>
        </w:tc>
        <w:tc>
          <w:tcPr>
            <w:tcW w:w="8140" w:type="dxa"/>
            <w:vAlign w:val="bottom"/>
          </w:tcPr>
          <w:p>
            <w:pPr>
              <w:spacing w:after="0"/>
              <w:rPr>
                <w:sz w:val="18"/>
                <w:szCs w:val="18"/>
                <w:color w:val="auto"/>
              </w:rPr>
            </w:pPr>
          </w:p>
        </w:tc>
      </w:tr>
      <w:tr>
        <w:trPr>
          <w:trHeight w:val="3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900" w:type="dxa"/>
            <w:vAlign w:val="bottom"/>
          </w:tcPr>
          <w:p>
            <w:pPr>
              <w:ind w:left="80"/>
              <w:spacing w:after="0"/>
              <w:rPr>
                <w:sz w:val="20"/>
                <w:szCs w:val="20"/>
                <w:color w:val="auto"/>
              </w:rPr>
            </w:pPr>
            <w:r>
              <w:rPr>
                <w:rFonts w:ascii="Arial" w:cs="Arial" w:eastAsia="Arial" w:hAnsi="Arial"/>
                <w:sz w:val="18"/>
                <w:szCs w:val="18"/>
                <w:color w:val="auto"/>
              </w:rPr>
              <w:t>Approximately $</w:t>
            </w:r>
          </w:p>
        </w:tc>
        <w:tc>
          <w:tcPr>
            <w:tcW w:w="680" w:type="dxa"/>
            <w:vAlign w:val="bottom"/>
          </w:tcPr>
          <w:p>
            <w:pPr>
              <w:ind w:left="60"/>
              <w:spacing w:after="0"/>
              <w:rPr>
                <w:sz w:val="20"/>
                <w:szCs w:val="20"/>
                <w:color w:val="auto"/>
              </w:rPr>
            </w:pPr>
            <w:r>
              <w:rPr>
                <w:rFonts w:ascii="Arial" w:cs="Arial" w:eastAsia="Arial" w:hAnsi="Arial"/>
                <w:sz w:val="18"/>
                <w:szCs w:val="18"/>
                <w:color w:val="auto"/>
              </w:rPr>
              <w:t>to $</w:t>
            </w:r>
          </w:p>
        </w:tc>
        <w:tc>
          <w:tcPr>
            <w:tcW w:w="8140" w:type="dxa"/>
            <w:vAlign w:val="bottom"/>
          </w:tcPr>
          <w:p>
            <w:pPr>
              <w:ind w:left="320"/>
              <w:spacing w:after="0"/>
              <w:rPr>
                <w:sz w:val="20"/>
                <w:szCs w:val="20"/>
                <w:color w:val="auto"/>
              </w:rPr>
            </w:pPr>
            <w:r>
              <w:rPr>
                <w:rFonts w:ascii="Arial" w:cs="Arial" w:eastAsia="Arial" w:hAnsi="Arial"/>
                <w:sz w:val="18"/>
                <w:szCs w:val="18"/>
                <w:color w:val="auto"/>
                <w:w w:val="97"/>
              </w:rPr>
              <w:t>million, net of reimbursement from Sanofi, to fund our share of research costs for the SHP2 program;</w:t>
            </w:r>
          </w:p>
        </w:tc>
      </w:tr>
      <w:tr>
        <w:trPr>
          <w:trHeight w:val="211"/>
        </w:trPr>
        <w:tc>
          <w:tcPr>
            <w:tcW w:w="140" w:type="dxa"/>
            <w:vAlign w:val="bottom"/>
          </w:tcPr>
          <w:p>
            <w:pPr>
              <w:spacing w:after="0"/>
              <w:rPr>
                <w:sz w:val="18"/>
                <w:szCs w:val="18"/>
                <w:color w:val="auto"/>
              </w:rPr>
            </w:pPr>
          </w:p>
        </w:tc>
        <w:tc>
          <w:tcPr>
            <w:tcW w:w="1900" w:type="dxa"/>
            <w:vAlign w:val="bottom"/>
          </w:tcPr>
          <w:p>
            <w:pPr>
              <w:ind w:left="80"/>
              <w:spacing w:after="0"/>
              <w:rPr>
                <w:sz w:val="20"/>
                <w:szCs w:val="20"/>
                <w:color w:val="auto"/>
              </w:rPr>
            </w:pPr>
            <w:r>
              <w:rPr>
                <w:rFonts w:ascii="Arial" w:cs="Arial" w:eastAsia="Arial" w:hAnsi="Arial"/>
                <w:sz w:val="18"/>
                <w:szCs w:val="18"/>
                <w:color w:val="auto"/>
              </w:rPr>
              <w:t>and</w:t>
            </w:r>
          </w:p>
        </w:tc>
        <w:tc>
          <w:tcPr>
            <w:tcW w:w="680" w:type="dxa"/>
            <w:vAlign w:val="bottom"/>
          </w:tcPr>
          <w:p>
            <w:pPr>
              <w:spacing w:after="0"/>
              <w:rPr>
                <w:sz w:val="18"/>
                <w:szCs w:val="18"/>
                <w:color w:val="auto"/>
              </w:rPr>
            </w:pPr>
          </w:p>
        </w:tc>
        <w:tc>
          <w:tcPr>
            <w:tcW w:w="8140" w:type="dxa"/>
            <w:vAlign w:val="bottom"/>
          </w:tcPr>
          <w:p>
            <w:pPr>
              <w:spacing w:after="0"/>
              <w:rPr>
                <w:sz w:val="18"/>
                <w:szCs w:val="18"/>
                <w:color w:val="auto"/>
              </w:rPr>
            </w:pPr>
          </w:p>
        </w:tc>
      </w:tr>
    </w:tbl>
    <w:p>
      <w:pPr>
        <w:spacing w:after="0" w:line="113" w:lineRule="exact"/>
        <w:rPr>
          <w:sz w:val="20"/>
          <w:szCs w:val="20"/>
          <w:color w:val="auto"/>
        </w:rPr>
      </w:pPr>
    </w:p>
    <w:p>
      <w:pPr>
        <w:ind w:left="340" w:right="220" w:hanging="224"/>
        <w:spacing w:after="0" w:line="239"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remaining proceeds for other general corporate purposes, which may include the hiring of additional personnel, capital expenditures and the costs of operating as a public company.</w:t>
      </w:r>
    </w:p>
    <w:p>
      <w:pPr>
        <w:spacing w:after="0" w:line="101" w:lineRule="exact"/>
        <w:rPr>
          <w:sz w:val="20"/>
          <w:szCs w:val="20"/>
          <w:color w:val="auto"/>
        </w:rPr>
      </w:pPr>
    </w:p>
    <w:p>
      <w:pPr>
        <w:ind w:left="120" w:right="300"/>
        <w:spacing w:after="0" w:line="237" w:lineRule="auto"/>
        <w:rPr>
          <w:sz w:val="20"/>
          <w:szCs w:val="20"/>
          <w:color w:val="auto"/>
        </w:rPr>
      </w:pPr>
      <w:r>
        <w:rPr>
          <w:rFonts w:ascii="Arial" w:cs="Arial" w:eastAsia="Arial" w:hAnsi="Arial"/>
          <w:sz w:val="18"/>
          <w:szCs w:val="18"/>
          <w:color w:val="auto"/>
        </w:rPr>
        <w:t>Under our collaboration with Sanofi, Sanofi is responsible for reimbursing substantially all of our research costs and all of our development costs for the SHP2 program. We may also use a portion of the remaining net proceeds from this offering and our existing cash, cash equivalents and marketable securities to in-license, acquire or invest in complementary businesses, technologies, products or assets. However, we have no current commitments or obligations to do so.</w:t>
      </w:r>
    </w:p>
    <w:p>
      <w:pPr>
        <w:spacing w:after="0" w:line="100"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Due to the uncertainties inherent in the clinical development and regulatory approval process, it is difficult to estimate with certainty the exact amounts of the net proceeds from this offering that may be used for the above purposes. As such, our management will retain broad discretion over the use of the net proceeds from this offering. The amounts and timing of our expenditures may depend upon numerous factors, including: (i) continued research and development SHP2 program reimbursement by Sanofi under the Sanofi Agreement; (ii) the time and cost necessary to advance our product candidates through clinical trials and future clinical trials; (iii) the time and cost associated with our research and development activities for our pipeline; (iv) the</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60"/>
        <w:spacing w:after="0" w:line="239" w:lineRule="auto"/>
        <w:rPr>
          <w:sz w:val="20"/>
          <w:szCs w:val="20"/>
          <w:color w:val="auto"/>
        </w:rPr>
      </w:pPr>
      <w:r>
        <w:rPr>
          <w:rFonts w:ascii="Arial" w:cs="Arial" w:eastAsia="Arial" w:hAnsi="Arial"/>
          <w:sz w:val="18"/>
          <w:szCs w:val="18"/>
          <w:color w:val="auto"/>
        </w:rPr>
        <w:t>time and cost associated with the manufacture and supply of product candidates for clinical development or commercialization; and (v) our ability to obtain regulatory approval for and subsequently commercialize our product candidates.</w:t>
      </w:r>
    </w:p>
    <w:p>
      <w:pPr>
        <w:spacing w:after="0" w:line="101" w:lineRule="exact"/>
        <w:rPr>
          <w:sz w:val="20"/>
          <w:szCs w:val="20"/>
          <w:color w:val="auto"/>
        </w:rPr>
      </w:pPr>
    </w:p>
    <w:p>
      <w:pPr>
        <w:ind w:left="120"/>
        <w:spacing w:after="0" w:line="271" w:lineRule="auto"/>
        <w:rPr>
          <w:sz w:val="20"/>
          <w:szCs w:val="20"/>
          <w:color w:val="auto"/>
        </w:rPr>
      </w:pPr>
      <w:r>
        <w:rPr>
          <w:rFonts w:ascii="Arial" w:cs="Arial" w:eastAsia="Arial" w:hAnsi="Arial"/>
          <w:sz w:val="16"/>
          <w:szCs w:val="16"/>
          <w:color w:val="auto"/>
        </w:rPr>
        <w:t>We believe that the net proceeds from this offering, together with our existing cash, cash equivalents and marketable securities, will enable us to fund our operations for at least 12 months following the date of this offering. After this offering, we will require substantial capital in order to advance our current and future product candidates through clinical trials, regulatory approval and, if approved, commercialization. For additional information regarding our potential capital requirements, see “Risk factors—Even if this offering is successful, 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p>
    <w:p>
      <w:pPr>
        <w:spacing w:after="0" w:line="76" w:lineRule="exact"/>
        <w:rPr>
          <w:sz w:val="20"/>
          <w:szCs w:val="20"/>
          <w:color w:val="auto"/>
        </w:rPr>
      </w:pPr>
    </w:p>
    <w:p>
      <w:pPr>
        <w:ind w:left="120" w:right="460"/>
        <w:spacing w:after="0" w:line="239" w:lineRule="auto"/>
        <w:rPr>
          <w:sz w:val="20"/>
          <w:szCs w:val="20"/>
          <w:color w:val="auto"/>
        </w:rPr>
      </w:pPr>
      <w:r>
        <w:rPr>
          <w:rFonts w:ascii="Arial" w:cs="Arial" w:eastAsia="Arial" w:hAnsi="Arial"/>
          <w:sz w:val="18"/>
          <w:szCs w:val="18"/>
          <w:color w:val="auto"/>
        </w:rPr>
        <w:t>Pending the use of the proceeds from this offering, we intend to invest the net proceeds in interest-bearing, investment-grade securities, certificates of deposit or government securities.</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00"/>
          </w:cols>
          <w:pgMar w:left="320" w:top="459" w:right="4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Dividend policy</w:t>
      </w:r>
    </w:p>
    <w:p>
      <w:pPr>
        <w:spacing w:after="0" w:line="15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have never declared or paid cash dividends on our capital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 and will depend upon, among other factors, our results of operations, financial condition, capital requirements, contractual restrictions, business prospects and other factors our board of directors might deem relevant.</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20"/>
          </w:cols>
          <w:pgMar w:left="320" w:top="459" w:right="5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Capitalization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our cash, cash equivalents and marketable securities and capitalization as of September 30, 2019:</w:t>
      </w:r>
    </w:p>
    <w:p>
      <w:pPr>
        <w:spacing w:after="0" w:line="117" w:lineRule="exact"/>
        <w:rPr>
          <w:sz w:val="20"/>
          <w:szCs w:val="20"/>
          <w:color w:val="auto"/>
        </w:rPr>
      </w:pPr>
    </w:p>
    <w:p>
      <w:pPr>
        <w:ind w:left="120"/>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on an actual basis;</w:t>
      </w:r>
    </w:p>
    <w:p>
      <w:pPr>
        <w:spacing w:after="0" w:line="113" w:lineRule="exact"/>
        <w:rPr>
          <w:sz w:val="20"/>
          <w:szCs w:val="20"/>
          <w:color w:val="auto"/>
        </w:rPr>
      </w:pPr>
    </w:p>
    <w:p>
      <w:pPr>
        <w:ind w:left="120"/>
        <w:spacing w:after="0"/>
        <w:tabs>
          <w:tab w:leader="none" w:pos="320" w:val="left"/>
          <w:tab w:leader="none" w:pos="5880" w:val="left"/>
        </w:tabs>
        <w:rPr>
          <w:sz w:val="20"/>
          <w:szCs w:val="20"/>
          <w:color w:val="auto"/>
        </w:rPr>
      </w:pPr>
      <w:r>
        <w:rPr>
          <w:rFonts w:ascii="Arial" w:cs="Arial" w:eastAsia="Arial" w:hAnsi="Arial"/>
          <w:sz w:val="18"/>
          <w:szCs w:val="18"/>
          <w:color w:val="auto"/>
        </w:rPr>
        <w:t>•</w:t>
        <w:tab/>
        <w:t>on a pro forma basis to give effect to: (i) the conversion of all</w:t>
      </w:r>
      <w:r>
        <w:rPr>
          <w:sz w:val="20"/>
          <w:szCs w:val="20"/>
          <w:color w:val="auto"/>
        </w:rPr>
        <w:tab/>
      </w:r>
      <w:r>
        <w:rPr>
          <w:rFonts w:ascii="Arial" w:cs="Arial" w:eastAsia="Arial" w:hAnsi="Arial"/>
          <w:sz w:val="16"/>
          <w:szCs w:val="16"/>
          <w:color w:val="auto"/>
        </w:rPr>
        <w:t>shares of our redeemable convertible preferred stock outstanding</w:t>
      </w:r>
    </w:p>
    <w:p>
      <w:pPr>
        <w:ind w:left="340" w:right="180"/>
        <w:spacing w:after="0" w:line="238" w:lineRule="auto"/>
        <w:rPr>
          <w:sz w:val="20"/>
          <w:szCs w:val="20"/>
          <w:color w:val="auto"/>
        </w:rPr>
      </w:pPr>
      <w:r>
        <w:rPr>
          <w:rFonts w:ascii="Arial" w:cs="Arial" w:eastAsia="Arial" w:hAnsi="Arial"/>
          <w:sz w:val="18"/>
          <w:szCs w:val="18"/>
          <w:color w:val="auto"/>
        </w:rPr>
        <w:t>as of September 30, 2019 into an equivalent number of shares of our common stock, which will be effective upon the closing of this offering; and (ii) the filing and effectiveness of our amended and restated certificate of incorporation, which will occur immediately prior to the consummation of this offering; and</w:t>
      </w:r>
    </w:p>
    <w:p>
      <w:pPr>
        <w:spacing w:after="0" w:line="109" w:lineRule="exact"/>
        <w:rPr>
          <w:sz w:val="20"/>
          <w:szCs w:val="20"/>
          <w:color w:val="auto"/>
        </w:rPr>
      </w:pPr>
    </w:p>
    <w:p>
      <w:pPr>
        <w:ind w:left="120"/>
        <w:spacing w:after="0"/>
        <w:tabs>
          <w:tab w:leader="none" w:pos="320" w:val="left"/>
          <w:tab w:leader="none" w:pos="6380" w:val="left"/>
        </w:tabs>
        <w:rPr>
          <w:sz w:val="20"/>
          <w:szCs w:val="20"/>
          <w:color w:val="auto"/>
        </w:rPr>
      </w:pPr>
      <w:r>
        <w:rPr>
          <w:rFonts w:ascii="Arial" w:cs="Arial" w:eastAsia="Arial" w:hAnsi="Arial"/>
          <w:sz w:val="18"/>
          <w:szCs w:val="18"/>
          <w:color w:val="auto"/>
        </w:rPr>
        <w:t>•</w:t>
        <w:tab/>
        <w:t>on a pro forma as adjusted basis to give further effect to the sale of</w:t>
      </w:r>
      <w:r>
        <w:rPr>
          <w:sz w:val="20"/>
          <w:szCs w:val="20"/>
          <w:color w:val="auto"/>
        </w:rPr>
        <w:tab/>
      </w:r>
      <w:r>
        <w:rPr>
          <w:rFonts w:ascii="Arial" w:cs="Arial" w:eastAsia="Arial" w:hAnsi="Arial"/>
          <w:sz w:val="16"/>
          <w:szCs w:val="16"/>
          <w:color w:val="auto"/>
        </w:rPr>
        <w:t>shares of common stock in this offering at an assumed initial</w:t>
      </w:r>
    </w:p>
    <w:p>
      <w:pPr>
        <w:ind w:left="340"/>
        <w:spacing w:after="0"/>
        <w:tabs>
          <w:tab w:leader="none" w:pos="2760" w:val="left"/>
        </w:tabs>
        <w:rPr>
          <w:sz w:val="20"/>
          <w:szCs w:val="20"/>
          <w:color w:val="auto"/>
        </w:rPr>
      </w:pPr>
      <w:r>
        <w:rPr>
          <w:rFonts w:ascii="Arial" w:cs="Arial" w:eastAsia="Arial" w:hAnsi="Arial"/>
          <w:sz w:val="18"/>
          <w:szCs w:val="18"/>
          <w:color w:val="auto"/>
        </w:rPr>
        <w:t>public offering price of $</w:t>
      </w:r>
      <w:r>
        <w:rPr>
          <w:sz w:val="20"/>
          <w:szCs w:val="20"/>
          <w:color w:val="auto"/>
        </w:rPr>
        <w:tab/>
      </w:r>
      <w:r>
        <w:rPr>
          <w:rFonts w:ascii="Arial" w:cs="Arial" w:eastAsia="Arial" w:hAnsi="Arial"/>
          <w:sz w:val="16"/>
          <w:szCs w:val="16"/>
          <w:color w:val="auto"/>
        </w:rPr>
        <w:t>per share (the midpoint of the price range set forth on the cover of this prospectus), after deducting the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underwriting discounts and commissions and estimated offering expenses payable by us.</w:t>
      </w:r>
    </w:p>
    <w:p>
      <w:pPr>
        <w:spacing w:after="0" w:line="104"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You should read this information together with our consolidated financial statements and related notes appearing elsewhere in this prospectus and the information set forth under the headings “Selected consolidated financial data,” “Unaudited pro forma condensed combined financial statements” and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9" w:lineRule="exact"/>
        <w:rPr>
          <w:sz w:val="20"/>
          <w:szCs w:val="20"/>
          <w:color w:val="auto"/>
        </w:rPr>
      </w:pPr>
    </w:p>
    <w:p>
      <w:pPr>
        <w:ind w:left="7380"/>
        <w:spacing w:after="0"/>
        <w:rPr>
          <w:sz w:val="20"/>
          <w:szCs w:val="20"/>
          <w:color w:val="auto"/>
        </w:rPr>
      </w:pPr>
      <w:r>
        <w:rPr>
          <w:rFonts w:ascii="Arial" w:cs="Arial" w:eastAsia="Arial" w:hAnsi="Arial"/>
          <w:sz w:val="18"/>
          <w:szCs w:val="18"/>
          <w:b w:val="1"/>
          <w:bCs w:val="1"/>
          <w:color w:val="auto"/>
        </w:rPr>
        <w:t>As of September 30, 2019</w:t>
      </w:r>
    </w:p>
    <w:p>
      <w:pPr>
        <w:spacing w:after="0" w:line="14" w:lineRule="exact"/>
        <w:rPr>
          <w:sz w:val="20"/>
          <w:szCs w:val="20"/>
          <w:color w:val="auto"/>
        </w:rPr>
      </w:pPr>
    </w:p>
    <w:tbl>
      <w:tblPr>
        <w:tblLayout w:type="fixed"/>
        <w:tblInd w:w="5820" w:type="dxa"/>
        <w:tblCellMar>
          <w:top w:w="0" w:type="dxa"/>
          <w:left w:w="0" w:type="dxa"/>
          <w:bottom w:w="0" w:type="dxa"/>
          <w:right w:w="0" w:type="dxa"/>
        </w:tblCellMar>
      </w:tblPr>
      <w:tr>
        <w:trPr>
          <w:trHeight w:val="177"/>
        </w:trPr>
        <w:tc>
          <w:tcPr>
            <w:tcW w:w="134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tcPr>
          <w:p>
            <w:pPr>
              <w:spacing w:after="0"/>
              <w:rPr>
                <w:sz w:val="15"/>
                <w:szCs w:val="15"/>
                <w:color w:val="auto"/>
              </w:rPr>
            </w:pPr>
          </w:p>
        </w:tc>
        <w:tc>
          <w:tcPr>
            <w:tcW w:w="2020" w:type="dxa"/>
            <w:vAlign w:val="bottom"/>
            <w:tcBorders>
              <w:top w:val="single" w:sz="8" w:color="auto"/>
            </w:tcBorders>
          </w:tcPr>
          <w:p>
            <w:pPr>
              <w:jc w:val="center"/>
              <w:ind w:left="172"/>
              <w:spacing w:after="0" w:line="177" w:lineRule="exact"/>
              <w:rPr>
                <w:sz w:val="20"/>
                <w:szCs w:val="20"/>
                <w:color w:val="auto"/>
              </w:rPr>
            </w:pPr>
            <w:r>
              <w:rPr>
                <w:rFonts w:ascii="Arial" w:cs="Arial" w:eastAsia="Arial" w:hAnsi="Arial"/>
                <w:sz w:val="18"/>
                <w:szCs w:val="18"/>
                <w:b w:val="1"/>
                <w:bCs w:val="1"/>
                <w:color w:val="auto"/>
                <w:w w:val="98"/>
              </w:rPr>
              <w:t>Pro forma</w:t>
            </w:r>
          </w:p>
        </w:tc>
      </w:tr>
      <w:tr>
        <w:trPr>
          <w:trHeight w:val="233"/>
        </w:trPr>
        <w:tc>
          <w:tcPr>
            <w:tcW w:w="1340" w:type="dxa"/>
            <w:vAlign w:val="bottom"/>
          </w:tcPr>
          <w:p>
            <w:pPr>
              <w:ind w:left="280"/>
              <w:spacing w:after="0"/>
              <w:rPr>
                <w:sz w:val="20"/>
                <w:szCs w:val="20"/>
                <w:color w:val="auto"/>
              </w:rPr>
            </w:pPr>
            <w:r>
              <w:rPr>
                <w:rFonts w:ascii="Arial" w:cs="Arial" w:eastAsia="Arial" w:hAnsi="Arial"/>
                <w:sz w:val="18"/>
                <w:szCs w:val="18"/>
                <w:b w:val="1"/>
                <w:bCs w:val="1"/>
                <w:color w:val="auto"/>
              </w:rPr>
              <w:t>Actual</w:t>
            </w:r>
          </w:p>
        </w:tc>
        <w:tc>
          <w:tcPr>
            <w:tcW w:w="1900" w:type="dxa"/>
            <w:vAlign w:val="bottom"/>
          </w:tcPr>
          <w:p>
            <w:pPr>
              <w:ind w:left="540"/>
              <w:spacing w:after="0"/>
              <w:rPr>
                <w:sz w:val="20"/>
                <w:szCs w:val="20"/>
                <w:color w:val="auto"/>
              </w:rPr>
            </w:pPr>
            <w:r>
              <w:rPr>
                <w:rFonts w:ascii="Arial" w:cs="Arial" w:eastAsia="Arial" w:hAnsi="Arial"/>
                <w:sz w:val="18"/>
                <w:szCs w:val="18"/>
                <w:b w:val="1"/>
                <w:bCs w:val="1"/>
                <w:color w:val="auto"/>
              </w:rPr>
              <w:t>Pro forma</w:t>
            </w:r>
          </w:p>
        </w:tc>
        <w:tc>
          <w:tcPr>
            <w:tcW w:w="2020" w:type="dxa"/>
            <w:vAlign w:val="bottom"/>
          </w:tcPr>
          <w:p>
            <w:pPr>
              <w:jc w:val="center"/>
              <w:ind w:left="192"/>
              <w:spacing w:after="0"/>
              <w:rPr>
                <w:sz w:val="20"/>
                <w:szCs w:val="20"/>
                <w:color w:val="auto"/>
              </w:rPr>
            </w:pPr>
            <w:r>
              <w:rPr>
                <w:rFonts w:ascii="Arial" w:cs="Arial" w:eastAsia="Arial" w:hAnsi="Arial"/>
                <w:sz w:val="18"/>
                <w:szCs w:val="18"/>
                <w:b w:val="1"/>
                <w:bCs w:val="1"/>
                <w:color w:val="auto"/>
                <w:w w:val="97"/>
              </w:rPr>
              <w:t>as adjusted(1)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00"/>
          </w:cols>
          <w:pgMar w:left="320" w:top="459" w:right="479" w:bottom="1440" w:gutter="0" w:footer="0" w:header="0"/>
        </w:sectPr>
      </w:pPr>
    </w:p>
    <w:p>
      <w:pPr>
        <w:spacing w:after="0" w:line="208" w:lineRule="exact"/>
        <w:rPr>
          <w:sz w:val="20"/>
          <w:szCs w:val="20"/>
          <w:color w:val="auto"/>
        </w:rPr>
      </w:pPr>
    </w:p>
    <w:p>
      <w:pPr>
        <w:ind w:left="120" w:right="60"/>
        <w:spacing w:after="0" w:line="281" w:lineRule="auto"/>
        <w:rPr>
          <w:sz w:val="20"/>
          <w:szCs w:val="20"/>
          <w:color w:val="auto"/>
        </w:rPr>
      </w:pPr>
      <w:r>
        <w:rPr>
          <w:rFonts w:ascii="Arial" w:cs="Arial" w:eastAsia="Arial" w:hAnsi="Arial"/>
          <w:sz w:val="16"/>
          <w:szCs w:val="16"/>
          <w:color w:val="auto"/>
        </w:rPr>
        <w:t>Cash, cash equivalents and marketable securities Redeemable convertible preferred stock, $0.0001 par value per</w:t>
      </w:r>
    </w:p>
    <w:p>
      <w:pPr>
        <w:spacing w:after="0" w:line="1" w:lineRule="exact"/>
        <w:rPr>
          <w:sz w:val="20"/>
          <w:szCs w:val="20"/>
          <w:color w:val="auto"/>
        </w:rPr>
      </w:pPr>
    </w:p>
    <w:p>
      <w:pPr>
        <w:ind w:left="340"/>
        <w:spacing w:after="0" w:line="238" w:lineRule="auto"/>
        <w:rPr>
          <w:sz w:val="20"/>
          <w:szCs w:val="20"/>
          <w:color w:val="auto"/>
        </w:rPr>
      </w:pPr>
      <w:r>
        <w:rPr>
          <w:rFonts w:ascii="Arial" w:cs="Arial" w:eastAsia="Arial" w:hAnsi="Arial"/>
          <w:sz w:val="18"/>
          <w:szCs w:val="18"/>
          <w:color w:val="auto"/>
        </w:rPr>
        <w:t>share; shares authorized, shares issued and outstanding, actual; no shares authorized, issued and outstanding, pro forma and pro forma as adjusted</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Stockholders’ (deficit) equity:</w:t>
      </w:r>
    </w:p>
    <w:p>
      <w:pPr>
        <w:ind w:left="120"/>
        <w:spacing w:after="0" w:line="234" w:lineRule="auto"/>
        <w:rPr>
          <w:sz w:val="20"/>
          <w:szCs w:val="20"/>
          <w:color w:val="auto"/>
        </w:rPr>
      </w:pPr>
      <w:r>
        <w:rPr>
          <w:rFonts w:ascii="Arial" w:cs="Arial" w:eastAsia="Arial" w:hAnsi="Arial"/>
          <w:sz w:val="18"/>
          <w:szCs w:val="18"/>
          <w:color w:val="auto"/>
        </w:rPr>
        <w:t>Preferred stock, $0.0001 par value per share; no shares</w:t>
      </w:r>
    </w:p>
    <w:p>
      <w:pPr>
        <w:spacing w:after="0" w:line="1" w:lineRule="exact"/>
        <w:rPr>
          <w:sz w:val="20"/>
          <w:szCs w:val="20"/>
          <w:color w:val="auto"/>
        </w:rPr>
      </w:pPr>
    </w:p>
    <w:p>
      <w:pPr>
        <w:jc w:val="both"/>
        <w:ind w:left="340" w:right="20"/>
        <w:spacing w:after="0" w:line="234" w:lineRule="auto"/>
        <w:rPr>
          <w:sz w:val="20"/>
          <w:szCs w:val="20"/>
          <w:color w:val="auto"/>
        </w:rPr>
      </w:pPr>
      <w:r>
        <w:rPr>
          <w:rFonts w:ascii="Arial" w:cs="Arial" w:eastAsia="Arial" w:hAnsi="Arial"/>
          <w:sz w:val="18"/>
          <w:szCs w:val="18"/>
          <w:color w:val="auto"/>
        </w:rPr>
        <w:t>authorized, issued and outstanding, actual; shares authorized, and no shares issued and outstanding, pro forma and pro forma as adjusted</w:t>
      </w:r>
    </w:p>
    <w:p>
      <w:pPr>
        <w:ind w:left="120"/>
        <w:spacing w:after="0"/>
        <w:tabs>
          <w:tab w:leader="none" w:pos="4440" w:val="left"/>
        </w:tabs>
        <w:rPr>
          <w:sz w:val="20"/>
          <w:szCs w:val="20"/>
          <w:color w:val="auto"/>
        </w:rPr>
      </w:pPr>
      <w:r>
        <w:rPr>
          <w:rFonts w:ascii="Arial" w:cs="Arial" w:eastAsia="Arial" w:hAnsi="Arial"/>
          <w:sz w:val="18"/>
          <w:szCs w:val="18"/>
          <w:color w:val="auto"/>
        </w:rPr>
        <w:t>Common stock, $0.0001 par value per share;</w:t>
      </w:r>
      <w:r>
        <w:rPr>
          <w:sz w:val="20"/>
          <w:szCs w:val="20"/>
          <w:color w:val="auto"/>
        </w:rPr>
        <w:tab/>
      </w:r>
      <w:r>
        <w:rPr>
          <w:rFonts w:ascii="Arial" w:cs="Arial" w:eastAsia="Arial" w:hAnsi="Arial"/>
          <w:sz w:val="16"/>
          <w:szCs w:val="16"/>
          <w:color w:val="auto"/>
        </w:rPr>
        <w:t>shares</w:t>
      </w:r>
    </w:p>
    <w:p>
      <w:pPr>
        <w:ind w:left="340"/>
        <w:spacing w:after="0" w:line="235" w:lineRule="auto"/>
        <w:tabs>
          <w:tab w:leader="none" w:pos="2000" w:val="left"/>
        </w:tabs>
        <w:rPr>
          <w:sz w:val="20"/>
          <w:szCs w:val="20"/>
          <w:color w:val="auto"/>
        </w:rPr>
      </w:pPr>
      <w:r>
        <w:rPr>
          <w:rFonts w:ascii="Arial" w:cs="Arial" w:eastAsia="Arial" w:hAnsi="Arial"/>
          <w:sz w:val="18"/>
          <w:szCs w:val="18"/>
          <w:color w:val="auto"/>
        </w:rPr>
        <w:t>authorized,</w:t>
      </w:r>
      <w:r>
        <w:rPr>
          <w:sz w:val="20"/>
          <w:szCs w:val="20"/>
          <w:color w:val="auto"/>
        </w:rPr>
        <w:tab/>
      </w:r>
      <w:r>
        <w:rPr>
          <w:rFonts w:ascii="Arial" w:cs="Arial" w:eastAsia="Arial" w:hAnsi="Arial"/>
          <w:sz w:val="18"/>
          <w:szCs w:val="18"/>
          <w:color w:val="auto"/>
        </w:rPr>
        <w:t>shares issued and outstanding, actual;</w:t>
      </w:r>
    </w:p>
    <w:p>
      <w:pPr>
        <w:ind w:left="1120"/>
        <w:spacing w:after="0"/>
        <w:rPr>
          <w:sz w:val="20"/>
          <w:szCs w:val="20"/>
          <w:color w:val="auto"/>
        </w:rPr>
      </w:pPr>
      <w:r>
        <w:rPr>
          <w:rFonts w:ascii="Arial" w:cs="Arial" w:eastAsia="Arial" w:hAnsi="Arial"/>
          <w:sz w:val="16"/>
          <w:szCs w:val="16"/>
          <w:color w:val="auto"/>
        </w:rPr>
        <w:t>shares authorized, shares issued and outstanding,</w:t>
      </w:r>
    </w:p>
    <w:p>
      <w:pPr>
        <w:spacing w:after="0" w:line="14" w:lineRule="exact"/>
        <w:rPr>
          <w:sz w:val="20"/>
          <w:szCs w:val="20"/>
          <w:color w:val="auto"/>
        </w:rPr>
      </w:pPr>
    </w:p>
    <w:p>
      <w:pPr>
        <w:ind w:left="340"/>
        <w:spacing w:after="0"/>
        <w:tabs>
          <w:tab w:leader="none" w:pos="2000" w:val="left"/>
          <w:tab w:leader="none" w:pos="4320" w:val="left"/>
        </w:tabs>
        <w:rPr>
          <w:sz w:val="20"/>
          <w:szCs w:val="20"/>
          <w:color w:val="auto"/>
        </w:rPr>
      </w:pPr>
      <w:r>
        <w:rPr>
          <w:rFonts w:ascii="Arial" w:cs="Arial" w:eastAsia="Arial" w:hAnsi="Arial"/>
          <w:sz w:val="18"/>
          <w:szCs w:val="18"/>
          <w:color w:val="auto"/>
        </w:rPr>
        <w:t>pro forma;</w:t>
      </w:r>
      <w:r>
        <w:rPr>
          <w:sz w:val="20"/>
          <w:szCs w:val="20"/>
          <w:color w:val="auto"/>
        </w:rPr>
        <w:tab/>
      </w:r>
      <w:r>
        <w:rPr>
          <w:rFonts w:ascii="Arial" w:cs="Arial" w:eastAsia="Arial" w:hAnsi="Arial"/>
          <w:sz w:val="18"/>
          <w:szCs w:val="18"/>
          <w:color w:val="auto"/>
        </w:rPr>
        <w:t>shares authorized,</w:t>
      </w:r>
      <w:r>
        <w:rPr>
          <w:sz w:val="20"/>
          <w:szCs w:val="20"/>
          <w:color w:val="auto"/>
        </w:rPr>
        <w:tab/>
      </w:r>
      <w:r>
        <w:rPr>
          <w:rFonts w:ascii="Arial" w:cs="Arial" w:eastAsia="Arial" w:hAnsi="Arial"/>
          <w:sz w:val="16"/>
          <w:szCs w:val="16"/>
          <w:color w:val="auto"/>
        </w:rPr>
        <w:t>shares</w:t>
      </w:r>
    </w:p>
    <w:p>
      <w:pPr>
        <w:ind w:left="120" w:right="1160" w:firstLine="216"/>
        <w:spacing w:after="0" w:line="234" w:lineRule="auto"/>
        <w:rPr>
          <w:sz w:val="20"/>
          <w:szCs w:val="20"/>
          <w:color w:val="auto"/>
        </w:rPr>
      </w:pPr>
      <w:r>
        <w:rPr>
          <w:rFonts w:ascii="Arial" w:cs="Arial" w:eastAsia="Arial" w:hAnsi="Arial"/>
          <w:sz w:val="18"/>
          <w:szCs w:val="18"/>
          <w:color w:val="auto"/>
        </w:rPr>
        <w:t>issued and outstanding, pro forma as adjusted Additional paid-in capital</w:t>
      </w:r>
    </w:p>
    <w:p>
      <w:pPr>
        <w:spacing w:after="0" w:line="1" w:lineRule="exact"/>
        <w:rPr>
          <w:sz w:val="20"/>
          <w:szCs w:val="20"/>
          <w:color w:val="auto"/>
        </w:rPr>
      </w:pPr>
    </w:p>
    <w:p>
      <w:pPr>
        <w:ind w:left="120" w:right="1920"/>
        <w:spacing w:after="0" w:line="239" w:lineRule="auto"/>
        <w:rPr>
          <w:sz w:val="20"/>
          <w:szCs w:val="20"/>
          <w:color w:val="auto"/>
        </w:rPr>
      </w:pPr>
      <w:r>
        <w:rPr>
          <w:rFonts w:ascii="Arial" w:cs="Arial" w:eastAsia="Arial" w:hAnsi="Arial"/>
          <w:sz w:val="18"/>
          <w:szCs w:val="18"/>
          <w:color w:val="auto"/>
        </w:rPr>
        <w:t>Accumulated other comprehensive loss Accumulated deficit</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stockholders’ (deficit) equity</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capitalization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500" w:type="dxa"/>
            <w:vAlign w:val="bottom"/>
          </w:tcPr>
          <w:p>
            <w:pPr>
              <w:spacing w:after="0"/>
              <w:rPr>
                <w:sz w:val="18"/>
                <w:szCs w:val="18"/>
                <w:color w:val="auto"/>
              </w:rPr>
            </w:pPr>
          </w:p>
        </w:tc>
        <w:tc>
          <w:tcPr>
            <w:tcW w:w="476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 except share and per share amounts)</w:t>
            </w:r>
          </w:p>
        </w:tc>
      </w:tr>
      <w:tr>
        <w:trPr>
          <w:trHeight w:val="199"/>
        </w:trPr>
        <w:tc>
          <w:tcPr>
            <w:tcW w:w="500" w:type="dxa"/>
            <w:vAlign w:val="bottom"/>
            <w:tcBorders>
              <w:bottom w:val="single" w:sz="8" w:color="auto"/>
            </w:tcBorders>
          </w:tcPr>
          <w:p>
            <w:pPr>
              <w:jc w:val="right"/>
              <w:ind w:right="312"/>
              <w:spacing w:after="0" w:line="200" w:lineRule="exact"/>
              <w:rPr>
                <w:sz w:val="20"/>
                <w:szCs w:val="20"/>
                <w:color w:val="auto"/>
              </w:rPr>
            </w:pPr>
            <w:r>
              <w:rPr>
                <w:rFonts w:ascii="Arial" w:cs="Arial" w:eastAsia="Arial" w:hAnsi="Arial"/>
                <w:sz w:val="18"/>
                <w:szCs w:val="18"/>
                <w:color w:val="auto"/>
                <w:w w:val="79"/>
              </w:rPr>
              <w:t>$</w:t>
            </w:r>
          </w:p>
        </w:tc>
        <w:tc>
          <w:tcPr>
            <w:tcW w:w="2140" w:type="dxa"/>
            <w:vAlign w:val="bottom"/>
            <w:tcBorders>
              <w:bottom w:val="single" w:sz="8" w:color="auto"/>
            </w:tcBorders>
          </w:tcPr>
          <w:p>
            <w:pPr>
              <w:jc w:val="right"/>
              <w:ind w:right="772"/>
              <w:spacing w:after="0" w:line="200" w:lineRule="exact"/>
              <w:rPr>
                <w:sz w:val="20"/>
                <w:szCs w:val="20"/>
                <w:color w:val="auto"/>
              </w:rPr>
            </w:pPr>
            <w:r>
              <w:rPr>
                <w:rFonts w:ascii="Arial" w:cs="Arial" w:eastAsia="Arial" w:hAnsi="Arial"/>
                <w:sz w:val="18"/>
                <w:szCs w:val="18"/>
                <w:color w:val="auto"/>
              </w:rPr>
              <w:t>$</w:t>
            </w:r>
          </w:p>
        </w:tc>
        <w:tc>
          <w:tcPr>
            <w:tcW w:w="2620" w:type="dxa"/>
            <w:vAlign w:val="bottom"/>
            <w:tcBorders>
              <w:bottom w:val="single" w:sz="8" w:color="auto"/>
            </w:tcBorders>
          </w:tcPr>
          <w:p>
            <w:pPr>
              <w:jc w:val="right"/>
              <w:ind w:right="1572"/>
              <w:spacing w:after="0" w:line="200" w:lineRule="exact"/>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-3621405</wp:posOffset>
            </wp:positionH>
            <wp:positionV relativeFrom="paragraph">
              <wp:posOffset>-136525</wp:posOffset>
            </wp:positionV>
            <wp:extent cx="6995160" cy="1289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565785</wp:posOffset>
            </wp:positionV>
            <wp:extent cx="6995160" cy="1289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1208405</wp:posOffset>
            </wp:positionV>
            <wp:extent cx="6995160" cy="643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64325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1979930</wp:posOffset>
            </wp:positionV>
            <wp:extent cx="6995160" cy="1289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2237105</wp:posOffset>
            </wp:positionV>
            <wp:extent cx="699516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tabs>
          <w:tab w:leader="none" w:pos="1660" w:val="left"/>
          <w:tab w:leader="none" w:pos="34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-3621405</wp:posOffset>
            </wp:positionH>
            <wp:positionV relativeFrom="paragraph">
              <wp:posOffset>3810</wp:posOffset>
            </wp:positionV>
            <wp:extent cx="69608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86" w:lineRule="exact"/>
        <w:rPr>
          <w:sz w:val="20"/>
          <w:szCs w:val="20"/>
          <w:color w:val="auto"/>
        </w:rPr>
      </w:pPr>
    </w:p>
    <w:p>
      <w:pPr>
        <w:sectPr>
          <w:pgSz w:w="11900" w:h="16838" w:orient="portrait"/>
          <w:cols w:equalWidth="0" w:num="2">
            <w:col w:w="5100" w:space="720"/>
            <w:col w:w="5280"/>
          </w:cols>
          <w:pgMar w:left="320" w:top="459" w:right="479" w:bottom="1440" w:gutter="0" w:footer="0" w:header="0"/>
          <w:type w:val="continuous"/>
        </w:sectPr>
      </w:pPr>
    </w:p>
    <w:p>
      <w:pPr>
        <w:ind w:left="440" w:right="360" w:hanging="324"/>
        <w:spacing w:after="0" w:line="258" w:lineRule="auto"/>
        <w:tabs>
          <w:tab w:leader="none" w:pos="440" w:val="left"/>
        </w:tabs>
        <w:numPr>
          <w:ilvl w:val="0"/>
          <w:numId w:val="46"/>
        </w:numPr>
        <w:rPr>
          <w:rFonts w:ascii="Arial" w:cs="Arial" w:eastAsia="Arial" w:hAnsi="Arial"/>
          <w:sz w:val="13"/>
          <w:szCs w:val="13"/>
          <w:color w:val="auto"/>
        </w:rPr>
      </w:pPr>
      <w:r>
        <w:rPr>
          <w:rFonts w:ascii="Arial" w:cs="Arial" w:eastAsia="Arial" w:hAnsi="Arial"/>
          <w:sz w:val="13"/>
          <w:szCs w:val="13"/>
          <w:color w:val="auto"/>
        </w:rPr>
        <w:t>Each $1.00 increase (decrease) in the assumed initial public offering price of $ per share (the midpoint of the price range set forth on the cover of this prospectus) would increase (decrease) the amount of each of cash, cash equivalents and marketable securities, additional paid-in</w:t>
      </w:r>
    </w:p>
    <w:p>
      <w:pPr>
        <w:spacing w:after="0" w:line="12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00"/>
          </w:cols>
          <w:pgMar w:left="320" w:top="459" w:right="479" w:bottom="1440" w:gutter="0" w:footer="0" w:header="0"/>
          <w:type w:val="continuous"/>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40" w:right="140"/>
        <w:spacing w:after="0" w:line="238" w:lineRule="auto"/>
        <w:rPr>
          <w:sz w:val="20"/>
          <w:szCs w:val="20"/>
          <w:color w:val="auto"/>
        </w:rPr>
      </w:pPr>
      <w:r>
        <w:rPr>
          <w:rFonts w:ascii="Arial" w:cs="Arial" w:eastAsia="Arial" w:hAnsi="Arial"/>
          <w:sz w:val="13"/>
          <w:szCs w:val="13"/>
          <w:color w:val="auto"/>
        </w:rPr>
        <w:t>capital, total stockholders’ equity and total capitalization by $ , assuming the number of shares offered by us, as set forth on the cover page of this prospectus, remains the same and after deducting underwriting discounts and commissions and estimated offering expenses payable by us. We may also increase or decrease the number of shares we are offering. Each increase (decrease) of 1,000,000 shares in the number of shares offered by us would increase (decrease) each of cash, cash equivalents and marketable</w:t>
      </w:r>
    </w:p>
    <w:p>
      <w:pPr>
        <w:spacing w:after="0" w:line="1" w:lineRule="exact"/>
        <w:rPr>
          <w:sz w:val="20"/>
          <w:szCs w:val="20"/>
          <w:color w:val="auto"/>
        </w:rPr>
      </w:pPr>
    </w:p>
    <w:p>
      <w:pPr>
        <w:ind w:left="440" w:right="80"/>
        <w:spacing w:after="0" w:line="245" w:lineRule="auto"/>
        <w:rPr>
          <w:sz w:val="20"/>
          <w:szCs w:val="20"/>
          <w:color w:val="auto"/>
        </w:rPr>
      </w:pPr>
      <w:r>
        <w:rPr>
          <w:rFonts w:ascii="Arial" w:cs="Arial" w:eastAsia="Arial" w:hAnsi="Arial"/>
          <w:sz w:val="13"/>
          <w:szCs w:val="13"/>
          <w:color w:val="auto"/>
        </w:rPr>
        <w:t>securities, additional paid-in capital, total stockholders’ equity and total capitalization by $ , assuming the assumed initial public offering price of $ per share (the midpoint of the price range set forth on the cover of this prospectus) remains the same, and after deducting underwriting discounts and commissions and estimated offering expenses payable by us. The pro forma as adjusted information discussed above is illustrative only and will be adjusted based on the actual public offering price and other terms of this offering determined at pricing.</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outstanding share information in the table above excludes the following:</w:t>
      </w:r>
    </w:p>
    <w:p>
      <w:pPr>
        <w:spacing w:after="0" w:line="113" w:lineRule="exact"/>
        <w:rPr>
          <w:sz w:val="20"/>
          <w:szCs w:val="20"/>
          <w:color w:val="auto"/>
        </w:rPr>
      </w:pPr>
    </w:p>
    <w:p>
      <w:pPr>
        <w:ind w:left="920" w:hanging="804"/>
        <w:spacing w:after="0"/>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shares of common stock issuable upon the exercise of outstanding stock options as of September 30, 2019 having a weighted-</w:t>
      </w:r>
    </w:p>
    <w:p>
      <w:pPr>
        <w:ind w:left="340"/>
        <w:spacing w:after="0"/>
        <w:tabs>
          <w:tab w:leader="none" w:pos="2800" w:val="left"/>
        </w:tabs>
        <w:rPr>
          <w:sz w:val="20"/>
          <w:szCs w:val="20"/>
          <w:color w:val="auto"/>
        </w:rPr>
      </w:pPr>
      <w:r>
        <w:rPr>
          <w:rFonts w:ascii="Arial" w:cs="Arial" w:eastAsia="Arial" w:hAnsi="Arial"/>
          <w:sz w:val="18"/>
          <w:szCs w:val="18"/>
          <w:color w:val="auto"/>
        </w:rPr>
        <w:t>average exercise price of $</w:t>
      </w:r>
      <w:r>
        <w:rPr>
          <w:sz w:val="20"/>
          <w:szCs w:val="20"/>
          <w:color w:val="auto"/>
        </w:rPr>
        <w:tab/>
      </w:r>
      <w:r>
        <w:rPr>
          <w:rFonts w:ascii="Arial" w:cs="Arial" w:eastAsia="Arial" w:hAnsi="Arial"/>
          <w:sz w:val="16"/>
          <w:szCs w:val="16"/>
          <w:color w:val="auto"/>
        </w:rPr>
        <w:t>per share;</w:t>
      </w:r>
    </w:p>
    <w:p>
      <w:pPr>
        <w:spacing w:after="0" w:line="117" w:lineRule="exact"/>
        <w:rPr>
          <w:sz w:val="20"/>
          <w:szCs w:val="20"/>
          <w:color w:val="auto"/>
        </w:rPr>
      </w:pPr>
    </w:p>
    <w:p>
      <w:pPr>
        <w:ind w:left="920" w:hanging="804"/>
        <w:spacing w:after="0"/>
        <w:tabs>
          <w:tab w:leader="none" w:pos="9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shares of common stock issuable upon the exercise of stock options granted after September 30, 2019 having a weighted-average</w:t>
      </w:r>
    </w:p>
    <w:p>
      <w:pPr>
        <w:spacing w:after="0" w:line="19" w:lineRule="exact"/>
        <w:rPr>
          <w:sz w:val="20"/>
          <w:szCs w:val="20"/>
          <w:color w:val="auto"/>
        </w:rPr>
      </w:pPr>
    </w:p>
    <w:p>
      <w:pPr>
        <w:ind w:left="340"/>
        <w:spacing w:after="0"/>
        <w:tabs>
          <w:tab w:leader="none" w:pos="2120" w:val="left"/>
        </w:tabs>
        <w:rPr>
          <w:sz w:val="20"/>
          <w:szCs w:val="20"/>
          <w:color w:val="auto"/>
        </w:rPr>
      </w:pPr>
      <w:r>
        <w:rPr>
          <w:rFonts w:ascii="Arial" w:cs="Arial" w:eastAsia="Arial" w:hAnsi="Arial"/>
          <w:sz w:val="18"/>
          <w:szCs w:val="18"/>
          <w:color w:val="auto"/>
        </w:rPr>
        <w:t>exercise price of $</w:t>
      </w:r>
      <w:r>
        <w:rPr>
          <w:sz w:val="20"/>
          <w:szCs w:val="20"/>
          <w:color w:val="auto"/>
        </w:rPr>
        <w:tab/>
      </w:r>
      <w:r>
        <w:rPr>
          <w:rFonts w:ascii="Arial" w:cs="Arial" w:eastAsia="Arial" w:hAnsi="Arial"/>
          <w:sz w:val="16"/>
          <w:szCs w:val="16"/>
          <w:color w:val="auto"/>
        </w:rPr>
        <w:t>per share;</w:t>
      </w:r>
    </w:p>
    <w:p>
      <w:pPr>
        <w:ind w:left="920" w:hanging="804"/>
        <w:spacing w:after="0" w:line="187" w:lineRule="auto"/>
        <w:tabs>
          <w:tab w:leader="none" w:pos="920" w:val="left"/>
        </w:tabs>
        <w:numPr>
          <w:ilvl w:val="0"/>
          <w:numId w:val="49"/>
        </w:numPr>
        <w:rPr>
          <w:rFonts w:ascii="Arial" w:cs="Arial" w:eastAsia="Arial" w:hAnsi="Arial"/>
          <w:sz w:val="13"/>
          <w:szCs w:val="13"/>
          <w:color w:val="auto"/>
        </w:rPr>
      </w:pPr>
      <w:r>
        <w:rPr>
          <w:rFonts w:ascii="Arial" w:cs="Arial" w:eastAsia="Arial" w:hAnsi="Arial"/>
          <w:sz w:val="13"/>
          <w:szCs w:val="13"/>
          <w:color w:val="auto"/>
        </w:rPr>
        <w:t>shares of common stock reserved for issuance pursuant to future awards under our 2014 Equity Incentive Plan, as amended, as of</w:t>
      </w:r>
    </w:p>
    <w:p>
      <w:pPr>
        <w:spacing w:after="0" w:line="203" w:lineRule="exact"/>
        <w:rPr>
          <w:sz w:val="20"/>
          <w:szCs w:val="20"/>
          <w:color w:val="auto"/>
        </w:rPr>
      </w:pPr>
    </w:p>
    <w:p>
      <w:pPr>
        <w:ind w:left="340"/>
        <w:spacing w:after="0"/>
        <w:tabs>
          <w:tab w:leader="none" w:pos="6440" w:val="left"/>
        </w:tabs>
        <w:rPr>
          <w:sz w:val="20"/>
          <w:szCs w:val="20"/>
          <w:color w:val="auto"/>
        </w:rPr>
      </w:pPr>
      <w:r>
        <w:rPr>
          <w:rFonts w:ascii="Arial" w:cs="Arial" w:eastAsia="Arial" w:hAnsi="Arial"/>
          <w:sz w:val="18"/>
          <w:szCs w:val="18"/>
          <w:color w:val="auto"/>
        </w:rPr>
        <w:t>September 30, 2019, which will become available for issuance under our 20</w:t>
      </w:r>
      <w:r>
        <w:rPr>
          <w:sz w:val="20"/>
          <w:szCs w:val="20"/>
          <w:color w:val="auto"/>
        </w:rPr>
        <w:tab/>
      </w:r>
      <w:r>
        <w:rPr>
          <w:rFonts w:ascii="Arial" w:cs="Arial" w:eastAsia="Arial" w:hAnsi="Arial"/>
          <w:sz w:val="16"/>
          <w:szCs w:val="16"/>
          <w:color w:val="auto"/>
        </w:rPr>
        <w:t>Incentive Award Plan after consummation of this offering;</w:t>
      </w:r>
    </w:p>
    <w:p>
      <w:pPr>
        <w:spacing w:after="0" w:line="117" w:lineRule="exact"/>
        <w:rPr>
          <w:sz w:val="20"/>
          <w:szCs w:val="20"/>
          <w:color w:val="auto"/>
        </w:rPr>
      </w:pPr>
    </w:p>
    <w:p>
      <w:pPr>
        <w:ind w:left="340" w:hanging="215"/>
        <w:spacing w:after="0" w:line="238" w:lineRule="auto"/>
        <w:tabs>
          <w:tab w:leader="none" w:pos="320" w:val="left"/>
        </w:tabs>
        <w:rPr>
          <w:sz w:val="20"/>
          <w:szCs w:val="20"/>
          <w:color w:val="auto"/>
        </w:rPr>
      </w:pPr>
      <w:r>
        <w:rPr>
          <w:rFonts w:ascii="Arial" w:cs="Arial" w:eastAsia="Arial" w:hAnsi="Arial"/>
          <w:sz w:val="18"/>
          <w:szCs w:val="18"/>
          <w:color w:val="auto"/>
        </w:rPr>
        <w:t>•</w:t>
        <w:tab/>
        <w:t>shares of common stock reserved for issuance pursuant to future awards under our 20 Incentive Award Plan, as well as any automatic increases in the number of shares of our common stock reserved for future issuance under this plan, which will become effective on the day prior to the first public trading date of our common stock; and</w:t>
      </w:r>
    </w:p>
    <w:p>
      <w:pPr>
        <w:spacing w:after="0" w:line="113" w:lineRule="exact"/>
        <w:rPr>
          <w:sz w:val="20"/>
          <w:szCs w:val="20"/>
          <w:color w:val="auto"/>
        </w:rPr>
      </w:pPr>
    </w:p>
    <w:p>
      <w:pPr>
        <w:jc w:val="both"/>
        <w:ind w:left="340" w:right="140" w:hanging="215"/>
        <w:spacing w:after="0" w:line="238" w:lineRule="auto"/>
        <w:tabs>
          <w:tab w:leader="none" w:pos="320" w:val="left"/>
        </w:tabs>
        <w:rPr>
          <w:sz w:val="20"/>
          <w:szCs w:val="20"/>
          <w:color w:val="auto"/>
        </w:rPr>
      </w:pPr>
      <w:r>
        <w:rPr>
          <w:rFonts w:ascii="Arial" w:cs="Arial" w:eastAsia="Arial" w:hAnsi="Arial"/>
          <w:sz w:val="18"/>
          <w:szCs w:val="18"/>
          <w:color w:val="auto"/>
        </w:rPr>
        <w:t>•</w:t>
        <w:tab/>
        <w:t>shares of common stock reserved for issuance pursuant to future awards under our 20 Employee Stock Purchase Plan, as well as any automatic increases in the number of shares of our common stock reserved for future issuance under this plan, which will become effective on the day prior to the first public trading date of our common stock.</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00"/>
          </w:cols>
          <w:pgMar w:left="320" w:top="459" w:right="4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Dilution</w:t>
      </w:r>
    </w:p>
    <w:p>
      <w:pPr>
        <w:spacing w:after="0" w:line="157"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If you invest in our common stock in this offering, your ownership interest will be immediately diluted to the extent of the difference between the initial public offering price per share of our common stock and the pro forma as adjusted net tangible book value per share of our common stock immediately after this offering.</w:t>
      </w:r>
    </w:p>
    <w:p>
      <w:pPr>
        <w:spacing w:after="0" w:line="100" w:lineRule="exact"/>
        <w:rPr>
          <w:sz w:val="20"/>
          <w:szCs w:val="20"/>
          <w:color w:val="auto"/>
        </w:rPr>
      </w:pPr>
    </w:p>
    <w:p>
      <w:pPr>
        <w:ind w:left="120" w:right="40"/>
        <w:spacing w:after="0" w:line="234" w:lineRule="auto"/>
        <w:rPr>
          <w:sz w:val="20"/>
          <w:szCs w:val="20"/>
          <w:color w:val="auto"/>
        </w:rPr>
      </w:pPr>
      <w:r>
        <w:rPr>
          <w:rFonts w:ascii="Arial" w:cs="Arial" w:eastAsia="Arial" w:hAnsi="Arial"/>
          <w:sz w:val="18"/>
          <w:szCs w:val="18"/>
          <w:color w:val="auto"/>
        </w:rPr>
        <w:t>As of September 30, 2019, we had a historical net tangible book value (deficit) of $ million, or $ per share of common stock. Our historical net tangible book value (deficit) represents total tangible assets less total liabilities and redeemable convertible preferred stock, all</w:t>
      </w:r>
    </w:p>
    <w:p>
      <w:pPr>
        <w:spacing w:after="0" w:line="1" w:lineRule="exact"/>
        <w:rPr>
          <w:sz w:val="20"/>
          <w:szCs w:val="20"/>
          <w:color w:val="auto"/>
        </w:rPr>
      </w:pPr>
    </w:p>
    <w:p>
      <w:pPr>
        <w:ind w:left="120" w:right="240"/>
        <w:spacing w:after="0" w:line="238" w:lineRule="auto"/>
        <w:rPr>
          <w:sz w:val="20"/>
          <w:szCs w:val="20"/>
          <w:color w:val="auto"/>
        </w:rPr>
      </w:pPr>
      <w:r>
        <w:rPr>
          <w:rFonts w:ascii="Arial" w:cs="Arial" w:eastAsia="Arial" w:hAnsi="Arial"/>
          <w:sz w:val="18"/>
          <w:szCs w:val="18"/>
          <w:color w:val="auto"/>
        </w:rPr>
        <w:t>divided by shares of common stock outstanding on September 30, 2019. Our pro forma net tangible book value as of September 30, 2019, before giving effect to this offering, was $ million, or $ per share of our common stock. Pro forma net tangible book value, before the issuance and sale of shares in this offering, gives effect to:</w:t>
      </w:r>
    </w:p>
    <w:p>
      <w:pPr>
        <w:spacing w:after="0" w:line="109" w:lineRule="exact"/>
        <w:rPr>
          <w:sz w:val="20"/>
          <w:szCs w:val="20"/>
          <w:color w:val="auto"/>
        </w:rPr>
      </w:pPr>
    </w:p>
    <w:p>
      <w:pPr>
        <w:ind w:left="120"/>
        <w:spacing w:after="0"/>
        <w:tabs>
          <w:tab w:leader="none" w:pos="320" w:val="left"/>
          <w:tab w:leader="none" w:pos="2660" w:val="left"/>
        </w:tabs>
        <w:rPr>
          <w:sz w:val="20"/>
          <w:szCs w:val="20"/>
          <w:color w:val="auto"/>
        </w:rPr>
      </w:pPr>
      <w:r>
        <w:rPr>
          <w:rFonts w:ascii="Arial" w:cs="Arial" w:eastAsia="Arial" w:hAnsi="Arial"/>
          <w:sz w:val="18"/>
          <w:szCs w:val="18"/>
          <w:color w:val="auto"/>
        </w:rPr>
        <w:t>•</w:t>
        <w:tab/>
        <w:t>the conversion of all</w:t>
      </w:r>
      <w:r>
        <w:rPr>
          <w:sz w:val="20"/>
          <w:szCs w:val="20"/>
          <w:color w:val="auto"/>
        </w:rPr>
        <w:tab/>
      </w:r>
      <w:r>
        <w:rPr>
          <w:rFonts w:ascii="Arial" w:cs="Arial" w:eastAsia="Arial" w:hAnsi="Arial"/>
          <w:sz w:val="16"/>
          <w:szCs w:val="16"/>
          <w:color w:val="auto"/>
        </w:rPr>
        <w:t>outstanding shares of our redeemable convertible preferred stock as of September 30, 2019 into an</w:t>
      </w:r>
    </w:p>
    <w:p>
      <w:pPr>
        <w:ind w:left="340"/>
        <w:spacing w:after="0"/>
        <w:rPr>
          <w:sz w:val="20"/>
          <w:szCs w:val="20"/>
          <w:color w:val="auto"/>
        </w:rPr>
      </w:pPr>
      <w:r>
        <w:rPr>
          <w:rFonts w:ascii="Arial" w:cs="Arial" w:eastAsia="Arial" w:hAnsi="Arial"/>
          <w:sz w:val="18"/>
          <w:szCs w:val="18"/>
          <w:color w:val="auto"/>
        </w:rPr>
        <w:t>equivalent number of shares of common stock upon the closing of this offering; and</w:t>
      </w:r>
    </w:p>
    <w:p>
      <w:pPr>
        <w:spacing w:after="0" w:line="117" w:lineRule="exact"/>
        <w:rPr>
          <w:sz w:val="20"/>
          <w:szCs w:val="20"/>
          <w:color w:val="auto"/>
        </w:rPr>
      </w:pPr>
    </w:p>
    <w:p>
      <w:pPr>
        <w:ind w:left="340" w:right="1200" w:hanging="224"/>
        <w:spacing w:after="0" w:line="239"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which will occur immediately prior to the consummation of this offering.</w:t>
      </w:r>
    </w:p>
    <w:p>
      <w:pPr>
        <w:spacing w:after="0" w:line="101" w:lineRule="exact"/>
        <w:rPr>
          <w:sz w:val="20"/>
          <w:szCs w:val="20"/>
          <w:color w:val="auto"/>
        </w:rPr>
      </w:pPr>
    </w:p>
    <w:p>
      <w:pPr>
        <w:ind w:left="120" w:right="20"/>
        <w:spacing w:after="0" w:line="234" w:lineRule="auto"/>
        <w:rPr>
          <w:sz w:val="20"/>
          <w:szCs w:val="20"/>
          <w:color w:val="auto"/>
        </w:rPr>
      </w:pPr>
      <w:r>
        <w:rPr>
          <w:rFonts w:ascii="Arial" w:cs="Arial" w:eastAsia="Arial" w:hAnsi="Arial"/>
          <w:sz w:val="18"/>
          <w:szCs w:val="18"/>
          <w:color w:val="auto"/>
        </w:rPr>
        <w:t>After giving effect to the sale of shares of common stock in this offering at an assumed initial public offering price of $ per share (the midpoint of the price range set forth on the cover of this prospectus) and after deducting the underwriting discounts and commissions and</w:t>
      </w:r>
    </w:p>
    <w:tbl>
      <w:tblPr>
        <w:tblLayout w:type="fixed"/>
        <w:tblInd w:w="120" w:type="dxa"/>
        <w:tblCellMar>
          <w:top w:w="0" w:type="dxa"/>
          <w:left w:w="0" w:type="dxa"/>
          <w:bottom w:w="0" w:type="dxa"/>
          <w:right w:w="0" w:type="dxa"/>
        </w:tblCellMar>
      </w:tblPr>
      <w:tr>
        <w:trPr>
          <w:trHeight w:val="204"/>
        </w:trPr>
        <w:tc>
          <w:tcPr>
            <w:tcW w:w="10720" w:type="dxa"/>
            <w:vAlign w:val="bottom"/>
            <w:gridSpan w:val="8"/>
          </w:tcPr>
          <w:p>
            <w:pPr>
              <w:spacing w:after="0" w:line="204" w:lineRule="exact"/>
              <w:rPr>
                <w:sz w:val="20"/>
                <w:szCs w:val="20"/>
                <w:color w:val="auto"/>
              </w:rPr>
            </w:pPr>
            <w:r>
              <w:rPr>
                <w:rFonts w:ascii="Arial" w:cs="Arial" w:eastAsia="Arial" w:hAnsi="Arial"/>
                <w:sz w:val="18"/>
                <w:szCs w:val="18"/>
                <w:color w:val="auto"/>
                <w:w w:val="97"/>
              </w:rPr>
              <w:t>estimated offering expenses payable by us, our pro forma as adjusted net tangible book value as of September 30, 2019 would have been</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700" w:type="dxa"/>
            <w:vAlign w:val="bottom"/>
          </w:tcPr>
          <w:p>
            <w:pPr>
              <w:ind w:left="520"/>
              <w:spacing w:after="0" w:line="202" w:lineRule="exact"/>
              <w:rPr>
                <w:sz w:val="20"/>
                <w:szCs w:val="20"/>
                <w:color w:val="auto"/>
              </w:rPr>
            </w:pPr>
            <w:r>
              <w:rPr>
                <w:rFonts w:ascii="Arial" w:cs="Arial" w:eastAsia="Arial" w:hAnsi="Arial"/>
                <w:sz w:val="18"/>
                <w:szCs w:val="18"/>
                <w:color w:val="auto"/>
              </w:rPr>
              <w:t>million, or $</w:t>
            </w:r>
          </w:p>
        </w:tc>
        <w:tc>
          <w:tcPr>
            <w:tcW w:w="8860" w:type="dxa"/>
            <w:vAlign w:val="bottom"/>
            <w:gridSpan w:val="6"/>
          </w:tcPr>
          <w:p>
            <w:pPr>
              <w:jc w:val="right"/>
              <w:ind w:right="560"/>
              <w:spacing w:after="0" w:line="202" w:lineRule="exact"/>
              <w:rPr>
                <w:sz w:val="20"/>
                <w:szCs w:val="20"/>
                <w:color w:val="auto"/>
              </w:rPr>
            </w:pPr>
            <w:r>
              <w:rPr>
                <w:rFonts w:ascii="Arial" w:cs="Arial" w:eastAsia="Arial" w:hAnsi="Arial"/>
                <w:sz w:val="18"/>
                <w:szCs w:val="18"/>
                <w:color w:val="auto"/>
              </w:rPr>
              <w:t>per share. This represents an immediate increase in pro forma as adjusted net tangible book value of $</w:t>
            </w:r>
          </w:p>
        </w:tc>
        <w:tc>
          <w:tcPr>
            <w:tcW w:w="300" w:type="dxa"/>
            <w:vAlign w:val="bottom"/>
            <w:gridSpan w:val="2"/>
          </w:tcPr>
          <w:p>
            <w:pPr>
              <w:ind w:left="20"/>
              <w:spacing w:after="0" w:line="202" w:lineRule="exact"/>
              <w:rPr>
                <w:sz w:val="20"/>
                <w:szCs w:val="20"/>
                <w:color w:val="auto"/>
              </w:rPr>
            </w:pPr>
            <w:r>
              <w:rPr>
                <w:rFonts w:ascii="Arial" w:cs="Arial" w:eastAsia="Arial" w:hAnsi="Arial"/>
                <w:sz w:val="18"/>
                <w:szCs w:val="18"/>
                <w:color w:val="auto"/>
                <w:w w:val="99"/>
              </w:rPr>
              <w:t>per</w:t>
            </w:r>
          </w:p>
        </w:tc>
      </w:tr>
      <w:tr>
        <w:trPr>
          <w:trHeight w:val="203"/>
        </w:trPr>
        <w:tc>
          <w:tcPr>
            <w:tcW w:w="8060" w:type="dxa"/>
            <w:vAlign w:val="bottom"/>
            <w:gridSpan w:val="4"/>
          </w:tcPr>
          <w:p>
            <w:pPr>
              <w:spacing w:after="0" w:line="202" w:lineRule="exact"/>
              <w:rPr>
                <w:sz w:val="20"/>
                <w:szCs w:val="20"/>
                <w:color w:val="auto"/>
              </w:rPr>
            </w:pPr>
            <w:r>
              <w:rPr>
                <w:rFonts w:ascii="Arial" w:cs="Arial" w:eastAsia="Arial" w:hAnsi="Arial"/>
                <w:sz w:val="18"/>
                <w:szCs w:val="18"/>
                <w:color w:val="auto"/>
              </w:rPr>
              <w:t>share to existing stockholders and an immediate dilution in pro forma net tangible book value of $</w:t>
            </w:r>
          </w:p>
        </w:tc>
        <w:tc>
          <w:tcPr>
            <w:tcW w:w="2660" w:type="dxa"/>
            <w:vAlign w:val="bottom"/>
            <w:gridSpan w:val="4"/>
          </w:tcPr>
          <w:p>
            <w:pPr>
              <w:jc w:val="right"/>
              <w:ind w:right="140"/>
              <w:spacing w:after="0" w:line="202" w:lineRule="exact"/>
              <w:rPr>
                <w:sz w:val="20"/>
                <w:szCs w:val="20"/>
                <w:color w:val="auto"/>
              </w:rPr>
            </w:pPr>
            <w:r>
              <w:rPr>
                <w:rFonts w:ascii="Arial" w:cs="Arial" w:eastAsia="Arial" w:hAnsi="Arial"/>
                <w:sz w:val="18"/>
                <w:szCs w:val="18"/>
                <w:color w:val="auto"/>
                <w:w w:val="99"/>
              </w:rPr>
              <w:t>per share to new investors. The</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1"/>
        </w:trPr>
        <w:tc>
          <w:tcPr>
            <w:tcW w:w="6460" w:type="dxa"/>
            <w:vAlign w:val="bottom"/>
            <w:gridSpan w:val="3"/>
          </w:tcPr>
          <w:p>
            <w:pPr>
              <w:spacing w:after="0"/>
              <w:rPr>
                <w:sz w:val="20"/>
                <w:szCs w:val="20"/>
                <w:color w:val="auto"/>
              </w:rPr>
            </w:pPr>
            <w:r>
              <w:rPr>
                <w:rFonts w:ascii="Arial" w:cs="Arial" w:eastAsia="Arial" w:hAnsi="Arial"/>
                <w:sz w:val="18"/>
                <w:szCs w:val="18"/>
                <w:color w:val="auto"/>
              </w:rPr>
              <w:t>following table illustrates this per share dilution:</w:t>
            </w:r>
          </w:p>
        </w:tc>
        <w:tc>
          <w:tcPr>
            <w:tcW w:w="1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17"/>
        </w:trPr>
        <w:tc>
          <w:tcPr>
            <w:tcW w:w="6460" w:type="dxa"/>
            <w:vAlign w:val="bottom"/>
            <w:tcBorders>
              <w:bottom w:val="single" w:sz="8" w:color="auto"/>
            </w:tcBorders>
            <w:gridSpan w:val="3"/>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r>
      <w:tr>
        <w:trPr>
          <w:trHeight w:val="203"/>
        </w:trPr>
        <w:tc>
          <w:tcPr>
            <w:tcW w:w="64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Assumed initial public offering price per share</w:t>
            </w:r>
          </w:p>
        </w:tc>
        <w:tc>
          <w:tcPr>
            <w:tcW w:w="1600" w:type="dxa"/>
            <w:vAlign w:val="bottom"/>
            <w:shd w:val="clear" w:color="auto" w:fill="CCEEFF"/>
          </w:tcPr>
          <w:p>
            <w:pPr>
              <w:spacing w:after="0"/>
              <w:rPr>
                <w:sz w:val="17"/>
                <w:szCs w:val="17"/>
                <w:color w:val="auto"/>
              </w:rPr>
            </w:pPr>
          </w:p>
        </w:tc>
        <w:tc>
          <w:tcPr>
            <w:tcW w:w="2660" w:type="dxa"/>
            <w:vAlign w:val="bottom"/>
            <w:gridSpan w:val="4"/>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160" w:type="dxa"/>
            <w:vAlign w:val="bottom"/>
          </w:tcPr>
          <w:p>
            <w:pPr>
              <w:spacing w:after="0"/>
              <w:rPr>
                <w:sz w:val="17"/>
                <w:szCs w:val="17"/>
                <w:color w:val="auto"/>
              </w:rPr>
            </w:pPr>
          </w:p>
        </w:tc>
        <w:tc>
          <w:tcPr>
            <w:tcW w:w="63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Historical net tangible book value (deficit) per share as of September 30, 2019</w:t>
            </w:r>
          </w:p>
        </w:tc>
        <w:tc>
          <w:tcPr>
            <w:tcW w:w="1600" w:type="dxa"/>
            <w:vAlign w:val="bottom"/>
          </w:tcPr>
          <w:p>
            <w:pPr>
              <w:spacing w:after="0"/>
              <w:rPr>
                <w:sz w:val="17"/>
                <w:szCs w:val="17"/>
                <w:color w:val="auto"/>
              </w:rPr>
            </w:pPr>
          </w:p>
        </w:tc>
        <w:tc>
          <w:tcPr>
            <w:tcW w:w="178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6"/>
        </w:trPr>
        <w:tc>
          <w:tcPr>
            <w:tcW w:w="160" w:type="dxa"/>
            <w:vAlign w:val="bottom"/>
            <w:shd w:val="clear" w:color="auto" w:fill="CCEEFF"/>
          </w:tcPr>
          <w:p>
            <w:pPr>
              <w:spacing w:after="0"/>
              <w:rPr>
                <w:sz w:val="17"/>
                <w:szCs w:val="17"/>
                <w:color w:val="auto"/>
              </w:rPr>
            </w:pPr>
          </w:p>
        </w:tc>
        <w:tc>
          <w:tcPr>
            <w:tcW w:w="7900" w:type="dxa"/>
            <w:vAlign w:val="bottom"/>
            <w:gridSpan w:val="3"/>
            <w:shd w:val="clear" w:color="auto" w:fill="CCEEFF"/>
          </w:tcPr>
          <w:p>
            <w:pPr>
              <w:ind w:left="60"/>
              <w:spacing w:after="0" w:line="206" w:lineRule="exact"/>
              <w:rPr>
                <w:sz w:val="20"/>
                <w:szCs w:val="20"/>
                <w:color w:val="auto"/>
              </w:rPr>
            </w:pPr>
            <w:r>
              <w:rPr>
                <w:rFonts w:ascii="Arial" w:cs="Arial" w:eastAsia="Arial" w:hAnsi="Arial"/>
                <w:sz w:val="18"/>
                <w:szCs w:val="18"/>
                <w:color w:val="auto"/>
                <w:w w:val="97"/>
              </w:rPr>
              <w:t>Pro forma change in historical net tangible book value (deficit) per share attributable to the pro forma</w:t>
            </w:r>
          </w:p>
        </w:tc>
        <w:tc>
          <w:tcPr>
            <w:tcW w:w="10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9"/>
        </w:trPr>
        <w:tc>
          <w:tcPr>
            <w:tcW w:w="160" w:type="dxa"/>
            <w:vAlign w:val="bottom"/>
            <w:shd w:val="clear" w:color="auto" w:fill="CCEEFF"/>
          </w:tcPr>
          <w:p>
            <w:pPr>
              <w:spacing w:after="0"/>
              <w:rPr>
                <w:sz w:val="17"/>
                <w:szCs w:val="17"/>
                <w:color w:val="auto"/>
              </w:rPr>
            </w:pPr>
          </w:p>
        </w:tc>
        <w:tc>
          <w:tcPr>
            <w:tcW w:w="6300" w:type="dxa"/>
            <w:vAlign w:val="bottom"/>
            <w:gridSpan w:val="2"/>
            <w:shd w:val="clear" w:color="auto" w:fill="CCEEFF"/>
          </w:tcPr>
          <w:p>
            <w:pPr>
              <w:ind w:left="260"/>
              <w:spacing w:after="0" w:line="200" w:lineRule="exact"/>
              <w:rPr>
                <w:sz w:val="20"/>
                <w:szCs w:val="20"/>
                <w:color w:val="auto"/>
              </w:rPr>
            </w:pPr>
            <w:r>
              <w:rPr>
                <w:rFonts w:ascii="Arial" w:cs="Arial" w:eastAsia="Arial" w:hAnsi="Arial"/>
                <w:sz w:val="18"/>
                <w:szCs w:val="18"/>
                <w:color w:val="auto"/>
              </w:rPr>
              <w:t>transactions described in the preceding paragraphs</w:t>
            </w:r>
          </w:p>
        </w:tc>
        <w:tc>
          <w:tcPr>
            <w:tcW w:w="1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9"/>
        </w:trPr>
        <w:tc>
          <w:tcPr>
            <w:tcW w:w="160" w:type="dxa"/>
            <w:vAlign w:val="bottom"/>
          </w:tcPr>
          <w:p>
            <w:pPr>
              <w:spacing w:after="0"/>
              <w:rPr>
                <w:sz w:val="18"/>
                <w:szCs w:val="18"/>
                <w:color w:val="auto"/>
              </w:rPr>
            </w:pPr>
          </w:p>
        </w:tc>
        <w:tc>
          <w:tcPr>
            <w:tcW w:w="6300" w:type="dxa"/>
            <w:vAlign w:val="bottom"/>
            <w:gridSpan w:val="2"/>
          </w:tcPr>
          <w:p>
            <w:pPr>
              <w:ind w:left="60"/>
              <w:spacing w:after="0"/>
              <w:rPr>
                <w:sz w:val="20"/>
                <w:szCs w:val="20"/>
                <w:color w:val="auto"/>
              </w:rPr>
            </w:pPr>
            <w:r>
              <w:rPr>
                <w:rFonts w:ascii="Arial" w:cs="Arial" w:eastAsia="Arial" w:hAnsi="Arial"/>
                <w:sz w:val="18"/>
                <w:szCs w:val="18"/>
                <w:color w:val="auto"/>
              </w:rPr>
              <w:t>Pro forma net tangible book value per share as of September 30, 2019</w:t>
            </w:r>
          </w:p>
        </w:tc>
        <w:tc>
          <w:tcPr>
            <w:tcW w:w="1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6"/>
        </w:trPr>
        <w:tc>
          <w:tcPr>
            <w:tcW w:w="160" w:type="dxa"/>
            <w:vAlign w:val="bottom"/>
            <w:shd w:val="clear" w:color="auto" w:fill="CCEEFF"/>
          </w:tcPr>
          <w:p>
            <w:pPr>
              <w:spacing w:after="0"/>
              <w:rPr>
                <w:sz w:val="17"/>
                <w:szCs w:val="17"/>
                <w:color w:val="auto"/>
              </w:rPr>
            </w:pPr>
          </w:p>
        </w:tc>
        <w:tc>
          <w:tcPr>
            <w:tcW w:w="10560" w:type="dxa"/>
            <w:vAlign w:val="bottom"/>
            <w:gridSpan w:val="7"/>
            <w:shd w:val="clear" w:color="auto" w:fill="CCEEFF"/>
          </w:tcPr>
          <w:p>
            <w:pPr>
              <w:ind w:left="60"/>
              <w:spacing w:after="0" w:line="206" w:lineRule="exact"/>
              <w:rPr>
                <w:sz w:val="20"/>
                <w:szCs w:val="20"/>
                <w:color w:val="auto"/>
              </w:rPr>
            </w:pPr>
            <w:r>
              <w:rPr>
                <w:rFonts w:ascii="Arial" w:cs="Arial" w:eastAsia="Arial" w:hAnsi="Arial"/>
                <w:sz w:val="18"/>
                <w:szCs w:val="18"/>
                <w:color w:val="auto"/>
              </w:rPr>
              <w:t>Increase in pro forma net tangible book value per share attributable to new investors purchasing shares in this</w:t>
            </w: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9"/>
        </w:trPr>
        <w:tc>
          <w:tcPr>
            <w:tcW w:w="160" w:type="dxa"/>
            <w:vAlign w:val="bottom"/>
            <w:shd w:val="clear" w:color="auto" w:fill="CCEEFF"/>
          </w:tcPr>
          <w:p>
            <w:pPr>
              <w:spacing w:after="0"/>
              <w:rPr>
                <w:sz w:val="17"/>
                <w:szCs w:val="17"/>
                <w:color w:val="auto"/>
              </w:rPr>
            </w:pPr>
          </w:p>
        </w:tc>
        <w:tc>
          <w:tcPr>
            <w:tcW w:w="1700" w:type="dxa"/>
            <w:vAlign w:val="bottom"/>
            <w:shd w:val="clear" w:color="auto" w:fill="CCEEFF"/>
          </w:tcPr>
          <w:p>
            <w:pPr>
              <w:ind w:left="260"/>
              <w:spacing w:after="0" w:line="200" w:lineRule="exact"/>
              <w:rPr>
                <w:sz w:val="20"/>
                <w:szCs w:val="20"/>
                <w:color w:val="auto"/>
              </w:rPr>
            </w:pPr>
            <w:r>
              <w:rPr>
                <w:rFonts w:ascii="Arial" w:cs="Arial" w:eastAsia="Arial" w:hAnsi="Arial"/>
                <w:sz w:val="18"/>
                <w:szCs w:val="18"/>
                <w:color w:val="auto"/>
              </w:rPr>
              <w:t>offering</w:t>
            </w:r>
          </w:p>
        </w:tc>
        <w:tc>
          <w:tcPr>
            <w:tcW w:w="46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7"/>
        </w:trPr>
        <w:tc>
          <w:tcPr>
            <w:tcW w:w="6460" w:type="dxa"/>
            <w:vAlign w:val="bottom"/>
            <w:gridSpan w:val="3"/>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1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64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Dilution per share to new investors purchasing shares in this offering</w:t>
            </w:r>
          </w:p>
        </w:tc>
        <w:tc>
          <w:tcPr>
            <w:tcW w:w="1600" w:type="dxa"/>
            <w:vAlign w:val="bottom"/>
            <w:shd w:val="clear" w:color="auto" w:fill="CCEEFF"/>
          </w:tcPr>
          <w:p>
            <w:pPr>
              <w:spacing w:after="0"/>
              <w:rPr>
                <w:sz w:val="17"/>
                <w:szCs w:val="17"/>
                <w:color w:val="auto"/>
              </w:rPr>
            </w:pPr>
          </w:p>
        </w:tc>
        <w:tc>
          <w:tcPr>
            <w:tcW w:w="2660" w:type="dxa"/>
            <w:vAlign w:val="bottom"/>
            <w:gridSpan w:val="4"/>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6460" w:type="dxa"/>
            <w:vAlign w:val="bottom"/>
            <w:tcBorders>
              <w:bottom w:val="single" w:sz="8" w:color="auto"/>
            </w:tcBorders>
            <w:gridSpan w:val="3"/>
          </w:tcPr>
          <w:p>
            <w:pPr>
              <w:spacing w:after="0" w:line="20" w:lineRule="exact"/>
              <w:rPr>
                <w:sz w:val="1"/>
                <w:szCs w:val="1"/>
                <w:color w:val="auto"/>
              </w:rPr>
            </w:pPr>
          </w:p>
        </w:tc>
        <w:tc>
          <w:tcPr>
            <w:tcW w:w="4500" w:type="dxa"/>
            <w:vAlign w:val="bottom"/>
            <w:tcBorders>
              <w:bottom w:val="single" w:sz="8" w:color="auto"/>
            </w:tcBorders>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1"/>
        </w:trPr>
        <w:tc>
          <w:tcPr>
            <w:tcW w:w="6460" w:type="dxa"/>
            <w:vAlign w:val="bottom"/>
            <w:gridSpan w:val="3"/>
          </w:tcPr>
          <w:p>
            <w:pPr>
              <w:spacing w:after="0"/>
              <w:rPr>
                <w:sz w:val="20"/>
                <w:szCs w:val="20"/>
                <w:color w:val="auto"/>
              </w:rPr>
            </w:pPr>
            <w:r>
              <w:rPr>
                <w:rFonts w:ascii="Arial" w:cs="Arial" w:eastAsia="Arial" w:hAnsi="Arial"/>
                <w:sz w:val="18"/>
                <w:szCs w:val="18"/>
                <w:color w:val="auto"/>
              </w:rPr>
              <w:t>Each $1.00 increase (decrease) in the assumed initial public offering price of $</w:t>
            </w:r>
          </w:p>
        </w:tc>
        <w:tc>
          <w:tcPr>
            <w:tcW w:w="4560" w:type="dxa"/>
            <w:vAlign w:val="bottom"/>
            <w:gridSpan w:val="7"/>
          </w:tcPr>
          <w:p>
            <w:pPr>
              <w:ind w:left="200"/>
              <w:spacing w:after="0"/>
              <w:rPr>
                <w:sz w:val="20"/>
                <w:szCs w:val="20"/>
                <w:color w:val="auto"/>
              </w:rPr>
            </w:pPr>
            <w:r>
              <w:rPr>
                <w:rFonts w:ascii="Arial" w:cs="Arial" w:eastAsia="Arial" w:hAnsi="Arial"/>
                <w:sz w:val="18"/>
                <w:szCs w:val="18"/>
                <w:color w:val="auto"/>
              </w:rPr>
              <w:t>per share (the midpoint of the price range set forth on</w:t>
            </w:r>
          </w:p>
        </w:tc>
      </w:tr>
    </w:tbl>
    <w:p>
      <w:pPr>
        <w:ind w:left="120"/>
        <w:spacing w:after="0"/>
        <w:rPr>
          <w:sz w:val="20"/>
          <w:szCs w:val="20"/>
          <w:color w:val="auto"/>
        </w:rPr>
      </w:pPr>
      <w:r>
        <w:rPr>
          <w:rFonts w:ascii="Arial" w:cs="Arial" w:eastAsia="Arial" w:hAnsi="Arial"/>
          <w:sz w:val="16"/>
          <w:szCs w:val="16"/>
          <w:color w:val="auto"/>
        </w:rPr>
        <w:t>the cover of this prospectus) would increase (decrease) our pro forma as adjusted net tangible book value as of September 30, 2019 after this</w:t>
      </w:r>
    </w:p>
    <w:p>
      <w:pPr>
        <w:spacing w:after="0" w:line="19" w:lineRule="exact"/>
        <w:rPr>
          <w:sz w:val="20"/>
          <w:szCs w:val="20"/>
          <w:color w:val="auto"/>
        </w:rPr>
      </w:pPr>
    </w:p>
    <w:p>
      <w:pPr>
        <w:jc w:val="both"/>
        <w:ind w:left="120" w:right="240"/>
        <w:spacing w:after="0" w:line="264" w:lineRule="auto"/>
        <w:rPr>
          <w:sz w:val="20"/>
          <w:szCs w:val="20"/>
          <w:color w:val="auto"/>
        </w:rPr>
      </w:pPr>
      <w:r>
        <w:rPr>
          <w:rFonts w:ascii="Arial" w:cs="Arial" w:eastAsia="Arial" w:hAnsi="Arial"/>
          <w:sz w:val="16"/>
          <w:szCs w:val="16"/>
          <w:color w:val="auto"/>
        </w:rPr>
        <w:t>offering by $ million, or $ per share, and would decrease (increase) dilution to investors in this offering by $ per share, assuming that the number of shares offered by us, as set forth on the cover page of this prospectus, remains the same, after deducting the underwriting discounts and commissions and estimated offering expenses payable by us. We may also increase or decrease the number of</w:t>
      </w:r>
    </w:p>
    <w:p>
      <w:pPr>
        <w:jc w:val="both"/>
        <w:ind w:left="120" w:right="140"/>
        <w:spacing w:after="0" w:line="440" w:lineRule="auto"/>
        <w:rPr>
          <w:sz w:val="20"/>
          <w:szCs w:val="20"/>
          <w:color w:val="auto"/>
        </w:rPr>
      </w:pPr>
      <w:r>
        <w:rPr>
          <w:rFonts w:ascii="Arial" w:cs="Arial" w:eastAsia="Arial" w:hAnsi="Arial"/>
          <w:sz w:val="16"/>
          <w:szCs w:val="16"/>
          <w:color w:val="auto"/>
        </w:rPr>
        <w:t>shares we are offering. Assuming the assumed initial public price of $ per share (the midpoint of the price range set forth on the cover of this prospectus) remains the same, after deducting the underwriting discounts and commissions and estimated offering expenses payable by us, each increase of 1,000,000 in the number of shares we are offering would increase our pro forma as adjusted net tangible book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0"/>
        <w:spacing w:after="0"/>
        <w:tabs>
          <w:tab w:leader="none" w:pos="4440" w:val="left"/>
          <w:tab w:leader="none" w:pos="5920" w:val="left"/>
        </w:tabs>
        <w:rPr>
          <w:sz w:val="20"/>
          <w:szCs w:val="20"/>
          <w:color w:val="auto"/>
        </w:rPr>
      </w:pPr>
      <w:r>
        <w:rPr>
          <w:rFonts w:ascii="Arial" w:cs="Arial" w:eastAsia="Arial" w:hAnsi="Arial"/>
          <w:sz w:val="18"/>
          <w:szCs w:val="18"/>
          <w:color w:val="auto"/>
        </w:rPr>
        <w:t>as of September 30, 2019 after this offering by $</w:t>
      </w:r>
      <w:r>
        <w:rPr>
          <w:sz w:val="20"/>
          <w:szCs w:val="20"/>
          <w:color w:val="auto"/>
        </w:rPr>
        <w:tab/>
      </w:r>
      <w:r>
        <w:rPr>
          <w:rFonts w:ascii="Arial" w:cs="Arial" w:eastAsia="Arial" w:hAnsi="Arial"/>
          <w:sz w:val="18"/>
          <w:szCs w:val="18"/>
          <w:color w:val="auto"/>
        </w:rPr>
        <w:t>million, or $</w:t>
      </w:r>
      <w:r>
        <w:rPr>
          <w:sz w:val="20"/>
          <w:szCs w:val="20"/>
          <w:color w:val="auto"/>
        </w:rPr>
        <w:tab/>
      </w:r>
      <w:r>
        <w:rPr>
          <w:rFonts w:ascii="Arial" w:cs="Arial" w:eastAsia="Arial" w:hAnsi="Arial"/>
          <w:sz w:val="16"/>
          <w:szCs w:val="16"/>
          <w:color w:val="auto"/>
        </w:rPr>
        <w:t>per share,</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40"/>
          </w:cols>
          <w:pgMar w:left="32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20"/>
        <w:spacing w:after="0" w:line="234" w:lineRule="auto"/>
        <w:rPr>
          <w:sz w:val="20"/>
          <w:szCs w:val="20"/>
          <w:color w:val="auto"/>
        </w:rPr>
      </w:pPr>
      <w:r>
        <w:rPr>
          <w:rFonts w:ascii="Arial" w:cs="Arial" w:eastAsia="Arial" w:hAnsi="Arial"/>
          <w:sz w:val="18"/>
          <w:szCs w:val="18"/>
          <w:color w:val="auto"/>
        </w:rPr>
        <w:t>and would decrease dilution to investors in this offering by $ per share, and a decrease of 1,000,000 in the number of shares we are offering would decrease our pro forma as adjusted net tangible book value as of September 30, 2019 after this offering by $ million, or $ per share, and would increase dilution to investors in this offering by $ per share. The pro forma as adjusted information is</w:t>
      </w:r>
    </w:p>
    <w:p>
      <w:pPr>
        <w:spacing w:after="0" w:line="2"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illustrative only, and we will adjust this information based on the actual initial public offering price and other terms of this offering determined at pricing.</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the underwriters fully exercise their option to purchase additional shares, the pro forma as adjusted net tangible book value after this</w:t>
      </w:r>
    </w:p>
    <w:p>
      <w:pPr>
        <w:ind w:left="120"/>
        <w:spacing w:after="0"/>
        <w:tabs>
          <w:tab w:leader="none" w:pos="2160" w:val="left"/>
        </w:tabs>
        <w:rPr>
          <w:sz w:val="20"/>
          <w:szCs w:val="20"/>
          <w:color w:val="auto"/>
        </w:rPr>
      </w:pPr>
      <w:r>
        <w:rPr>
          <w:rFonts w:ascii="Arial" w:cs="Arial" w:eastAsia="Arial" w:hAnsi="Arial"/>
          <w:sz w:val="18"/>
          <w:szCs w:val="18"/>
          <w:color w:val="auto"/>
        </w:rPr>
        <w:t>offering would be $</w:t>
      </w:r>
      <w:r>
        <w:rPr>
          <w:sz w:val="20"/>
          <w:szCs w:val="20"/>
          <w:color w:val="auto"/>
        </w:rPr>
        <w:tab/>
      </w:r>
      <w:r>
        <w:rPr>
          <w:rFonts w:ascii="Arial" w:cs="Arial" w:eastAsia="Arial" w:hAnsi="Arial"/>
          <w:sz w:val="16"/>
          <w:szCs w:val="16"/>
          <w:color w:val="auto"/>
        </w:rPr>
        <w:t>, the increase in pro forma as adjusted net tangible book value per share to existing stockholders would be</w:t>
      </w:r>
    </w:p>
    <w:p>
      <w:pPr>
        <w:ind w:left="800" w:hanging="684"/>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per share, and there would be an immediate dilution of $</w:t>
      </w:r>
      <w:r>
        <w:rPr>
          <w:rFonts w:ascii="Arial" w:cs="Arial" w:eastAsia="Arial" w:hAnsi="Arial"/>
          <w:sz w:val="16"/>
          <w:szCs w:val="16"/>
          <w:color w:val="auto"/>
        </w:rPr>
        <w:t>per share to new investors, in each case assuming an initial offering</w:t>
      </w:r>
    </w:p>
    <w:p>
      <w:pPr>
        <w:ind w:left="120"/>
        <w:spacing w:after="0"/>
        <w:rPr>
          <w:rFonts w:ascii="Arial" w:cs="Arial" w:eastAsia="Arial" w:hAnsi="Arial"/>
          <w:sz w:val="18"/>
          <w:szCs w:val="18"/>
          <w:color w:val="auto"/>
        </w:rPr>
      </w:pPr>
      <w:r>
        <w:rPr>
          <w:rFonts w:ascii="Arial" w:cs="Arial" w:eastAsia="Arial" w:hAnsi="Arial"/>
          <w:sz w:val="18"/>
          <w:szCs w:val="18"/>
          <w:color w:val="auto"/>
        </w:rPr>
        <w:t>price of $</w:t>
      </w:r>
      <w:r>
        <w:rPr>
          <w:rFonts w:ascii="Arial" w:cs="Arial" w:eastAsia="Arial" w:hAnsi="Arial"/>
          <w:sz w:val="16"/>
          <w:szCs w:val="16"/>
          <w:color w:val="auto"/>
        </w:rPr>
        <w:t>per share (the midpoint of the price range set forth on the cover of this prospectus).</w:t>
      </w:r>
    </w:p>
    <w:p>
      <w:pPr>
        <w:spacing w:after="0" w:line="104"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To the extent that outstanding options with an exercise price per share that is less than the pro forma as adjusted net tangible book value per share are exercised, new investors will experience further dilution. In addition, 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stockholders.</w:t>
      </w:r>
    </w:p>
    <w:p>
      <w:pPr>
        <w:spacing w:after="0" w:line="103" w:lineRule="exact"/>
        <w:rPr>
          <w:sz w:val="20"/>
          <w:szCs w:val="20"/>
          <w:color w:val="auto"/>
        </w:rPr>
      </w:pPr>
    </w:p>
    <w:p>
      <w:pPr>
        <w:ind w:left="120" w:right="40"/>
        <w:spacing w:after="0" w:line="264" w:lineRule="auto"/>
        <w:rPr>
          <w:sz w:val="20"/>
          <w:szCs w:val="20"/>
          <w:color w:val="auto"/>
        </w:rPr>
      </w:pPr>
      <w:r>
        <w:rPr>
          <w:rFonts w:ascii="Arial" w:cs="Arial" w:eastAsia="Arial" w:hAnsi="Arial"/>
          <w:sz w:val="16"/>
          <w:szCs w:val="16"/>
          <w:color w:val="auto"/>
        </w:rPr>
        <w:t>The following table shows, as of September 30, 2019, on a pro forma as adjusted basis, the number of shares of common stock purchased from us, the total consideration paid or to be paid to us and the average price paid per share by existing stockholders for shares issued prior to this offering and the price to be paid by new investors purchasing common stock in this offering at an assumed initial public offering price of</w:t>
      </w:r>
    </w:p>
    <w:p>
      <w:pPr>
        <w:ind w:left="120" w:right="620" w:hanging="4"/>
        <w:spacing w:after="0" w:line="239" w:lineRule="auto"/>
        <w:tabs>
          <w:tab w:leader="none" w:pos="608"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per share (the midpoint of the price range set forth on the cover of this prospectus), before deducting the estimated underwriting discounts and commissions and estimated offering expenses payable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4" w:lineRule="exact"/>
        <w:rPr>
          <w:sz w:val="20"/>
          <w:szCs w:val="20"/>
          <w:color w:val="auto"/>
        </w:rPr>
      </w:pPr>
    </w:p>
    <w:tbl>
      <w:tblPr>
        <w:tblLayout w:type="fixed"/>
        <w:tblInd w:w="120" w:type="dxa"/>
        <w:tblCellMar>
          <w:top w:w="0" w:type="dxa"/>
          <w:left w:w="0" w:type="dxa"/>
          <w:bottom w:w="0" w:type="dxa"/>
          <w:right w:w="0" w:type="dxa"/>
        </w:tblCellMar>
      </w:tblPr>
      <w:tr>
        <w:trPr>
          <w:trHeight w:val="227"/>
        </w:trPr>
        <w:tc>
          <w:tcPr>
            <w:tcW w:w="5040" w:type="dxa"/>
            <w:vAlign w:val="bottom"/>
          </w:tcPr>
          <w:p>
            <w:pPr>
              <w:spacing w:after="0"/>
              <w:rPr>
                <w:sz w:val="19"/>
                <w:szCs w:val="19"/>
                <w:color w:val="auto"/>
              </w:rPr>
            </w:pPr>
          </w:p>
        </w:tc>
        <w:tc>
          <w:tcPr>
            <w:tcW w:w="184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8"/>
                <w:szCs w:val="18"/>
                <w:b w:val="1"/>
                <w:bCs w:val="1"/>
                <w:color w:val="auto"/>
              </w:rPr>
              <w:t>Shares purchased</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8"/>
                <w:szCs w:val="18"/>
                <w:b w:val="1"/>
                <w:bCs w:val="1"/>
                <w:color w:val="auto"/>
              </w:rPr>
              <w:t>Total consideration</w:t>
            </w:r>
          </w:p>
        </w:tc>
        <w:tc>
          <w:tcPr>
            <w:tcW w:w="220" w:type="dxa"/>
            <w:vAlign w:val="bottom"/>
          </w:tcPr>
          <w:p>
            <w:pPr>
              <w:spacing w:after="0"/>
              <w:rPr>
                <w:sz w:val="19"/>
                <w:szCs w:val="19"/>
                <w:color w:val="auto"/>
              </w:rPr>
            </w:pPr>
          </w:p>
        </w:tc>
        <w:tc>
          <w:tcPr>
            <w:tcW w:w="1440" w:type="dxa"/>
            <w:vAlign w:val="bottom"/>
          </w:tcPr>
          <w:p>
            <w:pPr>
              <w:ind w:left="220"/>
              <w:spacing w:after="0"/>
              <w:rPr>
                <w:sz w:val="20"/>
                <w:szCs w:val="20"/>
                <w:color w:val="auto"/>
              </w:rPr>
            </w:pPr>
            <w:r>
              <w:rPr>
                <w:rFonts w:ascii="Arial" w:cs="Arial" w:eastAsia="Arial" w:hAnsi="Arial"/>
                <w:sz w:val="18"/>
                <w:szCs w:val="18"/>
                <w:b w:val="1"/>
                <w:bCs w:val="1"/>
                <w:color w:val="auto"/>
              </w:rPr>
              <w:t>Average price</w:t>
            </w:r>
          </w:p>
        </w:tc>
      </w:tr>
      <w:tr>
        <w:trPr>
          <w:trHeight w:val="223"/>
        </w:trPr>
        <w:tc>
          <w:tcPr>
            <w:tcW w:w="50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Number</w:t>
            </w:r>
          </w:p>
        </w:tc>
        <w:tc>
          <w:tcPr>
            <w:tcW w:w="11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Percent</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Amount</w:t>
            </w:r>
          </w:p>
        </w:tc>
        <w:tc>
          <w:tcPr>
            <w:tcW w:w="11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Percent</w:t>
            </w:r>
          </w:p>
        </w:tc>
        <w:tc>
          <w:tcPr>
            <w:tcW w:w="144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per share</w:t>
            </w:r>
          </w:p>
        </w:tc>
      </w:tr>
      <w:tr>
        <w:trPr>
          <w:trHeight w:val="142"/>
        </w:trPr>
        <w:tc>
          <w:tcPr>
            <w:tcW w:w="5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line="142" w:lineRule="exact"/>
              <w:rPr>
                <w:sz w:val="20"/>
                <w:szCs w:val="20"/>
                <w:color w:val="auto"/>
              </w:rPr>
            </w:pPr>
            <w:r>
              <w:rPr>
                <w:rFonts w:ascii="Arial" w:cs="Arial" w:eastAsia="Arial" w:hAnsi="Arial"/>
                <w:sz w:val="13"/>
                <w:szCs w:val="13"/>
                <w:b w:val="1"/>
                <w:bCs w:val="1"/>
                <w:color w:val="auto"/>
              </w:rPr>
              <w:t>(in thousands)</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203"/>
        </w:trPr>
        <w:tc>
          <w:tcPr>
            <w:tcW w:w="5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Existing stockholders before this offering</w:t>
            </w: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r>
      <w:tr>
        <w:trPr>
          <w:trHeight w:val="210"/>
        </w:trPr>
        <w:tc>
          <w:tcPr>
            <w:tcW w:w="5040" w:type="dxa"/>
            <w:vAlign w:val="bottom"/>
          </w:tcPr>
          <w:p>
            <w:pPr>
              <w:spacing w:after="0" w:line="202" w:lineRule="exact"/>
              <w:rPr>
                <w:sz w:val="20"/>
                <w:szCs w:val="20"/>
                <w:color w:val="auto"/>
              </w:rPr>
            </w:pPr>
            <w:r>
              <w:rPr>
                <w:rFonts w:ascii="Arial" w:cs="Arial" w:eastAsia="Arial" w:hAnsi="Arial"/>
                <w:sz w:val="18"/>
                <w:szCs w:val="18"/>
                <w:color w:val="auto"/>
              </w:rPr>
              <w:t>Investors participating in this offering</w:t>
            </w:r>
          </w:p>
        </w:tc>
        <w:tc>
          <w:tcPr>
            <w:tcW w:w="9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gridSpan w:val="2"/>
          </w:tcPr>
          <w:p>
            <w:pPr>
              <w:ind w:left="220"/>
              <w:spacing w:after="0" w:line="202"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4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5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spacing w:after="0"/>
              <w:rPr>
                <w:sz w:val="17"/>
                <w:szCs w:val="17"/>
                <w:color w:val="auto"/>
              </w:rPr>
            </w:pP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1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number of shares of common stock to be outstanding after this offering is based on the number of shares outstanding as of</w:t>
      </w:r>
    </w:p>
    <w:p>
      <w:pPr>
        <w:ind w:left="120"/>
        <w:spacing w:after="0"/>
        <w:rPr>
          <w:sz w:val="20"/>
          <w:szCs w:val="20"/>
          <w:color w:val="auto"/>
        </w:rPr>
      </w:pPr>
      <w:r>
        <w:rPr>
          <w:rFonts w:ascii="Arial" w:cs="Arial" w:eastAsia="Arial" w:hAnsi="Arial"/>
          <w:sz w:val="18"/>
          <w:szCs w:val="18"/>
          <w:color w:val="auto"/>
        </w:rPr>
        <w:t>September 30, 2019 and excludes the following:</w:t>
      </w:r>
    </w:p>
    <w:p>
      <w:pPr>
        <w:spacing w:after="0" w:line="113" w:lineRule="exact"/>
        <w:rPr>
          <w:sz w:val="20"/>
          <w:szCs w:val="20"/>
          <w:color w:val="auto"/>
        </w:rPr>
      </w:pPr>
    </w:p>
    <w:p>
      <w:pPr>
        <w:ind w:left="920" w:hanging="804"/>
        <w:spacing w:after="0"/>
        <w:tabs>
          <w:tab w:leader="none" w:pos="9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shares of common stock issuable upon the exercise of outstanding stock options as of September 30, 2019 having a weighted-</w:t>
      </w:r>
    </w:p>
    <w:p>
      <w:pPr>
        <w:ind w:left="340"/>
        <w:spacing w:after="0"/>
        <w:tabs>
          <w:tab w:leader="none" w:pos="3000" w:val="left"/>
        </w:tabs>
        <w:rPr>
          <w:sz w:val="20"/>
          <w:szCs w:val="20"/>
          <w:color w:val="auto"/>
        </w:rPr>
      </w:pPr>
      <w:r>
        <w:rPr>
          <w:rFonts w:ascii="Arial" w:cs="Arial" w:eastAsia="Arial" w:hAnsi="Arial"/>
          <w:sz w:val="18"/>
          <w:szCs w:val="18"/>
          <w:color w:val="auto"/>
        </w:rPr>
        <w:t>average exercise price of $</w:t>
      </w:r>
      <w:r>
        <w:rPr>
          <w:sz w:val="20"/>
          <w:szCs w:val="20"/>
          <w:color w:val="auto"/>
        </w:rPr>
        <w:tab/>
      </w:r>
      <w:r>
        <w:rPr>
          <w:rFonts w:ascii="Arial" w:cs="Arial" w:eastAsia="Arial" w:hAnsi="Arial"/>
          <w:sz w:val="16"/>
          <w:szCs w:val="16"/>
          <w:color w:val="auto"/>
        </w:rPr>
        <w:t>per share;</w:t>
      </w:r>
    </w:p>
    <w:p>
      <w:pPr>
        <w:spacing w:after="0" w:line="117" w:lineRule="exact"/>
        <w:rPr>
          <w:sz w:val="20"/>
          <w:szCs w:val="20"/>
          <w:color w:val="auto"/>
        </w:rPr>
      </w:pPr>
    </w:p>
    <w:p>
      <w:pPr>
        <w:ind w:left="920" w:hanging="804"/>
        <w:spacing w:after="0"/>
        <w:tabs>
          <w:tab w:leader="none" w:pos="9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shares of common stock issuable upon the exercise of stock options granted after September 30, 2019 having a weighted-average</w:t>
      </w:r>
    </w:p>
    <w:p>
      <w:pPr>
        <w:spacing w:after="0" w:line="19" w:lineRule="exact"/>
        <w:rPr>
          <w:sz w:val="20"/>
          <w:szCs w:val="20"/>
          <w:color w:val="auto"/>
        </w:rPr>
      </w:pPr>
    </w:p>
    <w:p>
      <w:pPr>
        <w:ind w:left="340"/>
        <w:spacing w:after="0"/>
        <w:tabs>
          <w:tab w:leader="none" w:pos="2320" w:val="left"/>
        </w:tabs>
        <w:rPr>
          <w:sz w:val="20"/>
          <w:szCs w:val="20"/>
          <w:color w:val="auto"/>
        </w:rPr>
      </w:pPr>
      <w:r>
        <w:rPr>
          <w:rFonts w:ascii="Arial" w:cs="Arial" w:eastAsia="Arial" w:hAnsi="Arial"/>
          <w:sz w:val="18"/>
          <w:szCs w:val="18"/>
          <w:color w:val="auto"/>
        </w:rPr>
        <w:t>exercise price of $</w:t>
      </w:r>
      <w:r>
        <w:rPr>
          <w:sz w:val="20"/>
          <w:szCs w:val="20"/>
          <w:color w:val="auto"/>
        </w:rPr>
        <w:tab/>
      </w:r>
      <w:r>
        <w:rPr>
          <w:rFonts w:ascii="Arial" w:cs="Arial" w:eastAsia="Arial" w:hAnsi="Arial"/>
          <w:sz w:val="16"/>
          <w:szCs w:val="16"/>
          <w:color w:val="auto"/>
        </w:rPr>
        <w:t>per share;</w:t>
      </w:r>
    </w:p>
    <w:p>
      <w:pPr>
        <w:ind w:left="920" w:hanging="804"/>
        <w:spacing w:after="0" w:line="187" w:lineRule="auto"/>
        <w:tabs>
          <w:tab w:leader="none" w:pos="920" w:val="left"/>
        </w:tabs>
        <w:numPr>
          <w:ilvl w:val="0"/>
          <w:numId w:val="55"/>
        </w:numPr>
        <w:rPr>
          <w:rFonts w:ascii="Arial" w:cs="Arial" w:eastAsia="Arial" w:hAnsi="Arial"/>
          <w:sz w:val="13"/>
          <w:szCs w:val="13"/>
          <w:color w:val="auto"/>
        </w:rPr>
      </w:pPr>
      <w:r>
        <w:rPr>
          <w:rFonts w:ascii="Arial" w:cs="Arial" w:eastAsia="Arial" w:hAnsi="Arial"/>
          <w:sz w:val="13"/>
          <w:szCs w:val="13"/>
          <w:color w:val="auto"/>
        </w:rPr>
        <w:t>shares of common stock reserved for issuance pursuant to future awards under our 2014 Equity Incentive Plan, as amended, as of</w:t>
      </w:r>
    </w:p>
    <w:p>
      <w:pPr>
        <w:spacing w:after="0" w:line="203" w:lineRule="exact"/>
        <w:rPr>
          <w:sz w:val="20"/>
          <w:szCs w:val="20"/>
          <w:color w:val="auto"/>
        </w:rPr>
      </w:pPr>
    </w:p>
    <w:p>
      <w:pPr>
        <w:ind w:left="340"/>
        <w:spacing w:after="0"/>
        <w:tabs>
          <w:tab w:leader="none" w:pos="6440" w:val="left"/>
        </w:tabs>
        <w:rPr>
          <w:sz w:val="20"/>
          <w:szCs w:val="20"/>
          <w:color w:val="auto"/>
        </w:rPr>
      </w:pPr>
      <w:r>
        <w:rPr>
          <w:rFonts w:ascii="Arial" w:cs="Arial" w:eastAsia="Arial" w:hAnsi="Arial"/>
          <w:sz w:val="18"/>
          <w:szCs w:val="18"/>
          <w:color w:val="auto"/>
        </w:rPr>
        <w:t>September 30, 2019, which will become available for issuance under our 20</w:t>
      </w:r>
      <w:r>
        <w:rPr>
          <w:sz w:val="20"/>
          <w:szCs w:val="20"/>
          <w:color w:val="auto"/>
        </w:rPr>
        <w:tab/>
      </w:r>
      <w:r>
        <w:rPr>
          <w:rFonts w:ascii="Arial" w:cs="Arial" w:eastAsia="Arial" w:hAnsi="Arial"/>
          <w:sz w:val="16"/>
          <w:szCs w:val="16"/>
          <w:color w:val="auto"/>
        </w:rPr>
        <w:t>Incentive Award Plan after consummation of this offering;</w:t>
      </w:r>
    </w:p>
    <w:p>
      <w:pPr>
        <w:spacing w:after="0" w:line="117" w:lineRule="exact"/>
        <w:rPr>
          <w:sz w:val="20"/>
          <w:szCs w:val="20"/>
          <w:color w:val="auto"/>
        </w:rPr>
      </w:pPr>
    </w:p>
    <w:p>
      <w:pPr>
        <w:ind w:left="340" w:right="40" w:hanging="215"/>
        <w:spacing w:after="0" w:line="238" w:lineRule="auto"/>
        <w:tabs>
          <w:tab w:leader="none" w:pos="320" w:val="left"/>
        </w:tabs>
        <w:rPr>
          <w:sz w:val="20"/>
          <w:szCs w:val="20"/>
          <w:color w:val="auto"/>
        </w:rPr>
      </w:pPr>
      <w:r>
        <w:rPr>
          <w:rFonts w:ascii="Arial" w:cs="Arial" w:eastAsia="Arial" w:hAnsi="Arial"/>
          <w:sz w:val="18"/>
          <w:szCs w:val="18"/>
          <w:color w:val="auto"/>
        </w:rPr>
        <w:t>•</w:t>
        <w:tab/>
        <w:t>shares of common stock reserved for issuance pursuant to future awards under our 20 Incentive Award Plan, as well as any automatic increases in the number of shares of our common stock reserved for future issuance under this plan, which will become effective on the day prior to the first public trading date of our common stock; and</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40"/>
          </w:cols>
          <w:pgMar w:left="32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hanging="215"/>
        <w:spacing w:after="0" w:line="238" w:lineRule="auto"/>
        <w:tabs>
          <w:tab w:leader="none" w:pos="320" w:val="left"/>
        </w:tabs>
        <w:rPr>
          <w:sz w:val="20"/>
          <w:szCs w:val="20"/>
          <w:color w:val="auto"/>
        </w:rPr>
      </w:pPr>
      <w:r>
        <w:rPr>
          <w:rFonts w:ascii="Arial" w:cs="Arial" w:eastAsia="Arial" w:hAnsi="Arial"/>
          <w:sz w:val="18"/>
          <w:szCs w:val="18"/>
          <w:color w:val="auto"/>
        </w:rPr>
        <w:t>•</w:t>
        <w:tab/>
        <w:t>shares of common stock reserved for issuance pursuant to future awards under our 20 Employee Stock Purchase Plan, as well as any automatic increases in the number of shares of our common stock reserved for future issuance under this plan, which will become effective on the day prior to the first public trading date of our common stock.</w:t>
      </w:r>
    </w:p>
    <w:p>
      <w:pPr>
        <w:spacing w:after="0" w:line="14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860"/>
          </w:cols>
          <w:pgMar w:left="320" w:top="459" w:right="7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Selected consolidated financial data</w:t>
      </w:r>
    </w:p>
    <w:p>
      <w:pPr>
        <w:spacing w:after="0" w:line="139" w:lineRule="exact"/>
        <w:rPr>
          <w:sz w:val="20"/>
          <w:szCs w:val="20"/>
          <w:color w:val="auto"/>
        </w:rPr>
      </w:pPr>
    </w:p>
    <w:p>
      <w:pPr>
        <w:ind w:left="120" w:right="100"/>
        <w:spacing w:after="0" w:line="241" w:lineRule="auto"/>
        <w:rPr>
          <w:sz w:val="20"/>
          <w:szCs w:val="20"/>
          <w:color w:val="auto"/>
        </w:rPr>
      </w:pPr>
      <w:r>
        <w:rPr>
          <w:rFonts w:ascii="Arial" w:cs="Arial" w:eastAsia="Arial" w:hAnsi="Arial"/>
          <w:sz w:val="18"/>
          <w:szCs w:val="18"/>
          <w:i w:val="1"/>
          <w:iCs w:val="1"/>
          <w:color w:val="auto"/>
        </w:rPr>
        <w:t>The following tables summarize our selected consolidated financial data. You should read this data together with our consolidated financial statements and related notes appearing elsewhere in this prospectus and the information under the caption “Unaudited pro forma condensed combined financial statements” and “Management’s discussion and analysis of financial condition and results of operations.” The selected consolidated financial data in this section are not intended to replace the financial statements and are qualified in their entirety by the consolidated financial statements and related notes included elsewhere in this prospectus.</w:t>
      </w:r>
    </w:p>
    <w:p>
      <w:pPr>
        <w:spacing w:after="0" w:line="99" w:lineRule="exact"/>
        <w:rPr>
          <w:sz w:val="20"/>
          <w:szCs w:val="20"/>
          <w:color w:val="auto"/>
        </w:rPr>
      </w:pPr>
    </w:p>
    <w:p>
      <w:pPr>
        <w:ind w:left="120" w:right="100"/>
        <w:spacing w:after="0" w:line="267" w:lineRule="auto"/>
        <w:rPr>
          <w:sz w:val="20"/>
          <w:szCs w:val="20"/>
          <w:color w:val="auto"/>
        </w:rPr>
      </w:pPr>
      <w:r>
        <w:rPr>
          <w:rFonts w:ascii="Arial" w:cs="Arial" w:eastAsia="Arial" w:hAnsi="Arial"/>
          <w:sz w:val="16"/>
          <w:szCs w:val="16"/>
          <w:color w:val="auto"/>
        </w:rPr>
        <w:t>We have derived the following selected consolidated statements of operations and comprehensive loss data for the years ended December 31, 2017 and 2018 (except for the pro forma net loss per share and the pro forma share information) and the balance sheet data as of December 31, 2017 and 2018 from our audited consolidated financial statements and related notes included elsewhere in this prospectus. The selected consolidated statements of operations and comprehensive loss data for the nine months ended September 30, 2018 and 2019 and the selected consolidated balance sheet data as of September 30, 2019 are derived from our unaudited interim consolidated financial statements included elsewhere in this prospectus. The unaudited interim financial statements have been prepared in accordance with generally accepted accounting principles in the United Stated and on the same basis as the audited consolidated financial statements and, in the opinion of management, reflect all adjustments, which include only normal recurring adjustments, necessary to state fairly our financial position as of September 30, 2019 and the results of operations for the nine months ended September 30, 2018 and 2019. On October 24, 2018, we acquired Warp Drive for total consideration valued at $69.0 million. Our consolidated financial statements included the results of operations of Warp Drive and estimated fair values of assets acquired and liabilities assumed commencing as of the acquisition date. Our historical results are not necessarily indicative of the results that may be expected in the future and results for the nine months ended September 30, 2019 are not necessarily indicative of results to be expected for the full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187325</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2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6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78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rPr>
              <w:t>Nine months ended</w:t>
            </w:r>
          </w:p>
        </w:tc>
      </w:tr>
      <w:tr>
        <w:trPr>
          <w:trHeight w:val="165"/>
        </w:trPr>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4"/>
          </w:tcPr>
          <w:p>
            <w:pPr>
              <w:jc w:val="right"/>
              <w:ind w:right="900"/>
              <w:spacing w:after="0"/>
              <w:rPr>
                <w:sz w:val="20"/>
                <w:szCs w:val="20"/>
                <w:color w:val="auto"/>
              </w:rPr>
            </w:pPr>
            <w:r>
              <w:rPr>
                <w:rFonts w:ascii="Arial" w:cs="Arial" w:eastAsia="Arial" w:hAnsi="Arial"/>
                <w:sz w:val="13"/>
                <w:szCs w:val="13"/>
                <w:b w:val="1"/>
                <w:bCs w:val="1"/>
                <w:color w:val="auto"/>
              </w:rPr>
              <w:t>Year ended December 31,</w:t>
            </w:r>
          </w:p>
        </w:tc>
        <w:tc>
          <w:tcPr>
            <w:tcW w:w="178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rPr>
              <w:t>September 30,</w:t>
            </w:r>
          </w:p>
        </w:tc>
      </w:tr>
      <w:tr>
        <w:trPr>
          <w:trHeight w:val="223"/>
        </w:trPr>
        <w:tc>
          <w:tcPr>
            <w:tcW w:w="644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3"/>
                <w:szCs w:val="13"/>
                <w:b w:val="1"/>
                <w:bCs w:val="1"/>
                <w:color w:val="auto"/>
              </w:rPr>
              <w:t>2017</w:t>
            </w:r>
          </w:p>
        </w:tc>
        <w:tc>
          <w:tcPr>
            <w:tcW w:w="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2018</w:t>
            </w:r>
          </w:p>
        </w:tc>
        <w:tc>
          <w:tcPr>
            <w:tcW w:w="640" w:type="dxa"/>
            <w:vAlign w:val="bottom"/>
            <w:tcBorders>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673"/>
              <w:spacing w:after="0"/>
              <w:rPr>
                <w:sz w:val="20"/>
                <w:szCs w:val="20"/>
                <w:color w:val="auto"/>
              </w:rPr>
            </w:pPr>
            <w:r>
              <w:rPr>
                <w:rFonts w:ascii="Arial" w:cs="Arial" w:eastAsia="Arial" w:hAnsi="Arial"/>
                <w:sz w:val="13"/>
                <w:szCs w:val="13"/>
                <w:b w:val="1"/>
                <w:bCs w:val="1"/>
                <w:color w:val="auto"/>
              </w:rPr>
              <w:t>2018</w:t>
            </w:r>
          </w:p>
        </w:tc>
        <w:tc>
          <w:tcPr>
            <w:tcW w:w="5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2019</w:t>
            </w:r>
          </w:p>
        </w:tc>
        <w:tc>
          <w:tcPr>
            <w:tcW w:w="40" w:type="dxa"/>
            <w:vAlign w:val="bottom"/>
            <w:tcBorders>
              <w:bottom w:val="single" w:sz="8" w:color="auto"/>
            </w:tcBorders>
          </w:tcPr>
          <w:p>
            <w:pPr>
              <w:spacing w:after="0"/>
              <w:rPr>
                <w:sz w:val="19"/>
                <w:szCs w:val="19"/>
                <w:color w:val="auto"/>
              </w:rPr>
            </w:pPr>
          </w:p>
        </w:tc>
      </w:tr>
      <w:tr>
        <w:trPr>
          <w:trHeight w:val="172"/>
        </w:trPr>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60" w:type="dxa"/>
            <w:vAlign w:val="bottom"/>
            <w:gridSpan w:val="5"/>
          </w:tcPr>
          <w:p>
            <w:pPr>
              <w:jc w:val="right"/>
              <w:ind w:right="93"/>
              <w:spacing w:after="0"/>
              <w:rPr>
                <w:sz w:val="20"/>
                <w:szCs w:val="20"/>
                <w:color w:val="auto"/>
              </w:rPr>
            </w:pPr>
            <w:r>
              <w:rPr>
                <w:rFonts w:ascii="Arial" w:cs="Arial" w:eastAsia="Arial" w:hAnsi="Arial"/>
                <w:sz w:val="13"/>
                <w:szCs w:val="13"/>
                <w:b w:val="1"/>
                <w:bCs w:val="1"/>
                <w:color w:val="auto"/>
              </w:rPr>
              <w:t>(in thousands, except share and per share data)</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8"/>
        </w:trPr>
        <w:tc>
          <w:tcPr>
            <w:tcW w:w="6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148"/>
        </w:trPr>
        <w:tc>
          <w:tcPr>
            <w:tcW w:w="64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Consolidated Statements of Operations Data:</w:t>
            </w: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6440" w:type="dxa"/>
            <w:vAlign w:val="bottom"/>
          </w:tcPr>
          <w:p>
            <w:pPr>
              <w:spacing w:after="0"/>
              <w:rPr>
                <w:sz w:val="20"/>
                <w:szCs w:val="20"/>
                <w:color w:val="auto"/>
              </w:rPr>
            </w:pPr>
            <w:r>
              <w:rPr>
                <w:rFonts w:ascii="Arial" w:cs="Arial" w:eastAsia="Arial" w:hAnsi="Arial"/>
                <w:sz w:val="13"/>
                <w:szCs w:val="13"/>
                <w:color w:val="auto"/>
              </w:rPr>
              <w:t>Revenue:</w:t>
            </w: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64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Collaboration revenue, related party</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ind w:right="57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3"/>
                <w:szCs w:val="13"/>
                <w:color w:val="auto"/>
              </w:rPr>
              <w:t>19,420</w:t>
            </w:r>
          </w:p>
        </w:tc>
        <w:tc>
          <w:tcPr>
            <w:tcW w:w="1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6"/>
        </w:trPr>
        <w:tc>
          <w:tcPr>
            <w:tcW w:w="6440" w:type="dxa"/>
            <w:vAlign w:val="bottom"/>
          </w:tcPr>
          <w:p>
            <w:pPr>
              <w:ind w:left="220"/>
              <w:spacing w:after="0"/>
              <w:rPr>
                <w:sz w:val="20"/>
                <w:szCs w:val="20"/>
                <w:color w:val="auto"/>
              </w:rPr>
            </w:pPr>
            <w:r>
              <w:rPr>
                <w:rFonts w:ascii="Arial" w:cs="Arial" w:eastAsia="Arial" w:hAnsi="Arial"/>
                <w:sz w:val="13"/>
                <w:szCs w:val="13"/>
                <w:color w:val="auto"/>
              </w:rPr>
              <w:t>Collaboration revenue, other</w:t>
            </w: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73"/>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3"/>
                <w:szCs w:val="13"/>
                <w:color w:val="auto"/>
              </w:rPr>
              <w:t>745</w:t>
            </w:r>
          </w:p>
        </w:tc>
        <w:tc>
          <w:tcPr>
            <w:tcW w:w="1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48"/>
        </w:trPr>
        <w:tc>
          <w:tcPr>
            <w:tcW w:w="64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Total revenue</w:t>
            </w: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57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3"/>
                <w:szCs w:val="13"/>
                <w:color w:val="auto"/>
              </w:rPr>
              <w:t>20,165</w:t>
            </w:r>
          </w:p>
        </w:tc>
        <w:tc>
          <w:tcPr>
            <w:tcW w:w="1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3"/>
                <w:szCs w:val="13"/>
                <w:color w:val="auto"/>
              </w:rPr>
              <w:t>Operating expenses:</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49"/>
        </w:trPr>
        <w:tc>
          <w:tcPr>
            <w:tcW w:w="64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Research and development</w:t>
            </w: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573"/>
              <w:spacing w:after="0"/>
              <w:rPr>
                <w:sz w:val="20"/>
                <w:szCs w:val="20"/>
                <w:color w:val="auto"/>
              </w:rPr>
            </w:pPr>
            <w:r>
              <w:rPr>
                <w:rFonts w:ascii="Arial" w:cs="Arial" w:eastAsia="Arial" w:hAnsi="Arial"/>
                <w:sz w:val="13"/>
                <w:szCs w:val="13"/>
                <w:color w:val="auto"/>
              </w:rPr>
              <w:t>26,586</w:t>
            </w:r>
          </w:p>
        </w:tc>
        <w:tc>
          <w:tcPr>
            <w:tcW w:w="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3"/>
                <w:szCs w:val="13"/>
                <w:color w:val="auto"/>
              </w:rPr>
              <w:t>51,084</w:t>
            </w:r>
          </w:p>
        </w:tc>
        <w:tc>
          <w:tcPr>
            <w:tcW w:w="1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5"/>
        </w:trPr>
        <w:tc>
          <w:tcPr>
            <w:tcW w:w="6440" w:type="dxa"/>
            <w:vAlign w:val="bottom"/>
          </w:tcPr>
          <w:p>
            <w:pPr>
              <w:ind w:left="220"/>
              <w:spacing w:after="0"/>
              <w:rPr>
                <w:sz w:val="20"/>
                <w:szCs w:val="20"/>
                <w:color w:val="auto"/>
              </w:rPr>
            </w:pPr>
            <w:r>
              <w:rPr>
                <w:rFonts w:ascii="Arial" w:cs="Arial" w:eastAsia="Arial" w:hAnsi="Arial"/>
                <w:sz w:val="13"/>
                <w:szCs w:val="13"/>
                <w:color w:val="auto"/>
              </w:rPr>
              <w:t>General and administrative</w:t>
            </w: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73"/>
              <w:spacing w:after="0"/>
              <w:rPr>
                <w:sz w:val="20"/>
                <w:szCs w:val="20"/>
                <w:color w:val="auto"/>
              </w:rPr>
            </w:pPr>
            <w:r>
              <w:rPr>
                <w:rFonts w:ascii="Arial" w:cs="Arial" w:eastAsia="Arial" w:hAnsi="Arial"/>
                <w:sz w:val="13"/>
                <w:szCs w:val="13"/>
                <w:color w:val="auto"/>
              </w:rPr>
              <w:t>4,543</w:t>
            </w:r>
          </w:p>
        </w:tc>
        <w:tc>
          <w:tcPr>
            <w:tcW w:w="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3"/>
                <w:szCs w:val="13"/>
                <w:color w:val="auto"/>
              </w:rPr>
              <w:t>9,410</w:t>
            </w:r>
          </w:p>
        </w:tc>
        <w:tc>
          <w:tcPr>
            <w:tcW w:w="1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48"/>
        </w:trPr>
        <w:tc>
          <w:tcPr>
            <w:tcW w:w="64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Total operating expenses</w:t>
            </w:r>
          </w:p>
        </w:tc>
        <w:tc>
          <w:tcPr>
            <w:tcW w:w="10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3"/>
                <w:szCs w:val="13"/>
                <w:color w:val="auto"/>
              </w:rPr>
              <w:t>31,129</w:t>
            </w:r>
          </w:p>
        </w:tc>
        <w:tc>
          <w:tcPr>
            <w:tcW w:w="80" w:type="dxa"/>
            <w:vAlign w:val="bottom"/>
            <w:tcBorders>
              <w:bottom w:val="single" w:sz="8" w:color="auto"/>
            </w:tcBorders>
            <w:shd w:val="clear" w:color="auto" w:fill="CCEEFF"/>
          </w:tcPr>
          <w:p>
            <w:pPr>
              <w:spacing w:after="0"/>
              <w:rPr>
                <w:sz w:val="12"/>
                <w:szCs w:val="12"/>
                <w:color w:val="auto"/>
              </w:rPr>
            </w:pPr>
          </w:p>
        </w:tc>
        <w:tc>
          <w:tcPr>
            <w:tcW w:w="1380" w:type="dxa"/>
            <w:vAlign w:val="bottom"/>
            <w:tcBorders>
              <w:bottom w:val="single" w:sz="8" w:color="auto"/>
            </w:tcBorders>
            <w:gridSpan w:val="2"/>
            <w:shd w:val="clear" w:color="auto" w:fill="CCEEFF"/>
          </w:tcPr>
          <w:p>
            <w:pPr>
              <w:jc w:val="right"/>
              <w:ind w:right="640"/>
              <w:spacing w:after="0"/>
              <w:rPr>
                <w:sz w:val="20"/>
                <w:szCs w:val="20"/>
                <w:color w:val="auto"/>
              </w:rPr>
            </w:pPr>
            <w:r>
              <w:rPr>
                <w:rFonts w:ascii="Arial" w:cs="Arial" w:eastAsia="Arial" w:hAnsi="Arial"/>
                <w:sz w:val="13"/>
                <w:szCs w:val="13"/>
                <w:color w:val="auto"/>
              </w:rPr>
              <w:t>60,494</w:t>
            </w:r>
          </w:p>
        </w:tc>
        <w:tc>
          <w:tcPr>
            <w:tcW w:w="11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69"/>
        </w:trPr>
        <w:tc>
          <w:tcPr>
            <w:tcW w:w="6440" w:type="dxa"/>
            <w:vAlign w:val="bottom"/>
          </w:tcPr>
          <w:p>
            <w:pPr>
              <w:spacing w:after="0"/>
              <w:rPr>
                <w:sz w:val="20"/>
                <w:szCs w:val="20"/>
                <w:color w:val="auto"/>
              </w:rPr>
            </w:pPr>
            <w:r>
              <w:rPr>
                <w:rFonts w:ascii="Arial" w:cs="Arial" w:eastAsia="Arial" w:hAnsi="Arial"/>
                <w:sz w:val="13"/>
                <w:szCs w:val="13"/>
                <w:color w:val="auto"/>
              </w:rPr>
              <w:t>Loss from operations</w:t>
            </w:r>
          </w:p>
        </w:tc>
        <w:tc>
          <w:tcPr>
            <w:tcW w:w="100" w:type="dxa"/>
            <w:vAlign w:val="bottom"/>
          </w:tcPr>
          <w:p>
            <w:pPr>
              <w:spacing w:after="0"/>
              <w:rPr>
                <w:sz w:val="14"/>
                <w:szCs w:val="14"/>
                <w:color w:val="auto"/>
              </w:rPr>
            </w:pPr>
          </w:p>
        </w:tc>
        <w:tc>
          <w:tcPr>
            <w:tcW w:w="1240" w:type="dxa"/>
            <w:vAlign w:val="bottom"/>
          </w:tcPr>
          <w:p>
            <w:pPr>
              <w:jc w:val="right"/>
              <w:ind w:right="533"/>
              <w:spacing w:after="0"/>
              <w:rPr>
                <w:sz w:val="20"/>
                <w:szCs w:val="20"/>
                <w:color w:val="auto"/>
              </w:rPr>
            </w:pPr>
            <w:r>
              <w:rPr>
                <w:rFonts w:ascii="Arial" w:cs="Arial" w:eastAsia="Arial" w:hAnsi="Arial"/>
                <w:sz w:val="13"/>
                <w:szCs w:val="13"/>
                <w:color w:val="auto"/>
              </w:rPr>
              <w:t>(31,129)</w:t>
            </w:r>
          </w:p>
        </w:tc>
        <w:tc>
          <w:tcPr>
            <w:tcW w:w="80" w:type="dxa"/>
            <w:vAlign w:val="bottom"/>
          </w:tcPr>
          <w:p>
            <w:pPr>
              <w:spacing w:after="0"/>
              <w:rPr>
                <w:sz w:val="14"/>
                <w:szCs w:val="14"/>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3"/>
                <w:szCs w:val="13"/>
                <w:color w:val="auto"/>
              </w:rPr>
              <w:t>(40,329)</w:t>
            </w:r>
          </w:p>
        </w:tc>
        <w:tc>
          <w:tcPr>
            <w:tcW w:w="1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54"/>
        </w:trPr>
        <w:tc>
          <w:tcPr>
            <w:tcW w:w="6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149"/>
        </w:trPr>
        <w:tc>
          <w:tcPr>
            <w:tcW w:w="6440" w:type="dxa"/>
            <w:vAlign w:val="bottom"/>
            <w:shd w:val="clear" w:color="auto" w:fill="CCEEFF"/>
          </w:tcPr>
          <w:p>
            <w:pPr>
              <w:spacing w:after="0"/>
              <w:rPr>
                <w:sz w:val="20"/>
                <w:szCs w:val="20"/>
                <w:color w:val="auto"/>
              </w:rPr>
            </w:pPr>
            <w:r>
              <w:rPr>
                <w:rFonts w:ascii="Arial" w:cs="Arial" w:eastAsia="Arial" w:hAnsi="Arial"/>
                <w:sz w:val="13"/>
                <w:szCs w:val="13"/>
                <w:color w:val="auto"/>
              </w:rPr>
              <w:t>Other income (expense), net:</w:t>
            </w: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6440" w:type="dxa"/>
            <w:vAlign w:val="bottom"/>
          </w:tcPr>
          <w:p>
            <w:pPr>
              <w:ind w:left="220"/>
              <w:spacing w:after="0"/>
              <w:rPr>
                <w:sz w:val="20"/>
                <w:szCs w:val="20"/>
                <w:color w:val="auto"/>
              </w:rPr>
            </w:pPr>
            <w:r>
              <w:rPr>
                <w:rFonts w:ascii="Arial" w:cs="Arial" w:eastAsia="Arial" w:hAnsi="Arial"/>
                <w:sz w:val="13"/>
                <w:szCs w:val="13"/>
                <w:color w:val="auto"/>
              </w:rPr>
              <w:t>Interest income</w:t>
            </w:r>
          </w:p>
        </w:tc>
        <w:tc>
          <w:tcPr>
            <w:tcW w:w="100" w:type="dxa"/>
            <w:vAlign w:val="bottom"/>
          </w:tcPr>
          <w:p>
            <w:pPr>
              <w:spacing w:after="0"/>
              <w:rPr>
                <w:sz w:val="12"/>
                <w:szCs w:val="12"/>
                <w:color w:val="auto"/>
              </w:rPr>
            </w:pPr>
          </w:p>
        </w:tc>
        <w:tc>
          <w:tcPr>
            <w:tcW w:w="1240" w:type="dxa"/>
            <w:vAlign w:val="bottom"/>
          </w:tcPr>
          <w:p>
            <w:pPr>
              <w:jc w:val="right"/>
              <w:ind w:right="573"/>
              <w:spacing w:after="0"/>
              <w:rPr>
                <w:sz w:val="20"/>
                <w:szCs w:val="20"/>
                <w:color w:val="auto"/>
              </w:rPr>
            </w:pPr>
            <w:r>
              <w:rPr>
                <w:rFonts w:ascii="Arial" w:cs="Arial" w:eastAsia="Arial" w:hAnsi="Arial"/>
                <w:sz w:val="13"/>
                <w:szCs w:val="13"/>
                <w:color w:val="auto"/>
              </w:rPr>
              <w:t>105</w:t>
            </w:r>
          </w:p>
        </w:tc>
        <w:tc>
          <w:tcPr>
            <w:tcW w:w="80" w:type="dxa"/>
            <w:vAlign w:val="bottom"/>
          </w:tcPr>
          <w:p>
            <w:pPr>
              <w:spacing w:after="0"/>
              <w:rPr>
                <w:sz w:val="12"/>
                <w:szCs w:val="12"/>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3"/>
                <w:szCs w:val="13"/>
                <w:color w:val="auto"/>
              </w:rPr>
              <w:t>777</w:t>
            </w:r>
          </w:p>
        </w:tc>
        <w:tc>
          <w:tcPr>
            <w:tcW w:w="1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64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Interest and other expense</w:t>
            </w: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533"/>
              <w:spacing w:after="0"/>
              <w:rPr>
                <w:sz w:val="20"/>
                <w:szCs w:val="20"/>
                <w:color w:val="auto"/>
              </w:rPr>
            </w:pPr>
            <w:r>
              <w:rPr>
                <w:rFonts w:ascii="Arial" w:cs="Arial" w:eastAsia="Arial" w:hAnsi="Arial"/>
                <w:sz w:val="13"/>
                <w:szCs w:val="13"/>
                <w:color w:val="auto"/>
              </w:rPr>
              <w:t>(103)</w:t>
            </w:r>
          </w:p>
        </w:tc>
        <w:tc>
          <w:tcPr>
            <w:tcW w:w="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3"/>
                <w:szCs w:val="13"/>
                <w:color w:val="auto"/>
              </w:rPr>
              <w:t>(116)</w:t>
            </w:r>
          </w:p>
        </w:tc>
        <w:tc>
          <w:tcPr>
            <w:tcW w:w="1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6"/>
        </w:trPr>
        <w:tc>
          <w:tcPr>
            <w:tcW w:w="6440" w:type="dxa"/>
            <w:vAlign w:val="bottom"/>
          </w:tcPr>
          <w:p>
            <w:pPr>
              <w:ind w:left="220"/>
              <w:spacing w:after="0"/>
              <w:rPr>
                <w:sz w:val="20"/>
                <w:szCs w:val="20"/>
                <w:color w:val="auto"/>
              </w:rPr>
            </w:pPr>
            <w:r>
              <w:rPr>
                <w:rFonts w:ascii="Arial" w:cs="Arial" w:eastAsia="Arial" w:hAnsi="Arial"/>
                <w:sz w:val="13"/>
                <w:szCs w:val="13"/>
                <w:color w:val="auto"/>
              </w:rPr>
              <w:t>Change in fair value of redeemable convertible preferred stock liability</w:t>
            </w: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73"/>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3"/>
                <w:szCs w:val="13"/>
                <w:color w:val="auto"/>
              </w:rPr>
              <w:t>(2,121)</w:t>
            </w:r>
          </w:p>
        </w:tc>
        <w:tc>
          <w:tcPr>
            <w:tcW w:w="1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48"/>
        </w:trPr>
        <w:tc>
          <w:tcPr>
            <w:tcW w:w="64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Total other income (expense), net</w:t>
            </w:r>
          </w:p>
        </w:tc>
        <w:tc>
          <w:tcPr>
            <w:tcW w:w="10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3"/>
                <w:szCs w:val="13"/>
                <w:color w:val="auto"/>
              </w:rPr>
              <w:t>2</w:t>
            </w:r>
          </w:p>
        </w:tc>
        <w:tc>
          <w:tcPr>
            <w:tcW w:w="80" w:type="dxa"/>
            <w:vAlign w:val="bottom"/>
            <w:tcBorders>
              <w:bottom w:val="single" w:sz="8" w:color="auto"/>
            </w:tcBorders>
            <w:shd w:val="clear" w:color="auto" w:fill="CCEEFF"/>
          </w:tcPr>
          <w:p>
            <w:pPr>
              <w:spacing w:after="0"/>
              <w:rPr>
                <w:sz w:val="12"/>
                <w:szCs w:val="12"/>
                <w:color w:val="auto"/>
              </w:rPr>
            </w:pPr>
          </w:p>
        </w:tc>
        <w:tc>
          <w:tcPr>
            <w:tcW w:w="1380" w:type="dxa"/>
            <w:vAlign w:val="bottom"/>
            <w:tcBorders>
              <w:bottom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3"/>
                <w:szCs w:val="13"/>
                <w:color w:val="auto"/>
              </w:rPr>
              <w:t>(1,460)</w:t>
            </w:r>
          </w:p>
        </w:tc>
        <w:tc>
          <w:tcPr>
            <w:tcW w:w="11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63"/>
        </w:trPr>
        <w:tc>
          <w:tcPr>
            <w:tcW w:w="6440" w:type="dxa"/>
            <w:vAlign w:val="bottom"/>
          </w:tcPr>
          <w:p>
            <w:pPr>
              <w:spacing w:after="0"/>
              <w:rPr>
                <w:sz w:val="20"/>
                <w:szCs w:val="20"/>
                <w:color w:val="auto"/>
              </w:rPr>
            </w:pPr>
            <w:r>
              <w:rPr>
                <w:rFonts w:ascii="Arial" w:cs="Arial" w:eastAsia="Arial" w:hAnsi="Arial"/>
                <w:sz w:val="13"/>
                <w:szCs w:val="13"/>
                <w:color w:val="auto"/>
              </w:rPr>
              <w:t>Net loss and comprehensive loss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3"/>
                <w:szCs w:val="13"/>
                <w:color w:val="auto"/>
              </w:rPr>
              <w:t>(31,127)</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3"/>
                <w:szCs w:val="13"/>
                <w:color w:val="auto"/>
              </w:rPr>
              <w:t>(41,789)</w:t>
            </w:r>
          </w:p>
        </w:tc>
        <w:tc>
          <w:tcPr>
            <w:tcW w:w="1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8"/>
        </w:trPr>
        <w:tc>
          <w:tcPr>
            <w:tcW w:w="6440" w:type="dxa"/>
            <w:vAlign w:val="bottom"/>
            <w:shd w:val="clear" w:color="auto" w:fill="CCEEFF"/>
          </w:tcPr>
          <w:p>
            <w:pPr>
              <w:spacing w:after="0"/>
              <w:rPr>
                <w:sz w:val="20"/>
                <w:szCs w:val="20"/>
                <w:color w:val="auto"/>
              </w:rPr>
            </w:pPr>
            <w:r>
              <w:rPr>
                <w:rFonts w:ascii="Arial" w:cs="Arial" w:eastAsia="Arial" w:hAnsi="Arial"/>
                <w:sz w:val="13"/>
                <w:szCs w:val="13"/>
                <w:color w:val="auto"/>
              </w:rPr>
              <w:t>Redeemable convertible preferred stock dividends—undeclared and cumulative</w:t>
            </w:r>
          </w:p>
        </w:tc>
        <w:tc>
          <w:tcPr>
            <w:tcW w:w="10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ind w:right="533"/>
              <w:spacing w:after="0"/>
              <w:rPr>
                <w:sz w:val="20"/>
                <w:szCs w:val="20"/>
                <w:color w:val="auto"/>
              </w:rPr>
            </w:pPr>
            <w:r>
              <w:rPr>
                <w:rFonts w:ascii="Arial" w:cs="Arial" w:eastAsia="Arial" w:hAnsi="Arial"/>
                <w:sz w:val="13"/>
                <w:szCs w:val="13"/>
                <w:color w:val="auto"/>
              </w:rPr>
              <w:t>(3,763)</w:t>
            </w:r>
          </w:p>
        </w:tc>
        <w:tc>
          <w:tcPr>
            <w:tcW w:w="80" w:type="dxa"/>
            <w:vAlign w:val="bottom"/>
            <w:tcBorders>
              <w:bottom w:val="single" w:sz="8" w:color="auto"/>
            </w:tcBorders>
            <w:shd w:val="clear" w:color="auto" w:fill="CCEEFF"/>
          </w:tcPr>
          <w:p>
            <w:pPr>
              <w:spacing w:after="0"/>
              <w:rPr>
                <w:sz w:val="12"/>
                <w:szCs w:val="12"/>
                <w:color w:val="auto"/>
              </w:rPr>
            </w:pPr>
          </w:p>
        </w:tc>
        <w:tc>
          <w:tcPr>
            <w:tcW w:w="1380" w:type="dxa"/>
            <w:vAlign w:val="bottom"/>
            <w:tcBorders>
              <w:bottom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3"/>
                <w:szCs w:val="13"/>
                <w:color w:val="auto"/>
              </w:rPr>
              <w:t>(7,031)</w:t>
            </w:r>
          </w:p>
        </w:tc>
        <w:tc>
          <w:tcPr>
            <w:tcW w:w="11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63"/>
        </w:trPr>
        <w:tc>
          <w:tcPr>
            <w:tcW w:w="6440" w:type="dxa"/>
            <w:vAlign w:val="bottom"/>
          </w:tcPr>
          <w:p>
            <w:pPr>
              <w:spacing w:after="0"/>
              <w:rPr>
                <w:sz w:val="20"/>
                <w:szCs w:val="20"/>
                <w:color w:val="auto"/>
              </w:rPr>
            </w:pPr>
            <w:r>
              <w:rPr>
                <w:rFonts w:ascii="Arial" w:cs="Arial" w:eastAsia="Arial" w:hAnsi="Arial"/>
                <w:sz w:val="13"/>
                <w:szCs w:val="13"/>
                <w:color w:val="auto"/>
              </w:rPr>
              <w:t>Net loss attributable to common stockholders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3"/>
                <w:szCs w:val="13"/>
                <w:color w:val="auto"/>
              </w:rPr>
              <w:t>(34,890)</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3"/>
                <w:szCs w:val="13"/>
                <w:color w:val="auto"/>
              </w:rPr>
              <w:t>(48,820)</w:t>
            </w:r>
          </w:p>
        </w:tc>
        <w:tc>
          <w:tcPr>
            <w:tcW w:w="1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9"/>
        </w:trPr>
        <w:tc>
          <w:tcPr>
            <w:tcW w:w="6440" w:type="dxa"/>
            <w:vAlign w:val="bottom"/>
            <w:shd w:val="clear" w:color="auto" w:fill="CCEEFF"/>
          </w:tcPr>
          <w:p>
            <w:pPr>
              <w:spacing w:after="0"/>
              <w:rPr>
                <w:sz w:val="20"/>
                <w:szCs w:val="20"/>
                <w:color w:val="auto"/>
              </w:rPr>
            </w:pPr>
            <w:r>
              <w:rPr>
                <w:rFonts w:ascii="Arial" w:cs="Arial" w:eastAsia="Arial" w:hAnsi="Arial"/>
                <w:sz w:val="13"/>
                <w:szCs w:val="13"/>
                <w:color w:val="auto"/>
              </w:rPr>
              <w:t>Net loss per share attributable to common stockholders—basic and diluted(1)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shd w:val="clear" w:color="auto" w:fill="CCEEFF"/>
          </w:tcPr>
          <w:p>
            <w:pPr>
              <w:jc w:val="right"/>
              <w:ind w:right="533"/>
              <w:spacing w:after="0"/>
              <w:rPr>
                <w:sz w:val="20"/>
                <w:szCs w:val="20"/>
                <w:color w:val="auto"/>
              </w:rPr>
            </w:pPr>
            <w:r>
              <w:rPr>
                <w:rFonts w:ascii="Arial" w:cs="Arial" w:eastAsia="Arial" w:hAnsi="Arial"/>
                <w:sz w:val="13"/>
                <w:szCs w:val="13"/>
                <w:color w:val="auto"/>
              </w:rPr>
              <w:t>(4.16)</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3"/>
                <w:szCs w:val="13"/>
                <w:color w:val="auto"/>
              </w:rPr>
              <w:t>(4.36)</w:t>
            </w:r>
          </w:p>
        </w:tc>
        <w:tc>
          <w:tcPr>
            <w:tcW w:w="11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5"/>
        </w:trPr>
        <w:tc>
          <w:tcPr>
            <w:tcW w:w="6440" w:type="dxa"/>
            <w:vAlign w:val="bottom"/>
          </w:tcPr>
          <w:p>
            <w:pPr>
              <w:spacing w:after="0"/>
              <w:rPr>
                <w:sz w:val="20"/>
                <w:szCs w:val="20"/>
                <w:color w:val="auto"/>
              </w:rPr>
            </w:pPr>
            <w:r>
              <w:rPr>
                <w:rFonts w:ascii="Arial" w:cs="Arial" w:eastAsia="Arial" w:hAnsi="Arial"/>
                <w:sz w:val="13"/>
                <w:szCs w:val="13"/>
                <w:color w:val="auto"/>
              </w:rPr>
              <w:t>Weighted-average shares used to compute net loss per share attributable to common stockholders</w:t>
            </w: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6440" w:type="dxa"/>
            <w:vAlign w:val="bottom"/>
          </w:tcPr>
          <w:p>
            <w:pPr>
              <w:ind w:left="220"/>
              <w:spacing w:after="0"/>
              <w:rPr>
                <w:sz w:val="20"/>
                <w:szCs w:val="20"/>
                <w:color w:val="auto"/>
              </w:rPr>
            </w:pPr>
            <w:r>
              <w:rPr>
                <w:rFonts w:ascii="Arial" w:cs="Arial" w:eastAsia="Arial" w:hAnsi="Arial"/>
                <w:sz w:val="13"/>
                <w:szCs w:val="13"/>
                <w:color w:val="auto"/>
              </w:rPr>
              <w:t>—basic and diluted(1)</w:t>
            </w: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73"/>
              <w:spacing w:after="0"/>
              <w:rPr>
                <w:sz w:val="20"/>
                <w:szCs w:val="20"/>
                <w:color w:val="auto"/>
              </w:rPr>
            </w:pPr>
            <w:r>
              <w:rPr>
                <w:rFonts w:ascii="Arial" w:cs="Arial" w:eastAsia="Arial" w:hAnsi="Arial"/>
                <w:sz w:val="13"/>
                <w:szCs w:val="13"/>
                <w:color w:val="auto"/>
              </w:rPr>
              <w:t>8,386,173</w:t>
            </w:r>
          </w:p>
        </w:tc>
        <w:tc>
          <w:tcPr>
            <w:tcW w:w="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3"/>
                <w:szCs w:val="13"/>
                <w:color w:val="auto"/>
              </w:rPr>
              <w:t>11,186,287</w:t>
            </w:r>
          </w:p>
        </w:tc>
        <w:tc>
          <w:tcPr>
            <w:tcW w:w="1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48"/>
        </w:trPr>
        <w:tc>
          <w:tcPr>
            <w:tcW w:w="6440" w:type="dxa"/>
            <w:vAlign w:val="bottom"/>
            <w:shd w:val="clear" w:color="auto" w:fill="CCEEFF"/>
          </w:tcPr>
          <w:p>
            <w:pPr>
              <w:spacing w:after="0"/>
              <w:rPr>
                <w:sz w:val="20"/>
                <w:szCs w:val="20"/>
                <w:color w:val="auto"/>
              </w:rPr>
            </w:pPr>
            <w:r>
              <w:rPr>
                <w:rFonts w:ascii="Arial" w:cs="Arial" w:eastAsia="Arial" w:hAnsi="Arial"/>
                <w:sz w:val="13"/>
                <w:szCs w:val="13"/>
                <w:color w:val="auto"/>
              </w:rPr>
              <w:t>Pro forma net loss per share—basic and diluted(1)</w:t>
            </w: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3"/>
                <w:szCs w:val="13"/>
                <w:color w:val="auto"/>
              </w:rPr>
              <w:t>(0.35)</w:t>
            </w:r>
          </w:p>
        </w:tc>
        <w:tc>
          <w:tcPr>
            <w:tcW w:w="1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69"/>
        </w:trPr>
        <w:tc>
          <w:tcPr>
            <w:tcW w:w="64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Weighted-average shares used in computing pro forma net loss per share—basic and diluted(1)</w:t>
            </w: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9"/>
              </w:rPr>
              <w:t>112,714,741</w:t>
            </w:r>
          </w:p>
        </w:tc>
        <w:tc>
          <w:tcPr>
            <w:tcW w:w="6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bl>
    <w:p>
      <w:pPr>
        <w:spacing w:after="0" w:line="1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40"/>
          </w:cols>
          <w:pgMar w:left="32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40" w:right="20" w:hanging="324"/>
        <w:spacing w:after="0" w:line="258" w:lineRule="auto"/>
        <w:tabs>
          <w:tab w:leader="none" w:pos="440" w:val="left"/>
        </w:tabs>
        <w:numPr>
          <w:ilvl w:val="0"/>
          <w:numId w:val="56"/>
        </w:numPr>
        <w:rPr>
          <w:rFonts w:ascii="Arial" w:cs="Arial" w:eastAsia="Arial" w:hAnsi="Arial"/>
          <w:sz w:val="13"/>
          <w:szCs w:val="13"/>
          <w:color w:val="auto"/>
        </w:rPr>
      </w:pPr>
      <w:r>
        <w:rPr>
          <w:rFonts w:ascii="Arial" w:cs="Arial" w:eastAsia="Arial" w:hAnsi="Arial"/>
          <w:sz w:val="13"/>
          <w:szCs w:val="13"/>
          <w:color w:val="auto"/>
        </w:rPr>
        <w:t>For the calculation of our basic and diluted net loss per share attributable to common stockholders, basic and diluted pro forma net loss per share and weighted-average number of shares used in the computation of the per share amounts, see Note 12 to our consolidated financial statements included elsewhere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62230</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2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20" w:type="dxa"/>
            <w:vAlign w:val="bottom"/>
            <w:gridSpan w:val="3"/>
            <w:vMerge w:val="restart"/>
          </w:tcPr>
          <w:p>
            <w:pPr>
              <w:jc w:val="right"/>
              <w:ind w:right="900"/>
              <w:spacing w:after="0"/>
              <w:rPr>
                <w:sz w:val="20"/>
                <w:szCs w:val="20"/>
                <w:color w:val="auto"/>
              </w:rPr>
            </w:pPr>
            <w:r>
              <w:rPr>
                <w:rFonts w:ascii="Arial" w:cs="Arial" w:eastAsia="Arial" w:hAnsi="Arial"/>
                <w:sz w:val="18"/>
                <w:szCs w:val="18"/>
                <w:b w:val="1"/>
                <w:bCs w:val="1"/>
                <w:color w:val="auto"/>
              </w:rPr>
              <w:t>As of December 31,</w:t>
            </w: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86"/>
        </w:trPr>
        <w:tc>
          <w:tcPr>
            <w:tcW w:w="53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2820" w:type="dxa"/>
            <w:vAlign w:val="bottom"/>
            <w:gridSpan w:val="3"/>
            <w:vMerge w:val="continue"/>
          </w:tcPr>
          <w:p>
            <w:pPr>
              <w:spacing w:after="0"/>
              <w:rPr>
                <w:sz w:val="7"/>
                <w:szCs w:val="7"/>
                <w:color w:val="auto"/>
              </w:rPr>
            </w:pPr>
          </w:p>
        </w:tc>
        <w:tc>
          <w:tcPr>
            <w:tcW w:w="1380" w:type="dxa"/>
            <w:vAlign w:val="bottom"/>
            <w:gridSpan w:val="2"/>
            <w:vMerge w:val="restart"/>
          </w:tcPr>
          <w:p>
            <w:pPr>
              <w:jc w:val="center"/>
              <w:ind w:left="12"/>
              <w:spacing w:after="0" w:line="202" w:lineRule="exact"/>
              <w:rPr>
                <w:sz w:val="20"/>
                <w:szCs w:val="20"/>
                <w:color w:val="auto"/>
              </w:rPr>
            </w:pPr>
            <w:r>
              <w:rPr>
                <w:rFonts w:ascii="Arial" w:cs="Arial" w:eastAsia="Arial" w:hAnsi="Arial"/>
                <w:sz w:val="18"/>
                <w:szCs w:val="18"/>
                <w:b w:val="1"/>
                <w:bCs w:val="1"/>
                <w:color w:val="auto"/>
                <w:w w:val="97"/>
              </w:rPr>
              <w:t>September 30,</w:t>
            </w:r>
          </w:p>
        </w:tc>
        <w:tc>
          <w:tcPr>
            <w:tcW w:w="0" w:type="dxa"/>
            <w:vAlign w:val="bottom"/>
          </w:tcPr>
          <w:p>
            <w:pPr>
              <w:spacing w:after="0"/>
              <w:rPr>
                <w:sz w:val="1"/>
                <w:szCs w:val="1"/>
                <w:color w:val="auto"/>
              </w:rPr>
            </w:pPr>
          </w:p>
        </w:tc>
      </w:tr>
      <w:tr>
        <w:trPr>
          <w:trHeight w:val="96"/>
        </w:trPr>
        <w:tc>
          <w:tcPr>
            <w:tcW w:w="53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534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2"/>
          </w:tcPr>
          <w:p>
            <w:pPr>
              <w:jc w:val="right"/>
              <w:ind w:right="472"/>
              <w:spacing w:after="0"/>
              <w:rPr>
                <w:sz w:val="20"/>
                <w:szCs w:val="20"/>
                <w:color w:val="auto"/>
              </w:rPr>
            </w:pPr>
            <w:r>
              <w:rPr>
                <w:rFonts w:ascii="Arial" w:cs="Arial" w:eastAsia="Arial" w:hAnsi="Arial"/>
                <w:sz w:val="18"/>
                <w:szCs w:val="18"/>
                <w:b w:val="1"/>
                <w:bCs w:val="1"/>
                <w:color w:val="auto"/>
              </w:rPr>
              <w:t>2017</w:t>
            </w:r>
          </w:p>
        </w:tc>
        <w:tc>
          <w:tcPr>
            <w:tcW w:w="11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2018</w:t>
            </w:r>
          </w:p>
        </w:tc>
        <w:tc>
          <w:tcPr>
            <w:tcW w:w="5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left="32"/>
              <w:spacing w:after="0"/>
              <w:rPr>
                <w:sz w:val="20"/>
                <w:szCs w:val="20"/>
                <w:color w:val="auto"/>
              </w:rPr>
            </w:pPr>
            <w:r>
              <w:rPr>
                <w:rFonts w:ascii="Arial" w:cs="Arial" w:eastAsia="Arial" w:hAnsi="Arial"/>
                <w:sz w:val="18"/>
                <w:szCs w:val="18"/>
                <w:b w:val="1"/>
                <w:bCs w:val="1"/>
                <w:color w:val="auto"/>
                <w:w w:val="94"/>
              </w:rPr>
              <w:t>2019</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(in thousands)</w:t>
            </w: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Balance Sheet Data:</w:t>
            </w:r>
          </w:p>
        </w:tc>
        <w:tc>
          <w:tcPr>
            <w:tcW w:w="14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Cash, cash equivalents and marketable securities</w:t>
            </w:r>
          </w:p>
        </w:tc>
        <w:tc>
          <w:tcPr>
            <w:tcW w:w="2580" w:type="dxa"/>
            <w:vAlign w:val="bottom"/>
            <w:gridSpan w:val="2"/>
          </w:tcPr>
          <w:p>
            <w:pPr>
              <w:jc w:val="right"/>
              <w:ind w:right="312"/>
              <w:spacing w:after="0" w:line="202" w:lineRule="exact"/>
              <w:rPr>
                <w:sz w:val="20"/>
                <w:szCs w:val="20"/>
                <w:color w:val="auto"/>
              </w:rPr>
            </w:pPr>
            <w:r>
              <w:rPr>
                <w:rFonts w:ascii="Arial" w:cs="Arial" w:eastAsia="Arial" w:hAnsi="Arial"/>
                <w:sz w:val="18"/>
                <w:szCs w:val="18"/>
                <w:color w:val="auto"/>
              </w:rPr>
              <w:t>$  9,079</w:t>
            </w:r>
          </w:p>
        </w:tc>
        <w:tc>
          <w:tcPr>
            <w:tcW w:w="172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  69,586</w:t>
            </w: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Working capital(1)</w:t>
            </w:r>
          </w:p>
        </w:tc>
        <w:tc>
          <w:tcPr>
            <w:tcW w:w="2580" w:type="dxa"/>
            <w:vAlign w:val="bottom"/>
            <w:gridSpan w:val="2"/>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1,843</w:t>
            </w:r>
          </w:p>
        </w:tc>
        <w:tc>
          <w:tcPr>
            <w:tcW w:w="172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54,879</w:t>
            </w:r>
          </w:p>
        </w:tc>
        <w:tc>
          <w:tcPr>
            <w:tcW w:w="1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2580" w:type="dxa"/>
            <w:vAlign w:val="bottom"/>
            <w:gridSpan w:val="2"/>
          </w:tcPr>
          <w:p>
            <w:pPr>
              <w:jc w:val="right"/>
              <w:ind w:right="312"/>
              <w:spacing w:after="0" w:line="202" w:lineRule="exact"/>
              <w:rPr>
                <w:sz w:val="20"/>
                <w:szCs w:val="20"/>
                <w:color w:val="auto"/>
              </w:rPr>
            </w:pPr>
            <w:r>
              <w:rPr>
                <w:rFonts w:ascii="Arial" w:cs="Arial" w:eastAsia="Arial" w:hAnsi="Arial"/>
                <w:sz w:val="18"/>
                <w:szCs w:val="18"/>
                <w:color w:val="auto"/>
              </w:rPr>
              <w:t>15,077</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170,586</w:t>
            </w:r>
          </w:p>
        </w:tc>
        <w:tc>
          <w:tcPr>
            <w:tcW w:w="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2580" w:type="dxa"/>
            <w:vAlign w:val="bottom"/>
            <w:gridSpan w:val="2"/>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10,546</w:t>
            </w:r>
          </w:p>
        </w:tc>
        <w:tc>
          <w:tcPr>
            <w:tcW w:w="172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73,927</w:t>
            </w:r>
          </w:p>
        </w:tc>
        <w:tc>
          <w:tcPr>
            <w:tcW w:w="1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Redeemable convertible preferred stock</w:t>
            </w:r>
          </w:p>
        </w:tc>
        <w:tc>
          <w:tcPr>
            <w:tcW w:w="2580" w:type="dxa"/>
            <w:vAlign w:val="bottom"/>
            <w:gridSpan w:val="2"/>
          </w:tcPr>
          <w:p>
            <w:pPr>
              <w:jc w:val="right"/>
              <w:ind w:right="312"/>
              <w:spacing w:after="0" w:line="202" w:lineRule="exact"/>
              <w:rPr>
                <w:sz w:val="20"/>
                <w:szCs w:val="20"/>
                <w:color w:val="auto"/>
              </w:rPr>
            </w:pPr>
            <w:r>
              <w:rPr>
                <w:rFonts w:ascii="Arial" w:cs="Arial" w:eastAsia="Arial" w:hAnsi="Arial"/>
                <w:sz w:val="18"/>
                <w:szCs w:val="18"/>
                <w:color w:val="auto"/>
              </w:rPr>
              <w:t>72,248</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205,081</w:t>
            </w:r>
          </w:p>
        </w:tc>
        <w:tc>
          <w:tcPr>
            <w:tcW w:w="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2580" w:type="dxa"/>
            <w:vAlign w:val="bottom"/>
            <w:gridSpan w:val="2"/>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(67,933)</w:t>
            </w:r>
          </w:p>
        </w:tc>
        <w:tc>
          <w:tcPr>
            <w:tcW w:w="17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(109,722)</w:t>
            </w:r>
          </w:p>
        </w:tc>
        <w:tc>
          <w:tcPr>
            <w:tcW w:w="1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stockholders’ deficit</w:t>
            </w:r>
          </w:p>
        </w:tc>
        <w:tc>
          <w:tcPr>
            <w:tcW w:w="2580" w:type="dxa"/>
            <w:vAlign w:val="bottom"/>
            <w:tcBorders>
              <w:bottom w:val="single" w:sz="8" w:color="auto"/>
            </w:tcBorders>
            <w:gridSpan w:val="2"/>
          </w:tcPr>
          <w:p>
            <w:pPr>
              <w:jc w:val="right"/>
              <w:ind w:right="252"/>
              <w:spacing w:after="0"/>
              <w:rPr>
                <w:sz w:val="20"/>
                <w:szCs w:val="20"/>
                <w:color w:val="auto"/>
              </w:rPr>
            </w:pPr>
            <w:r>
              <w:rPr>
                <w:rFonts w:ascii="Arial" w:cs="Arial" w:eastAsia="Arial" w:hAnsi="Arial"/>
                <w:sz w:val="18"/>
                <w:szCs w:val="18"/>
                <w:color w:val="auto"/>
              </w:rPr>
              <w:t>(67,717)</w:t>
            </w:r>
          </w:p>
        </w:tc>
        <w:tc>
          <w:tcPr>
            <w:tcW w:w="172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(108,422)</w:t>
            </w:r>
          </w:p>
        </w:tc>
        <w:tc>
          <w:tcPr>
            <w:tcW w:w="13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440" w:hanging="324"/>
        <w:spacing w:after="0"/>
        <w:tabs>
          <w:tab w:leader="none" w:pos="4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We define working capital as current assets less current liabilities.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Unaudited pro forma condensed combined financial statements</w:t>
      </w:r>
    </w:p>
    <w:p>
      <w:pPr>
        <w:spacing w:after="0" w:line="15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On October 24, 2018, Revolution Medicines, Inc. (the Company) acquired all outstanding shares of Warp Drive Bio, Inc. (Warp Drive), for total consideration valued at $69.0 million. Warp Drive was engaged in research involving the use of intracellular biologics to develop transformative medicines. Warp Drive’s business included a genome mining platform that was subject to a collaboration agreement with Hoffman-La Roche Ltd. (Roche) involving research in the area of neomorph antibiotics. The genome mining platform was accounted for as held for sale as of the acquisition date and was divested in January 2019.</w:t>
      </w:r>
    </w:p>
    <w:p>
      <w:pPr>
        <w:spacing w:after="0" w:line="103"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 xml:space="preserve">The acquisition of Warp Drive was accounted for as a business combination in accordance with Accounting Standards Codification Topic 805, </w:t>
      </w:r>
      <w:r>
        <w:rPr>
          <w:rFonts w:ascii="Arial" w:cs="Arial" w:eastAsia="Arial" w:hAnsi="Arial"/>
          <w:sz w:val="18"/>
          <w:szCs w:val="18"/>
          <w:i w:val="1"/>
          <w:iCs w:val="1"/>
          <w:color w:val="auto"/>
        </w:rPr>
        <w:t xml:space="preserve">Business Combinations </w:t>
      </w:r>
      <w:r>
        <w:rPr>
          <w:rFonts w:ascii="Arial" w:cs="Arial" w:eastAsia="Arial" w:hAnsi="Arial"/>
          <w:sz w:val="18"/>
          <w:szCs w:val="18"/>
          <w:color w:val="auto"/>
        </w:rPr>
        <w:t>(ASC 805). The Company’s management used its best estimates and assumptions to assign fair values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tangible and identifiable intangible assets acquired and liabilities assumed and related income tax impacts as of the acquisition date. Goodwill as of the acquisition date was measured as the excess of purchase consideration over the fair value of net tangible and identifiable intangible assets acquired.</w:t>
      </w:r>
    </w:p>
    <w:p>
      <w:pPr>
        <w:spacing w:after="0" w:line="103" w:lineRule="exact"/>
        <w:rPr>
          <w:sz w:val="20"/>
          <w:szCs w:val="20"/>
          <w:color w:val="auto"/>
        </w:rPr>
      </w:pPr>
    </w:p>
    <w:p>
      <w:pPr>
        <w:ind w:left="120" w:right="180"/>
        <w:spacing w:after="0" w:line="275" w:lineRule="auto"/>
        <w:rPr>
          <w:sz w:val="20"/>
          <w:szCs w:val="20"/>
          <w:color w:val="auto"/>
        </w:rPr>
      </w:pPr>
      <w:r>
        <w:rPr>
          <w:rFonts w:ascii="Arial" w:cs="Arial" w:eastAsia="Arial" w:hAnsi="Arial"/>
          <w:sz w:val="16"/>
          <w:szCs w:val="16"/>
          <w:color w:val="auto"/>
        </w:rPr>
        <w:t>The estimated purchase price consideration, as calculated and described in Note 2 to the unaudited pro forma condensed combined statement of operations, has been allocated to the tangible and intangible assets acquired and liabilities assumed based on their respective estimated fair values. The Company has made significant assumptions and estimates in determining the estimated purchase price consideration and the allocation of the estimated purchase price in the unaudited pro forma condensed combined statement of operations.</w:t>
      </w:r>
    </w:p>
    <w:p>
      <w:pPr>
        <w:spacing w:after="0" w:line="75" w:lineRule="exact"/>
        <w:rPr>
          <w:sz w:val="20"/>
          <w:szCs w:val="20"/>
          <w:color w:val="auto"/>
        </w:rPr>
      </w:pPr>
    </w:p>
    <w:p>
      <w:pPr>
        <w:ind w:left="120" w:right="500"/>
        <w:spacing w:after="0" w:line="236" w:lineRule="auto"/>
        <w:rPr>
          <w:sz w:val="20"/>
          <w:szCs w:val="20"/>
          <w:color w:val="auto"/>
        </w:rPr>
      </w:pPr>
      <w:r>
        <w:rPr>
          <w:rFonts w:ascii="Arial" w:cs="Arial" w:eastAsia="Arial" w:hAnsi="Arial"/>
          <w:sz w:val="18"/>
          <w:szCs w:val="18"/>
          <w:color w:val="auto"/>
        </w:rPr>
        <w:t>The following unaudited pro forma condensed combined statement of operations is based upon the historical consolidated statement of operations of the Company and statement of operations of Warp Drive after giving effect to the acquisition, and after applying the assumptions, reclassifications and adjustments described in the accompanying notes. The acquisition of Warp Drive has already been reflected in the Company’s historical audited consolidated balance sheet as of December 31, 2018. Therefore, no unaudited pro forma condensed combined balance sheet as of December 31, 2018 has been presented herein.</w:t>
      </w:r>
    </w:p>
    <w:p>
      <w:pPr>
        <w:spacing w:after="0" w:line="103" w:lineRule="exact"/>
        <w:rPr>
          <w:sz w:val="20"/>
          <w:szCs w:val="20"/>
          <w:color w:val="auto"/>
        </w:rPr>
      </w:pPr>
    </w:p>
    <w:p>
      <w:pPr>
        <w:ind w:left="120" w:right="380"/>
        <w:spacing w:after="0" w:line="264" w:lineRule="auto"/>
        <w:rPr>
          <w:sz w:val="20"/>
          <w:szCs w:val="20"/>
          <w:color w:val="auto"/>
        </w:rPr>
      </w:pPr>
      <w:r>
        <w:rPr>
          <w:rFonts w:ascii="Arial" w:cs="Arial" w:eastAsia="Arial" w:hAnsi="Arial"/>
          <w:sz w:val="16"/>
          <w:szCs w:val="16"/>
          <w:color w:val="auto"/>
        </w:rPr>
        <w:t>The unaudited pro forma condensed combined statement of operations for the year ended December 31, 2018 is presented as if the acquisition had occurred on January 1, 2018. The historical consolidated statement of operations has been adjusted in the unaudited pro forma condensed combined statement of operations to give effect to pro forma events that are (1) directly attributable to the acquisition,</w:t>
      </w:r>
    </w:p>
    <w:p>
      <w:pPr>
        <w:ind w:left="120" w:right="20" w:hanging="4"/>
        <w:spacing w:after="0" w:line="236" w:lineRule="auto"/>
        <w:tabs>
          <w:tab w:leader="none" w:pos="383" w:val="left"/>
        </w:tabs>
        <w:numPr>
          <w:ilvl w:val="0"/>
          <w:numId w:val="58"/>
        </w:numPr>
        <w:rPr>
          <w:rFonts w:ascii="Arial" w:cs="Arial" w:eastAsia="Arial" w:hAnsi="Arial"/>
          <w:sz w:val="18"/>
          <w:szCs w:val="18"/>
          <w:color w:val="auto"/>
        </w:rPr>
      </w:pPr>
      <w:r>
        <w:rPr>
          <w:rFonts w:ascii="Arial" w:cs="Arial" w:eastAsia="Arial" w:hAnsi="Arial"/>
          <w:sz w:val="18"/>
          <w:szCs w:val="18"/>
          <w:color w:val="auto"/>
        </w:rPr>
        <w:t>factually supportable, and (3) expected to have a continuing impact on the combined results following the acquisition. The unaudited pro forma condensed combined statement of operations also reflects the effects of the disposal of the genome mining platform as if it had occurred on January 1, 2018. The unaudited pro forma condensed combined statement of operations should be read in conjunction with the accompanying notes thereto. In addition, the unaudited pro forma condensed combined statement of operations was based on and should be read in conjunction with the:</w:t>
      </w:r>
    </w:p>
    <w:p>
      <w:pPr>
        <w:spacing w:after="0" w:line="116" w:lineRule="exact"/>
        <w:rPr>
          <w:sz w:val="20"/>
          <w:szCs w:val="20"/>
          <w:color w:val="auto"/>
        </w:rPr>
      </w:pPr>
    </w:p>
    <w:p>
      <w:pPr>
        <w:ind w:left="340" w:right="560" w:hanging="224"/>
        <w:spacing w:after="0" w:line="239"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separate audited historical consolidated financial statements and accompanying notes of the Company as of and for the year ended December 31, 2018 included elsewhere in this prospectus;</w:t>
      </w:r>
    </w:p>
    <w:p>
      <w:pPr>
        <w:spacing w:after="0" w:line="114" w:lineRule="exact"/>
        <w:rPr>
          <w:rFonts w:ascii="Arial" w:cs="Arial" w:eastAsia="Arial" w:hAnsi="Arial"/>
          <w:sz w:val="18"/>
          <w:szCs w:val="18"/>
          <w:color w:val="auto"/>
        </w:rPr>
      </w:pPr>
    </w:p>
    <w:p>
      <w:pPr>
        <w:ind w:left="340" w:right="40" w:hanging="224"/>
        <w:spacing w:after="0" w:line="239"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separate unaudited historical condensed financial statements and accompanying notes of Warp Drive as of and for the nine months ended September 30, 2018 and 2017 included elsewhere in this prospectus; and</w:t>
      </w:r>
    </w:p>
    <w:p>
      <w:pPr>
        <w:spacing w:after="0" w:line="114" w:lineRule="exact"/>
        <w:rPr>
          <w:rFonts w:ascii="Arial" w:cs="Arial" w:eastAsia="Arial" w:hAnsi="Arial"/>
          <w:sz w:val="18"/>
          <w:szCs w:val="18"/>
          <w:color w:val="auto"/>
        </w:rPr>
      </w:pPr>
    </w:p>
    <w:p>
      <w:pPr>
        <w:ind w:left="340" w:right="80" w:hanging="224"/>
        <w:spacing w:after="0" w:line="239"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separate audited historical financial statements and accompanying notes of Warp Drive as of and for the years ended December 31, 2017 and 2016 included elsewhere in this prospectus.</w:t>
      </w:r>
    </w:p>
    <w:p>
      <w:pPr>
        <w:spacing w:after="0" w:line="101" w:lineRule="exact"/>
        <w:rPr>
          <w:sz w:val="20"/>
          <w:szCs w:val="20"/>
          <w:color w:val="auto"/>
        </w:rPr>
      </w:pPr>
    </w:p>
    <w:p>
      <w:pPr>
        <w:ind w:left="120" w:right="220"/>
        <w:spacing w:after="0" w:line="239" w:lineRule="auto"/>
        <w:rPr>
          <w:sz w:val="20"/>
          <w:szCs w:val="20"/>
          <w:color w:val="auto"/>
        </w:rPr>
      </w:pPr>
      <w:r>
        <w:rPr>
          <w:rFonts w:ascii="Arial" w:cs="Arial" w:eastAsia="Arial" w:hAnsi="Arial"/>
          <w:sz w:val="18"/>
          <w:szCs w:val="18"/>
          <w:color w:val="auto"/>
        </w:rPr>
        <w:t>The unaudited pro forma condensed combined statement of operations has been presented for informational purposes only. The pro forma information is not necessarily indicative of what the combined company’s results</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00"/>
          </w:cols>
          <w:pgMar w:left="320" w:top="459" w:right="4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operations actually would have been had the acquisition been completed as of the dates indicated or that may be achieved in the future.</w:t>
      </w:r>
    </w:p>
    <w:p>
      <w:pPr>
        <w:spacing w:after="0" w:line="12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In addition, the unaudited pro forma condensed combined statement of operations does not purport to project the future operating results of the combined company. The actual results reported by the combined company in periods following the acquisition may differ significantly from those reflected in these unaudited pro forma condensed combined statement of operations for a number of reasons, including cost savings from operating efficiencies, synergies, asset dispositions or restructuring that could result from the acquisition. There were no intercompany transactions between the Company and Warp Drive for the periods presented in the unaudited pro forma condensed combined statement of operations.</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80"/>
          </w:cols>
          <w:pgMar w:left="320" w:top="459" w:right="4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Revolution Medicines, Inc.</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Unaudited pro forma condensed combined statement of operations</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 the year ended December 31, 2018</w:t>
      </w:r>
    </w:p>
    <w:p>
      <w:pPr>
        <w:ind w:left="1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40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ind w:left="700"/>
              <w:spacing w:after="0"/>
              <w:rPr>
                <w:sz w:val="20"/>
                <w:szCs w:val="20"/>
                <w:color w:val="auto"/>
              </w:rPr>
            </w:pPr>
            <w:r>
              <w:rPr>
                <w:rFonts w:ascii="Arial" w:cs="Arial" w:eastAsia="Arial" w:hAnsi="Arial"/>
                <w:sz w:val="18"/>
                <w:szCs w:val="18"/>
                <w:b w:val="1"/>
                <w:bCs w:val="1"/>
                <w:color w:val="auto"/>
                <w:w w:val="95"/>
              </w:rPr>
              <w:t>Historical</w:t>
            </w:r>
          </w:p>
        </w:tc>
        <w:tc>
          <w:tcPr>
            <w:tcW w:w="7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177"/>
        </w:trPr>
        <w:tc>
          <w:tcPr>
            <w:tcW w:w="4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tcPr>
          <w:p>
            <w:pPr>
              <w:ind w:left="20"/>
              <w:spacing w:after="0" w:line="177" w:lineRule="exact"/>
              <w:rPr>
                <w:sz w:val="20"/>
                <w:szCs w:val="20"/>
                <w:color w:val="auto"/>
              </w:rPr>
            </w:pPr>
            <w:r>
              <w:rPr>
                <w:rFonts w:ascii="Arial" w:cs="Arial" w:eastAsia="Arial" w:hAnsi="Arial"/>
                <w:sz w:val="18"/>
                <w:szCs w:val="18"/>
                <w:b w:val="1"/>
                <w:bCs w:val="1"/>
                <w:color w:val="auto"/>
                <w:w w:val="96"/>
              </w:rPr>
              <w:t>Warp Drive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4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6"/>
              </w:rPr>
              <w:t>Revolution</w:t>
            </w:r>
          </w:p>
        </w:tc>
        <w:tc>
          <w:tcPr>
            <w:tcW w:w="1120" w:type="dxa"/>
            <w:vAlign w:val="bottom"/>
            <w:gridSpan w:val="3"/>
          </w:tcPr>
          <w:p>
            <w:pPr>
              <w:jc w:val="center"/>
              <w:ind w:right="140"/>
              <w:spacing w:after="0" w:line="202" w:lineRule="exact"/>
              <w:rPr>
                <w:sz w:val="20"/>
                <w:szCs w:val="20"/>
                <w:color w:val="auto"/>
              </w:rPr>
            </w:pPr>
            <w:r>
              <w:rPr>
                <w:rFonts w:ascii="Arial" w:cs="Arial" w:eastAsia="Arial" w:hAnsi="Arial"/>
                <w:sz w:val="18"/>
                <w:szCs w:val="18"/>
                <w:b w:val="1"/>
                <w:bCs w:val="1"/>
                <w:color w:val="auto"/>
                <w:w w:val="97"/>
              </w:rPr>
              <w:t>for period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8"/>
              </w:rPr>
              <w:t>Medicines</w:t>
            </w:r>
          </w:p>
        </w:tc>
        <w:tc>
          <w:tcPr>
            <w:tcW w:w="180" w:type="dxa"/>
            <w:vAlign w:val="bottom"/>
          </w:tcPr>
          <w:p>
            <w:pPr>
              <w:spacing w:after="0"/>
              <w:rPr>
                <w:sz w:val="17"/>
                <w:szCs w:val="17"/>
                <w:color w:val="auto"/>
              </w:rPr>
            </w:pPr>
          </w:p>
        </w:tc>
        <w:tc>
          <w:tcPr>
            <w:tcW w:w="94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9"/>
              </w:rPr>
              <w:t>from</w:t>
            </w:r>
          </w:p>
        </w:tc>
        <w:tc>
          <w:tcPr>
            <w:tcW w:w="100" w:type="dxa"/>
            <w:vAlign w:val="bottom"/>
          </w:tcPr>
          <w:p>
            <w:pPr>
              <w:spacing w:after="0"/>
              <w:rPr>
                <w:sz w:val="17"/>
                <w:szCs w:val="17"/>
                <w:color w:val="auto"/>
              </w:rPr>
            </w:pPr>
          </w:p>
        </w:tc>
        <w:tc>
          <w:tcPr>
            <w:tcW w:w="1020" w:type="dxa"/>
            <w:vAlign w:val="bottom"/>
            <w:gridSpan w:val="3"/>
          </w:tcPr>
          <w:p>
            <w:pPr>
              <w:jc w:val="center"/>
              <w:ind w:right="240"/>
              <w:spacing w:after="0" w:line="202" w:lineRule="exact"/>
              <w:rPr>
                <w:sz w:val="20"/>
                <w:szCs w:val="20"/>
                <w:color w:val="auto"/>
              </w:rPr>
            </w:pPr>
            <w:r>
              <w:rPr>
                <w:rFonts w:ascii="Arial" w:cs="Arial" w:eastAsia="Arial" w:hAnsi="Arial"/>
                <w:sz w:val="18"/>
                <w:szCs w:val="18"/>
                <w:b w:val="1"/>
                <w:bCs w:val="1"/>
                <w:color w:val="auto"/>
                <w:w w:val="97"/>
              </w:rPr>
              <w:t>Genome</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97"/>
              </w:rPr>
              <w:t>for the year</w:t>
            </w:r>
          </w:p>
        </w:tc>
        <w:tc>
          <w:tcPr>
            <w:tcW w:w="1120" w:type="dxa"/>
            <w:vAlign w:val="bottom"/>
            <w:gridSpan w:val="3"/>
          </w:tcPr>
          <w:p>
            <w:pPr>
              <w:jc w:val="center"/>
              <w:ind w:right="160"/>
              <w:spacing w:after="0" w:line="202" w:lineRule="exact"/>
              <w:rPr>
                <w:sz w:val="20"/>
                <w:szCs w:val="20"/>
                <w:color w:val="auto"/>
              </w:rPr>
            </w:pPr>
            <w:r>
              <w:rPr>
                <w:rFonts w:ascii="Arial" w:cs="Arial" w:eastAsia="Arial" w:hAnsi="Arial"/>
                <w:sz w:val="18"/>
                <w:szCs w:val="18"/>
                <w:b w:val="1"/>
                <w:bCs w:val="1"/>
                <w:color w:val="auto"/>
                <w:w w:val="98"/>
              </w:rPr>
              <w:t>January 1,</w:t>
            </w:r>
          </w:p>
        </w:tc>
        <w:tc>
          <w:tcPr>
            <w:tcW w:w="100" w:type="dxa"/>
            <w:vAlign w:val="bottom"/>
          </w:tcPr>
          <w:p>
            <w:pPr>
              <w:spacing w:after="0"/>
              <w:rPr>
                <w:sz w:val="17"/>
                <w:szCs w:val="17"/>
                <w:color w:val="auto"/>
              </w:rPr>
            </w:pPr>
          </w:p>
        </w:tc>
        <w:tc>
          <w:tcPr>
            <w:tcW w:w="1020" w:type="dxa"/>
            <w:vAlign w:val="bottom"/>
            <w:gridSpan w:val="3"/>
          </w:tcPr>
          <w:p>
            <w:pPr>
              <w:jc w:val="center"/>
              <w:ind w:right="240"/>
              <w:spacing w:after="0" w:line="202" w:lineRule="exact"/>
              <w:rPr>
                <w:sz w:val="20"/>
                <w:szCs w:val="20"/>
                <w:color w:val="auto"/>
              </w:rPr>
            </w:pPr>
            <w:r>
              <w:rPr>
                <w:rFonts w:ascii="Arial" w:cs="Arial" w:eastAsia="Arial" w:hAnsi="Arial"/>
                <w:sz w:val="18"/>
                <w:szCs w:val="18"/>
                <w:b w:val="1"/>
                <w:bCs w:val="1"/>
                <w:color w:val="auto"/>
                <w:w w:val="98"/>
              </w:rPr>
              <w:t>mining</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98"/>
              </w:rPr>
              <w:t>ended</w:t>
            </w:r>
          </w:p>
        </w:tc>
        <w:tc>
          <w:tcPr>
            <w:tcW w:w="180" w:type="dxa"/>
            <w:vAlign w:val="bottom"/>
          </w:tcPr>
          <w:p>
            <w:pPr>
              <w:spacing w:after="0"/>
              <w:rPr>
                <w:sz w:val="17"/>
                <w:szCs w:val="17"/>
                <w:color w:val="auto"/>
              </w:rPr>
            </w:pPr>
          </w:p>
        </w:tc>
        <w:tc>
          <w:tcPr>
            <w:tcW w:w="94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6"/>
              </w:rPr>
              <w:t>2018 to</w:t>
            </w:r>
          </w:p>
        </w:tc>
        <w:tc>
          <w:tcPr>
            <w:tcW w:w="100" w:type="dxa"/>
            <w:vAlign w:val="bottom"/>
          </w:tcPr>
          <w:p>
            <w:pPr>
              <w:spacing w:after="0"/>
              <w:rPr>
                <w:sz w:val="17"/>
                <w:szCs w:val="17"/>
                <w:color w:val="auto"/>
              </w:rPr>
            </w:pPr>
          </w:p>
        </w:tc>
        <w:tc>
          <w:tcPr>
            <w:tcW w:w="1020" w:type="dxa"/>
            <w:vAlign w:val="bottom"/>
            <w:gridSpan w:val="3"/>
          </w:tcPr>
          <w:p>
            <w:pPr>
              <w:jc w:val="center"/>
              <w:ind w:right="240"/>
              <w:spacing w:after="0" w:line="202" w:lineRule="exact"/>
              <w:rPr>
                <w:sz w:val="20"/>
                <w:szCs w:val="20"/>
                <w:color w:val="auto"/>
              </w:rPr>
            </w:pPr>
            <w:r>
              <w:rPr>
                <w:rFonts w:ascii="Arial" w:cs="Arial" w:eastAsia="Arial" w:hAnsi="Arial"/>
                <w:sz w:val="18"/>
                <w:szCs w:val="18"/>
                <w:b w:val="1"/>
                <w:bCs w:val="1"/>
                <w:color w:val="auto"/>
                <w:w w:val="97"/>
              </w:rPr>
              <w:t>platform</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000" w:type="dxa"/>
            <w:vAlign w:val="bottom"/>
          </w:tcPr>
          <w:p>
            <w:pPr>
              <w:spacing w:after="0"/>
              <w:rPr>
                <w:sz w:val="17"/>
                <w:szCs w:val="17"/>
                <w:color w:val="auto"/>
              </w:rPr>
            </w:pPr>
          </w:p>
        </w:tc>
        <w:tc>
          <w:tcPr>
            <w:tcW w:w="140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December 31,</w:t>
            </w:r>
          </w:p>
        </w:tc>
        <w:tc>
          <w:tcPr>
            <w:tcW w:w="1120" w:type="dxa"/>
            <w:vAlign w:val="bottom"/>
            <w:gridSpan w:val="3"/>
          </w:tcPr>
          <w:p>
            <w:pPr>
              <w:jc w:val="center"/>
              <w:ind w:right="160"/>
              <w:spacing w:after="0" w:line="202" w:lineRule="exact"/>
              <w:rPr>
                <w:sz w:val="20"/>
                <w:szCs w:val="20"/>
                <w:color w:val="auto"/>
              </w:rPr>
            </w:pPr>
            <w:r>
              <w:rPr>
                <w:rFonts w:ascii="Arial" w:cs="Arial" w:eastAsia="Arial" w:hAnsi="Arial"/>
                <w:sz w:val="18"/>
                <w:szCs w:val="18"/>
                <w:b w:val="1"/>
                <w:bCs w:val="1"/>
                <w:color w:val="auto"/>
                <w:w w:val="96"/>
              </w:rPr>
              <w:t>October 23,</w:t>
            </w:r>
          </w:p>
        </w:tc>
        <w:tc>
          <w:tcPr>
            <w:tcW w:w="100" w:type="dxa"/>
            <w:vAlign w:val="bottom"/>
          </w:tcPr>
          <w:p>
            <w:pPr>
              <w:spacing w:after="0"/>
              <w:rPr>
                <w:sz w:val="17"/>
                <w:szCs w:val="17"/>
                <w:color w:val="auto"/>
              </w:rPr>
            </w:pPr>
          </w:p>
        </w:tc>
        <w:tc>
          <w:tcPr>
            <w:tcW w:w="1020" w:type="dxa"/>
            <w:vAlign w:val="bottom"/>
            <w:gridSpan w:val="3"/>
          </w:tcPr>
          <w:p>
            <w:pPr>
              <w:ind w:left="20"/>
              <w:spacing w:after="0" w:line="202" w:lineRule="exact"/>
              <w:rPr>
                <w:sz w:val="20"/>
                <w:szCs w:val="20"/>
                <w:color w:val="auto"/>
              </w:rPr>
            </w:pPr>
            <w:r>
              <w:rPr>
                <w:rFonts w:ascii="Arial" w:cs="Arial" w:eastAsia="Arial" w:hAnsi="Arial"/>
                <w:sz w:val="18"/>
                <w:szCs w:val="18"/>
                <w:b w:val="1"/>
                <w:bCs w:val="1"/>
                <w:color w:val="auto"/>
              </w:rPr>
              <w:t>disposal</w:t>
            </w:r>
          </w:p>
        </w:tc>
        <w:tc>
          <w:tcPr>
            <w:tcW w:w="100" w:type="dxa"/>
            <w:vAlign w:val="bottom"/>
          </w:tcPr>
          <w:p>
            <w:pPr>
              <w:spacing w:after="0"/>
              <w:rPr>
                <w:sz w:val="17"/>
                <w:szCs w:val="17"/>
                <w:color w:val="auto"/>
              </w:rPr>
            </w:pPr>
          </w:p>
        </w:tc>
        <w:tc>
          <w:tcPr>
            <w:tcW w:w="112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w w:val="96"/>
              </w:rPr>
              <w:t>Pro forma</w:t>
            </w:r>
          </w:p>
        </w:tc>
        <w:tc>
          <w:tcPr>
            <w:tcW w:w="1040" w:type="dxa"/>
            <w:vAlign w:val="bottom"/>
          </w:tcPr>
          <w:p>
            <w:pPr>
              <w:spacing w:after="0"/>
              <w:rPr>
                <w:sz w:val="17"/>
                <w:szCs w:val="17"/>
                <w:color w:val="auto"/>
              </w:rPr>
            </w:pPr>
          </w:p>
        </w:tc>
        <w:tc>
          <w:tcPr>
            <w:tcW w:w="1120" w:type="dxa"/>
            <w:vAlign w:val="bottom"/>
            <w:gridSpan w:val="3"/>
          </w:tcPr>
          <w:p>
            <w:pPr>
              <w:jc w:val="right"/>
              <w:ind w:right="200"/>
              <w:spacing w:after="0" w:line="202" w:lineRule="exact"/>
              <w:rPr>
                <w:sz w:val="20"/>
                <w:szCs w:val="20"/>
                <w:color w:val="auto"/>
              </w:rPr>
            </w:pPr>
            <w:r>
              <w:rPr>
                <w:rFonts w:ascii="Arial" w:cs="Arial" w:eastAsia="Arial" w:hAnsi="Arial"/>
                <w:sz w:val="18"/>
                <w:szCs w:val="18"/>
                <w:b w:val="1"/>
                <w:bCs w:val="1"/>
                <w:color w:val="auto"/>
              </w:rPr>
              <w:t>Pro forma</w:t>
            </w:r>
          </w:p>
        </w:tc>
      </w:tr>
      <w:tr>
        <w:trPr>
          <w:trHeight w:val="235"/>
        </w:trPr>
        <w:tc>
          <w:tcPr>
            <w:tcW w:w="4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2018</w:t>
            </w: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99"/>
              </w:rPr>
              <w:t>2018</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(Note 3a)</w:t>
            </w:r>
          </w:p>
        </w:tc>
        <w:tc>
          <w:tcPr>
            <w:tcW w:w="12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adjustments</w:t>
            </w:r>
          </w:p>
        </w:tc>
        <w:tc>
          <w:tcPr>
            <w:tcW w:w="10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Note 3</w:t>
            </w:r>
          </w:p>
        </w:tc>
        <w:tc>
          <w:tcPr>
            <w:tcW w:w="11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combined</w:t>
            </w:r>
          </w:p>
        </w:tc>
      </w:tr>
      <w:tr>
        <w:trPr>
          <w:trHeight w:val="48"/>
        </w:trPr>
        <w:tc>
          <w:tcPr>
            <w:tcW w:w="4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4000" w:type="dxa"/>
            <w:vAlign w:val="bottom"/>
          </w:tcPr>
          <w:p>
            <w:pPr>
              <w:ind w:left="220"/>
              <w:spacing w:after="0" w:line="202" w:lineRule="exact"/>
              <w:rPr>
                <w:sz w:val="20"/>
                <w:szCs w:val="20"/>
                <w:color w:val="auto"/>
              </w:rPr>
            </w:pPr>
            <w:r>
              <w:rPr>
                <w:rFonts w:ascii="Arial" w:cs="Arial" w:eastAsia="Arial" w:hAnsi="Arial"/>
                <w:sz w:val="18"/>
                <w:szCs w:val="18"/>
                <w:color w:val="auto"/>
              </w:rPr>
              <w:t>Collaboration revenue, related party</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19,420</w:t>
            </w: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882</w:t>
            </w:r>
          </w:p>
        </w:tc>
        <w:tc>
          <w:tcPr>
            <w:tcW w:w="2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ind w:left="120"/>
              <w:spacing w:after="0" w:line="202" w:lineRule="exact"/>
              <w:rPr>
                <w:sz w:val="20"/>
                <w:szCs w:val="20"/>
                <w:color w:val="auto"/>
              </w:rPr>
            </w:pPr>
            <w:r>
              <w:rPr>
                <w:rFonts w:ascii="Arial" w:cs="Arial" w:eastAsia="Arial" w:hAnsi="Arial"/>
                <w:sz w:val="18"/>
                <w:szCs w:val="18"/>
                <w:color w:val="auto"/>
              </w:rPr>
              <w:t>b</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20,302</w:t>
            </w:r>
          </w:p>
        </w:tc>
      </w:tr>
      <w:tr>
        <w:trPr>
          <w:trHeight w:val="203"/>
        </w:trPr>
        <w:tc>
          <w:tcPr>
            <w:tcW w:w="40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Collaboration revenue, other</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745</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3,747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(4,492)</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4000" w:type="dxa"/>
            <w:vAlign w:val="bottom"/>
          </w:tcPr>
          <w:p>
            <w:pPr>
              <w:ind w:left="220"/>
              <w:spacing w:after="0" w:line="202" w:lineRule="exact"/>
              <w:rPr>
                <w:sz w:val="20"/>
                <w:szCs w:val="20"/>
                <w:color w:val="auto"/>
              </w:rPr>
            </w:pPr>
            <w:r>
              <w:rPr>
                <w:rFonts w:ascii="Arial" w:cs="Arial" w:eastAsia="Arial" w:hAnsi="Arial"/>
                <w:sz w:val="18"/>
                <w:szCs w:val="18"/>
                <w:color w:val="auto"/>
              </w:rPr>
              <w:t>Grant revenue</w:t>
            </w:r>
          </w:p>
        </w:tc>
        <w:tc>
          <w:tcPr>
            <w:tcW w:w="80" w:type="dxa"/>
            <w:vAlign w:val="bottom"/>
          </w:tcPr>
          <w:p>
            <w:pPr>
              <w:spacing w:after="0"/>
              <w:rPr>
                <w:sz w:val="17"/>
                <w:szCs w:val="17"/>
                <w:color w:val="auto"/>
              </w:rPr>
            </w:pPr>
          </w:p>
        </w:tc>
        <w:tc>
          <w:tcPr>
            <w:tcW w:w="13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464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(464)</w:t>
            </w:r>
          </w:p>
        </w:tc>
        <w:tc>
          <w:tcPr>
            <w:tcW w:w="1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40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Total revenue</w:t>
            </w: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20,165</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5,093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(4,956)</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20,302</w:t>
            </w:r>
          </w:p>
        </w:tc>
      </w:tr>
      <w:tr>
        <w:trPr>
          <w:trHeight w:val="270"/>
        </w:trPr>
        <w:tc>
          <w:tcPr>
            <w:tcW w:w="400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03"/>
        </w:trPr>
        <w:tc>
          <w:tcPr>
            <w:tcW w:w="40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51,084</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16,025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(4,430)</w:t>
            </w:r>
          </w:p>
        </w:tc>
        <w:tc>
          <w:tcPr>
            <w:tcW w:w="100" w:type="dxa"/>
            <w:vAlign w:val="bottom"/>
            <w:shd w:val="clear" w:color="auto" w:fill="CCEEFF"/>
          </w:tcPr>
          <w:p>
            <w:pPr>
              <w:spacing w:after="0"/>
              <w:rPr>
                <w:sz w:val="17"/>
                <w:szCs w:val="17"/>
                <w:color w:val="auto"/>
              </w:rPr>
            </w:pPr>
          </w:p>
        </w:tc>
        <w:tc>
          <w:tcPr>
            <w:tcW w:w="2160" w:type="dxa"/>
            <w:vAlign w:val="bottom"/>
            <w:gridSpan w:val="3"/>
            <w:shd w:val="clear" w:color="auto" w:fill="CCEEFF"/>
          </w:tcPr>
          <w:p>
            <w:pPr>
              <w:ind w:left="580"/>
              <w:spacing w:after="0" w:line="202" w:lineRule="exact"/>
              <w:rPr>
                <w:sz w:val="20"/>
                <w:szCs w:val="20"/>
                <w:color w:val="auto"/>
              </w:rPr>
            </w:pPr>
            <w:r>
              <w:rPr>
                <w:rFonts w:ascii="Arial" w:cs="Arial" w:eastAsia="Arial" w:hAnsi="Arial"/>
                <w:sz w:val="18"/>
                <w:szCs w:val="18"/>
                <w:color w:val="auto"/>
              </w:rPr>
              <w:t>(300)   c &amp; e &amp; g</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62,379</w:t>
            </w:r>
          </w:p>
        </w:tc>
      </w:tr>
      <w:tr>
        <w:trPr>
          <w:trHeight w:val="203"/>
        </w:trPr>
        <w:tc>
          <w:tcPr>
            <w:tcW w:w="4000" w:type="dxa"/>
            <w:vAlign w:val="bottom"/>
          </w:tcPr>
          <w:p>
            <w:pPr>
              <w:ind w:left="220"/>
              <w:spacing w:after="0" w:line="202" w:lineRule="exact"/>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9,410</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6,002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(1,693)</w:t>
            </w:r>
          </w:p>
        </w:tc>
        <w:tc>
          <w:tcPr>
            <w:tcW w:w="1040" w:type="dxa"/>
            <w:vAlign w:val="bottom"/>
          </w:tcPr>
          <w:p>
            <w:pPr>
              <w:ind w:left="120"/>
              <w:spacing w:after="0" w:line="202" w:lineRule="exact"/>
              <w:rPr>
                <w:sz w:val="20"/>
                <w:szCs w:val="20"/>
                <w:color w:val="auto"/>
              </w:rPr>
            </w:pPr>
            <w:r>
              <w:rPr>
                <w:rFonts w:ascii="Arial" w:cs="Arial" w:eastAsia="Arial" w:hAnsi="Arial"/>
                <w:sz w:val="18"/>
                <w:szCs w:val="18"/>
                <w:color w:val="auto"/>
              </w:rPr>
              <w:t>d &amp; g</w:t>
            </w:r>
          </w:p>
        </w:tc>
        <w:tc>
          <w:tcPr>
            <w:tcW w:w="120" w:type="dxa"/>
            <w:vAlign w:val="bottom"/>
          </w:tcPr>
          <w:p>
            <w:pPr>
              <w:spacing w:after="0"/>
              <w:rPr>
                <w:sz w:val="17"/>
                <w:szCs w:val="17"/>
                <w:color w:val="auto"/>
              </w:rPr>
            </w:pPr>
          </w:p>
        </w:tc>
        <w:tc>
          <w:tcPr>
            <w:tcW w:w="10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13,719</w:t>
            </w:r>
          </w:p>
        </w:tc>
      </w:tr>
      <w:tr>
        <w:trPr>
          <w:trHeight w:val="27"/>
        </w:trPr>
        <w:tc>
          <w:tcPr>
            <w:tcW w:w="4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40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60,494</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22,027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(4,430)</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(1,993)</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76,098</w:t>
            </w:r>
          </w:p>
        </w:tc>
      </w:tr>
      <w:tr>
        <w:trPr>
          <w:trHeight w:val="20"/>
        </w:trPr>
        <w:tc>
          <w:tcPr>
            <w:tcW w:w="4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1"/>
        </w:trPr>
        <w:tc>
          <w:tcPr>
            <w:tcW w:w="4000" w:type="dxa"/>
            <w:vAlign w:val="bottom"/>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(40,329)</w:t>
            </w:r>
          </w:p>
        </w:tc>
        <w:tc>
          <w:tcPr>
            <w:tcW w:w="1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(16,934)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1,993</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(55,796)</w:t>
            </w:r>
          </w:p>
        </w:tc>
      </w:tr>
      <w:tr>
        <w:trPr>
          <w:trHeight w:val="56"/>
        </w:trPr>
        <w:tc>
          <w:tcPr>
            <w:tcW w:w="4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4000" w:type="dxa"/>
            <w:vAlign w:val="bottom"/>
          </w:tcPr>
          <w:p>
            <w:pPr>
              <w:ind w:left="220"/>
              <w:spacing w:after="0" w:line="202" w:lineRule="exact"/>
              <w:rPr>
                <w:sz w:val="20"/>
                <w:szCs w:val="20"/>
                <w:color w:val="auto"/>
              </w:rPr>
            </w:pPr>
            <w:r>
              <w:rPr>
                <w:rFonts w:ascii="Arial" w:cs="Arial" w:eastAsia="Arial" w:hAnsi="Arial"/>
                <w:sz w:val="18"/>
                <w:szCs w:val="18"/>
                <w:color w:val="auto"/>
              </w:rPr>
              <w:t>Gain on restructuring of debt, related party</w:t>
            </w:r>
          </w:p>
        </w:tc>
        <w:tc>
          <w:tcPr>
            <w:tcW w:w="80" w:type="dxa"/>
            <w:vAlign w:val="bottom"/>
          </w:tcPr>
          <w:p>
            <w:pPr>
              <w:spacing w:after="0"/>
              <w:rPr>
                <w:sz w:val="17"/>
                <w:szCs w:val="17"/>
                <w:color w:val="auto"/>
              </w:rPr>
            </w:pPr>
          </w:p>
        </w:tc>
        <w:tc>
          <w:tcPr>
            <w:tcW w:w="13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5,054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(5,054)</w:t>
            </w:r>
          </w:p>
        </w:tc>
        <w:tc>
          <w:tcPr>
            <w:tcW w:w="1040" w:type="dxa"/>
            <w:vAlign w:val="bottom"/>
          </w:tcPr>
          <w:p>
            <w:pPr>
              <w:ind w:left="120"/>
              <w:spacing w:after="0" w:line="202" w:lineRule="exact"/>
              <w:rPr>
                <w:sz w:val="20"/>
                <w:szCs w:val="20"/>
                <w:color w:val="auto"/>
              </w:rPr>
            </w:pPr>
            <w:r>
              <w:rPr>
                <w:rFonts w:ascii="Arial" w:cs="Arial" w:eastAsia="Arial" w:hAnsi="Arial"/>
                <w:sz w:val="18"/>
                <w:szCs w:val="18"/>
                <w:color w:val="auto"/>
              </w:rPr>
              <w:t>f</w:t>
            </w:r>
          </w:p>
        </w:tc>
        <w:tc>
          <w:tcPr>
            <w:tcW w:w="120" w:type="dxa"/>
            <w:vAlign w:val="bottom"/>
          </w:tcPr>
          <w:p>
            <w:pPr>
              <w:spacing w:after="0"/>
              <w:rPr>
                <w:sz w:val="17"/>
                <w:szCs w:val="17"/>
                <w:color w:val="auto"/>
              </w:rPr>
            </w:pPr>
          </w:p>
        </w:tc>
        <w:tc>
          <w:tcPr>
            <w:tcW w:w="10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40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777</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882</w:t>
            </w:r>
          </w:p>
        </w:tc>
      </w:tr>
      <w:tr>
        <w:trPr>
          <w:trHeight w:val="203"/>
        </w:trPr>
        <w:tc>
          <w:tcPr>
            <w:tcW w:w="4000" w:type="dxa"/>
            <w:vAlign w:val="bottom"/>
          </w:tcPr>
          <w:p>
            <w:pPr>
              <w:ind w:left="220"/>
              <w:spacing w:after="0" w:line="202" w:lineRule="exact"/>
              <w:rPr>
                <w:sz w:val="20"/>
                <w:szCs w:val="20"/>
                <w:color w:val="auto"/>
              </w:rPr>
            </w:pPr>
            <w:r>
              <w:rPr>
                <w:rFonts w:ascii="Arial" w:cs="Arial" w:eastAsia="Arial" w:hAnsi="Arial"/>
                <w:sz w:val="18"/>
                <w:szCs w:val="18"/>
                <w:color w:val="auto"/>
              </w:rPr>
              <w:t>Interest and other expense</w:t>
            </w:r>
          </w:p>
        </w:tc>
        <w:tc>
          <w:tcPr>
            <w:tcW w:w="80" w:type="dxa"/>
            <w:vAlign w:val="bottom"/>
          </w:tcPr>
          <w:p>
            <w:pPr>
              <w:spacing w:after="0"/>
              <w:rPr>
                <w:sz w:val="17"/>
                <w:szCs w:val="17"/>
                <w:color w:val="auto"/>
              </w:rPr>
            </w:pPr>
          </w:p>
        </w:tc>
        <w:tc>
          <w:tcPr>
            <w:tcW w:w="13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(116)</w:t>
            </w:r>
          </w:p>
        </w:tc>
        <w:tc>
          <w:tcPr>
            <w:tcW w:w="18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(1,099)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1,099</w:t>
            </w:r>
          </w:p>
        </w:tc>
        <w:tc>
          <w:tcPr>
            <w:tcW w:w="180" w:type="dxa"/>
            <w:vAlign w:val="bottom"/>
          </w:tcPr>
          <w:p>
            <w:pPr>
              <w:spacing w:after="0"/>
              <w:rPr>
                <w:sz w:val="17"/>
                <w:szCs w:val="17"/>
                <w:color w:val="auto"/>
              </w:rPr>
            </w:pPr>
          </w:p>
        </w:tc>
        <w:tc>
          <w:tcPr>
            <w:tcW w:w="1040" w:type="dxa"/>
            <w:vAlign w:val="bottom"/>
          </w:tcPr>
          <w:p>
            <w:pPr>
              <w:ind w:left="120"/>
              <w:spacing w:after="0" w:line="202" w:lineRule="exact"/>
              <w:rPr>
                <w:sz w:val="20"/>
                <w:szCs w:val="20"/>
                <w:color w:val="auto"/>
              </w:rPr>
            </w:pPr>
            <w:r>
              <w:rPr>
                <w:rFonts w:ascii="Arial" w:cs="Arial" w:eastAsia="Arial" w:hAnsi="Arial"/>
                <w:sz w:val="18"/>
                <w:szCs w:val="18"/>
                <w:color w:val="auto"/>
              </w:rPr>
              <w:t>f</w:t>
            </w:r>
          </w:p>
        </w:tc>
        <w:tc>
          <w:tcPr>
            <w:tcW w:w="120" w:type="dxa"/>
            <w:vAlign w:val="bottom"/>
          </w:tcPr>
          <w:p>
            <w:pPr>
              <w:spacing w:after="0"/>
              <w:rPr>
                <w:sz w:val="17"/>
                <w:szCs w:val="17"/>
                <w:color w:val="auto"/>
              </w:rPr>
            </w:pP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(116)</w:t>
            </w:r>
          </w:p>
        </w:tc>
      </w:tr>
      <w:tr>
        <w:trPr>
          <w:trHeight w:val="206"/>
        </w:trPr>
        <w:tc>
          <w:tcPr>
            <w:tcW w:w="4000" w:type="dxa"/>
            <w:vAlign w:val="bottom"/>
            <w:shd w:val="clear" w:color="auto" w:fill="CCEEFF"/>
          </w:tcPr>
          <w:p>
            <w:pPr>
              <w:ind w:left="220"/>
              <w:spacing w:after="0" w:line="206" w:lineRule="exact"/>
              <w:rPr>
                <w:sz w:val="20"/>
                <w:szCs w:val="20"/>
                <w:color w:val="auto"/>
              </w:rPr>
            </w:pPr>
            <w:r>
              <w:rPr>
                <w:rFonts w:ascii="Arial" w:cs="Arial" w:eastAsia="Arial" w:hAnsi="Arial"/>
                <w:sz w:val="18"/>
                <w:szCs w:val="18"/>
                <w:color w:val="auto"/>
              </w:rPr>
              <w:t>Change in fair value of redeemable convertible</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9"/>
        </w:trPr>
        <w:tc>
          <w:tcPr>
            <w:tcW w:w="4000" w:type="dxa"/>
            <w:vAlign w:val="bottom"/>
            <w:shd w:val="clear" w:color="auto" w:fill="CCEEFF"/>
          </w:tcPr>
          <w:p>
            <w:pPr>
              <w:ind w:left="420"/>
              <w:spacing w:after="0" w:line="200" w:lineRule="exact"/>
              <w:rPr>
                <w:sz w:val="20"/>
                <w:szCs w:val="20"/>
                <w:color w:val="auto"/>
              </w:rPr>
            </w:pPr>
            <w:r>
              <w:rPr>
                <w:rFonts w:ascii="Arial" w:cs="Arial" w:eastAsia="Arial" w:hAnsi="Arial"/>
                <w:sz w:val="18"/>
                <w:szCs w:val="18"/>
                <w:color w:val="auto"/>
              </w:rPr>
              <w:t>preferred stock liability</w:t>
            </w: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00"/>
              <w:spacing w:after="0" w:line="200" w:lineRule="exact"/>
              <w:rPr>
                <w:sz w:val="20"/>
                <w:szCs w:val="20"/>
                <w:color w:val="auto"/>
              </w:rPr>
            </w:pPr>
            <w:r>
              <w:rPr>
                <w:rFonts w:ascii="Arial" w:cs="Arial" w:eastAsia="Arial" w:hAnsi="Arial"/>
                <w:sz w:val="18"/>
                <w:szCs w:val="18"/>
                <w:color w:val="auto"/>
              </w:rPr>
              <w:t>(2,121)</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line="200"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200" w:lineRule="exact"/>
              <w:rPr>
                <w:sz w:val="20"/>
                <w:szCs w:val="20"/>
                <w:color w:val="auto"/>
              </w:rPr>
            </w:pPr>
            <w:r>
              <w:rPr>
                <w:rFonts w:ascii="Arial" w:cs="Arial" w:eastAsia="Arial" w:hAnsi="Arial"/>
                <w:sz w:val="18"/>
                <w:szCs w:val="18"/>
                <w:color w:val="auto"/>
              </w:rPr>
              <w:t>(2,121)</w:t>
            </w:r>
          </w:p>
        </w:tc>
      </w:tr>
      <w:tr>
        <w:trPr>
          <w:trHeight w:val="20"/>
        </w:trPr>
        <w:tc>
          <w:tcPr>
            <w:tcW w:w="4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4000" w:type="dxa"/>
            <w:vAlign w:val="bottom"/>
          </w:tcPr>
          <w:p>
            <w:pPr>
              <w:ind w:left="220"/>
              <w:spacing w:after="0"/>
              <w:rPr>
                <w:sz w:val="20"/>
                <w:szCs w:val="20"/>
                <w:color w:val="auto"/>
              </w:rPr>
            </w:pPr>
            <w:r>
              <w:rPr>
                <w:rFonts w:ascii="Arial" w:cs="Arial" w:eastAsia="Arial" w:hAnsi="Arial"/>
                <w:sz w:val="18"/>
                <w:szCs w:val="18"/>
                <w:color w:val="auto"/>
              </w:rPr>
              <w:t>Total other income (expense), net</w:t>
            </w:r>
          </w:p>
        </w:tc>
        <w:tc>
          <w:tcPr>
            <w:tcW w:w="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(1,460)</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4,060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(3,955)</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(1,355)</w:t>
            </w:r>
          </w:p>
        </w:tc>
      </w:tr>
      <w:tr>
        <w:trPr>
          <w:trHeight w:val="27"/>
        </w:trPr>
        <w:tc>
          <w:tcPr>
            <w:tcW w:w="4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and comprehensive loss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(41,789)</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(12,874)</w:t>
            </w:r>
          </w:p>
        </w:tc>
        <w:tc>
          <w:tcPr>
            <w:tcW w:w="2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(1,962)</w:t>
            </w:r>
          </w:p>
        </w:tc>
        <w:tc>
          <w:tcPr>
            <w:tcW w:w="10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h</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(57,151)</w:t>
            </w:r>
          </w:p>
        </w:tc>
      </w:tr>
      <w:tr>
        <w:trPr>
          <w:trHeight w:val="213"/>
        </w:trPr>
        <w:tc>
          <w:tcPr>
            <w:tcW w:w="4000" w:type="dxa"/>
            <w:vAlign w:val="bottom"/>
          </w:tcPr>
          <w:p>
            <w:pPr>
              <w:spacing w:after="0"/>
              <w:rPr>
                <w:sz w:val="20"/>
                <w:szCs w:val="20"/>
                <w:color w:val="auto"/>
              </w:rPr>
            </w:pPr>
            <w:r>
              <w:rPr>
                <w:rFonts w:ascii="Arial" w:cs="Arial" w:eastAsia="Arial" w:hAnsi="Arial"/>
                <w:sz w:val="18"/>
                <w:szCs w:val="18"/>
                <w:color w:val="auto"/>
              </w:rPr>
              <w:t>Redeemable convertible preferred stock</w:t>
            </w: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4000" w:type="dxa"/>
            <w:vAlign w:val="bottom"/>
          </w:tcPr>
          <w:p>
            <w:pPr>
              <w:ind w:left="220"/>
              <w:spacing w:after="0" w:line="200" w:lineRule="exact"/>
              <w:rPr>
                <w:sz w:val="20"/>
                <w:szCs w:val="20"/>
                <w:color w:val="auto"/>
              </w:rPr>
            </w:pPr>
            <w:r>
              <w:rPr>
                <w:rFonts w:ascii="Arial" w:cs="Arial" w:eastAsia="Arial" w:hAnsi="Arial"/>
                <w:sz w:val="18"/>
                <w:szCs w:val="18"/>
                <w:color w:val="auto"/>
              </w:rPr>
              <w:t>dividends—undeclared and cumulative</w:t>
            </w:r>
          </w:p>
        </w:tc>
        <w:tc>
          <w:tcPr>
            <w:tcW w:w="80" w:type="dxa"/>
            <w:vAlign w:val="bottom"/>
          </w:tcPr>
          <w:p>
            <w:pPr>
              <w:spacing w:after="0"/>
              <w:rPr>
                <w:sz w:val="17"/>
                <w:szCs w:val="17"/>
                <w:color w:val="auto"/>
              </w:rPr>
            </w:pPr>
          </w:p>
        </w:tc>
        <w:tc>
          <w:tcPr>
            <w:tcW w:w="1320" w:type="dxa"/>
            <w:vAlign w:val="bottom"/>
            <w:gridSpan w:val="2"/>
          </w:tcPr>
          <w:p>
            <w:pPr>
              <w:jc w:val="right"/>
              <w:ind w:right="200"/>
              <w:spacing w:after="0" w:line="200" w:lineRule="exact"/>
              <w:rPr>
                <w:sz w:val="20"/>
                <w:szCs w:val="20"/>
                <w:color w:val="auto"/>
              </w:rPr>
            </w:pPr>
            <w:r>
              <w:rPr>
                <w:rFonts w:ascii="Arial" w:cs="Arial" w:eastAsia="Arial" w:hAnsi="Arial"/>
                <w:sz w:val="18"/>
                <w:szCs w:val="18"/>
                <w:color w:val="auto"/>
              </w:rPr>
              <w:t>(7,031)</w:t>
            </w:r>
          </w:p>
        </w:tc>
        <w:tc>
          <w:tcPr>
            <w:tcW w:w="180" w:type="dxa"/>
            <w:vAlign w:val="bottom"/>
          </w:tcPr>
          <w:p>
            <w:pPr>
              <w:spacing w:after="0"/>
              <w:rPr>
                <w:sz w:val="17"/>
                <w:szCs w:val="17"/>
                <w:color w:val="auto"/>
              </w:rPr>
            </w:pPr>
          </w:p>
        </w:tc>
        <w:tc>
          <w:tcPr>
            <w:tcW w:w="94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260"/>
              <w:spacing w:after="0" w:line="200"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(2,414)</w:t>
            </w:r>
          </w:p>
        </w:tc>
        <w:tc>
          <w:tcPr>
            <w:tcW w:w="1040" w:type="dxa"/>
            <w:vAlign w:val="bottom"/>
          </w:tcPr>
          <w:p>
            <w:pPr>
              <w:ind w:left="120"/>
              <w:spacing w:after="0" w:line="200" w:lineRule="exact"/>
              <w:rPr>
                <w:sz w:val="20"/>
                <w:szCs w:val="20"/>
                <w:color w:val="auto"/>
              </w:rPr>
            </w:pPr>
            <w:r>
              <w:rPr>
                <w:rFonts w:ascii="Arial" w:cs="Arial" w:eastAsia="Arial" w:hAnsi="Arial"/>
                <w:sz w:val="18"/>
                <w:szCs w:val="18"/>
                <w:color w:val="auto"/>
              </w:rPr>
              <w:t>i</w:t>
            </w:r>
          </w:p>
        </w:tc>
        <w:tc>
          <w:tcPr>
            <w:tcW w:w="120" w:type="dxa"/>
            <w:vAlign w:val="bottom"/>
          </w:tcPr>
          <w:p>
            <w:pPr>
              <w:spacing w:after="0"/>
              <w:rPr>
                <w:sz w:val="17"/>
                <w:szCs w:val="17"/>
                <w:color w:val="auto"/>
              </w:rPr>
            </w:pPr>
          </w:p>
        </w:tc>
        <w:tc>
          <w:tcPr>
            <w:tcW w:w="100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(9,445)</w:t>
            </w:r>
          </w:p>
        </w:tc>
      </w:tr>
      <w:tr>
        <w:trPr>
          <w:trHeight w:val="27"/>
        </w:trPr>
        <w:tc>
          <w:tcPr>
            <w:tcW w:w="4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attributable to common stockholders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(48,820)</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(12,874)</w:t>
            </w:r>
          </w:p>
        </w:tc>
        <w:tc>
          <w:tcPr>
            <w:tcW w:w="2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(4,376)</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(66,596)</w:t>
            </w:r>
          </w:p>
        </w:tc>
      </w:tr>
      <w:tr>
        <w:trPr>
          <w:trHeight w:val="213"/>
        </w:trPr>
        <w:tc>
          <w:tcPr>
            <w:tcW w:w="4000" w:type="dxa"/>
            <w:vAlign w:val="bottom"/>
          </w:tcPr>
          <w:p>
            <w:pPr>
              <w:spacing w:after="0"/>
              <w:rPr>
                <w:sz w:val="20"/>
                <w:szCs w:val="20"/>
                <w:color w:val="auto"/>
              </w:rPr>
            </w:pPr>
            <w:r>
              <w:rPr>
                <w:rFonts w:ascii="Arial" w:cs="Arial" w:eastAsia="Arial" w:hAnsi="Arial"/>
                <w:sz w:val="18"/>
                <w:szCs w:val="18"/>
                <w:color w:val="auto"/>
              </w:rPr>
              <w:t>Net loss per share attributable to common</w:t>
            </w: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6"/>
        </w:trPr>
        <w:tc>
          <w:tcPr>
            <w:tcW w:w="4000" w:type="dxa"/>
            <w:vAlign w:val="bottom"/>
          </w:tcPr>
          <w:p>
            <w:pPr>
              <w:ind w:left="220"/>
              <w:spacing w:after="0" w:line="200" w:lineRule="exact"/>
              <w:rPr>
                <w:sz w:val="20"/>
                <w:szCs w:val="20"/>
                <w:color w:val="auto"/>
              </w:rPr>
            </w:pPr>
            <w:r>
              <w:rPr>
                <w:rFonts w:ascii="Arial" w:cs="Arial" w:eastAsia="Arial" w:hAnsi="Arial"/>
                <w:sz w:val="18"/>
                <w:szCs w:val="18"/>
                <w:color w:val="auto"/>
              </w:rPr>
              <w:t>stockholders—basic and diluted</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00"/>
              <w:spacing w:after="0" w:line="200" w:lineRule="exact"/>
              <w:rPr>
                <w:sz w:val="20"/>
                <w:szCs w:val="20"/>
                <w:color w:val="auto"/>
              </w:rPr>
            </w:pPr>
            <w:r>
              <w:rPr>
                <w:rFonts w:ascii="Arial" w:cs="Arial" w:eastAsia="Arial" w:hAnsi="Arial"/>
                <w:sz w:val="18"/>
                <w:szCs w:val="18"/>
                <w:color w:val="auto"/>
              </w:rPr>
              <w:t>(4.36)</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jc w:val="right"/>
              <w:spacing w:after="0" w:line="200"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(5.95)</w:t>
            </w:r>
          </w:p>
        </w:tc>
      </w:tr>
      <w:tr>
        <w:trPr>
          <w:trHeight w:val="206"/>
        </w:trPr>
        <w:tc>
          <w:tcPr>
            <w:tcW w:w="40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Weighted average shares used to compute net</w:t>
            </w:r>
          </w:p>
        </w:tc>
        <w:tc>
          <w:tcPr>
            <w:tcW w:w="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40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loss per share attributable to common</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9"/>
        </w:trPr>
        <w:tc>
          <w:tcPr>
            <w:tcW w:w="400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stockholders—basic and diluted</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11,186,287</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95"/>
              </w:rPr>
              <w:t>11,186,287</w:t>
            </w:r>
          </w:p>
        </w:tc>
        <w:tc>
          <w:tcPr>
            <w:tcW w:w="120" w:type="dxa"/>
            <w:vAlign w:val="bottom"/>
            <w:shd w:val="clear" w:color="auto" w:fill="CCEEFF"/>
          </w:tcPr>
          <w:p>
            <w:pPr>
              <w:spacing w:after="0"/>
              <w:rPr>
                <w:sz w:val="17"/>
                <w:szCs w:val="17"/>
                <w:color w:val="auto"/>
              </w:rPr>
            </w:pPr>
          </w:p>
        </w:tc>
      </w:tr>
      <w:tr>
        <w:trPr>
          <w:trHeight w:val="20"/>
        </w:trPr>
        <w:tc>
          <w:tcPr>
            <w:tcW w:w="4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bl>
    <w:p>
      <w:pPr>
        <w:spacing w:after="0" w:line="93"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See accompanying notes to unaudited pro forma condensed combined statement of operations.</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40"/>
          </w:cols>
          <w:pgMar w:left="32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Revolution Medicines, Inc.</w:t>
      </w:r>
    </w:p>
    <w:p>
      <w:pPr>
        <w:spacing w:after="0" w:line="50" w:lineRule="exact"/>
        <w:rPr>
          <w:sz w:val="20"/>
          <w:szCs w:val="20"/>
          <w:color w:val="auto"/>
        </w:rPr>
      </w:pPr>
    </w:p>
    <w:p>
      <w:pPr>
        <w:ind w:left="120" w:right="1060"/>
        <w:spacing w:after="0" w:line="260" w:lineRule="auto"/>
        <w:rPr>
          <w:sz w:val="20"/>
          <w:szCs w:val="20"/>
          <w:color w:val="auto"/>
        </w:rPr>
      </w:pPr>
      <w:r>
        <w:rPr>
          <w:rFonts w:ascii="Arial" w:cs="Arial" w:eastAsia="Arial" w:hAnsi="Arial"/>
          <w:sz w:val="32"/>
          <w:szCs w:val="32"/>
          <w:b w:val="1"/>
          <w:bCs w:val="1"/>
          <w:color w:val="auto"/>
        </w:rPr>
        <w:t>Notes to unaudited pro forma condensed combined statement of operations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Note 1. Description of transaction and basis of presentation</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Description of transaction</w:t>
      </w:r>
    </w:p>
    <w:p>
      <w:pPr>
        <w:spacing w:after="0" w:line="124" w:lineRule="exact"/>
        <w:rPr>
          <w:sz w:val="20"/>
          <w:szCs w:val="20"/>
          <w:color w:val="auto"/>
        </w:rPr>
      </w:pPr>
    </w:p>
    <w:p>
      <w:pPr>
        <w:ind w:left="120" w:right="240"/>
        <w:spacing w:after="0" w:line="238" w:lineRule="auto"/>
        <w:rPr>
          <w:sz w:val="20"/>
          <w:szCs w:val="20"/>
          <w:color w:val="auto"/>
        </w:rPr>
      </w:pPr>
      <w:r>
        <w:rPr>
          <w:rFonts w:ascii="Arial" w:cs="Arial" w:eastAsia="Arial" w:hAnsi="Arial"/>
          <w:sz w:val="18"/>
          <w:szCs w:val="18"/>
          <w:color w:val="auto"/>
        </w:rPr>
        <w:t>In October 2018, the Company acquired all outstanding shares of Warp Drive in exchange for issuing 33,079,554 shares of its Series B redeemable convertible preferred stock and cash. Warp Drive, based in Cambridge, Massachusetts, was engaged in research involving the use of intracellular biologics to develop transformative medicines.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24" w:lineRule="exact"/>
        <w:rPr>
          <w:sz w:val="20"/>
          <w:szCs w:val="20"/>
          <w:color w:val="auto"/>
        </w:rPr>
      </w:pPr>
    </w:p>
    <w:p>
      <w:pPr>
        <w:jc w:val="both"/>
        <w:ind w:left="120" w:right="60"/>
        <w:spacing w:after="0" w:line="238" w:lineRule="auto"/>
        <w:rPr>
          <w:sz w:val="20"/>
          <w:szCs w:val="20"/>
          <w:color w:val="auto"/>
        </w:rPr>
      </w:pPr>
      <w:r>
        <w:rPr>
          <w:rFonts w:ascii="Arial" w:cs="Arial" w:eastAsia="Arial" w:hAnsi="Arial"/>
          <w:sz w:val="18"/>
          <w:szCs w:val="18"/>
          <w:color w:val="auto"/>
        </w:rPr>
        <w:t>The following unaudited pro forma combined statement of operations for the year ended December 31, 2018 is presented to give effect to the Company’s acquisition of Warp Drive on October 24, 2018 for total consideration valued at $69.0 million. The unaudited pro forma condensed combined statement of operations was prepared in accordance with Article 11 of Regulation S-X.</w:t>
      </w:r>
    </w:p>
    <w:p>
      <w:pPr>
        <w:spacing w:after="0" w:line="100" w:lineRule="exact"/>
        <w:rPr>
          <w:sz w:val="20"/>
          <w:szCs w:val="20"/>
          <w:color w:val="auto"/>
        </w:rPr>
      </w:pPr>
    </w:p>
    <w:p>
      <w:pPr>
        <w:ind w:left="120" w:right="60"/>
        <w:spacing w:after="0" w:line="272" w:lineRule="auto"/>
        <w:rPr>
          <w:sz w:val="20"/>
          <w:szCs w:val="20"/>
          <w:color w:val="auto"/>
        </w:rPr>
      </w:pPr>
      <w:r>
        <w:rPr>
          <w:rFonts w:ascii="Arial" w:cs="Arial" w:eastAsia="Arial" w:hAnsi="Arial"/>
          <w:sz w:val="16"/>
          <w:szCs w:val="16"/>
          <w:color w:val="auto"/>
        </w:rPr>
        <w:t>The acquisition of Warp Drive is accounted for as a business combination in accordance with ASC 805. The accounting standards define the term “fair value” and set forth the valuation requirements for any asset or liability measured at fair value, and specifies a hierarchy of valuation techniques based on the inputs used to develop the fair value measures. Management used its best estimates and assumptions to assign fair value to the tangible and intangible assets acquired and liabilities assumed at the acquisition date. Goodwill as of the acquisition date is measured as the excess of purchase consideration over the fair value of net tangible and identifiable intangible assets acquired.</w:t>
      </w:r>
    </w:p>
    <w:p>
      <w:pPr>
        <w:spacing w:after="0" w:line="78" w:lineRule="exact"/>
        <w:rPr>
          <w:sz w:val="20"/>
          <w:szCs w:val="20"/>
          <w:color w:val="auto"/>
        </w:rPr>
      </w:pPr>
    </w:p>
    <w:p>
      <w:pPr>
        <w:ind w:left="120" w:right="780"/>
        <w:spacing w:after="0" w:line="239" w:lineRule="auto"/>
        <w:rPr>
          <w:sz w:val="20"/>
          <w:szCs w:val="20"/>
          <w:color w:val="auto"/>
        </w:rPr>
      </w:pPr>
      <w:r>
        <w:rPr>
          <w:rFonts w:ascii="Arial" w:cs="Arial" w:eastAsia="Arial" w:hAnsi="Arial"/>
          <w:sz w:val="18"/>
          <w:szCs w:val="18"/>
          <w:color w:val="auto"/>
        </w:rPr>
        <w:t>The unaudited pro forma condensed combined statement of operations for the year ended December 31, 2018 is presented as if the acquisition had occurred on January 1, 2018.</w:t>
      </w:r>
    </w:p>
    <w:p>
      <w:pPr>
        <w:spacing w:after="0" w:line="101" w:lineRule="exact"/>
        <w:rPr>
          <w:sz w:val="20"/>
          <w:szCs w:val="20"/>
          <w:color w:val="auto"/>
        </w:rPr>
      </w:pPr>
    </w:p>
    <w:p>
      <w:pPr>
        <w:ind w:left="120" w:right="640"/>
        <w:spacing w:after="0" w:line="238" w:lineRule="auto"/>
        <w:rPr>
          <w:sz w:val="20"/>
          <w:szCs w:val="20"/>
          <w:color w:val="auto"/>
        </w:rPr>
      </w:pPr>
      <w:r>
        <w:rPr>
          <w:rFonts w:ascii="Arial" w:cs="Arial" w:eastAsia="Arial" w:hAnsi="Arial"/>
          <w:sz w:val="18"/>
          <w:szCs w:val="18"/>
          <w:color w:val="auto"/>
        </w:rPr>
        <w:t>Under the acquisition method of accounting, acquisition-related transaction costs are not included as consideration transferred but are accounted for as expenses in the periods in which the costs are incurred. These costs are not presented in the unaudited pro forma condensed combined statement of operations because they will not have a continuing impact on the combined results.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Note 2. Purchase price consideration and allocation</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Purchase price consideration</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a summary of the purchase price consideration for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96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(in thousands)</w:t>
            </w:r>
          </w:p>
        </w:tc>
      </w:tr>
      <w:tr>
        <w:trPr>
          <w:trHeight w:val="196"/>
        </w:trPr>
        <w:tc>
          <w:tcPr>
            <w:tcW w:w="9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Series B redeemable convertible preferred stock</w:t>
            </w:r>
          </w:p>
        </w:tc>
        <w:tc>
          <w:tcPr>
            <w:tcW w:w="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68,144</w:t>
            </w:r>
          </w:p>
        </w:tc>
        <w:tc>
          <w:tcPr>
            <w:tcW w:w="120" w:type="dxa"/>
            <w:vAlign w:val="bottom"/>
            <w:shd w:val="clear" w:color="auto" w:fill="CCEEFF"/>
          </w:tcPr>
          <w:p>
            <w:pPr>
              <w:spacing w:after="0"/>
              <w:rPr>
                <w:sz w:val="17"/>
                <w:szCs w:val="17"/>
                <w:color w:val="auto"/>
              </w:rPr>
            </w:pPr>
          </w:p>
        </w:tc>
      </w:tr>
      <w:tr>
        <w:trPr>
          <w:trHeight w:val="203"/>
        </w:trPr>
        <w:tc>
          <w:tcPr>
            <w:tcW w:w="9680" w:type="dxa"/>
            <w:vAlign w:val="bottom"/>
          </w:tcPr>
          <w:p>
            <w:pPr>
              <w:spacing w:after="0" w:line="202" w:lineRule="exact"/>
              <w:rPr>
                <w:sz w:val="20"/>
                <w:szCs w:val="20"/>
                <w:color w:val="auto"/>
              </w:rPr>
            </w:pPr>
            <w:r>
              <w:rPr>
                <w:rFonts w:ascii="Arial" w:cs="Arial" w:eastAsia="Arial" w:hAnsi="Arial"/>
                <w:sz w:val="18"/>
                <w:szCs w:val="18"/>
                <w:color w:val="auto"/>
              </w:rPr>
              <w:t>Cash</w:t>
            </w:r>
          </w:p>
        </w:tc>
        <w:tc>
          <w:tcPr>
            <w:tcW w:w="4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1,172</w:t>
            </w:r>
          </w:p>
        </w:tc>
        <w:tc>
          <w:tcPr>
            <w:tcW w:w="120" w:type="dxa"/>
            <w:vAlign w:val="bottom"/>
          </w:tcPr>
          <w:p>
            <w:pPr>
              <w:spacing w:after="0"/>
              <w:rPr>
                <w:sz w:val="17"/>
                <w:szCs w:val="17"/>
                <w:color w:val="auto"/>
              </w:rPr>
            </w:pPr>
          </w:p>
        </w:tc>
      </w:tr>
      <w:tr>
        <w:trPr>
          <w:trHeight w:val="203"/>
        </w:trPr>
        <w:tc>
          <w:tcPr>
            <w:tcW w:w="9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Contingently returnable consideration asset</w:t>
            </w:r>
          </w:p>
        </w:tc>
        <w:tc>
          <w:tcPr>
            <w:tcW w:w="4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(310)</w:t>
            </w:r>
          </w:p>
        </w:tc>
      </w:tr>
      <w:tr>
        <w:trPr>
          <w:trHeight w:val="222"/>
        </w:trPr>
        <w:tc>
          <w:tcPr>
            <w:tcW w:w="9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consideration</w:t>
            </w: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69,006</w:t>
            </w:r>
          </w:p>
        </w:tc>
        <w:tc>
          <w:tcPr>
            <w:tcW w:w="120" w:type="dxa"/>
            <w:vAlign w:val="bottom"/>
          </w:tcPr>
          <w:p>
            <w:pPr>
              <w:spacing w:after="0"/>
              <w:rPr>
                <w:sz w:val="19"/>
                <w:szCs w:val="19"/>
                <w:color w:val="auto"/>
              </w:rPr>
            </w:pPr>
          </w:p>
        </w:tc>
      </w:tr>
    </w:tbl>
    <w:p>
      <w:pPr>
        <w:spacing w:after="0" w:line="111"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The fair value of $2.06 per share of Series B redeemable convertible preferred stock was determined using a discounted cash flow model to estimate the value of the Company’s equity, and subsequently allocated to the Series B redeemable convertible preferred stock using an option pricing method.</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40"/>
          </w:cols>
          <w:pgMar w:left="32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Revolution Medicines, Inc.</w:t>
      </w:r>
    </w:p>
    <w:p>
      <w:pPr>
        <w:spacing w:after="0" w:line="50" w:lineRule="exact"/>
        <w:rPr>
          <w:sz w:val="20"/>
          <w:szCs w:val="20"/>
          <w:color w:val="auto"/>
        </w:rPr>
      </w:pPr>
    </w:p>
    <w:p>
      <w:pPr>
        <w:ind w:left="120" w:right="1060"/>
        <w:spacing w:after="0" w:line="260" w:lineRule="auto"/>
        <w:rPr>
          <w:sz w:val="20"/>
          <w:szCs w:val="20"/>
          <w:color w:val="auto"/>
        </w:rPr>
      </w:pPr>
      <w:r>
        <w:rPr>
          <w:rFonts w:ascii="Arial" w:cs="Arial" w:eastAsia="Arial" w:hAnsi="Arial"/>
          <w:sz w:val="32"/>
          <w:szCs w:val="32"/>
          <w:b w:val="1"/>
          <w:bCs w:val="1"/>
          <w:color w:val="auto"/>
        </w:rPr>
        <w:t>Notes to unaudited pro forma condensed combined statement of operations</w:t>
      </w:r>
    </w:p>
    <w:p>
      <w:pPr>
        <w:spacing w:after="0" w:line="80" w:lineRule="exact"/>
        <w:rPr>
          <w:sz w:val="20"/>
          <w:szCs w:val="20"/>
          <w:color w:val="auto"/>
        </w:rPr>
      </w:pPr>
    </w:p>
    <w:p>
      <w:pPr>
        <w:ind w:left="120" w:right="400"/>
        <w:spacing w:after="0" w:line="239" w:lineRule="auto"/>
        <w:rPr>
          <w:sz w:val="20"/>
          <w:szCs w:val="20"/>
          <w:color w:val="auto"/>
        </w:rPr>
      </w:pPr>
      <w:r>
        <w:rPr>
          <w:rFonts w:ascii="Arial" w:cs="Arial" w:eastAsia="Arial" w:hAnsi="Arial"/>
          <w:sz w:val="18"/>
          <w:szCs w:val="18"/>
          <w:color w:val="auto"/>
        </w:rPr>
        <w:t>The fair value of the contingently returnable consideration asset was determined using an income-based approach. The key assumptions used in determining the fair value are the discount rate and the probability assigned to the potential holdback.</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Allocation of purchase price to assets acquired and liabilities assumed</w:t>
      </w:r>
    </w:p>
    <w:p>
      <w:pPr>
        <w:spacing w:after="0" w:line="124" w:lineRule="exact"/>
        <w:rPr>
          <w:sz w:val="20"/>
          <w:szCs w:val="20"/>
          <w:color w:val="auto"/>
        </w:rPr>
      </w:pPr>
    </w:p>
    <w:p>
      <w:pPr>
        <w:ind w:left="120" w:right="300"/>
        <w:spacing w:after="0" w:line="239" w:lineRule="auto"/>
        <w:rPr>
          <w:sz w:val="20"/>
          <w:szCs w:val="20"/>
          <w:color w:val="auto"/>
        </w:rPr>
      </w:pPr>
      <w:r>
        <w:rPr>
          <w:rFonts w:ascii="Arial" w:cs="Arial" w:eastAsia="Arial" w:hAnsi="Arial"/>
          <w:sz w:val="18"/>
          <w:szCs w:val="18"/>
          <w:color w:val="auto"/>
        </w:rPr>
        <w:t>The following table summarizes the estimated fair values of assets acquired and liabilities assumed at the acquisition date, including those held for sale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97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(in thousands)</w:t>
            </w:r>
          </w:p>
        </w:tc>
      </w:tr>
      <w:tr>
        <w:trPr>
          <w:trHeight w:val="48"/>
        </w:trPr>
        <w:tc>
          <w:tcPr>
            <w:tcW w:w="9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9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 acquired:</w:t>
            </w: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9740" w:type="dxa"/>
            <w:vAlign w:val="bottom"/>
          </w:tcPr>
          <w:p>
            <w:pPr>
              <w:ind w:left="220"/>
              <w:spacing w:after="0" w:line="202" w:lineRule="exact"/>
              <w:rPr>
                <w:sz w:val="20"/>
                <w:szCs w:val="20"/>
                <w:color w:val="auto"/>
              </w:rPr>
            </w:pPr>
            <w:r>
              <w:rPr>
                <w:rFonts w:ascii="Arial" w:cs="Arial" w:eastAsia="Arial" w:hAnsi="Arial"/>
                <w:sz w:val="18"/>
                <w:szCs w:val="18"/>
                <w:color w:val="auto"/>
              </w:rPr>
              <w:t>Cash and other current assets</w:t>
            </w:r>
          </w:p>
        </w:tc>
        <w:tc>
          <w:tcPr>
            <w:tcW w:w="4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1,594</w:t>
            </w:r>
          </w:p>
        </w:tc>
      </w:tr>
      <w:tr>
        <w:trPr>
          <w:trHeight w:val="203"/>
        </w:trPr>
        <w:tc>
          <w:tcPr>
            <w:tcW w:w="97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Property and equipment</w:t>
            </w:r>
          </w:p>
        </w:tc>
        <w:tc>
          <w:tcPr>
            <w:tcW w:w="4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2,151</w:t>
            </w:r>
          </w:p>
        </w:tc>
      </w:tr>
      <w:tr>
        <w:trPr>
          <w:trHeight w:val="203"/>
        </w:trPr>
        <w:tc>
          <w:tcPr>
            <w:tcW w:w="9740" w:type="dxa"/>
            <w:vAlign w:val="bottom"/>
          </w:tcPr>
          <w:p>
            <w:pPr>
              <w:ind w:left="220"/>
              <w:spacing w:after="0" w:line="202" w:lineRule="exact"/>
              <w:rPr>
                <w:sz w:val="20"/>
                <w:szCs w:val="20"/>
                <w:color w:val="auto"/>
              </w:rPr>
            </w:pPr>
            <w:r>
              <w:rPr>
                <w:rFonts w:ascii="Arial" w:cs="Arial" w:eastAsia="Arial" w:hAnsi="Arial"/>
                <w:sz w:val="18"/>
                <w:szCs w:val="18"/>
                <w:color w:val="auto"/>
              </w:rPr>
              <w:t>In-process research and development—RAS programs</w:t>
            </w:r>
          </w:p>
        </w:tc>
        <w:tc>
          <w:tcPr>
            <w:tcW w:w="40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55,800</w:t>
            </w:r>
          </w:p>
        </w:tc>
      </w:tr>
      <w:tr>
        <w:trPr>
          <w:trHeight w:val="203"/>
        </w:trPr>
        <w:tc>
          <w:tcPr>
            <w:tcW w:w="97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Developed technology—tri-complex platform</w:t>
            </w:r>
          </w:p>
        </w:tc>
        <w:tc>
          <w:tcPr>
            <w:tcW w:w="4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7,480</w:t>
            </w:r>
          </w:p>
        </w:tc>
      </w:tr>
      <w:tr>
        <w:trPr>
          <w:trHeight w:val="209"/>
        </w:trPr>
        <w:tc>
          <w:tcPr>
            <w:tcW w:w="9740" w:type="dxa"/>
            <w:vAlign w:val="bottom"/>
          </w:tcPr>
          <w:p>
            <w:pPr>
              <w:ind w:left="220"/>
              <w:spacing w:after="0" w:line="202" w:lineRule="exact"/>
              <w:rPr>
                <w:sz w:val="20"/>
                <w:szCs w:val="20"/>
                <w:color w:val="auto"/>
              </w:rPr>
            </w:pPr>
            <w:r>
              <w:rPr>
                <w:rFonts w:ascii="Arial" w:cs="Arial" w:eastAsia="Arial" w:hAnsi="Arial"/>
                <w:sz w:val="18"/>
                <w:szCs w:val="18"/>
                <w:color w:val="auto"/>
              </w:rPr>
              <w:t>Developed technology—genome mining platform</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6,100</w:t>
            </w:r>
          </w:p>
        </w:tc>
        <w:tc>
          <w:tcPr>
            <w:tcW w:w="60" w:type="dxa"/>
            <w:vAlign w:val="bottom"/>
          </w:tcPr>
          <w:p>
            <w:pPr>
              <w:spacing w:after="0"/>
              <w:rPr>
                <w:sz w:val="18"/>
                <w:szCs w:val="18"/>
                <w:color w:val="auto"/>
              </w:rPr>
            </w:pPr>
          </w:p>
        </w:tc>
      </w:tr>
      <w:tr>
        <w:trPr>
          <w:trHeight w:val="203"/>
        </w:trPr>
        <w:tc>
          <w:tcPr>
            <w:tcW w:w="97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assets acquired</w:t>
            </w:r>
          </w:p>
        </w:tc>
        <w:tc>
          <w:tcPr>
            <w:tcW w:w="4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73,125</w:t>
            </w:r>
          </w:p>
        </w:tc>
      </w:tr>
      <w:tr>
        <w:trPr>
          <w:trHeight w:val="270"/>
        </w:trPr>
        <w:tc>
          <w:tcPr>
            <w:tcW w:w="9740" w:type="dxa"/>
            <w:vAlign w:val="bottom"/>
          </w:tcPr>
          <w:p>
            <w:pPr>
              <w:spacing w:after="0"/>
              <w:rPr>
                <w:sz w:val="20"/>
                <w:szCs w:val="20"/>
                <w:color w:val="auto"/>
              </w:rPr>
            </w:pPr>
            <w:r>
              <w:rPr>
                <w:rFonts w:ascii="Arial" w:cs="Arial" w:eastAsia="Arial" w:hAnsi="Arial"/>
                <w:sz w:val="18"/>
                <w:szCs w:val="18"/>
                <w:color w:val="auto"/>
              </w:rPr>
              <w:t>Liabilities assumed:</w:t>
            </w: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03"/>
        </w:trPr>
        <w:tc>
          <w:tcPr>
            <w:tcW w:w="97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Accounts payable and other accrued liabilities</w:t>
            </w:r>
          </w:p>
        </w:tc>
        <w:tc>
          <w:tcPr>
            <w:tcW w:w="4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3,790</w:t>
            </w:r>
          </w:p>
        </w:tc>
      </w:tr>
      <w:tr>
        <w:trPr>
          <w:trHeight w:val="203"/>
        </w:trPr>
        <w:tc>
          <w:tcPr>
            <w:tcW w:w="9740" w:type="dxa"/>
            <w:vAlign w:val="bottom"/>
          </w:tcPr>
          <w:p>
            <w:pPr>
              <w:ind w:left="220"/>
              <w:spacing w:after="0" w:line="202" w:lineRule="exact"/>
              <w:rPr>
                <w:sz w:val="20"/>
                <w:szCs w:val="20"/>
                <w:color w:val="auto"/>
              </w:rPr>
            </w:pPr>
            <w:r>
              <w:rPr>
                <w:rFonts w:ascii="Arial" w:cs="Arial" w:eastAsia="Arial" w:hAnsi="Arial"/>
                <w:sz w:val="18"/>
                <w:szCs w:val="18"/>
                <w:color w:val="auto"/>
              </w:rPr>
              <w:t>Convertible note payable, related party</w:t>
            </w:r>
          </w:p>
        </w:tc>
        <w:tc>
          <w:tcPr>
            <w:tcW w:w="40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2,000</w:t>
            </w:r>
          </w:p>
        </w:tc>
      </w:tr>
      <w:tr>
        <w:trPr>
          <w:trHeight w:val="203"/>
        </w:trPr>
        <w:tc>
          <w:tcPr>
            <w:tcW w:w="97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Deferred revenue</w:t>
            </w:r>
          </w:p>
        </w:tc>
        <w:tc>
          <w:tcPr>
            <w:tcW w:w="4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745</w:t>
            </w:r>
          </w:p>
        </w:tc>
      </w:tr>
      <w:tr>
        <w:trPr>
          <w:trHeight w:val="210"/>
        </w:trPr>
        <w:tc>
          <w:tcPr>
            <w:tcW w:w="9740" w:type="dxa"/>
            <w:vAlign w:val="bottom"/>
          </w:tcPr>
          <w:p>
            <w:pPr>
              <w:ind w:left="220"/>
              <w:spacing w:after="0" w:line="202" w:lineRule="exact"/>
              <w:rPr>
                <w:sz w:val="20"/>
                <w:szCs w:val="20"/>
                <w:color w:val="auto"/>
              </w:rPr>
            </w:pPr>
            <w:r>
              <w:rPr>
                <w:rFonts w:ascii="Arial" w:cs="Arial" w:eastAsia="Arial" w:hAnsi="Arial"/>
                <w:sz w:val="18"/>
                <w:szCs w:val="18"/>
                <w:color w:val="auto"/>
              </w:rPr>
              <w:t>Deferred tax liability</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12,192</w:t>
            </w:r>
          </w:p>
        </w:tc>
        <w:tc>
          <w:tcPr>
            <w:tcW w:w="60" w:type="dxa"/>
            <w:vAlign w:val="bottom"/>
          </w:tcPr>
          <w:p>
            <w:pPr>
              <w:spacing w:after="0"/>
              <w:rPr>
                <w:sz w:val="18"/>
                <w:szCs w:val="18"/>
                <w:color w:val="auto"/>
              </w:rPr>
            </w:pPr>
          </w:p>
        </w:tc>
      </w:tr>
      <w:tr>
        <w:trPr>
          <w:trHeight w:val="203"/>
        </w:trPr>
        <w:tc>
          <w:tcPr>
            <w:tcW w:w="97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liabilities assumed</w:t>
            </w:r>
          </w:p>
        </w:tc>
        <w:tc>
          <w:tcPr>
            <w:tcW w:w="4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18,727</w:t>
            </w:r>
          </w:p>
        </w:tc>
      </w:tr>
      <w:tr>
        <w:trPr>
          <w:trHeight w:val="210"/>
        </w:trPr>
        <w:tc>
          <w:tcPr>
            <w:tcW w:w="974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14,608</w:t>
            </w:r>
          </w:p>
        </w:tc>
        <w:tc>
          <w:tcPr>
            <w:tcW w:w="60" w:type="dxa"/>
            <w:vAlign w:val="bottom"/>
          </w:tcPr>
          <w:p>
            <w:pPr>
              <w:spacing w:after="0"/>
              <w:rPr>
                <w:sz w:val="18"/>
                <w:szCs w:val="18"/>
                <w:color w:val="auto"/>
              </w:rPr>
            </w:pPr>
          </w:p>
        </w:tc>
      </w:tr>
      <w:tr>
        <w:trPr>
          <w:trHeight w:val="202"/>
        </w:trPr>
        <w:tc>
          <w:tcPr>
            <w:tcW w:w="9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69,006</w:t>
            </w:r>
          </w:p>
        </w:tc>
      </w:tr>
      <w:tr>
        <w:trPr>
          <w:trHeight w:val="20"/>
        </w:trPr>
        <w:tc>
          <w:tcPr>
            <w:tcW w:w="9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The valuations of the IPR&amp;D—RAS programs and developed technology—genome mining platform were determined using the income approach, which discounts expected future cash flows to present value. The discount rates used were between 13% and 14%. The projected cash flows were based on key assumptions such as: estimates of revenues and operating profits related to each program or platform considering its stage of development on the acquisition date; the time and resources needed to complete the development and approval of product candidates; the life of the potential commercialized products and associated risks, including the inherent difficulties and uncertainties in developing a product candidate such as obtaining marketing approval from the FDA and other regulatory agencies; and risks related to the viability of and potential alternative treatments in any future target markets.</w:t>
      </w:r>
    </w:p>
    <w:p>
      <w:pPr>
        <w:spacing w:after="0" w:line="101"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Intangible assets associated with acquired IPR&amp;D relate to the RAS programs. Management determined that the estimated acquisition-date fair value of the intangible asset related to IPR&amp;D was $55.8 million. The acquired IPR&amp;D is considered to be an indefinite-lived asset until the completion or abandonment of the research and development efforts. The acquired IPR&amp;D will not be amortized until completion of the related products which is determined by when the underlying programs reach technological feasibility and commence commercial production. Upon completion, the acquired IPR&amp;D will be amortized over its useful life.</w:t>
      </w:r>
    </w:p>
    <w:p>
      <w:pPr>
        <w:spacing w:after="0" w:line="103"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The valuation of the developed technology—tri-complex platform was based on a replacement cost approach as the Company’s management intends to leverage the platform internally, but does not have the ability to assign</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40"/>
          </w:cols>
          <w:pgMar w:left="32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Revolution Medicines, Inc.</w:t>
      </w:r>
    </w:p>
    <w:p>
      <w:pPr>
        <w:spacing w:after="0" w:line="50" w:lineRule="exact"/>
        <w:rPr>
          <w:sz w:val="20"/>
          <w:szCs w:val="20"/>
          <w:color w:val="auto"/>
        </w:rPr>
      </w:pPr>
    </w:p>
    <w:p>
      <w:pPr>
        <w:ind w:left="120" w:right="1060"/>
        <w:spacing w:after="0" w:line="260" w:lineRule="auto"/>
        <w:rPr>
          <w:sz w:val="20"/>
          <w:szCs w:val="20"/>
          <w:color w:val="auto"/>
        </w:rPr>
      </w:pPr>
      <w:r>
        <w:rPr>
          <w:rFonts w:ascii="Arial" w:cs="Arial" w:eastAsia="Arial" w:hAnsi="Arial"/>
          <w:sz w:val="32"/>
          <w:szCs w:val="32"/>
          <w:b w:val="1"/>
          <w:bCs w:val="1"/>
          <w:color w:val="auto"/>
        </w:rPr>
        <w:t>Notes to unaudited pro forma condensed combined statement of operations</w:t>
      </w:r>
    </w:p>
    <w:p>
      <w:pPr>
        <w:spacing w:after="0" w:line="80" w:lineRule="exact"/>
        <w:rPr>
          <w:sz w:val="20"/>
          <w:szCs w:val="20"/>
          <w:color w:val="auto"/>
        </w:rPr>
      </w:pPr>
    </w:p>
    <w:p>
      <w:pPr>
        <w:ind w:left="120" w:right="340"/>
        <w:spacing w:after="0" w:line="239" w:lineRule="auto"/>
        <w:rPr>
          <w:sz w:val="20"/>
          <w:szCs w:val="20"/>
          <w:color w:val="auto"/>
        </w:rPr>
      </w:pPr>
      <w:r>
        <w:rPr>
          <w:rFonts w:ascii="Arial" w:cs="Arial" w:eastAsia="Arial" w:hAnsi="Arial"/>
          <w:sz w:val="18"/>
          <w:szCs w:val="18"/>
          <w:color w:val="auto"/>
        </w:rPr>
        <w:t>a specific income stream to the asset. The tri-complex platform was accounted for as developed technology and is being amortized over 7 years.</w:t>
      </w:r>
    </w:p>
    <w:p>
      <w:pPr>
        <w:spacing w:after="0" w:line="101" w:lineRule="exact"/>
        <w:rPr>
          <w:sz w:val="20"/>
          <w:szCs w:val="20"/>
          <w:color w:val="auto"/>
        </w:rPr>
      </w:pPr>
    </w:p>
    <w:p>
      <w:pPr>
        <w:ind w:left="120" w:right="720"/>
        <w:spacing w:after="0" w:line="239" w:lineRule="auto"/>
        <w:rPr>
          <w:sz w:val="20"/>
          <w:szCs w:val="20"/>
          <w:color w:val="auto"/>
        </w:rPr>
      </w:pPr>
      <w:r>
        <w:rPr>
          <w:rFonts w:ascii="Arial" w:cs="Arial" w:eastAsia="Arial" w:hAnsi="Arial"/>
          <w:sz w:val="18"/>
          <w:szCs w:val="18"/>
          <w:color w:val="auto"/>
        </w:rPr>
        <w:t>The genome mining platform, including the associated Roche collaboration agreement, was accounted for as held for sale developed technology and was divested in January 2019.</w:t>
      </w:r>
    </w:p>
    <w:p>
      <w:pPr>
        <w:spacing w:after="0" w:line="101" w:lineRule="exact"/>
        <w:rPr>
          <w:sz w:val="20"/>
          <w:szCs w:val="20"/>
          <w:color w:val="auto"/>
        </w:rPr>
      </w:pPr>
    </w:p>
    <w:p>
      <w:pPr>
        <w:ind w:left="120" w:right="140"/>
        <w:spacing w:after="0" w:line="299" w:lineRule="auto"/>
        <w:rPr>
          <w:sz w:val="20"/>
          <w:szCs w:val="20"/>
          <w:color w:val="auto"/>
        </w:rPr>
      </w:pPr>
      <w:r>
        <w:rPr>
          <w:rFonts w:ascii="Arial" w:cs="Arial" w:eastAsia="Arial" w:hAnsi="Arial"/>
          <w:sz w:val="16"/>
          <w:szCs w:val="16"/>
          <w:color w:val="auto"/>
        </w:rPr>
        <w:t>The Company assumed a convertible promissory note of $2.0 million as part of the acquisition. Subsequent to the acquisition, at the Company’s election, the convertible promissory note was converted into 975,620 shares of Series B redeemable convertible preferred stock.</w:t>
      </w:r>
    </w:p>
    <w:p>
      <w:pPr>
        <w:spacing w:after="0" w:line="55"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The Company recorded $14.6 million in goodwill associated with this acquisition, which relates to the establishment of a deferred tax liability for the non-deductible in-process research and development intangible assets acquired and synergies resulting from the acquisition. Goodwill will not be amortized but will be tested at least annually for impairment. Goodwill recognized in the acquisition is not expected to be deductible for tax purposes.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Note 3. Pro forma adjustments</w:t>
      </w:r>
    </w:p>
    <w:p>
      <w:pPr>
        <w:spacing w:after="0" w:line="134" w:lineRule="exact"/>
        <w:rPr>
          <w:sz w:val="20"/>
          <w:szCs w:val="20"/>
          <w:color w:val="auto"/>
        </w:rPr>
      </w:pPr>
    </w:p>
    <w:p>
      <w:pPr>
        <w:jc w:val="both"/>
        <w:ind w:left="120" w:right="600"/>
        <w:spacing w:after="0" w:line="299" w:lineRule="auto"/>
        <w:rPr>
          <w:sz w:val="20"/>
          <w:szCs w:val="20"/>
          <w:color w:val="auto"/>
        </w:rPr>
      </w:pPr>
      <w:r>
        <w:rPr>
          <w:rFonts w:ascii="Arial" w:cs="Arial" w:eastAsia="Arial" w:hAnsi="Arial"/>
          <w:sz w:val="16"/>
          <w:szCs w:val="16"/>
          <w:color w:val="auto"/>
        </w:rPr>
        <w:t>This note should be read in conjunction with “Note 1. Description of transaction and basis of presentation” and “Note 2. Purchase price consideration and allocation.” Adjustments included in the column under the heading “Pro Forma Adjustments” represent the following:</w:t>
      </w:r>
    </w:p>
    <w:p>
      <w:pPr>
        <w:spacing w:after="0" w:line="14" w:lineRule="exact"/>
        <w:rPr>
          <w:sz w:val="20"/>
          <w:szCs w:val="20"/>
          <w:color w:val="auto"/>
        </w:rPr>
      </w:pPr>
    </w:p>
    <w:p>
      <w:pPr>
        <w:ind w:left="540" w:right="40" w:hanging="424"/>
        <w:spacing w:after="0" w:line="236" w:lineRule="auto"/>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unaudited pro forma condensed combined statement of operations gives consideration to the impact of the genome mining platform disposition. In January 2019, the Company sold the genome mining platform and related Roche collaboration agreement acquired during the Warp Drive acquisition to Gingko Bioworks (Gingko). The adjustments reflect the elimination of the historical operating results of the genome mining platform for the year ended December 31, 2018 at the amounts that have been reflected in the Company’s and Warp Drive’s statements of operations for this period. These amounts are based on the best available information and certain assumptions that the Company’s management believe are reasonable, such as allocated resources. These amounts do not include allocations of corporate overhead expenses included in general and administrative expenses.</w:t>
      </w:r>
    </w:p>
    <w:p>
      <w:pPr>
        <w:spacing w:after="0" w:line="60" w:lineRule="exact"/>
        <w:rPr>
          <w:rFonts w:ascii="Arial" w:cs="Arial" w:eastAsia="Arial" w:hAnsi="Arial"/>
          <w:sz w:val="18"/>
          <w:szCs w:val="18"/>
          <w:color w:val="auto"/>
        </w:rPr>
      </w:pPr>
    </w:p>
    <w:p>
      <w:pPr>
        <w:jc w:val="both"/>
        <w:ind w:left="540" w:right="180" w:hanging="424"/>
        <w:spacing w:after="0" w:line="238" w:lineRule="auto"/>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Effective January 1, 2018, the Company adopted ASC 606. Warp Drive’s revenue recognition policy was in accordance with ASC 605. The Company evaluated the impact of aligning the revenue recognition policy for collaboration revenue, related party for Warp Drive to ASC 606 and determined the impact was not material.</w:t>
      </w:r>
    </w:p>
    <w:p>
      <w:pPr>
        <w:spacing w:after="0" w:line="59" w:lineRule="exact"/>
        <w:rPr>
          <w:rFonts w:ascii="Arial" w:cs="Arial" w:eastAsia="Arial" w:hAnsi="Arial"/>
          <w:sz w:val="18"/>
          <w:szCs w:val="18"/>
          <w:color w:val="auto"/>
        </w:rPr>
      </w:pPr>
    </w:p>
    <w:p>
      <w:pPr>
        <w:ind w:left="540" w:hanging="424"/>
        <w:spacing w:after="0"/>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record amortization expense associated with the acquired intangible assets (in thousands, except for estimated useful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8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Amortization for</w:t>
            </w:r>
          </w:p>
        </w:tc>
        <w:tc>
          <w:tcPr>
            <w:tcW w:w="2400" w:type="dxa"/>
            <w:vAlign w:val="bottom"/>
          </w:tcPr>
          <w:p>
            <w:pPr>
              <w:spacing w:after="0"/>
              <w:rPr>
                <w:sz w:val="18"/>
                <w:szCs w:val="18"/>
                <w:color w:val="auto"/>
              </w:rPr>
            </w:pPr>
          </w:p>
        </w:tc>
      </w:tr>
      <w:tr>
        <w:trPr>
          <w:trHeight w:val="203"/>
        </w:trPr>
        <w:tc>
          <w:tcPr>
            <w:tcW w:w="3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9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8"/>
              </w:rPr>
              <w:t>the period from</w:t>
            </w:r>
          </w:p>
        </w:tc>
        <w:tc>
          <w:tcPr>
            <w:tcW w:w="2400" w:type="dxa"/>
            <w:vAlign w:val="bottom"/>
          </w:tcPr>
          <w:p>
            <w:pPr>
              <w:spacing w:after="0"/>
              <w:rPr>
                <w:sz w:val="17"/>
                <w:szCs w:val="17"/>
                <w:color w:val="auto"/>
              </w:rPr>
            </w:pPr>
          </w:p>
        </w:tc>
      </w:tr>
      <w:tr>
        <w:trPr>
          <w:trHeight w:val="203"/>
        </w:trPr>
        <w:tc>
          <w:tcPr>
            <w:tcW w:w="3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20" w:type="dxa"/>
            <w:vAlign w:val="bottom"/>
          </w:tcPr>
          <w:p>
            <w:pPr>
              <w:jc w:val="right"/>
              <w:ind w:right="172"/>
              <w:spacing w:after="0" w:line="202" w:lineRule="exact"/>
              <w:rPr>
                <w:sz w:val="20"/>
                <w:szCs w:val="20"/>
                <w:color w:val="auto"/>
              </w:rPr>
            </w:pPr>
            <w:r>
              <w:rPr>
                <w:rFonts w:ascii="Arial" w:cs="Arial" w:eastAsia="Arial" w:hAnsi="Arial"/>
                <w:sz w:val="18"/>
                <w:szCs w:val="18"/>
                <w:b w:val="1"/>
                <w:bCs w:val="1"/>
                <w:color w:val="auto"/>
              </w:rPr>
              <w:t>Estimated</w:t>
            </w:r>
          </w:p>
        </w:tc>
        <w:tc>
          <w:tcPr>
            <w:tcW w:w="19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8"/>
              </w:rPr>
              <w:t>January 1, 2018 to</w:t>
            </w:r>
          </w:p>
        </w:tc>
        <w:tc>
          <w:tcPr>
            <w:tcW w:w="2400" w:type="dxa"/>
            <w:vAlign w:val="bottom"/>
          </w:tcPr>
          <w:p>
            <w:pPr>
              <w:jc w:val="center"/>
              <w:ind w:left="152"/>
              <w:spacing w:after="0" w:line="202" w:lineRule="exact"/>
              <w:rPr>
                <w:sz w:val="20"/>
                <w:szCs w:val="20"/>
                <w:color w:val="auto"/>
              </w:rPr>
            </w:pPr>
            <w:r>
              <w:rPr>
                <w:rFonts w:ascii="Arial" w:cs="Arial" w:eastAsia="Arial" w:hAnsi="Arial"/>
                <w:sz w:val="18"/>
                <w:szCs w:val="18"/>
                <w:b w:val="1"/>
                <w:bCs w:val="1"/>
                <w:color w:val="auto"/>
                <w:w w:val="98"/>
              </w:rPr>
              <w:t>Line item in statement of</w:t>
            </w:r>
          </w:p>
        </w:tc>
      </w:tr>
      <w:tr>
        <w:trPr>
          <w:trHeight w:val="221"/>
        </w:trPr>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Intangible asset</w:t>
            </w:r>
          </w:p>
        </w:tc>
        <w:tc>
          <w:tcPr>
            <w:tcW w:w="148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Fair value</w:t>
            </w:r>
          </w:p>
        </w:tc>
        <w:tc>
          <w:tcPr>
            <w:tcW w:w="13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useful life</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October 23,</w:t>
            </w: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2018</w:t>
            </w:r>
          </w:p>
        </w:tc>
        <w:tc>
          <w:tcPr>
            <w:tcW w:w="2400" w:type="dxa"/>
            <w:vAlign w:val="bottom"/>
            <w:tcBorders>
              <w:bottom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5"/>
              </w:rPr>
              <w:t>operations</w:t>
            </w:r>
          </w:p>
        </w:tc>
      </w:tr>
      <w:tr>
        <w:trPr>
          <w:trHeight w:val="196"/>
        </w:trPr>
        <w:tc>
          <w:tcPr>
            <w:tcW w:w="38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Developed technology—tri-complex platform</w:t>
            </w:r>
          </w:p>
        </w:tc>
        <w:tc>
          <w:tcPr>
            <w:tcW w:w="1480" w:type="dxa"/>
            <w:vAlign w:val="bottom"/>
            <w:tcBorders>
              <w:bottom w:val="single" w:sz="8" w:color="auto"/>
            </w:tcBorders>
            <w:shd w:val="clear" w:color="auto" w:fill="CCEEFF"/>
          </w:tcPr>
          <w:p>
            <w:pPr>
              <w:ind w:left="400"/>
              <w:spacing w:after="0" w:line="196" w:lineRule="exact"/>
              <w:rPr>
                <w:sz w:val="20"/>
                <w:szCs w:val="20"/>
                <w:color w:val="auto"/>
              </w:rPr>
            </w:pPr>
            <w:r>
              <w:rPr>
                <w:rFonts w:ascii="Arial" w:cs="Arial" w:eastAsia="Arial" w:hAnsi="Arial"/>
                <w:sz w:val="18"/>
                <w:szCs w:val="18"/>
                <w:color w:val="auto"/>
              </w:rPr>
              <w:t>$   7,480</w:t>
            </w:r>
          </w:p>
        </w:tc>
        <w:tc>
          <w:tcPr>
            <w:tcW w:w="1320" w:type="dxa"/>
            <w:vAlign w:val="bottom"/>
            <w:tcBorders>
              <w:bottom w:val="single" w:sz="8" w:color="auto"/>
            </w:tcBorders>
            <w:shd w:val="clear" w:color="auto" w:fill="CCEEFF"/>
          </w:tcPr>
          <w:p>
            <w:pPr>
              <w:jc w:val="right"/>
              <w:ind w:right="152"/>
              <w:spacing w:after="0" w:line="196" w:lineRule="exact"/>
              <w:rPr>
                <w:sz w:val="20"/>
                <w:szCs w:val="20"/>
                <w:color w:val="auto"/>
              </w:rPr>
            </w:pPr>
            <w:r>
              <w:rPr>
                <w:rFonts w:ascii="Arial" w:cs="Arial" w:eastAsia="Arial" w:hAnsi="Arial"/>
                <w:sz w:val="18"/>
                <w:szCs w:val="18"/>
                <w:color w:val="auto"/>
              </w:rPr>
              <w:t>7 years</w:t>
            </w:r>
          </w:p>
        </w:tc>
        <w:tc>
          <w:tcPr>
            <w:tcW w:w="1280" w:type="dxa"/>
            <w:vAlign w:val="bottom"/>
            <w:tcBorders>
              <w:bottom w:val="single" w:sz="8" w:color="auto"/>
            </w:tcBorders>
            <w:shd w:val="clear" w:color="auto" w:fill="CCEEFF"/>
          </w:tcPr>
          <w:p>
            <w:pPr>
              <w:jc w:val="right"/>
              <w:ind w:right="872"/>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32"/>
              <w:spacing w:after="0" w:line="196" w:lineRule="exact"/>
              <w:rPr>
                <w:sz w:val="20"/>
                <w:szCs w:val="20"/>
                <w:color w:val="auto"/>
              </w:rPr>
            </w:pPr>
            <w:r>
              <w:rPr>
                <w:rFonts w:ascii="Arial" w:cs="Arial" w:eastAsia="Arial" w:hAnsi="Arial"/>
                <w:sz w:val="18"/>
                <w:szCs w:val="18"/>
                <w:color w:val="auto"/>
              </w:rPr>
              <w:t>867</w:t>
            </w:r>
          </w:p>
        </w:tc>
        <w:tc>
          <w:tcPr>
            <w:tcW w:w="2400" w:type="dxa"/>
            <w:vAlign w:val="bottom"/>
            <w:tcBorders>
              <w:bottom w:val="single" w:sz="8" w:color="auto"/>
            </w:tcBorders>
            <w:shd w:val="clear" w:color="auto" w:fill="CCEEFF"/>
          </w:tcPr>
          <w:p>
            <w:pPr>
              <w:jc w:val="center"/>
              <w:ind w:left="152"/>
              <w:spacing w:after="0" w:line="196" w:lineRule="exact"/>
              <w:rPr>
                <w:sz w:val="20"/>
                <w:szCs w:val="20"/>
                <w:color w:val="auto"/>
              </w:rPr>
            </w:pPr>
            <w:r>
              <w:rPr>
                <w:rFonts w:ascii="Arial" w:cs="Arial" w:eastAsia="Arial" w:hAnsi="Arial"/>
                <w:sz w:val="18"/>
                <w:szCs w:val="18"/>
                <w:color w:val="auto"/>
                <w:w w:val="98"/>
              </w:rPr>
              <w:t>Research and development</w:t>
            </w:r>
          </w:p>
        </w:tc>
      </w:tr>
    </w:tbl>
    <w:p>
      <w:pPr>
        <w:spacing w:after="0" w:line="71" w:lineRule="exact"/>
        <w:rPr>
          <w:sz w:val="20"/>
          <w:szCs w:val="20"/>
          <w:color w:val="auto"/>
        </w:rPr>
      </w:pPr>
    </w:p>
    <w:p>
      <w:pPr>
        <w:ind w:left="540" w:right="680" w:hanging="424"/>
        <w:spacing w:after="0" w:line="239" w:lineRule="auto"/>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eliminate transaction costs of $1.0 million that have been incurred by the Company and Warp Drive related to the Warp Drive acquisition included in general and administrative expenses.</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40"/>
          </w:cols>
          <w:pgMar w:left="32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Revolution Medicines, Inc.</w:t>
      </w:r>
    </w:p>
    <w:p>
      <w:pPr>
        <w:spacing w:after="0" w:line="50" w:lineRule="exact"/>
        <w:rPr>
          <w:sz w:val="20"/>
          <w:szCs w:val="20"/>
          <w:color w:val="auto"/>
        </w:rPr>
      </w:pPr>
    </w:p>
    <w:p>
      <w:pPr>
        <w:ind w:left="120" w:right="1060"/>
        <w:spacing w:after="0" w:line="260" w:lineRule="auto"/>
        <w:rPr>
          <w:sz w:val="20"/>
          <w:szCs w:val="20"/>
          <w:color w:val="auto"/>
        </w:rPr>
      </w:pPr>
      <w:r>
        <w:rPr>
          <w:rFonts w:ascii="Arial" w:cs="Arial" w:eastAsia="Arial" w:hAnsi="Arial"/>
          <w:sz w:val="32"/>
          <w:szCs w:val="32"/>
          <w:b w:val="1"/>
          <w:bCs w:val="1"/>
          <w:color w:val="auto"/>
        </w:rPr>
        <w:t>Notes to unaudited pro forma condensed combined statement of operations</w:t>
      </w:r>
    </w:p>
    <w:p>
      <w:pPr>
        <w:spacing w:after="0" w:line="80" w:lineRule="exact"/>
        <w:rPr>
          <w:sz w:val="20"/>
          <w:szCs w:val="20"/>
          <w:color w:val="auto"/>
        </w:rPr>
      </w:pPr>
    </w:p>
    <w:p>
      <w:pPr>
        <w:ind w:left="540" w:right="40" w:hanging="424"/>
        <w:spacing w:after="0" w:line="239" w:lineRule="auto"/>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eliminate historical depreciation expense and recognize new depreciation expense based on the fair value of property and equipment and the estimated remaining useful lives of assets acquired. Depreciation is calculated on a straight-line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800" w:type="dxa"/>
            <w:vAlign w:val="bottom"/>
          </w:tcPr>
          <w:p>
            <w:pPr>
              <w:spacing w:after="0"/>
              <w:rPr>
                <w:sz w:val="17"/>
                <w:szCs w:val="17"/>
                <w:color w:val="auto"/>
              </w:rPr>
            </w:pPr>
          </w:p>
        </w:tc>
        <w:tc>
          <w:tcPr>
            <w:tcW w:w="1700" w:type="dxa"/>
            <w:vAlign w:val="bottom"/>
          </w:tcPr>
          <w:p>
            <w:pPr>
              <w:jc w:val="center"/>
              <w:ind w:right="272"/>
              <w:spacing w:after="0"/>
              <w:rPr>
                <w:sz w:val="20"/>
                <w:szCs w:val="20"/>
                <w:color w:val="auto"/>
              </w:rPr>
            </w:pPr>
            <w:r>
              <w:rPr>
                <w:rFonts w:ascii="Arial" w:cs="Arial" w:eastAsia="Arial" w:hAnsi="Arial"/>
                <w:sz w:val="18"/>
                <w:szCs w:val="18"/>
                <w:b w:val="1"/>
                <w:bCs w:val="1"/>
                <w:color w:val="auto"/>
                <w:w w:val="97"/>
              </w:rPr>
              <w:t>Depreciation for</w:t>
            </w:r>
          </w:p>
        </w:tc>
        <w:tc>
          <w:tcPr>
            <w:tcW w:w="24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800" w:type="dxa"/>
            <w:vAlign w:val="bottom"/>
          </w:tcPr>
          <w:p>
            <w:pPr>
              <w:spacing w:after="0"/>
              <w:rPr>
                <w:sz w:val="17"/>
                <w:szCs w:val="17"/>
                <w:color w:val="auto"/>
              </w:rPr>
            </w:pPr>
          </w:p>
        </w:tc>
        <w:tc>
          <w:tcPr>
            <w:tcW w:w="1700" w:type="dxa"/>
            <w:vAlign w:val="bottom"/>
          </w:tcPr>
          <w:p>
            <w:pPr>
              <w:jc w:val="center"/>
              <w:ind w:right="252"/>
              <w:spacing w:after="0" w:line="202" w:lineRule="exact"/>
              <w:rPr>
                <w:sz w:val="20"/>
                <w:szCs w:val="20"/>
                <w:color w:val="auto"/>
              </w:rPr>
            </w:pPr>
            <w:r>
              <w:rPr>
                <w:rFonts w:ascii="Arial" w:cs="Arial" w:eastAsia="Arial" w:hAnsi="Arial"/>
                <w:sz w:val="18"/>
                <w:szCs w:val="18"/>
                <w:b w:val="1"/>
                <w:bCs w:val="1"/>
                <w:color w:val="auto"/>
                <w:w w:val="96"/>
              </w:rPr>
              <w:t>the period from</w:t>
            </w:r>
          </w:p>
        </w:tc>
        <w:tc>
          <w:tcPr>
            <w:tcW w:w="24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6800" w:type="dxa"/>
            <w:vAlign w:val="bottom"/>
          </w:tcPr>
          <w:p>
            <w:pPr>
              <w:spacing w:after="0"/>
              <w:rPr>
                <w:sz w:val="17"/>
                <w:szCs w:val="17"/>
                <w:color w:val="auto"/>
              </w:rPr>
            </w:pPr>
          </w:p>
        </w:tc>
        <w:tc>
          <w:tcPr>
            <w:tcW w:w="1700" w:type="dxa"/>
            <w:vAlign w:val="bottom"/>
          </w:tcPr>
          <w:p>
            <w:pPr>
              <w:jc w:val="center"/>
              <w:ind w:right="272"/>
              <w:spacing w:after="0" w:line="202" w:lineRule="exact"/>
              <w:rPr>
                <w:sz w:val="20"/>
                <w:szCs w:val="20"/>
                <w:color w:val="auto"/>
              </w:rPr>
            </w:pPr>
            <w:r>
              <w:rPr>
                <w:rFonts w:ascii="Arial" w:cs="Arial" w:eastAsia="Arial" w:hAnsi="Arial"/>
                <w:sz w:val="18"/>
                <w:szCs w:val="18"/>
                <w:b w:val="1"/>
                <w:bCs w:val="1"/>
                <w:color w:val="auto"/>
                <w:w w:val="96"/>
              </w:rPr>
              <w:t>January 1, 2018</w:t>
            </w:r>
          </w:p>
        </w:tc>
        <w:tc>
          <w:tcPr>
            <w:tcW w:w="24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800" w:type="dxa"/>
            <w:vAlign w:val="bottom"/>
          </w:tcPr>
          <w:p>
            <w:pPr>
              <w:spacing w:after="0"/>
              <w:rPr>
                <w:sz w:val="17"/>
                <w:szCs w:val="17"/>
                <w:color w:val="auto"/>
              </w:rPr>
            </w:pPr>
          </w:p>
        </w:tc>
        <w:tc>
          <w:tcPr>
            <w:tcW w:w="1700" w:type="dxa"/>
            <w:vAlign w:val="bottom"/>
          </w:tcPr>
          <w:p>
            <w:pPr>
              <w:jc w:val="center"/>
              <w:ind w:right="272"/>
              <w:spacing w:after="0" w:line="202" w:lineRule="exact"/>
              <w:rPr>
                <w:sz w:val="20"/>
                <w:szCs w:val="20"/>
                <w:color w:val="auto"/>
              </w:rPr>
            </w:pPr>
            <w:r>
              <w:rPr>
                <w:rFonts w:ascii="Arial" w:cs="Arial" w:eastAsia="Arial" w:hAnsi="Arial"/>
                <w:sz w:val="18"/>
                <w:szCs w:val="18"/>
                <w:b w:val="1"/>
                <w:bCs w:val="1"/>
                <w:color w:val="auto"/>
              </w:rPr>
              <w:t>to October 23,</w:t>
            </w:r>
          </w:p>
        </w:tc>
        <w:tc>
          <w:tcPr>
            <w:tcW w:w="2520" w:type="dxa"/>
            <w:vAlign w:val="bottom"/>
            <w:gridSpan w:val="2"/>
          </w:tcPr>
          <w:p>
            <w:pPr>
              <w:ind w:left="320"/>
              <w:spacing w:after="0" w:line="202" w:lineRule="exact"/>
              <w:rPr>
                <w:sz w:val="20"/>
                <w:szCs w:val="20"/>
                <w:color w:val="auto"/>
              </w:rPr>
            </w:pPr>
            <w:r>
              <w:rPr>
                <w:rFonts w:ascii="Arial" w:cs="Arial" w:eastAsia="Arial" w:hAnsi="Arial"/>
                <w:sz w:val="18"/>
                <w:szCs w:val="18"/>
                <w:b w:val="1"/>
                <w:bCs w:val="1"/>
                <w:color w:val="auto"/>
              </w:rPr>
              <w:t>Line item in statement of</w:t>
            </w:r>
          </w:p>
        </w:tc>
      </w:tr>
      <w:tr>
        <w:trPr>
          <w:trHeight w:val="221"/>
        </w:trPr>
        <w:tc>
          <w:tcPr>
            <w:tcW w:w="6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Property and equipment</w:t>
            </w:r>
          </w:p>
        </w:tc>
        <w:tc>
          <w:tcPr>
            <w:tcW w:w="1700" w:type="dxa"/>
            <w:vAlign w:val="bottom"/>
            <w:tcBorders>
              <w:bottom w:val="single" w:sz="8" w:color="auto"/>
            </w:tcBorders>
          </w:tcPr>
          <w:p>
            <w:pPr>
              <w:jc w:val="center"/>
              <w:ind w:right="252"/>
              <w:spacing w:after="0"/>
              <w:rPr>
                <w:sz w:val="20"/>
                <w:szCs w:val="20"/>
                <w:color w:val="auto"/>
              </w:rPr>
            </w:pPr>
            <w:r>
              <w:rPr>
                <w:rFonts w:ascii="Arial" w:cs="Arial" w:eastAsia="Arial" w:hAnsi="Arial"/>
                <w:sz w:val="18"/>
                <w:szCs w:val="18"/>
                <w:b w:val="1"/>
                <w:bCs w:val="1"/>
                <w:color w:val="auto"/>
                <w:w w:val="99"/>
              </w:rPr>
              <w:t>2018</w:t>
            </w:r>
          </w:p>
        </w:tc>
        <w:tc>
          <w:tcPr>
            <w:tcW w:w="2520" w:type="dxa"/>
            <w:vAlign w:val="bottom"/>
            <w:tcBorders>
              <w:bottom w:val="single" w:sz="8" w:color="auto"/>
            </w:tcBorders>
            <w:gridSpan w:val="2"/>
          </w:tcPr>
          <w:p>
            <w:pPr>
              <w:ind w:left="900"/>
              <w:spacing w:after="0"/>
              <w:rPr>
                <w:sz w:val="20"/>
                <w:szCs w:val="20"/>
                <w:color w:val="auto"/>
              </w:rPr>
            </w:pPr>
            <w:r>
              <w:rPr>
                <w:rFonts w:ascii="Arial" w:cs="Arial" w:eastAsia="Arial" w:hAnsi="Arial"/>
                <w:sz w:val="18"/>
                <w:szCs w:val="18"/>
                <w:b w:val="1"/>
                <w:bCs w:val="1"/>
                <w:color w:val="auto"/>
              </w:rPr>
              <w:t>operations</w:t>
            </w:r>
          </w:p>
        </w:tc>
      </w:tr>
      <w:tr>
        <w:trPr>
          <w:trHeight w:val="196"/>
        </w:trPr>
        <w:tc>
          <w:tcPr>
            <w:tcW w:w="6800" w:type="dxa"/>
            <w:vAlign w:val="bottom"/>
          </w:tcPr>
          <w:p>
            <w:pPr>
              <w:spacing w:after="0"/>
              <w:rPr>
                <w:sz w:val="17"/>
                <w:szCs w:val="17"/>
                <w:color w:val="auto"/>
              </w:rPr>
            </w:pPr>
          </w:p>
        </w:tc>
        <w:tc>
          <w:tcPr>
            <w:tcW w:w="1700" w:type="dxa"/>
            <w:vAlign w:val="bottom"/>
          </w:tcPr>
          <w:p>
            <w:pPr>
              <w:jc w:val="right"/>
              <w:ind w:right="252"/>
              <w:spacing w:after="0" w:line="196" w:lineRule="exact"/>
              <w:rPr>
                <w:sz w:val="20"/>
                <w:szCs w:val="20"/>
                <w:color w:val="auto"/>
              </w:rPr>
            </w:pPr>
            <w:r>
              <w:rPr>
                <w:rFonts w:ascii="Arial" w:cs="Arial" w:eastAsia="Arial" w:hAnsi="Arial"/>
                <w:sz w:val="18"/>
                <w:szCs w:val="18"/>
                <w:b w:val="1"/>
                <w:bCs w:val="1"/>
                <w:color w:val="auto"/>
              </w:rPr>
              <w:t>(in thousands)</w:t>
            </w:r>
          </w:p>
        </w:tc>
        <w:tc>
          <w:tcPr>
            <w:tcW w:w="24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6"/>
        </w:trPr>
        <w:tc>
          <w:tcPr>
            <w:tcW w:w="68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Elimination of historical depreciation expense for acquired property and</w:t>
            </w:r>
          </w:p>
        </w:tc>
        <w:tc>
          <w:tcPr>
            <w:tcW w:w="170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9"/>
        </w:trPr>
        <w:tc>
          <w:tcPr>
            <w:tcW w:w="680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equipment</w:t>
            </w:r>
          </w:p>
        </w:tc>
        <w:tc>
          <w:tcPr>
            <w:tcW w:w="1700" w:type="dxa"/>
            <w:vAlign w:val="bottom"/>
            <w:shd w:val="clear" w:color="auto" w:fill="CCEEFF"/>
          </w:tcPr>
          <w:p>
            <w:pPr>
              <w:jc w:val="right"/>
              <w:ind w:right="212"/>
              <w:spacing w:after="0" w:line="200" w:lineRule="exact"/>
              <w:rPr>
                <w:sz w:val="20"/>
                <w:szCs w:val="20"/>
                <w:color w:val="auto"/>
              </w:rPr>
            </w:pPr>
            <w:r>
              <w:rPr>
                <w:rFonts w:ascii="Arial" w:cs="Arial" w:eastAsia="Arial" w:hAnsi="Arial"/>
                <w:sz w:val="18"/>
                <w:szCs w:val="18"/>
                <w:color w:val="auto"/>
              </w:rPr>
              <w:t>(744)</w:t>
            </w:r>
          </w:p>
        </w:tc>
        <w:tc>
          <w:tcPr>
            <w:tcW w:w="2520" w:type="dxa"/>
            <w:vAlign w:val="bottom"/>
            <w:gridSpan w:val="2"/>
            <w:shd w:val="clear" w:color="auto" w:fill="CCEEFF"/>
          </w:tcPr>
          <w:p>
            <w:pPr>
              <w:ind w:left="320"/>
              <w:spacing w:after="0" w:line="200" w:lineRule="exact"/>
              <w:rPr>
                <w:sz w:val="20"/>
                <w:szCs w:val="20"/>
                <w:color w:val="auto"/>
              </w:rPr>
            </w:pPr>
            <w:r>
              <w:rPr>
                <w:rFonts w:ascii="Arial" w:cs="Arial" w:eastAsia="Arial" w:hAnsi="Arial"/>
                <w:sz w:val="18"/>
                <w:szCs w:val="18"/>
                <w:color w:val="auto"/>
                <w:w w:val="99"/>
              </w:rPr>
              <w:t>Research and development</w:t>
            </w:r>
          </w:p>
        </w:tc>
      </w:tr>
      <w:tr>
        <w:trPr>
          <w:trHeight w:val="209"/>
        </w:trPr>
        <w:tc>
          <w:tcPr>
            <w:tcW w:w="6800" w:type="dxa"/>
            <w:vAlign w:val="bottom"/>
          </w:tcPr>
          <w:p>
            <w:pPr>
              <w:spacing w:after="0" w:line="202" w:lineRule="exact"/>
              <w:rPr>
                <w:sz w:val="20"/>
                <w:szCs w:val="20"/>
                <w:color w:val="auto"/>
              </w:rPr>
            </w:pPr>
            <w:r>
              <w:rPr>
                <w:rFonts w:ascii="Arial" w:cs="Arial" w:eastAsia="Arial" w:hAnsi="Arial"/>
                <w:sz w:val="18"/>
                <w:szCs w:val="18"/>
                <w:color w:val="auto"/>
              </w:rPr>
              <w:t>Depreciation expense for acquired property and equipment</w:t>
            </w:r>
          </w:p>
        </w:tc>
        <w:tc>
          <w:tcPr>
            <w:tcW w:w="170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376</w:t>
            </w:r>
          </w:p>
        </w:tc>
        <w:tc>
          <w:tcPr>
            <w:tcW w:w="2520" w:type="dxa"/>
            <w:vAlign w:val="bottom"/>
            <w:gridSpan w:val="2"/>
          </w:tcPr>
          <w:p>
            <w:pPr>
              <w:ind w:left="320"/>
              <w:spacing w:after="0" w:line="202" w:lineRule="exact"/>
              <w:rPr>
                <w:sz w:val="20"/>
                <w:szCs w:val="20"/>
                <w:color w:val="auto"/>
              </w:rPr>
            </w:pPr>
            <w:r>
              <w:rPr>
                <w:rFonts w:ascii="Arial" w:cs="Arial" w:eastAsia="Arial" w:hAnsi="Arial"/>
                <w:sz w:val="18"/>
                <w:szCs w:val="18"/>
                <w:color w:val="auto"/>
                <w:w w:val="99"/>
              </w:rPr>
              <w:t>Research and development</w:t>
            </w:r>
          </w:p>
        </w:tc>
      </w:tr>
      <w:tr>
        <w:trPr>
          <w:trHeight w:val="203"/>
        </w:trPr>
        <w:tc>
          <w:tcPr>
            <w:tcW w:w="68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Total depreciation expense adjustment</w:t>
            </w:r>
          </w:p>
        </w:tc>
        <w:tc>
          <w:tcPr>
            <w:tcW w:w="1700" w:type="dxa"/>
            <w:vAlign w:val="bottom"/>
            <w:tcBorders>
              <w:top w:val="single" w:sz="8" w:color="auto"/>
              <w:bottom w:val="single" w:sz="8" w:color="auto"/>
            </w:tcBorders>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(368)</w:t>
            </w:r>
          </w:p>
        </w:tc>
        <w:tc>
          <w:tcPr>
            <w:tcW w:w="246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r>
    </w:tbl>
    <w:p>
      <w:pPr>
        <w:spacing w:after="0" w:line="71" w:lineRule="exact"/>
        <w:rPr>
          <w:sz w:val="20"/>
          <w:szCs w:val="20"/>
          <w:color w:val="auto"/>
        </w:rPr>
      </w:pPr>
    </w:p>
    <w:p>
      <w:pPr>
        <w:ind w:left="540" w:right="80" w:hanging="424"/>
        <w:spacing w:after="0" w:line="238"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eliminate interest expense of $1.1 million and gain on the restructuring of debt of $5.1 million related to Warp Drive’s convertible note payable, which was converted into Warp Drive common stock immediately prior to the acquisition and subsequently converted into the Company’s Series B redeemable convertible preferred stock in connection with the acquisition.</w:t>
      </w:r>
    </w:p>
    <w:p>
      <w:pPr>
        <w:spacing w:after="0" w:line="59" w:lineRule="exact"/>
        <w:rPr>
          <w:rFonts w:ascii="Arial" w:cs="Arial" w:eastAsia="Arial" w:hAnsi="Arial"/>
          <w:sz w:val="18"/>
          <w:szCs w:val="18"/>
          <w:color w:val="auto"/>
        </w:rPr>
      </w:pPr>
    </w:p>
    <w:p>
      <w:pPr>
        <w:ind w:left="540" w:right="140" w:hanging="424"/>
        <w:spacing w:after="0" w:line="239"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eliminate severance costs of $1.4 million of certain Warp Drive employees recorded in the Company’s historical financial statements as a non-recurring charge directly related to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9740" w:type="dxa"/>
            <w:vAlign w:val="bottom"/>
          </w:tcPr>
          <w:p>
            <w:pPr>
              <w:spacing w:after="0"/>
              <w:rPr>
                <w:sz w:val="17"/>
                <w:szCs w:val="17"/>
                <w:color w:val="auto"/>
              </w:rPr>
            </w:pPr>
          </w:p>
        </w:tc>
        <w:tc>
          <w:tcPr>
            <w:tcW w:w="12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5"/>
              </w:rPr>
              <w:t>Severance</w:t>
            </w:r>
          </w:p>
        </w:tc>
      </w:tr>
      <w:tr>
        <w:trPr>
          <w:trHeight w:val="221"/>
        </w:trPr>
        <w:tc>
          <w:tcPr>
            <w:tcW w:w="9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Line item in statement of operations</w:t>
            </w:r>
          </w:p>
        </w:tc>
        <w:tc>
          <w:tcPr>
            <w:tcW w:w="128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8"/>
                <w:szCs w:val="18"/>
                <w:b w:val="1"/>
                <w:bCs w:val="1"/>
                <w:color w:val="auto"/>
                <w:w w:val="97"/>
              </w:rPr>
              <w:t>costs</w:t>
            </w:r>
          </w:p>
        </w:tc>
      </w:tr>
      <w:tr>
        <w:trPr>
          <w:trHeight w:val="196"/>
        </w:trPr>
        <w:tc>
          <w:tcPr>
            <w:tcW w:w="9740" w:type="dxa"/>
            <w:vAlign w:val="bottom"/>
          </w:tcPr>
          <w:p>
            <w:pPr>
              <w:spacing w:after="0"/>
              <w:rPr>
                <w:sz w:val="17"/>
                <w:szCs w:val="17"/>
                <w:color w:val="auto"/>
              </w:rPr>
            </w:pPr>
          </w:p>
        </w:tc>
        <w:tc>
          <w:tcPr>
            <w:tcW w:w="1280" w:type="dxa"/>
            <w:vAlign w:val="bottom"/>
            <w:gridSpan w:val="2"/>
          </w:tcPr>
          <w:p>
            <w:pPr>
              <w:jc w:val="center"/>
              <w:ind w:right="60"/>
              <w:spacing w:after="0" w:line="196" w:lineRule="exact"/>
              <w:rPr>
                <w:sz w:val="20"/>
                <w:szCs w:val="20"/>
                <w:color w:val="auto"/>
              </w:rPr>
            </w:pPr>
            <w:r>
              <w:rPr>
                <w:rFonts w:ascii="Arial" w:cs="Arial" w:eastAsia="Arial" w:hAnsi="Arial"/>
                <w:sz w:val="18"/>
                <w:szCs w:val="18"/>
                <w:b w:val="1"/>
                <w:bCs w:val="1"/>
                <w:color w:val="auto"/>
                <w:w w:val="98"/>
              </w:rPr>
              <w:t>(in thousands)</w:t>
            </w:r>
          </w:p>
        </w:tc>
      </w:tr>
      <w:tr>
        <w:trPr>
          <w:trHeight w:val="203"/>
        </w:trPr>
        <w:tc>
          <w:tcPr>
            <w:tcW w:w="9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1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799</w:t>
            </w:r>
          </w:p>
        </w:tc>
      </w:tr>
      <w:tr>
        <w:trPr>
          <w:trHeight w:val="210"/>
        </w:trPr>
        <w:tc>
          <w:tcPr>
            <w:tcW w:w="974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648</w:t>
            </w:r>
          </w:p>
        </w:tc>
        <w:tc>
          <w:tcPr>
            <w:tcW w:w="60" w:type="dxa"/>
            <w:vAlign w:val="bottom"/>
          </w:tcPr>
          <w:p>
            <w:pPr>
              <w:spacing w:after="0"/>
              <w:rPr>
                <w:sz w:val="18"/>
                <w:szCs w:val="18"/>
                <w:color w:val="auto"/>
              </w:rPr>
            </w:pPr>
          </w:p>
        </w:tc>
      </w:tr>
      <w:tr>
        <w:trPr>
          <w:trHeight w:val="203"/>
        </w:trPr>
        <w:tc>
          <w:tcPr>
            <w:tcW w:w="97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severance costs</w:t>
            </w:r>
          </w:p>
        </w:tc>
        <w:tc>
          <w:tcPr>
            <w:tcW w:w="1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1,447</w:t>
            </w:r>
          </w:p>
        </w:tc>
      </w:tr>
      <w:tr>
        <w:trPr>
          <w:trHeight w:val="20"/>
        </w:trPr>
        <w:tc>
          <w:tcPr>
            <w:tcW w:w="97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71" w:lineRule="exact"/>
        <w:rPr>
          <w:sz w:val="20"/>
          <w:szCs w:val="20"/>
          <w:color w:val="auto"/>
        </w:rPr>
      </w:pPr>
    </w:p>
    <w:p>
      <w:pPr>
        <w:ind w:left="540" w:right="240" w:hanging="424"/>
        <w:spacing w:after="0" w:line="239" w:lineRule="auto"/>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 pro forma adjustments have been made to the provision for income taxes as both the Company and Warp Drive have no provision for income taxes for the respective periods presented due to full valuation allowances.</w:t>
      </w:r>
    </w:p>
    <w:p>
      <w:pPr>
        <w:spacing w:after="0" w:line="60" w:lineRule="exact"/>
        <w:rPr>
          <w:rFonts w:ascii="Arial" w:cs="Arial" w:eastAsia="Arial" w:hAnsi="Arial"/>
          <w:sz w:val="18"/>
          <w:szCs w:val="18"/>
          <w:color w:val="auto"/>
        </w:rPr>
      </w:pPr>
    </w:p>
    <w:p>
      <w:pPr>
        <w:ind w:left="540" w:right="580" w:hanging="424"/>
        <w:spacing w:after="0" w:line="239" w:lineRule="auto"/>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record the redeemable convertible preferred stock dividends—undeclared and cumulative on Series B redeemable convertible preferred stock issued in connection with the acquisition as if the acquisition occurred on January 1, 2018.</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40"/>
          </w:cols>
          <w:pgMar w:left="32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right="940"/>
        <w:spacing w:after="0" w:line="286" w:lineRule="auto"/>
        <w:rPr>
          <w:sz w:val="20"/>
          <w:szCs w:val="20"/>
          <w:color w:val="auto"/>
        </w:rPr>
      </w:pPr>
      <w:r>
        <w:rPr>
          <w:rFonts w:ascii="Arial" w:cs="Arial" w:eastAsia="Arial" w:hAnsi="Arial"/>
          <w:sz w:val="32"/>
          <w:szCs w:val="32"/>
          <w:b w:val="1"/>
          <w:bCs w:val="1"/>
          <w:color w:val="auto"/>
        </w:rPr>
        <w:t>Management’s discussion and analysis of financial condition and results of operations</w:t>
      </w:r>
    </w:p>
    <w:p>
      <w:pPr>
        <w:spacing w:after="0" w:line="8" w:lineRule="exact"/>
        <w:rPr>
          <w:sz w:val="20"/>
          <w:szCs w:val="20"/>
          <w:color w:val="auto"/>
        </w:rPr>
      </w:pPr>
    </w:p>
    <w:p>
      <w:pPr>
        <w:ind w:left="120" w:right="100"/>
        <w:spacing w:after="0" w:line="241"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the consolidated financial statements and the related notes included elsewhere in this prospectus. In addition to historical financial information, this discussion contains forward-looking statements based upon current expectations that involve risks and uncertainties. Our actual results could differ materially from those anticipated in these forward-looking statements as a result of various factors, including those set forth under “Risk factors” and elsewhere in this prospectus.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Overview</w:t>
      </w:r>
    </w:p>
    <w:p>
      <w:pPr>
        <w:spacing w:after="0" w:line="116"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 xml:space="preserve">We are a clinical-stage precision oncology company focused on developing novel targeted therapies to inhibit elusive, high-value </w:t>
      </w:r>
      <w:r>
        <w:rPr>
          <w:rFonts w:ascii="Arial" w:cs="Arial" w:eastAsia="Arial" w:hAnsi="Arial"/>
          <w:sz w:val="18"/>
          <w:szCs w:val="18"/>
          <w:i w:val="1"/>
          <w:iCs w:val="1"/>
          <w:color w:val="auto"/>
        </w:rPr>
        <w:t>frontier</w:t>
      </w:r>
      <w:r>
        <w:rPr>
          <w:rFonts w:ascii="Arial" w:cs="Arial" w:eastAsia="Arial" w:hAnsi="Arial"/>
          <w:sz w:val="18"/>
          <w:szCs w:val="18"/>
          <w:color w:val="auto"/>
        </w:rPr>
        <w:t xml:space="preserve"> targets within notorious growth and survival pathways, with particular emphasis on the RAS and mTOR signaling pathways. Our understanding of genetic drivers and adaptive resistance mechanisms in cancer, coupled with robust drug discovery and medicinal chemistry capabilities, has guided us to establish a deep pipeline targeting critical signaling nodes within these pathways. This cohesive approach underpins our clinical strategy of exploring mechanism-based dosing paradigms and in-pathway combinations to optimize treatment for cancer patients.</w:t>
      </w:r>
    </w:p>
    <w:p>
      <w:pPr>
        <w:spacing w:after="0" w:line="104" w:lineRule="exact"/>
        <w:rPr>
          <w:sz w:val="20"/>
          <w:szCs w:val="20"/>
          <w:color w:val="auto"/>
        </w:rPr>
      </w:pPr>
    </w:p>
    <w:p>
      <w:pPr>
        <w:ind w:left="120" w:right="140"/>
        <w:spacing w:after="0" w:line="235" w:lineRule="auto"/>
        <w:rPr>
          <w:sz w:val="20"/>
          <w:szCs w:val="20"/>
          <w:color w:val="auto"/>
        </w:rPr>
      </w:pPr>
      <w:r>
        <w:rPr>
          <w:rFonts w:ascii="Arial" w:cs="Arial" w:eastAsia="Arial" w:hAnsi="Arial"/>
          <w:sz w:val="18"/>
          <w:szCs w:val="18"/>
          <w:color w:val="auto"/>
        </w:rPr>
        <w:t>Our most advanced product candidate, RMC-4630, is a potent and selective inhibitor of SHP2, a central node in the RAS signaling pathway. In collaboration with Sanofi, we are evaluating RMC-4630 in a multi-cohort Phase 1/2 clinical program, with clinical activity data in selected patient cohorts expected in 2020. Leveraging our proprietary tri-complex technology platform, we are also developing a portfolio of mutant-selective RAS inhibitors that we believe are the first potent, selective, cell-active inhibitors of the active, GTP-bound form of RAS, or RAS(ON). Initially, we will prioritize four mutant RAS(ON) targets—KRAS</w:t>
      </w:r>
      <w:r>
        <w:rPr>
          <w:rFonts w:ascii="Arial" w:cs="Arial" w:eastAsia="Arial" w:hAnsi="Arial"/>
          <w:sz w:val="11"/>
          <w:szCs w:val="11"/>
          <w:color w:val="auto"/>
        </w:rPr>
        <w:t>G12C</w:t>
      </w:r>
      <w:r>
        <w:rPr>
          <w:rFonts w:ascii="Arial" w:cs="Arial" w:eastAsia="Arial" w:hAnsi="Arial"/>
          <w:sz w:val="18"/>
          <w:szCs w:val="18"/>
          <w:color w:val="auto"/>
        </w:rPr>
        <w:t>, KRAS</w:t>
      </w:r>
      <w:r>
        <w:rPr>
          <w:rFonts w:ascii="Arial" w:cs="Arial" w:eastAsia="Arial" w:hAnsi="Arial"/>
          <w:sz w:val="11"/>
          <w:szCs w:val="11"/>
          <w:color w:val="auto"/>
        </w:rPr>
        <w:t>G13C</w:t>
      </w:r>
      <w:r>
        <w:rPr>
          <w:rFonts w:ascii="Arial" w:cs="Arial" w:eastAsia="Arial" w:hAnsi="Arial"/>
          <w:sz w:val="18"/>
          <w:szCs w:val="18"/>
          <w:color w:val="auto"/>
        </w:rPr>
        <w:t>, KRAS</w:t>
      </w:r>
      <w:r>
        <w:rPr>
          <w:rFonts w:ascii="Arial" w:cs="Arial" w:eastAsia="Arial" w:hAnsi="Arial"/>
          <w:sz w:val="11"/>
          <w:szCs w:val="11"/>
          <w:color w:val="auto"/>
        </w:rPr>
        <w:t>G12D</w:t>
      </w:r>
      <w:r>
        <w:rPr>
          <w:rFonts w:ascii="Arial" w:cs="Arial" w:eastAsia="Arial" w:hAnsi="Arial"/>
          <w:sz w:val="18"/>
          <w:szCs w:val="18"/>
          <w:color w:val="auto"/>
        </w:rPr>
        <w:t xml:space="preserve"> and NRAS</w:t>
      </w:r>
      <w:r>
        <w:rPr>
          <w:rFonts w:ascii="Arial" w:cs="Arial" w:eastAsia="Arial" w:hAnsi="Arial"/>
          <w:sz w:val="11"/>
          <w:szCs w:val="11"/>
          <w:color w:val="auto"/>
        </w:rPr>
        <w:t>G12C</w:t>
      </w:r>
      <w:r>
        <w:rPr>
          <w:rFonts w:ascii="Arial" w:cs="Arial" w:eastAsia="Arial" w:hAnsi="Arial"/>
          <w:sz w:val="18"/>
          <w:szCs w:val="18"/>
          <w:color w:val="auto"/>
        </w:rPr>
        <w:t>—and expect to nominate our first development candidate in 2020. Our pipeline also includes inhibitors of other key nodes within the RAS and mTOR signaling pathways, such as SOS1 and mTORC1. We believe our deep, differentiated pipeline and development strategies provide us with the opportunity to pioneer novel treatment regimens to maximize the depth and durability of clinical benefit and circumvent adaptive resistance mechanisms for patients with cancers dependent on these critical pathways.</w:t>
      </w:r>
    </w:p>
    <w:p>
      <w:pPr>
        <w:spacing w:after="0" w:line="106"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In addition, we have two preclinical programs targeting other key nodes in the RAS and mTOR signaling pathways. Our program targeting SOS1, a protein that plays a key role in converting RAS(OFF) to RAS(ON) in cells, is currently in lead generation stage. In addition, our preclinical development candidate, RMC-5552, is designed to selectively and deeply inhibit mTORC1, thereby preventing phosphorylation and inactivation of 4EBP1, a downstream protein in the mTOR signaling pathway that normally suppresses expression of certain oncogenes such as C-MYC. We advanced RMC-5552 into IND-enabling development in June 2019.</w:t>
      </w:r>
    </w:p>
    <w:p>
      <w:pPr>
        <w:spacing w:after="0" w:line="103" w:lineRule="exact"/>
        <w:rPr>
          <w:sz w:val="20"/>
          <w:szCs w:val="20"/>
          <w:color w:val="auto"/>
        </w:rPr>
      </w:pPr>
    </w:p>
    <w:p>
      <w:pPr>
        <w:ind w:left="120" w:right="60"/>
        <w:spacing w:after="0" w:line="272" w:lineRule="auto"/>
        <w:rPr>
          <w:sz w:val="20"/>
          <w:szCs w:val="20"/>
          <w:color w:val="auto"/>
        </w:rPr>
      </w:pPr>
      <w:r>
        <w:rPr>
          <w:rFonts w:ascii="Arial" w:cs="Arial" w:eastAsia="Arial" w:hAnsi="Arial"/>
          <w:sz w:val="16"/>
          <w:szCs w:val="16"/>
          <w:color w:val="auto"/>
        </w:rPr>
        <w:t>We have incurred net losses in each year since inception in 2014. Our net losses were $31.1 million and $41.8 million for the years ended December 31, 2017 and 2018, respectively. As of December 31, 2018, we had an accumulated deficit of $109.7 million. Substantially all of our net losses have resulted from costs incurred in connection with our research and development programs and from general and administrative costs associated with our operations. We expect to continue to incur significant expenses and increasing operating losses over at least the next several years. We expect our expenses will increase in connection with our ongoing activities, as we:</w:t>
      </w:r>
    </w:p>
    <w:p>
      <w:pPr>
        <w:spacing w:after="0" w:line="91" w:lineRule="exact"/>
        <w:rPr>
          <w:sz w:val="20"/>
          <w:szCs w:val="20"/>
          <w:color w:val="auto"/>
        </w:rPr>
      </w:pPr>
    </w:p>
    <w:p>
      <w:pPr>
        <w:ind w:left="340" w:hanging="224"/>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continue our platform research and drug discovery efforts to identify product candidates;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advance product candidates through preclinical programs and clinical trials;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hanging="224"/>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manufacture supplies for our preclinical studies and clinical trials;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pursue regulatory approval of product candidates;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operate as a public company following completion of this offering;</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maintain, protect and expand our portfolio of intellectual property rights, including patents, trade secrets and know-how;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hire additional personnel to support our development programs and secure additional facilities to support our operations.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Collaboration agreement with Sanofi</w:t>
      </w:r>
    </w:p>
    <w:p>
      <w:pPr>
        <w:spacing w:after="0" w:line="13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In June 2018, we entered into a collaborative research, development and commercialization agreement with Aventis, Inc. (an affiliate of Sanofi), or the Sanofi Agreement, to research and develop SHP2 inhibitors, including RMC-4630, for any indications. The Sanofi Agreement was assigned to Genzyme Corporation, a Sanofi affiliate, in December 2018. For the purposes of this discussion, we refer to Genzyme Corporation as Sanofi. Pursuant to the Sanofi Agreement, we granted Sanofi a worldwide, exclusive, sublicenseable (subject to our consent in certain circumstances) license under certain of our patents and know-how to research, develop, manufacture, use, sell, offer for sale, import and otherwise commercialize SHP2 inhibitors, including RMC-4630, for any and all uses, subject to our exercise of rights and performance of obligations under the Sanofi Agreement. Such intellectual property exclusively licensed to Sanofi includes our interest under any of our solely-owned or jointly-owned inventions arising out of activities undertaken pursuant to the development of SHP2 inhibitor product candidates under the Sanofi Agreement.</w:t>
      </w:r>
    </w:p>
    <w:p>
      <w:pPr>
        <w:spacing w:after="0" w:line="106" w:lineRule="exact"/>
        <w:rPr>
          <w:sz w:val="20"/>
          <w:szCs w:val="20"/>
          <w:color w:val="auto"/>
        </w:rPr>
      </w:pPr>
    </w:p>
    <w:p>
      <w:pPr>
        <w:ind w:left="120" w:right="20"/>
        <w:spacing w:after="0" w:line="266" w:lineRule="auto"/>
        <w:rPr>
          <w:sz w:val="20"/>
          <w:szCs w:val="20"/>
          <w:color w:val="auto"/>
        </w:rPr>
      </w:pPr>
      <w:r>
        <w:rPr>
          <w:rFonts w:ascii="Arial" w:cs="Arial" w:eastAsia="Arial" w:hAnsi="Arial"/>
          <w:sz w:val="16"/>
          <w:szCs w:val="16"/>
          <w:color w:val="auto"/>
        </w:rPr>
        <w:t>Under the Sanofi Agreement, we have primary responsibility for performing preclinical research on SHP2 inhibitors, pursuant to an initial research plan and budget directed toward the identification, validation and optimization of SHP2 inhibitors for 2018-2020. The research plan and budget beyond 2020 will be determined by a joint research and development committee, over which Sanofi has final decision-making power subject to certain exceptions. We have primary responsibility for early clinical development of RMC-4630 pursuant to an initial development plan. The joint research and development committee is responsible for preparing development plans for other SHP2 inhibitors approved by such committee for development, if any. Sanofi is responsible for 80% of all internal and external research costs and expenses incurred under the research plan for 2019 and 2020, and for all other internal and external costs and expenses incurred to perform activities under the research and development plans. We are responsible for the manufacture of SHP2 inhibitors for Phase 1 and non-registrational Phase 2 clinical trials at Sanofi’s cost, while Sanofi is responsible for manufacturing SHP2 inhibitors for all other clinical trials and commercial supply. Sanofi has the sole right and responsibility to perform all regulatory activities under the Sanofi Agreement, except with respect to certain trials conducted by us or otherwise conducted under our IND, including our current clinical trials evaluating RMC-4630. Once we have completed all clinical trials for a product candidate that are assigned to us under a development plan, all regulatory approvals for such product candidate are automatically assigned to Sanofi. Unless otherwise delegated to us by the joint commercialization committee, Sanofi also has the sole right and responsibility for all aspects of the commercialization of SHP2 inhibitors in the world for any and all uses, at its expense, subject to our right to elect to co-promote SHP2 inhibitors in the United States. Sanofi is obligated to use commercially reasonable efforts to seek marketing approval for at least one SHP2 inhibitor product candidate in certain major market countries. Sanofi agrees to provide us, and we agree to provide Sanofi, with research, development and commercialization updates through the joint committees.</w:t>
      </w:r>
    </w:p>
    <w:p>
      <w:pPr>
        <w:spacing w:after="0" w:line="288" w:lineRule="exact"/>
        <w:rPr>
          <w:sz w:val="20"/>
          <w:szCs w:val="20"/>
          <w:color w:val="auto"/>
        </w:rPr>
      </w:pPr>
    </w:p>
    <w:p>
      <w:pPr>
        <w:ind w:left="120" w:right="700"/>
        <w:spacing w:after="0" w:line="239" w:lineRule="auto"/>
        <w:rPr>
          <w:sz w:val="20"/>
          <w:szCs w:val="20"/>
          <w:color w:val="auto"/>
        </w:rPr>
      </w:pPr>
      <w:r>
        <w:rPr>
          <w:rFonts w:ascii="Arial" w:cs="Arial" w:eastAsia="Arial" w:hAnsi="Arial"/>
          <w:sz w:val="18"/>
          <w:szCs w:val="18"/>
          <w:color w:val="auto"/>
        </w:rPr>
        <w:t>Pursuant to the Sanofi Agreement, we received an upfront payment of $50 million from Sanofi in July 2018. Upon the achievement of specified development and regulatory milestones, Sanofi will be obligated to pay us</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up to $520 million in the aggregate, including up to $235 million upon the achievement of specified development milestones and up to</w:t>
      </w:r>
    </w:p>
    <w:p>
      <w:pPr>
        <w:ind w:left="120"/>
        <w:spacing w:after="0" w:line="236" w:lineRule="auto"/>
        <w:rPr>
          <w:sz w:val="20"/>
          <w:szCs w:val="20"/>
          <w:color w:val="auto"/>
        </w:rPr>
      </w:pPr>
      <w:r>
        <w:rPr>
          <w:rFonts w:ascii="Arial" w:cs="Arial" w:eastAsia="Arial" w:hAnsi="Arial"/>
          <w:sz w:val="18"/>
          <w:szCs w:val="18"/>
          <w:color w:val="auto"/>
        </w:rPr>
        <w:t>$285 million upon achievement of certain marketing approval milestones. In the United States, we will share equally with Sanofi the profits and losses applicable to commercialization of SHP2 inhibitor products, pursuant to a profit/loss share agreement that the parties will negotiate based on key terms agreed in the Sanofi Agreement. On a product-by-product basis, Sanofi will also be required to pay us tiered royalties on annual net sales of each product outside the United States ranging from high single digit to mid-teen percentages. The royalty payments are subject to reduction under specified conditions set forth in the Sanofi Agreement. Subject to certain exceptions, the royalties are payable on a product-by-product and country-by-country basis until the latest of the expiration of all valid claims covering such product in such country contained in the patents licensed to Sanofi under the Sanofi Agreement and the expiration of regulatory exclusivity for such product in such country.</w:t>
      </w:r>
    </w:p>
    <w:p>
      <w:pPr>
        <w:spacing w:after="0" w:line="100"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Sanofi has the sole and exclusive right to file, prosecute and maintain any patents licensed to it pursuant to the Sanofi Agreement, as well as to enforce infringement of or defend claims against such patents that relate to SHP2 inhibitor products.</w:t>
      </w:r>
    </w:p>
    <w:p>
      <w:pPr>
        <w:spacing w:after="0" w:line="101"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Unless terminated earlier, the Sanofi Agreement will continue in effect until the later of the expiration of all of Sanofi’s milestone and royalty payment obligations and the expiration of the profit/loss share agreement. Upon expiration of the Sanofi Agreement, the licenses granted to Sanofi thereunder shall become fully paid-up, royalty-free, perpetual and irrevocable. Sanofi may terminate the Sanofi Agreement in its entirety or on a country-by-country or product-by-product basis for any reason or for significant safety concerns, upon prior notice to us within certain specified time periods. Sanofi may terminate the Sanofi Agreement in its entirety upon our change of control, with prior notice. Either party may terminate the Sanofi Agreement if an undisputed material breach by the other party is not cured within a defined period of time, or immediately upon notice for insolvency-related events of the other party. We may terminate the Sanofi Agreement after a certain number of years if Sanofi develops a competing program without commencing a registrational clinical trial for a SHP2 inhibitor product candidate, and subject to certain other conditions. We may also terminate the Sanofi Agreement at any time, if Sanofi ceases certain critical activities for SHP2 inhibitor product candidates for more than a specified period of time, provided that such cessations of critical activity were not a result of certain specified factors, and subject to certain other conditions. Upon any termination of the Sanofi Agreement with respect to any product or country, all licenses to Sanofi with respect to such product or country shall automatically terminate and all rights generally revert back to us. If the Sanofi Agreement is terminated, in its entirety or with respect to a product, other than by us for Sanofi’s material breach or insolvency, we may be required to pay Sanofi royalties on worldwide net sales of reverted products up to mid-single digit percentages based on the development and regulatory status of such reverted products, in each case subject to reductions in accordance with the terms of the Sanofi Agreement.</w:t>
      </w:r>
    </w:p>
    <w:p>
      <w:pPr>
        <w:spacing w:after="0" w:line="105" w:lineRule="exact"/>
        <w:rPr>
          <w:sz w:val="20"/>
          <w:szCs w:val="20"/>
          <w:color w:val="auto"/>
        </w:rPr>
      </w:pPr>
    </w:p>
    <w:p>
      <w:pPr>
        <w:ind w:left="120" w:right="200"/>
        <w:spacing w:after="0" w:line="239" w:lineRule="auto"/>
        <w:rPr>
          <w:sz w:val="20"/>
          <w:szCs w:val="20"/>
          <w:color w:val="auto"/>
        </w:rPr>
      </w:pPr>
      <w:r>
        <w:rPr>
          <w:rFonts w:ascii="Arial" w:cs="Arial" w:eastAsia="Arial" w:hAnsi="Arial"/>
          <w:sz w:val="18"/>
          <w:szCs w:val="18"/>
          <w:color w:val="auto"/>
        </w:rPr>
        <w:t>Through December 31, 2018, we have received an aggregate of $57.4 million from Sanofi, including the upfront payment and research and development expense reimbursements.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Acquisition of Warp Drive</w:t>
      </w:r>
    </w:p>
    <w:p>
      <w:pPr>
        <w:spacing w:after="0" w:line="134"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In October 2018, we acquired all outstanding shares of Warp Drive Bio, Inc., or Warp Drive. In connection with the acquisition, we issued 33,079,554 shares of our Series B preferred stock and $0.9 million in other consideration, for total consideration valued at $69.0 million. The operating results associated with Warp Drive programs are reflected in our consolidated financial statements beginning on the closing date of the transaction.</w:t>
      </w:r>
    </w:p>
    <w:p>
      <w:pPr>
        <w:spacing w:after="0" w:line="100" w:lineRule="exact"/>
        <w:rPr>
          <w:sz w:val="20"/>
          <w:szCs w:val="20"/>
          <w:color w:val="auto"/>
        </w:rPr>
      </w:pPr>
    </w:p>
    <w:p>
      <w:pPr>
        <w:ind w:left="120" w:right="980"/>
        <w:spacing w:after="0" w:line="239" w:lineRule="auto"/>
        <w:rPr>
          <w:sz w:val="20"/>
          <w:szCs w:val="20"/>
          <w:color w:val="auto"/>
        </w:rPr>
      </w:pPr>
      <w:r>
        <w:rPr>
          <w:rFonts w:ascii="Arial" w:cs="Arial" w:eastAsia="Arial" w:hAnsi="Arial"/>
          <w:sz w:val="18"/>
          <w:szCs w:val="18"/>
          <w:color w:val="auto"/>
        </w:rPr>
        <w:t>In connection with the Warp Drive acquisition, we recorded $55.8 million of in-process research and development, or IPR&amp;D, and $13.6 million of developed technology related to the tri-complex and genome</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00"/>
          </w:cols>
          <w:pgMar w:left="320" w:top="459" w:right="4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mining platforms. Warp Drive’s RAS programs were accounted for as an IPR&amp;D asset. The IPR&amp;D asset is considered to be an indefinite-lived asset until the completion or abandonment of the associated research and development efforts. Warp Drive’s tri-complex development platform was accounted for as developed technology and is being amortized over seven years. Warp Drive’s genome mining platform was accounted for as held for sale developed technology and was divested in January 2019 when we sold this genome mining platform to Ginkgo Bioworks, Inc., or Ginkgo.</w:t>
      </w:r>
    </w:p>
    <w:p>
      <w:pPr>
        <w:spacing w:after="0" w:line="103" w:lineRule="exact"/>
        <w:rPr>
          <w:sz w:val="20"/>
          <w:szCs w:val="20"/>
          <w:color w:val="auto"/>
        </w:rPr>
      </w:pPr>
    </w:p>
    <w:p>
      <w:pPr>
        <w:ind w:left="120" w:right="200"/>
        <w:spacing w:after="0" w:line="238" w:lineRule="auto"/>
        <w:rPr>
          <w:sz w:val="20"/>
          <w:szCs w:val="20"/>
          <w:color w:val="auto"/>
        </w:rPr>
      </w:pPr>
      <w:r>
        <w:rPr>
          <w:rFonts w:ascii="Arial" w:cs="Arial" w:eastAsia="Arial" w:hAnsi="Arial"/>
          <w:sz w:val="18"/>
          <w:szCs w:val="18"/>
          <w:color w:val="auto"/>
        </w:rPr>
        <w:t>In addition, we recorded $14.6 million in goodwill associated with the Warp Drive acquisition, which largely relates to the establishment of a deferred tax liability for the non-deductible IPR&amp;D intangible assets acquired. Goodwill will not be amortized. Goodwill and IPR&amp;D will be tested at least annually for impairment. No impairment has been recognized as of December 31, 2018.</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Components of results of operations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24"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Collaboration revenue, related party, consists of revenue under the Sanofi Agreement for our SHP2 program. We entered into the Sanofi Agreement in June 2018 and Sanofi subsequently became a related party in October 2018 as it was a stockholder of Warp Drive to which we issued equity in connection with the acquisition. We received a $50.0 million upfront payment from Sanofi in July 2018, receive reimbursement for research and development services, and are entitled to future potential development and regulatory milestones.</w:t>
      </w:r>
    </w:p>
    <w:p>
      <w:pPr>
        <w:spacing w:after="0" w:line="100"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Collaboration revenue, other, consists of revenue under our collaboration agreement with F. Hoffmann-La Roche Ltd and Hoffmann-La Roche Inc. that we became a party to in October 2018 as part of the Warp Drive acquisition. This collaboration agreement was divested to Ginkgo in January 2019.</w:t>
      </w:r>
    </w:p>
    <w:p>
      <w:pPr>
        <w:spacing w:after="0" w:line="100" w:lineRule="exact"/>
        <w:rPr>
          <w:sz w:val="20"/>
          <w:szCs w:val="20"/>
          <w:color w:val="auto"/>
        </w:rPr>
      </w:pPr>
    </w:p>
    <w:p>
      <w:pPr>
        <w:ind w:left="120" w:right="120"/>
        <w:spacing w:after="0" w:line="239" w:lineRule="auto"/>
        <w:rPr>
          <w:sz w:val="20"/>
          <w:szCs w:val="20"/>
          <w:color w:val="auto"/>
        </w:rPr>
      </w:pPr>
      <w:r>
        <w:rPr>
          <w:rFonts w:ascii="Arial" w:cs="Arial" w:eastAsia="Arial" w:hAnsi="Arial"/>
          <w:sz w:val="18"/>
          <w:szCs w:val="18"/>
          <w:color w:val="auto"/>
        </w:rPr>
        <w:t>For further information on our revenue recognition policies, see the section titled “Critical accounting policies, significant judgments, and use of estimates—Revenue recognition.”</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24" w:lineRule="exact"/>
        <w:rPr>
          <w:sz w:val="20"/>
          <w:szCs w:val="20"/>
          <w:color w:val="auto"/>
        </w:rPr>
      </w:pPr>
    </w:p>
    <w:p>
      <w:pPr>
        <w:ind w:left="120" w:right="200"/>
        <w:spacing w:after="0" w:line="236" w:lineRule="auto"/>
        <w:rPr>
          <w:sz w:val="20"/>
          <w:szCs w:val="20"/>
          <w:color w:val="auto"/>
        </w:rPr>
      </w:pPr>
      <w:r>
        <w:rPr>
          <w:rFonts w:ascii="Arial" w:cs="Arial" w:eastAsia="Arial" w:hAnsi="Arial"/>
          <w:sz w:val="18"/>
          <w:szCs w:val="18"/>
          <w:color w:val="auto"/>
        </w:rPr>
        <w:t>We substantially rely on third parties to conduct our preclinical studies, clinical trials and manufacturing. We estimate research and development expenses based on estimates of services performed, and rely on third party contractors and vendors to provide us with timely and accurate estimates of expenses of services performed to assist us in these estimates. Research and development expenses consist primarily of costs incurred for the development of our product candidates and costs associated with identifying compounds through our discovery platform, which include:</w:t>
      </w:r>
    </w:p>
    <w:p>
      <w:pPr>
        <w:spacing w:after="0" w:line="116" w:lineRule="exact"/>
        <w:rPr>
          <w:sz w:val="20"/>
          <w:szCs w:val="20"/>
          <w:color w:val="auto"/>
        </w:rPr>
      </w:pPr>
    </w:p>
    <w:p>
      <w:pPr>
        <w:ind w:left="340" w:right="420" w:hanging="224"/>
        <w:spacing w:after="0" w:line="239"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expenses incurred under agreements with third-party contract organizations, investigative clinical trial sites that conduct research and development activities on our behalf, and consultants;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costs related to production of clinical materials, including fees paid to contract manufacturers;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laboratory and vendor expenses related to the execution of discovery programs, preclinical and clinical trials;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employee-related expenses, which include salaries, benefits and stock-based compensation; and</w:t>
      </w:r>
    </w:p>
    <w:p>
      <w:pPr>
        <w:spacing w:after="0" w:line="117" w:lineRule="exact"/>
        <w:rPr>
          <w:rFonts w:ascii="Arial" w:cs="Arial" w:eastAsia="Arial" w:hAnsi="Arial"/>
          <w:sz w:val="18"/>
          <w:szCs w:val="18"/>
          <w:color w:val="auto"/>
        </w:rPr>
      </w:pPr>
    </w:p>
    <w:p>
      <w:pPr>
        <w:ind w:left="340" w:right="560" w:hanging="224"/>
        <w:spacing w:after="0" w:line="239"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facilities and other expenses, which include allocated expenses for rent and maintenance of facilities, depreciation and amortization expense, information technology and other supplies.</w:t>
      </w:r>
    </w:p>
    <w:p>
      <w:pPr>
        <w:spacing w:after="0" w:line="101" w:lineRule="exact"/>
        <w:rPr>
          <w:sz w:val="20"/>
          <w:szCs w:val="20"/>
          <w:color w:val="auto"/>
        </w:rPr>
      </w:pPr>
    </w:p>
    <w:p>
      <w:pPr>
        <w:ind w:left="120" w:right="580"/>
        <w:spacing w:after="0" w:line="239" w:lineRule="auto"/>
        <w:rPr>
          <w:sz w:val="20"/>
          <w:szCs w:val="20"/>
          <w:color w:val="auto"/>
        </w:rPr>
      </w:pPr>
      <w:r>
        <w:rPr>
          <w:rFonts w:ascii="Arial" w:cs="Arial" w:eastAsia="Arial" w:hAnsi="Arial"/>
          <w:sz w:val="18"/>
          <w:szCs w:val="18"/>
          <w:color w:val="auto"/>
        </w:rPr>
        <w:t>We expense all research and development costs in the periods in which they are incurred. Costs for certain development activities are recognized based on an evaluation of the progress to completion of specific tasks</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80"/>
          </w:cols>
          <w:pgMar w:left="320" w:top="459" w:right="4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using information and data provided to us by our vendors, collaborators and third-party service providers. Nonrefundable advance payments for goods or services to be received in future periods for use in research and development activities are deferred and recorded as prepaid assets. The prepaid amounts are then expensed as the related goods are delivered or as services are performed.</w:t>
      </w:r>
    </w:p>
    <w:p>
      <w:pPr>
        <w:spacing w:after="0" w:line="100" w:lineRule="exact"/>
        <w:rPr>
          <w:sz w:val="20"/>
          <w:szCs w:val="20"/>
          <w:color w:val="auto"/>
        </w:rPr>
      </w:pPr>
    </w:p>
    <w:p>
      <w:pPr>
        <w:ind w:left="120" w:right="320"/>
        <w:spacing w:after="0" w:line="238" w:lineRule="auto"/>
        <w:rPr>
          <w:sz w:val="20"/>
          <w:szCs w:val="20"/>
          <w:color w:val="auto"/>
        </w:rPr>
      </w:pPr>
      <w:r>
        <w:rPr>
          <w:rFonts w:ascii="Arial" w:cs="Arial" w:eastAsia="Arial" w:hAnsi="Arial"/>
          <w:sz w:val="18"/>
          <w:szCs w:val="18"/>
          <w:color w:val="auto"/>
        </w:rPr>
        <w:t>Under the Sanofi Agreement, all of our RMC-4630 research and development expenses incurred from June 2018 to December 2018 have been reimbursed by Sanofi. These reimbursements from Sanofi are recorded as collaboration revenue. We are responsible for early non-registrational clinical trials and Sanofi is responsible for conducting registrational clinical trials.</w:t>
      </w:r>
    </w:p>
    <w:p>
      <w:pPr>
        <w:spacing w:after="0" w:line="100"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We expect our research and development expenses to increase substantially for the foreseeable future as we continue to invest in discovering and developing product candidates and advancing product candidates into later stages of development, which may include conducting larger clinical trials. The process of conducting the necessary research and development and clinical trials to seek regulatory approval for product candidates is costly and time-consuming, and the successful development of our product candidates is highly uncertain. As a result, we are unable to determine the duration and completion costs of our research and development projects or clinical trials or if and to what extent we will generate revenue from the commercialization and sale of any of our product candidates.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24" w:lineRule="exact"/>
        <w:rPr>
          <w:sz w:val="20"/>
          <w:szCs w:val="20"/>
          <w:color w:val="auto"/>
        </w:rPr>
      </w:pPr>
    </w:p>
    <w:p>
      <w:pPr>
        <w:ind w:left="120" w:right="120"/>
        <w:spacing w:after="0" w:line="269" w:lineRule="auto"/>
        <w:rPr>
          <w:sz w:val="20"/>
          <w:szCs w:val="20"/>
          <w:color w:val="auto"/>
        </w:rPr>
      </w:pPr>
      <w:r>
        <w:rPr>
          <w:rFonts w:ascii="Arial" w:cs="Arial" w:eastAsia="Arial" w:hAnsi="Arial"/>
          <w:sz w:val="16"/>
          <w:szCs w:val="16"/>
          <w:color w:val="auto"/>
        </w:rPr>
        <w:t>General and administrative expenses consist primarily of personnel-related costs, consultants and professional services expenses, including legal, audit, accounting and human resources services, allocated facilities and information technology costs, and other general operating expenses not otherwise classified as research and development expenses. Personnel-related costs consist of salaries, benefits and stock-based compensation. Facilities costs consist of rent, utilities and maintenance of facilities. We expect our general and administrative expenses to increase for the foreseeable future due to anticipated increases in headcount and as a result of operating as a public company, including expenses related to compliance with the rules and regulations of the Securities and Exchange Commission, the Nasdaq Global Market, additional insurance expenses, investor relations activities and other administrative and professional services.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Interest income primarily consists of interest earned on our cash equivalents.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and other expense</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Interest and other expense primarily consists of interest related to our capital lease and interest on other outstanding obligations.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 in fair value of redeemable convertible preferred stock liability</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Our March 2018 issuance and sale of Series B redeemable convertible preferred stock was tranched into two funding dates, a first closing in March 2018, and a second closing to purchase additional shares in June 2018. We classified the obligation for the future purchase of additional shares under the second closing as a liability on our consolidated balance sheets as the obligation met the definition of a freestanding financial instrument. This redeemable convertible preferred stock tranche liability was initially recorded at fair value upon the date of issuance and was subsequently remeasured to fair value at each reporting date. Changes in the fair value of the redeemable convertible preferred stock liability were recognized in the consolidated statements of operations and comprehensive loss until the obligation for the second tranche was fulfilled upon the second closing date in June 2018.</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Comparison of the results for the years ended December 31, 2017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73" w:lineRule="exact"/>
        <w:rPr>
          <w:sz w:val="20"/>
          <w:szCs w:val="20"/>
          <w:color w:val="auto"/>
        </w:rPr>
      </w:pPr>
    </w:p>
    <w:tbl>
      <w:tblPr>
        <w:tblLayout w:type="fixed"/>
        <w:tblInd w:w="120" w:type="dxa"/>
        <w:tblCellMar>
          <w:top w:w="0" w:type="dxa"/>
          <w:left w:w="0" w:type="dxa"/>
          <w:bottom w:w="0" w:type="dxa"/>
          <w:right w:w="0" w:type="dxa"/>
        </w:tblCellMar>
      </w:tblPr>
      <w:tr>
        <w:trPr>
          <w:trHeight w:val="233"/>
        </w:trPr>
        <w:tc>
          <w:tcPr>
            <w:tcW w:w="6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4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w w:val="96"/>
              </w:rPr>
              <w:t>Year ended December 31,</w:t>
            </w:r>
          </w:p>
        </w:tc>
        <w:tc>
          <w:tcPr>
            <w:tcW w:w="1180" w:type="dxa"/>
            <w:vAlign w:val="bottom"/>
            <w:gridSpan w:val="3"/>
            <w:vMerge w:val="restart"/>
          </w:tcPr>
          <w:p>
            <w:pPr>
              <w:ind w:left="180"/>
              <w:spacing w:after="0"/>
              <w:rPr>
                <w:sz w:val="20"/>
                <w:szCs w:val="20"/>
                <w:color w:val="auto"/>
              </w:rPr>
            </w:pPr>
            <w:r>
              <w:rPr>
                <w:rFonts w:ascii="Arial" w:cs="Arial" w:eastAsia="Arial" w:hAnsi="Arial"/>
                <w:sz w:val="18"/>
                <w:szCs w:val="18"/>
                <w:b w:val="1"/>
                <w:bCs w:val="1"/>
                <w:color w:val="auto"/>
              </w:rPr>
              <w:t>Increase /</w:t>
            </w:r>
          </w:p>
        </w:tc>
        <w:tc>
          <w:tcPr>
            <w:tcW w:w="0" w:type="dxa"/>
            <w:vAlign w:val="bottom"/>
          </w:tcPr>
          <w:p>
            <w:pPr>
              <w:spacing w:after="0"/>
              <w:rPr>
                <w:sz w:val="1"/>
                <w:szCs w:val="1"/>
                <w:color w:val="auto"/>
              </w:rPr>
            </w:pPr>
          </w:p>
        </w:tc>
      </w:tr>
      <w:tr>
        <w:trPr>
          <w:trHeight w:val="151"/>
        </w:trPr>
        <w:tc>
          <w:tcPr>
            <w:tcW w:w="6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2017</w:t>
            </w:r>
          </w:p>
        </w:tc>
        <w:tc>
          <w:tcPr>
            <w:tcW w:w="5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(decrease)</w:t>
            </w:r>
          </w:p>
        </w:tc>
        <w:tc>
          <w:tcPr>
            <w:tcW w:w="0" w:type="dxa"/>
            <w:vAlign w:val="bottom"/>
          </w:tcPr>
          <w:p>
            <w:pPr>
              <w:spacing w:after="0"/>
              <w:rPr>
                <w:sz w:val="1"/>
                <w:szCs w:val="1"/>
                <w:color w:val="auto"/>
              </w:rPr>
            </w:pPr>
          </w:p>
        </w:tc>
      </w:tr>
      <w:tr>
        <w:trPr>
          <w:trHeight w:val="226"/>
        </w:trPr>
        <w:tc>
          <w:tcPr>
            <w:tcW w:w="6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5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(in thousands)</w:t>
            </w: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6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220"/>
              <w:spacing w:after="0" w:line="202" w:lineRule="exact"/>
              <w:rPr>
                <w:sz w:val="20"/>
                <w:szCs w:val="20"/>
                <w:color w:val="auto"/>
              </w:rPr>
            </w:pPr>
            <w:r>
              <w:rPr>
                <w:rFonts w:ascii="Arial" w:cs="Arial" w:eastAsia="Arial" w:hAnsi="Arial"/>
                <w:sz w:val="18"/>
                <w:szCs w:val="18"/>
                <w:color w:val="auto"/>
              </w:rPr>
              <w:t>Collaboration revenue, related party</w:t>
            </w: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19,420</w:t>
            </w:r>
          </w:p>
        </w:tc>
        <w:tc>
          <w:tcPr>
            <w:tcW w:w="36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19,420</w:t>
            </w:r>
          </w:p>
        </w:tc>
        <w:tc>
          <w:tcPr>
            <w:tcW w:w="0" w:type="dxa"/>
            <w:vAlign w:val="bottom"/>
          </w:tcPr>
          <w:p>
            <w:pPr>
              <w:spacing w:after="0"/>
              <w:rPr>
                <w:sz w:val="1"/>
                <w:szCs w:val="1"/>
                <w:color w:val="auto"/>
              </w:rPr>
            </w:pPr>
          </w:p>
        </w:tc>
      </w:tr>
      <w:tr>
        <w:trPr>
          <w:trHeight w:val="203"/>
        </w:trPr>
        <w:tc>
          <w:tcPr>
            <w:tcW w:w="6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Collaboration revenue, other</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745</w:t>
            </w:r>
          </w:p>
        </w:tc>
        <w:tc>
          <w:tcPr>
            <w:tcW w:w="3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40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20,165</w:t>
            </w:r>
          </w:p>
        </w:tc>
        <w:tc>
          <w:tcPr>
            <w:tcW w:w="36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20,165</w:t>
            </w:r>
          </w:p>
        </w:tc>
        <w:tc>
          <w:tcPr>
            <w:tcW w:w="0" w:type="dxa"/>
            <w:vAlign w:val="bottom"/>
          </w:tcPr>
          <w:p>
            <w:pPr>
              <w:spacing w:after="0"/>
              <w:rPr>
                <w:sz w:val="1"/>
                <w:szCs w:val="1"/>
                <w:color w:val="auto"/>
              </w:rPr>
            </w:pPr>
          </w:p>
        </w:tc>
      </w:tr>
      <w:tr>
        <w:trPr>
          <w:trHeight w:val="56"/>
        </w:trPr>
        <w:tc>
          <w:tcPr>
            <w:tcW w:w="6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220"/>
              <w:spacing w:after="0" w:line="202" w:lineRule="exact"/>
              <w:rPr>
                <w:sz w:val="20"/>
                <w:szCs w:val="20"/>
                <w:color w:val="auto"/>
              </w:rPr>
            </w:pPr>
            <w:r>
              <w:rPr>
                <w:rFonts w:ascii="Arial" w:cs="Arial" w:eastAsia="Arial" w:hAnsi="Arial"/>
                <w:sz w:val="18"/>
                <w:szCs w:val="18"/>
                <w:color w:val="auto"/>
              </w:rPr>
              <w:t>Research and development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26,586</w:t>
            </w:r>
          </w:p>
        </w:tc>
        <w:tc>
          <w:tcPr>
            <w:tcW w:w="560" w:type="dxa"/>
            <w:vAlign w:val="bottom"/>
          </w:tcPr>
          <w:p>
            <w:pPr>
              <w:spacing w:after="0"/>
              <w:rPr>
                <w:sz w:val="17"/>
                <w:szCs w:val="17"/>
                <w:color w:val="auto"/>
              </w:rPr>
            </w:pPr>
          </w:p>
        </w:tc>
        <w:tc>
          <w:tcPr>
            <w:tcW w:w="10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51,084</w:t>
            </w:r>
          </w:p>
        </w:tc>
        <w:tc>
          <w:tcPr>
            <w:tcW w:w="36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24,498</w:t>
            </w:r>
          </w:p>
        </w:tc>
        <w:tc>
          <w:tcPr>
            <w:tcW w:w="0" w:type="dxa"/>
            <w:vAlign w:val="bottom"/>
          </w:tcPr>
          <w:p>
            <w:pPr>
              <w:spacing w:after="0"/>
              <w:rPr>
                <w:sz w:val="1"/>
                <w:szCs w:val="1"/>
                <w:color w:val="auto"/>
              </w:rPr>
            </w:pPr>
          </w:p>
        </w:tc>
      </w:tr>
      <w:tr>
        <w:trPr>
          <w:trHeight w:val="203"/>
        </w:trPr>
        <w:tc>
          <w:tcPr>
            <w:tcW w:w="6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General and administrative</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4,543</w:t>
            </w:r>
          </w:p>
        </w:tc>
        <w:tc>
          <w:tcPr>
            <w:tcW w:w="5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9,410</w:t>
            </w:r>
          </w:p>
        </w:tc>
        <w:tc>
          <w:tcPr>
            <w:tcW w:w="3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4,867</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31,129</w:t>
            </w:r>
          </w:p>
        </w:tc>
        <w:tc>
          <w:tcPr>
            <w:tcW w:w="5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60,494</w:t>
            </w:r>
          </w:p>
        </w:tc>
        <w:tc>
          <w:tcPr>
            <w:tcW w:w="3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29,365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(31,129)</w:t>
            </w:r>
          </w:p>
        </w:tc>
        <w:tc>
          <w:tcPr>
            <w:tcW w:w="5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(40,329)</w:t>
            </w:r>
          </w:p>
        </w:tc>
        <w:tc>
          <w:tcPr>
            <w:tcW w:w="3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(9,200)</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Interest income</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105</w:t>
            </w:r>
          </w:p>
        </w:tc>
        <w:tc>
          <w:tcPr>
            <w:tcW w:w="5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777</w:t>
            </w:r>
          </w:p>
        </w:tc>
        <w:tc>
          <w:tcPr>
            <w:tcW w:w="3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03"/>
        </w:trPr>
        <w:tc>
          <w:tcPr>
            <w:tcW w:w="6400" w:type="dxa"/>
            <w:vAlign w:val="bottom"/>
          </w:tcPr>
          <w:p>
            <w:pPr>
              <w:ind w:left="220"/>
              <w:spacing w:after="0" w:line="202" w:lineRule="exact"/>
              <w:rPr>
                <w:sz w:val="20"/>
                <w:szCs w:val="20"/>
                <w:color w:val="auto"/>
              </w:rPr>
            </w:pPr>
            <w:r>
              <w:rPr>
                <w:rFonts w:ascii="Arial" w:cs="Arial" w:eastAsia="Arial" w:hAnsi="Arial"/>
                <w:sz w:val="18"/>
                <w:szCs w:val="18"/>
                <w:color w:val="auto"/>
              </w:rPr>
              <w:t>Interest and other expense</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(103)</w:t>
            </w:r>
          </w:p>
        </w:tc>
        <w:tc>
          <w:tcPr>
            <w:tcW w:w="560" w:type="dxa"/>
            <w:vAlign w:val="bottom"/>
          </w:tcPr>
          <w:p>
            <w:pPr>
              <w:spacing w:after="0"/>
              <w:rPr>
                <w:sz w:val="17"/>
                <w:szCs w:val="17"/>
                <w:color w:val="auto"/>
              </w:rPr>
            </w:pP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(116)</w:t>
            </w:r>
          </w:p>
        </w:tc>
        <w:tc>
          <w:tcPr>
            <w:tcW w:w="36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6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Change in fair value of redeemable convertible preferred stock liability</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(2,121)</w:t>
            </w:r>
          </w:p>
        </w:tc>
        <w:tc>
          <w:tcPr>
            <w:tcW w:w="3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(2,121)</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0" w:type="dxa"/>
            <w:vAlign w:val="bottom"/>
          </w:tcPr>
          <w:p>
            <w:pPr>
              <w:ind w:left="220"/>
              <w:spacing w:after="0"/>
              <w:rPr>
                <w:sz w:val="20"/>
                <w:szCs w:val="20"/>
                <w:color w:val="auto"/>
              </w:rPr>
            </w:pPr>
            <w:r>
              <w:rPr>
                <w:rFonts w:ascii="Arial" w:cs="Arial" w:eastAsia="Arial" w:hAnsi="Arial"/>
                <w:sz w:val="18"/>
                <w:szCs w:val="18"/>
                <w:color w:val="auto"/>
              </w:rPr>
              <w:t>Total other income (expense), net</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(1,460)</w:t>
            </w:r>
          </w:p>
        </w:tc>
        <w:tc>
          <w:tcPr>
            <w:tcW w:w="3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(1,462)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and comprehensive loss</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(31,127)</w:t>
            </w:r>
          </w:p>
        </w:tc>
        <w:tc>
          <w:tcPr>
            <w:tcW w:w="5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(41,789)</w:t>
            </w:r>
          </w:p>
        </w:tc>
        <w:tc>
          <w:tcPr>
            <w:tcW w:w="3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(10,662)</w:t>
            </w:r>
          </w:p>
        </w:tc>
        <w:tc>
          <w:tcPr>
            <w:tcW w:w="0" w:type="dxa"/>
            <w:vAlign w:val="bottom"/>
          </w:tcPr>
          <w:p>
            <w:pPr>
              <w:spacing w:after="0"/>
              <w:rPr>
                <w:sz w:val="1"/>
                <w:szCs w:val="1"/>
                <w:color w:val="auto"/>
              </w:rPr>
            </w:pPr>
          </w:p>
        </w:tc>
      </w:tr>
      <w:tr>
        <w:trPr>
          <w:trHeight w:val="20"/>
        </w:trPr>
        <w:tc>
          <w:tcPr>
            <w:tcW w:w="6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24"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Collaboration revenue, related party consists of revenue under the Sanofi Agreement, which was entered into in June 2018. Collaboration revenue, related party for the years ended December 31, 2017 and 2018 was zero and $19.4 million, respectively. Cash received from Sanofi during the years ended December 31, 2017 and 2018 was zero and $57.4 million, respectively. Revenue is recognized based on actual costs incurred relative to total estimated costs expected to fulfill the performance obligation. Accordingly, the timing of revenue recognition is not directly correlated to the timing of cash receipts.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24" w:lineRule="exact"/>
        <w:rPr>
          <w:sz w:val="20"/>
          <w:szCs w:val="20"/>
          <w:color w:val="auto"/>
        </w:rPr>
      </w:pPr>
    </w:p>
    <w:p>
      <w:pPr>
        <w:ind w:left="120" w:right="40"/>
        <w:spacing w:after="0" w:line="235" w:lineRule="auto"/>
        <w:rPr>
          <w:sz w:val="20"/>
          <w:szCs w:val="20"/>
          <w:color w:val="auto"/>
        </w:rPr>
      </w:pPr>
      <w:r>
        <w:rPr>
          <w:rFonts w:ascii="Arial" w:cs="Arial" w:eastAsia="Arial" w:hAnsi="Arial"/>
          <w:sz w:val="18"/>
          <w:szCs w:val="18"/>
          <w:color w:val="auto"/>
        </w:rPr>
        <w:t>Research and development expenses increased by $24.5 million, or 92%, during the year ended December 31, 2018 compared to the same period in 2017. The increase in research and development expenses in 2018 was primarily due to a $6.7 million increase in salaries and other employee-related expenses due to increased headcount to support our research and development programs; a $6.3 million increase in third party expenses for our SHP2 program, which advanced into a Phase 1 clinical trial in the third quarter of 2018; a $4.2 million increase in facilities and other allocated expenses as a result of higher rent, lab supplies, utilities and information technology expenses associated with higher headcount in 2018; a $3.4 million increase in third party expenses for our 4EBP1/mTORC1 program due to advancing the program into the lead optimization phase in 2018, which included increased pharmacology, chemistry CROs, and preliminary safety assessment costs; a $3.1 million increase in third party expenses related to our discovery programs; and a $0.5 million increase in stock-based compensation expense.</w:t>
      </w:r>
    </w:p>
    <w:p>
      <w:pPr>
        <w:spacing w:after="0" w:line="106" w:lineRule="exact"/>
        <w:rPr>
          <w:sz w:val="20"/>
          <w:szCs w:val="20"/>
          <w:color w:val="auto"/>
        </w:rPr>
      </w:pPr>
    </w:p>
    <w:p>
      <w:pPr>
        <w:ind w:left="120" w:right="400"/>
        <w:spacing w:after="0" w:line="239" w:lineRule="auto"/>
        <w:rPr>
          <w:sz w:val="20"/>
          <w:szCs w:val="20"/>
          <w:color w:val="auto"/>
        </w:rPr>
      </w:pPr>
      <w:r>
        <w:rPr>
          <w:rFonts w:ascii="Arial" w:cs="Arial" w:eastAsia="Arial" w:hAnsi="Arial"/>
          <w:sz w:val="18"/>
          <w:szCs w:val="18"/>
          <w:color w:val="auto"/>
        </w:rPr>
        <w:t>We expect total research and development expenses to increase in 2019 relative to 2018 as we advance our RMC-4630, RMC-5552 and discovery programs.</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40"/>
          </w:cols>
          <w:pgMar w:left="32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2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General and administrative expenses increased by $4.9 million, or 107%, during the year ended December 31, 2018 compared to 2017. The increase was primarily due to an increase of personnel-related expenses of $2.3 million related to higher headcount in 2018; an increase of $2.3 million in legal, accounting and consulting expenses primarily due to business development transactions and increased intellectual property activities; and an increase of $0.3 million in stock-based compensation expense. We anticipate general and administrative expenses to increase in 2019 as a result of preparing to become and becoming a public company.</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24"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Interest income increased by $0.7 million during the year ended December 31, 2018 compared to 2017. The increase was primarily due to interest income earned from higher average investment balances resulting from the net proceeds from our Series B preferred stock financing and the upfront payment from Sanofi received in 2018.</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and other expense</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Interest and other expense was $0.1 million for both the years ended December 31, 2018 and December 31, 2017.</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 in fair value of redeemable convertible preferred stock liability</w:t>
      </w:r>
    </w:p>
    <w:p>
      <w:pPr>
        <w:spacing w:after="0" w:line="124" w:lineRule="exact"/>
        <w:rPr>
          <w:sz w:val="20"/>
          <w:szCs w:val="20"/>
          <w:color w:val="auto"/>
        </w:rPr>
      </w:pPr>
    </w:p>
    <w:p>
      <w:pPr>
        <w:jc w:val="both"/>
        <w:ind w:left="120" w:right="140"/>
        <w:spacing w:after="0" w:line="238" w:lineRule="auto"/>
        <w:rPr>
          <w:sz w:val="20"/>
          <w:szCs w:val="20"/>
          <w:color w:val="auto"/>
        </w:rPr>
      </w:pPr>
      <w:r>
        <w:rPr>
          <w:rFonts w:ascii="Arial" w:cs="Arial" w:eastAsia="Arial" w:hAnsi="Arial"/>
          <w:sz w:val="18"/>
          <w:szCs w:val="18"/>
          <w:color w:val="auto"/>
        </w:rPr>
        <w:t>The liability associated with our Series B redeemable convertible preferred stock was remeasured to fair value at each reporting date until it was settled in June 2018, and we recognized the changes in the fair value in our consolidated statements of operations and comprehensive loss during the year ended December 31, 2018.</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Liquidity and capital resources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w:t>
      </w:r>
    </w:p>
    <w:p>
      <w:pPr>
        <w:spacing w:after="0" w:line="124" w:lineRule="exact"/>
        <w:rPr>
          <w:sz w:val="20"/>
          <w:szCs w:val="20"/>
          <w:color w:val="auto"/>
        </w:rPr>
      </w:pPr>
    </w:p>
    <w:p>
      <w:pPr>
        <w:ind w:left="120" w:right="400"/>
        <w:spacing w:after="0" w:line="238" w:lineRule="auto"/>
        <w:rPr>
          <w:sz w:val="20"/>
          <w:szCs w:val="20"/>
          <w:color w:val="auto"/>
        </w:rPr>
      </w:pPr>
      <w:r>
        <w:rPr>
          <w:rFonts w:ascii="Arial" w:cs="Arial" w:eastAsia="Arial" w:hAnsi="Arial"/>
          <w:sz w:val="18"/>
          <w:szCs w:val="18"/>
          <w:color w:val="auto"/>
        </w:rPr>
        <w:t>Since our inception through December 31, 2018, our operations have been financed primarily by net proceeds of $130.6 million from the issuance of our preferred stock and $57.4 million in proceeds received under the Sanofi Agreement. As of December 31, 2018, we had $69.6 million in cash and cash equivalents.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As of December 31, 2018, we had an accumulated deficit of $109.7 million. Our primary use of cash is to fund operating expenses, which consist primarily of research and development expenditures related to our product candidates and our discovery programs, and to a lesser extent, general and administrative expenditures. We expect our expenses to continue to increase in connection with our ongoing activities, in particular as we continue to advance our product candidates and our discovery programs. In addition, upon the completion of this offering, we expect to incur additional costs associated with operating as a public company.</w:t>
      </w:r>
    </w:p>
    <w:p>
      <w:pPr>
        <w:spacing w:after="0" w:line="103"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Based upon our current operating plan, we believe that the net proceeds from this offering, together with our existing cash, cash equivalents and marketable securities will enable us to fund our planned operations for at least 12 months following the date of this offering. We have based this estimate on assumptions that may prove to be inaccurate, and we could utilize our available capital resources sooner than we currently expect.</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80"/>
          </w:cols>
          <w:pgMar w:left="320" w:top="459" w:right="4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timing and amount of future funding requirements will depend on many factors, including:</w:t>
      </w:r>
    </w:p>
    <w:p>
      <w:pPr>
        <w:spacing w:after="0" w:line="117" w:lineRule="exact"/>
        <w:rPr>
          <w:sz w:val="20"/>
          <w:szCs w:val="20"/>
          <w:color w:val="auto"/>
        </w:rPr>
      </w:pPr>
    </w:p>
    <w:p>
      <w:pPr>
        <w:ind w:left="340" w:right="180" w:hanging="224"/>
        <w:spacing w:after="0" w:line="239"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product candidates and programs, and of conducting preclinical studies and clinical trials;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marketing approvals for product candidates we develop if clinical trials are successful;</w:t>
      </w:r>
    </w:p>
    <w:p>
      <w:pPr>
        <w:spacing w:after="0" w:line="117" w:lineRule="exact"/>
        <w:rPr>
          <w:rFonts w:ascii="Arial" w:cs="Arial" w:eastAsia="Arial" w:hAnsi="Arial"/>
          <w:sz w:val="18"/>
          <w:szCs w:val="18"/>
          <w:color w:val="auto"/>
        </w:rPr>
      </w:pPr>
    </w:p>
    <w:p>
      <w:pPr>
        <w:ind w:left="340" w:right="80" w:hanging="224"/>
        <w:spacing w:after="0" w:line="239"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success of our collaboration with Sanofi, including the continued reimbursement by Sanofi of substantially all of our research costs and all of our development costs for the SHP2 program under the Sanofi Agreement;</w:t>
      </w:r>
    </w:p>
    <w:p>
      <w:pPr>
        <w:spacing w:after="0" w:line="114" w:lineRule="exact"/>
        <w:rPr>
          <w:rFonts w:ascii="Arial" w:cs="Arial" w:eastAsia="Arial" w:hAnsi="Arial"/>
          <w:sz w:val="18"/>
          <w:szCs w:val="18"/>
          <w:color w:val="auto"/>
        </w:rPr>
      </w:pPr>
    </w:p>
    <w:p>
      <w:pPr>
        <w:ind w:left="340" w:right="180" w:hanging="224"/>
        <w:spacing w:after="0" w:line="239"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whether we achieve certain clinical and regulatory milestones under our collaboration agreement with Sanofi, each of which would trigger additional payments to us;</w:t>
      </w:r>
    </w:p>
    <w:p>
      <w:pPr>
        <w:spacing w:after="0" w:line="114" w:lineRule="exact"/>
        <w:rPr>
          <w:rFonts w:ascii="Arial" w:cs="Arial" w:eastAsia="Arial" w:hAnsi="Arial"/>
          <w:sz w:val="18"/>
          <w:szCs w:val="18"/>
          <w:color w:val="auto"/>
        </w:rPr>
      </w:pPr>
    </w:p>
    <w:p>
      <w:pPr>
        <w:ind w:left="340" w:hanging="224"/>
        <w:spacing w:after="0" w:line="238"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cost of commercialization activities for RMC-4630, to the extent not borne by Sanofi, and any other future product candidates we develop, whether alone or in collaboration, including marketing, sales and distribution costs if RMC-4630 or any other product candidate we develop is approved for sale;</w:t>
      </w:r>
    </w:p>
    <w:p>
      <w:pPr>
        <w:spacing w:after="0" w:line="113" w:lineRule="exact"/>
        <w:rPr>
          <w:rFonts w:ascii="Arial" w:cs="Arial" w:eastAsia="Arial" w:hAnsi="Arial"/>
          <w:sz w:val="18"/>
          <w:szCs w:val="18"/>
          <w:color w:val="auto"/>
        </w:rPr>
      </w:pPr>
    </w:p>
    <w:p>
      <w:pPr>
        <w:ind w:left="340" w:right="880" w:hanging="224"/>
        <w:spacing w:after="0" w:line="239"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cost of manufacturing our current and future product candidates for clinical trials in preparation for marketing approval and in preparation for commercialization;</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ability to establish and maintain strategic licenses or other arrangements and the financial terms of such agreements;</w:t>
      </w:r>
    </w:p>
    <w:p>
      <w:pPr>
        <w:spacing w:after="0" w:line="117" w:lineRule="exact"/>
        <w:rPr>
          <w:rFonts w:ascii="Arial" w:cs="Arial" w:eastAsia="Arial" w:hAnsi="Arial"/>
          <w:sz w:val="18"/>
          <w:szCs w:val="18"/>
          <w:color w:val="auto"/>
        </w:rPr>
      </w:pPr>
    </w:p>
    <w:p>
      <w:pPr>
        <w:ind w:left="340" w:right="60" w:hanging="224"/>
        <w:spacing w:after="0" w:line="239"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expanding, defending and enforcing patent claims, including litigation costs and the outcome of such litigation;</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timing, receipt and amount of sales of, profit share or royalties on, our future products, if any;</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emergence of competing cancer therapies and other adverse market developments;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plans to acquire or in-license other programs or technologies.</w:t>
      </w:r>
    </w:p>
    <w:p>
      <w:pPr>
        <w:spacing w:after="0" w:line="104" w:lineRule="exact"/>
        <w:rPr>
          <w:sz w:val="20"/>
          <w:szCs w:val="20"/>
          <w:color w:val="auto"/>
        </w:rPr>
      </w:pPr>
    </w:p>
    <w:p>
      <w:pPr>
        <w:ind w:left="120" w:right="20"/>
        <w:spacing w:after="0" w:line="267" w:lineRule="auto"/>
        <w:rPr>
          <w:sz w:val="20"/>
          <w:szCs w:val="20"/>
          <w:color w:val="auto"/>
        </w:rPr>
      </w:pPr>
      <w:r>
        <w:rPr>
          <w:rFonts w:ascii="Arial" w:cs="Arial" w:eastAsia="Arial" w:hAnsi="Arial"/>
          <w:sz w:val="16"/>
          <w:szCs w:val="16"/>
          <w:color w:val="auto"/>
        </w:rPr>
        <w:t>We expect to need to obtain substantial additional funding in the future for our research and development activities and continuing operations. Sanofi reimburses us for almost all of our research and development expenses associated with our SHP2 program, however Sanofi has the right to terminate the Sanofi Agreement for any reason, upon prior notice to us within certain specified time periods and upon any such termination by Sanofi with respect to any product or country, all licenses to Sanofi with respect to such product or country shall automatically terminate and all rights generally revert back to us. If we need to raise additional capital to fund our operations, funding may not be available to us on acceptable terms, or at all. If we are unable to obtain adequate financing when needed, we may have to delay, reduce the scope of or suspend one or more of our clinical trials, research and development programs or commercialization efforts. We may seek to raise any necessary additional capital through a combination of public or private equity offerings, debt financings and collaborations or licensing arrangements. If we do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If we are unable to raise capital, we may need to delay, reduce or terminate planned activities to reduce costs. Doing so will likely harm our ability to execute our business plans.</w:t>
      </w:r>
    </w:p>
    <w:p>
      <w:pPr>
        <w:spacing w:after="0" w:line="3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40"/>
          </w:cols>
          <w:pgMar w:left="32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Cash flows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consolidated cash flows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70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w w:val="98"/>
              </w:rPr>
              <w:t>Year ended December 31,</w:t>
            </w:r>
          </w:p>
        </w:tc>
      </w:tr>
      <w:tr>
        <w:trPr>
          <w:trHeight w:val="223"/>
        </w:trPr>
        <w:tc>
          <w:tcPr>
            <w:tcW w:w="70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2017</w:t>
            </w:r>
          </w:p>
        </w:tc>
        <w:tc>
          <w:tcPr>
            <w:tcW w:w="4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19"/>
                <w:szCs w:val="19"/>
                <w:color w:val="auto"/>
              </w:rPr>
            </w:pPr>
          </w:p>
        </w:tc>
      </w:tr>
      <w:tr>
        <w:trPr>
          <w:trHeight w:val="196"/>
        </w:trPr>
        <w:tc>
          <w:tcPr>
            <w:tcW w:w="7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60" w:type="dxa"/>
            <w:vAlign w:val="bottom"/>
            <w:gridSpan w:val="4"/>
          </w:tcPr>
          <w:p>
            <w:pPr>
              <w:jc w:val="right"/>
              <w:ind w:right="740"/>
              <w:spacing w:after="0" w:line="196" w:lineRule="exact"/>
              <w:rPr>
                <w:sz w:val="20"/>
                <w:szCs w:val="20"/>
                <w:color w:val="auto"/>
              </w:rPr>
            </w:pPr>
            <w:r>
              <w:rPr>
                <w:rFonts w:ascii="Arial" w:cs="Arial" w:eastAsia="Arial" w:hAnsi="Arial"/>
                <w:sz w:val="18"/>
                <w:szCs w:val="18"/>
                <w:b w:val="1"/>
                <w:bCs w:val="1"/>
                <w:color w:val="auto"/>
              </w:rPr>
              <w:t>(in thousands)</w:t>
            </w:r>
          </w:p>
        </w:tc>
      </w:tr>
      <w:tr>
        <w:trPr>
          <w:trHeight w:val="203"/>
        </w:trPr>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provided by (used in) operating activities</w:t>
            </w:r>
          </w:p>
        </w:tc>
        <w:tc>
          <w:tcPr>
            <w:tcW w:w="15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(25,148)</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1,213</w:t>
            </w:r>
          </w:p>
        </w:tc>
        <w:tc>
          <w:tcPr>
            <w:tcW w:w="120" w:type="dxa"/>
            <w:vAlign w:val="bottom"/>
            <w:shd w:val="clear" w:color="auto" w:fill="CCEEFF"/>
          </w:tcPr>
          <w:p>
            <w:pPr>
              <w:spacing w:after="0"/>
              <w:rPr>
                <w:sz w:val="17"/>
                <w:szCs w:val="17"/>
                <w:color w:val="auto"/>
              </w:rPr>
            </w:pPr>
          </w:p>
        </w:tc>
      </w:tr>
      <w:tr>
        <w:trPr>
          <w:trHeight w:val="203"/>
        </w:trPr>
        <w:tc>
          <w:tcPr>
            <w:tcW w:w="7060" w:type="dxa"/>
            <w:vAlign w:val="bottom"/>
          </w:tcPr>
          <w:p>
            <w:pPr>
              <w:spacing w:after="0" w:line="202" w:lineRule="exact"/>
              <w:rPr>
                <w:sz w:val="20"/>
                <w:szCs w:val="20"/>
                <w:color w:val="auto"/>
              </w:rPr>
            </w:pPr>
            <w:r>
              <w:rPr>
                <w:rFonts w:ascii="Arial" w:cs="Arial" w:eastAsia="Arial" w:hAnsi="Arial"/>
                <w:sz w:val="18"/>
                <w:szCs w:val="18"/>
                <w:color w:val="auto"/>
              </w:rPr>
              <w:t>Cash used in investing activities</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(1,575)</w:t>
            </w:r>
          </w:p>
        </w:tc>
        <w:tc>
          <w:tcPr>
            <w:tcW w:w="42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(1,339)</w:t>
            </w:r>
          </w:p>
        </w:tc>
      </w:tr>
      <w:tr>
        <w:trPr>
          <w:trHeight w:val="203"/>
        </w:trPr>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provided by financing activities</w:t>
            </w:r>
          </w:p>
        </w:tc>
        <w:tc>
          <w:tcPr>
            <w:tcW w:w="13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22,662</w:t>
            </w:r>
          </w:p>
        </w:tc>
        <w:tc>
          <w:tcPr>
            <w:tcW w:w="4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60,847</w:t>
            </w:r>
          </w:p>
        </w:tc>
        <w:tc>
          <w:tcPr>
            <w:tcW w:w="120" w:type="dxa"/>
            <w:vAlign w:val="bottom"/>
            <w:shd w:val="clear" w:color="auto" w:fill="CCEEFF"/>
          </w:tcPr>
          <w:p>
            <w:pPr>
              <w:spacing w:after="0"/>
              <w:rPr>
                <w:sz w:val="17"/>
                <w:szCs w:val="17"/>
                <w:color w:val="auto"/>
              </w:rPr>
            </w:pPr>
          </w:p>
        </w:tc>
      </w:tr>
      <w:tr>
        <w:trPr>
          <w:trHeight w:val="222"/>
        </w:trPr>
        <w:tc>
          <w:tcPr>
            <w:tcW w:w="70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1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(4,061)</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60,721</w:t>
            </w:r>
          </w:p>
        </w:tc>
        <w:tc>
          <w:tcPr>
            <w:tcW w:w="120" w:type="dxa"/>
            <w:vAlign w:val="bottom"/>
          </w:tcPr>
          <w:p>
            <w:pPr>
              <w:spacing w:after="0"/>
              <w:rPr>
                <w:sz w:val="19"/>
                <w:szCs w:val="19"/>
                <w:color w:val="auto"/>
              </w:rPr>
            </w:pPr>
          </w:p>
        </w:tc>
      </w:tr>
    </w:tbl>
    <w:p>
      <w:pPr>
        <w:spacing w:after="0" w:line="19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provided by (used in) operating activities</w:t>
      </w:r>
    </w:p>
    <w:p>
      <w:pPr>
        <w:spacing w:after="0" w:line="124" w:lineRule="exact"/>
        <w:rPr>
          <w:sz w:val="20"/>
          <w:szCs w:val="20"/>
          <w:color w:val="auto"/>
        </w:rPr>
      </w:pPr>
    </w:p>
    <w:p>
      <w:pPr>
        <w:ind w:left="120" w:right="20"/>
        <w:spacing w:after="0" w:line="269" w:lineRule="auto"/>
        <w:rPr>
          <w:sz w:val="20"/>
          <w:szCs w:val="20"/>
          <w:color w:val="auto"/>
        </w:rPr>
      </w:pPr>
      <w:r>
        <w:rPr>
          <w:rFonts w:ascii="Arial" w:cs="Arial" w:eastAsia="Arial" w:hAnsi="Arial"/>
          <w:sz w:val="16"/>
          <w:szCs w:val="16"/>
          <w:color w:val="auto"/>
        </w:rPr>
        <w:t>During 2018, cash provided by operating activities of $1.2 million was attributable to a net change of $38.1 million in our operating assets and liabilities and $4.9 million in non-cash charges, partially offset by a net loss of $41.8 million. The non-cash charges consisted of depreciation and amortization of $1.8 million, stock-based compensation expense of $0.9 million, a change in the fair value of our redeemable convertible preferred stock liability of $2.1 million, and a loss on disposal of property and equipment of $0.2 million. The change in operating assets and liabilities was primarily due to a $44.5 million increase in deferred revenue associated with the Sanofi Agreement, a $2.0 million increase in accounts payable and accrued liabilities resulting from increases in spend for research and development, offset by a $7.3 million increase in receivables from a related party resulting from our Sanofi agreement and a $0.9 million increase in prepaid expenses and other current assets resulting from the timing of prepayments made for research and development activities.</w:t>
      </w:r>
    </w:p>
    <w:p>
      <w:pPr>
        <w:spacing w:after="0" w:line="78"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During 2017, cash used in operating activities of $25.1 million was attributable to a net loss of $31.1 million, partially offset by $1.3 million in non-cash charges and a net change of $4.7 million in our operating assets and liabilities. The non-cash charges consisted of depreciation and amortization of $1.2 million and stock-based compensation expense of $0.1 million. The change in operating assets and liabilities was primarily due to a $4.0 million increase in accounts payable and accrued liabilities resulting from increases in spend for research and development, and a $0.6 million decrease in prepaid expenses and other current assets resulting from the timing of prepayments made for research and development activities.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124" w:lineRule="exact"/>
        <w:rPr>
          <w:sz w:val="20"/>
          <w:szCs w:val="20"/>
          <w:color w:val="auto"/>
        </w:rPr>
      </w:pPr>
    </w:p>
    <w:p>
      <w:pPr>
        <w:ind w:left="120" w:right="100"/>
        <w:spacing w:after="0" w:line="239" w:lineRule="auto"/>
        <w:rPr>
          <w:sz w:val="20"/>
          <w:szCs w:val="20"/>
          <w:color w:val="auto"/>
        </w:rPr>
      </w:pPr>
      <w:r>
        <w:rPr>
          <w:rFonts w:ascii="Arial" w:cs="Arial" w:eastAsia="Arial" w:hAnsi="Arial"/>
          <w:sz w:val="18"/>
          <w:szCs w:val="18"/>
          <w:color w:val="auto"/>
        </w:rPr>
        <w:t>During 2018 and 2017, cash used in investing activities of $1.3 million and $1.6 million, respectively, was comprised primarily of purchases of property and equipment.</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124"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During 2018, cash provided by financing activities of $60.8 million was comprised primarily of $60.6 million in net cash proceeds received from the issuances of our Series B redeemable convertible preferred stock, $0.4 million in proceeds from the issuance of common stock upon the exercise of stock options, offset by $0.1 million in repurchases of early exercised stock options.</w:t>
      </w:r>
    </w:p>
    <w:p>
      <w:pPr>
        <w:spacing w:after="0" w:line="100" w:lineRule="exact"/>
        <w:rPr>
          <w:sz w:val="20"/>
          <w:szCs w:val="20"/>
          <w:color w:val="auto"/>
        </w:rPr>
      </w:pPr>
    </w:p>
    <w:p>
      <w:pPr>
        <w:jc w:val="both"/>
        <w:ind w:left="120" w:right="400"/>
        <w:spacing w:after="0" w:line="238" w:lineRule="auto"/>
        <w:rPr>
          <w:sz w:val="20"/>
          <w:szCs w:val="20"/>
          <w:color w:val="auto"/>
        </w:rPr>
      </w:pPr>
      <w:r>
        <w:rPr>
          <w:rFonts w:ascii="Arial" w:cs="Arial" w:eastAsia="Arial" w:hAnsi="Arial"/>
          <w:sz w:val="18"/>
          <w:szCs w:val="18"/>
          <w:color w:val="auto"/>
        </w:rPr>
        <w:t>During 2017, cash provided by financing activities of $22.7 million was comprised primarily of $22.6 million in net cash proceeds received from the issuances of our Series A preferred stock, and $0.1 million in proceeds from the issuance of common stock upon the exercise of stock options.</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40"/>
          </w:cols>
          <w:pgMar w:left="32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Contractual obligations and commitments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commitments and contractual obligations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5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4"/>
          </w:tcPr>
          <w:p>
            <w:pPr>
              <w:jc w:val="center"/>
              <w:ind w:left="292"/>
              <w:spacing w:after="0"/>
              <w:rPr>
                <w:sz w:val="20"/>
                <w:szCs w:val="20"/>
                <w:color w:val="auto"/>
              </w:rPr>
            </w:pPr>
            <w:r>
              <w:rPr>
                <w:rFonts w:ascii="Arial" w:cs="Arial" w:eastAsia="Arial" w:hAnsi="Arial"/>
                <w:sz w:val="18"/>
                <w:szCs w:val="18"/>
                <w:b w:val="1"/>
                <w:bCs w:val="1"/>
                <w:color w:val="auto"/>
                <w:w w:val="96"/>
              </w:rPr>
              <w:t>Payments Due By Period</w:t>
            </w:r>
          </w:p>
        </w:tc>
        <w:tc>
          <w:tcPr>
            <w:tcW w:w="6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r>
      <w:tr>
        <w:trPr>
          <w:trHeight w:val="218"/>
        </w:trPr>
        <w:tc>
          <w:tcPr>
            <w:tcW w:w="5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auto"/>
              </w:rPr>
              <w:t>Less than 1</w:t>
            </w: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More than</w:t>
            </w:r>
          </w:p>
        </w:tc>
      </w:tr>
      <w:tr>
        <w:trPr>
          <w:trHeight w:val="221"/>
        </w:trPr>
        <w:tc>
          <w:tcPr>
            <w:tcW w:w="50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Total</w:t>
            </w:r>
          </w:p>
        </w:tc>
        <w:tc>
          <w:tcPr>
            <w:tcW w:w="5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year</w:t>
            </w:r>
          </w:p>
        </w:tc>
        <w:tc>
          <w:tcPr>
            <w:tcW w:w="140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1-3 years</w:t>
            </w:r>
          </w:p>
        </w:tc>
        <w:tc>
          <w:tcPr>
            <w:tcW w:w="10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3-5 years</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5 years</w:t>
            </w:r>
          </w:p>
        </w:tc>
      </w:tr>
      <w:tr>
        <w:trPr>
          <w:trHeight w:val="196"/>
        </w:trPr>
        <w:tc>
          <w:tcPr>
            <w:tcW w:w="5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0" w:type="dxa"/>
            <w:vAlign w:val="bottom"/>
            <w:gridSpan w:val="2"/>
          </w:tcPr>
          <w:p>
            <w:pPr>
              <w:jc w:val="center"/>
              <w:spacing w:after="0" w:line="196" w:lineRule="exact"/>
              <w:rPr>
                <w:sz w:val="20"/>
                <w:szCs w:val="20"/>
                <w:color w:val="auto"/>
              </w:rPr>
            </w:pPr>
            <w:r>
              <w:rPr>
                <w:rFonts w:ascii="Arial" w:cs="Arial" w:eastAsia="Arial" w:hAnsi="Arial"/>
                <w:sz w:val="18"/>
                <w:szCs w:val="18"/>
                <w:b w:val="1"/>
                <w:bCs w:val="1"/>
                <w:color w:val="auto"/>
                <w:w w:val="98"/>
              </w:rPr>
              <w:t>(in thousands)</w:t>
            </w: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lease obligations</w:t>
            </w:r>
          </w:p>
        </w:tc>
        <w:tc>
          <w:tcPr>
            <w:tcW w:w="84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w w:val="98"/>
              </w:rPr>
              <w:t>$15,881</w:t>
            </w:r>
          </w:p>
        </w:tc>
        <w:tc>
          <w:tcPr>
            <w:tcW w:w="5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3,557</w:t>
            </w:r>
          </w:p>
        </w:tc>
        <w:tc>
          <w:tcPr>
            <w:tcW w:w="5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7,435</w:t>
            </w:r>
          </w:p>
        </w:tc>
        <w:tc>
          <w:tcPr>
            <w:tcW w:w="3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4,889</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9"/>
        </w:trPr>
        <w:tc>
          <w:tcPr>
            <w:tcW w:w="5340" w:type="dxa"/>
            <w:vAlign w:val="bottom"/>
            <w:gridSpan w:val="2"/>
          </w:tcPr>
          <w:p>
            <w:pPr>
              <w:spacing w:after="0" w:line="202" w:lineRule="exact"/>
              <w:rPr>
                <w:sz w:val="20"/>
                <w:szCs w:val="20"/>
                <w:color w:val="auto"/>
              </w:rPr>
            </w:pPr>
            <w:r>
              <w:rPr>
                <w:rFonts w:ascii="Arial" w:cs="Arial" w:eastAsia="Arial" w:hAnsi="Arial"/>
                <w:sz w:val="18"/>
                <w:szCs w:val="18"/>
                <w:color w:val="auto"/>
              </w:rPr>
              <w:t>Capital lease obligations</w:t>
            </w:r>
          </w:p>
        </w:tc>
        <w:tc>
          <w:tcPr>
            <w:tcW w:w="840" w:type="dxa"/>
            <w:vAlign w:val="bottom"/>
            <w:tcBorders>
              <w:bottom w:val="single" w:sz="8" w:color="auto"/>
            </w:tcBorders>
          </w:tcPr>
          <w:p>
            <w:pPr>
              <w:jc w:val="right"/>
              <w:ind w:right="92"/>
              <w:spacing w:after="0" w:line="202" w:lineRule="exact"/>
              <w:rPr>
                <w:sz w:val="20"/>
                <w:szCs w:val="20"/>
                <w:color w:val="auto"/>
              </w:rPr>
            </w:pPr>
            <w:r>
              <w:rPr>
                <w:rFonts w:ascii="Arial" w:cs="Arial" w:eastAsia="Arial" w:hAnsi="Arial"/>
                <w:sz w:val="18"/>
                <w:szCs w:val="18"/>
                <w:color w:val="auto"/>
              </w:rPr>
              <w:t>328</w:t>
            </w: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157</w:t>
            </w:r>
          </w:p>
        </w:tc>
        <w:tc>
          <w:tcPr>
            <w:tcW w:w="5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2"/>
              <w:spacing w:after="0" w:line="202" w:lineRule="exact"/>
              <w:rPr>
                <w:sz w:val="20"/>
                <w:szCs w:val="20"/>
                <w:color w:val="auto"/>
              </w:rPr>
            </w:pPr>
            <w:r>
              <w:rPr>
                <w:rFonts w:ascii="Arial" w:cs="Arial" w:eastAsia="Arial" w:hAnsi="Arial"/>
                <w:sz w:val="18"/>
                <w:szCs w:val="18"/>
                <w:color w:val="auto"/>
              </w:rPr>
              <w:t>171</w:t>
            </w: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3"/>
        </w:trPr>
        <w:tc>
          <w:tcPr>
            <w:tcW w:w="5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contractual obligations</w:t>
            </w:r>
          </w:p>
        </w:tc>
        <w:tc>
          <w:tcPr>
            <w:tcW w:w="84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w w:val="98"/>
              </w:rPr>
              <w:t>$16,209</w:t>
            </w:r>
          </w:p>
        </w:tc>
        <w:tc>
          <w:tcPr>
            <w:tcW w:w="5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3,714</w:t>
            </w:r>
          </w:p>
        </w:tc>
        <w:tc>
          <w:tcPr>
            <w:tcW w:w="5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7,606</w:t>
            </w:r>
          </w:p>
        </w:tc>
        <w:tc>
          <w:tcPr>
            <w:tcW w:w="3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4,889</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Our operating lease obligations reflect our minimum payments due for office and laboratory space leases in Redwood City, California and Cambridge, Massachusetts and our equipment leases. Our primary Redwood City lease commenced in January 2015 and ends in April 2023. As part of the Warp Drive acquisition, we assumed Warp Drive’s office and laboratory space lease in Cambridge, which ends in February 2023. In March 2019, we fully subleased the Cambridge lease to Casma Therapeutics, Inc., or Casma, on financial terms substantially the same as the original lease. The amounts reflected in the table above include our lease payments for the Cambridge lease, but do not reflect any offset for the sublease payments we are entitled to receive from Casma. The sublease by Casma and related sublease payments by Casma to us are fully guaranteed by Third Rock Ventures, LLC.</w:t>
      </w:r>
    </w:p>
    <w:p>
      <w:pPr>
        <w:spacing w:after="0" w:line="101"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We enter into agreements in the normal course of business with contract research organizations for clinical trials, contract manufacturing organizations to provide clinical trial materials and with vendors for preclinical studies and other services and products for operating purposes which are generally cancelable at any time by us upon 30 to 90 days prior written notice. These payments are not included in this table of contractual obligations.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Off-balance sheet arrangements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not entered into any off-balance sheet arrangements, as defined in Item 303 of Regulation S-K.</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Indemnification agreements</w:t>
      </w:r>
    </w:p>
    <w:p>
      <w:pPr>
        <w:spacing w:after="0" w:line="134" w:lineRule="exact"/>
        <w:rPr>
          <w:sz w:val="20"/>
          <w:szCs w:val="20"/>
          <w:color w:val="auto"/>
        </w:rPr>
      </w:pPr>
    </w:p>
    <w:p>
      <w:pPr>
        <w:ind w:left="120" w:right="80"/>
        <w:spacing w:after="0" w:line="271" w:lineRule="auto"/>
        <w:rPr>
          <w:sz w:val="20"/>
          <w:szCs w:val="20"/>
          <w:color w:val="auto"/>
        </w:rPr>
      </w:pPr>
      <w:r>
        <w:rPr>
          <w:rFonts w:ascii="Arial" w:cs="Arial" w:eastAsia="Arial" w:hAnsi="Arial"/>
          <w:sz w:val="16"/>
          <w:szCs w:val="16"/>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Qualitative and quantitative disclosures about market risk</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24" w:lineRule="exact"/>
        <w:rPr>
          <w:sz w:val="20"/>
          <w:szCs w:val="20"/>
          <w:color w:val="auto"/>
        </w:rPr>
      </w:pPr>
    </w:p>
    <w:p>
      <w:pPr>
        <w:jc w:val="both"/>
        <w:ind w:left="120" w:right="320"/>
        <w:spacing w:after="0" w:line="238" w:lineRule="auto"/>
        <w:rPr>
          <w:sz w:val="20"/>
          <w:szCs w:val="20"/>
          <w:color w:val="auto"/>
        </w:rPr>
      </w:pPr>
      <w:r>
        <w:rPr>
          <w:rFonts w:ascii="Arial" w:cs="Arial" w:eastAsia="Arial" w:hAnsi="Arial"/>
          <w:sz w:val="18"/>
          <w:szCs w:val="18"/>
          <w:color w:val="auto"/>
        </w:rPr>
        <w:t>We are exposed to market risks in the ordinary course of our business. These risks primarily include interest rate sensitivities. The primary objective of our investment activities is to preserve capital to fund our operations. We also seek to maximize income from our investments without assuming significant risk. To</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40"/>
          </w:cols>
          <w:pgMar w:left="32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20"/>
        <w:spacing w:after="0" w:line="239" w:lineRule="auto"/>
        <w:rPr>
          <w:sz w:val="20"/>
          <w:szCs w:val="20"/>
          <w:color w:val="auto"/>
        </w:rPr>
      </w:pPr>
      <w:r>
        <w:rPr>
          <w:rFonts w:ascii="Arial" w:cs="Arial" w:eastAsia="Arial" w:hAnsi="Arial"/>
          <w:sz w:val="18"/>
          <w:szCs w:val="18"/>
          <w:color w:val="auto"/>
        </w:rPr>
        <w:t>achieve our objectives, we maintain a portfolio of investments in a variety of securities of high credit quality and short-term duration, invested in compliance with our policy.</w:t>
      </w:r>
    </w:p>
    <w:p>
      <w:pPr>
        <w:spacing w:after="0" w:line="101"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We held cash and cash equivalents of $69.6 million as of December 31, 2018 which consist of bank deposits and money market funds. Such interest-earning instruments carry a degree of interest rate risk; however, historical fluctuations in interest income have not been significant for us. Due to the short-term maturities of our cash equivalents, an immediate one percent change in interest rates would not have a material effect on the fair value of our cash equivalents.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24" w:lineRule="exact"/>
        <w:rPr>
          <w:sz w:val="20"/>
          <w:szCs w:val="20"/>
          <w:color w:val="auto"/>
        </w:rPr>
      </w:pPr>
    </w:p>
    <w:p>
      <w:pPr>
        <w:ind w:left="120" w:right="20"/>
        <w:spacing w:after="0" w:line="272" w:lineRule="auto"/>
        <w:rPr>
          <w:sz w:val="20"/>
          <w:szCs w:val="20"/>
          <w:color w:val="auto"/>
        </w:rPr>
      </w:pPr>
      <w:r>
        <w:rPr>
          <w:rFonts w:ascii="Arial" w:cs="Arial" w:eastAsia="Arial" w:hAnsi="Arial"/>
          <w:sz w:val="16"/>
          <w:szCs w:val="16"/>
          <w:color w:val="auto"/>
        </w:rPr>
        <w:t>Our expenses are generally denominated in U.S. dollars. However, we have entered into a limited number of contracts with vendors for research and development services with payments denominated in foreign currencies, including the Euro and Chinese Yuan. We are subject to foreign currency transaction gains or losses on our contracts denominated in foreign currencies. To date, foreign currency transaction gains and losses have not been material to our consolidated financial statements, and we have not had a formal hedging program with respect to foreign currency. A 10% increase or decrease in current exchange rates would not have a material effect on our financial results.</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Critical accounting policies, significant judgments, and use of estimates</w:t>
      </w:r>
    </w:p>
    <w:p>
      <w:pPr>
        <w:spacing w:after="0" w:line="134" w:lineRule="exact"/>
        <w:rPr>
          <w:sz w:val="20"/>
          <w:szCs w:val="20"/>
          <w:color w:val="auto"/>
        </w:rPr>
      </w:pPr>
    </w:p>
    <w:p>
      <w:pPr>
        <w:ind w:left="120" w:right="60"/>
        <w:spacing w:after="0" w:line="268"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consolidated financial statements, which have been prepared in accordance with United States generally accepted accounting principles, or U.S.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6" w:lineRule="exact"/>
        <w:rPr>
          <w:sz w:val="20"/>
          <w:szCs w:val="20"/>
          <w:color w:val="auto"/>
        </w:rPr>
      </w:pPr>
    </w:p>
    <w:p>
      <w:pPr>
        <w:ind w:left="120"/>
        <w:spacing w:after="0" w:line="270" w:lineRule="auto"/>
        <w:rPr>
          <w:sz w:val="20"/>
          <w:szCs w:val="20"/>
          <w:color w:val="auto"/>
        </w:rPr>
      </w:pPr>
      <w:r>
        <w:rPr>
          <w:rFonts w:ascii="Arial" w:cs="Arial" w:eastAsia="Arial" w:hAnsi="Arial"/>
          <w:sz w:val="16"/>
          <w:szCs w:val="16"/>
          <w:color w:val="auto"/>
        </w:rPr>
        <w:t xml:space="preserve">Effective January 1, 2018, we adopted Accounting Standards Codification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using the full retrospective transition method. We did not have any effective contracts within the scope of this guidance prior to January 1, 2018, and the adoption of ASC 606 had no impact on our consolidated financial statements. Under ASC 606, an entity recognizes revenue when its customer obtains control of promised goods or services, in an amount that reflects the consideration which such entity expects to receive in exchange for those goods or services. In determining the appropriate amount of revenue to be recognized as we fulfill our obligations under arrangements, we perform the following steps: (i) identify the contract(s) with a customer, (ii) identify the performance obligations in the contract, (iii) determine the transaction price, (iv) allocate the transaction price to the performance obligations in the contract, and (v) recognize revenue when (or as) the entity satisfies the performance obligation. At contract inception, once the contract is determined to be within the scope of ASC 606, we assess the goods or services promised within each contract and determine those that are performance obligations and assess whether each promised good or service is distinct. We then recognize as revenue the amount of the transaction price that is allocated to the respective performance obligation when (or as) the performance obligation is satisfied.</w:t>
      </w:r>
    </w:p>
    <w:p>
      <w:pPr>
        <w:spacing w:after="0" w:line="3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We enter into collaboration agreements under which we may obtain upfront license fees, research and development funding, and development, regulatory and commercial milestone payments and royalty payments. Our performance obligations under these arrangements may include licenses of intellectual property, sales and distribution rights, research and development services, delivery of manufactured product and/or participation on joint steering committees.</w:t>
      </w:r>
    </w:p>
    <w:p>
      <w:pPr>
        <w:spacing w:after="0" w:line="82" w:lineRule="exact"/>
        <w:rPr>
          <w:sz w:val="20"/>
          <w:szCs w:val="20"/>
          <w:color w:val="auto"/>
        </w:rPr>
      </w:pPr>
    </w:p>
    <w:p>
      <w:pPr>
        <w:ind w:left="120" w:right="120"/>
        <w:spacing w:after="0" w:line="239" w:lineRule="auto"/>
        <w:rPr>
          <w:sz w:val="20"/>
          <w:szCs w:val="20"/>
          <w:color w:val="auto"/>
        </w:rPr>
      </w:pPr>
      <w:r>
        <w:rPr>
          <w:rFonts w:ascii="Arial" w:cs="Arial" w:eastAsia="Arial" w:hAnsi="Arial"/>
          <w:sz w:val="18"/>
          <w:szCs w:val="18"/>
          <w:i w:val="1"/>
          <w:iCs w:val="1"/>
          <w:color w:val="auto"/>
        </w:rPr>
        <w:t xml:space="preserve">Licenses of intellectual property: </w:t>
      </w:r>
      <w:r>
        <w:rPr>
          <w:rFonts w:ascii="Arial" w:cs="Arial" w:eastAsia="Arial" w:hAnsi="Arial"/>
          <w:sz w:val="18"/>
          <w:szCs w:val="18"/>
          <w:color w:val="auto"/>
        </w:rPr>
        <w:t>If the license to the our intellectual property is determined to be distinct from the other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identified in the arrangement, we recognize revenue from upfront license fees allocated to the license when the license is transferred to the customer and the customer is able to use and benefit from the license. For licenses that are bundled with other promises, we utilize judgment to assess the nature of the combined performance obligation to determine whether the combined performance obligation is satisfied over time or at a point in time and, if over time, the appropriate method of measuring proportional performance for purposes of recognizing revenue from non-refundable, upfront fees. We evaluate the measure of proportional performance each reporting period and, if necessary, adjust the measure of performance and related revenue recognition.</w:t>
      </w:r>
    </w:p>
    <w:p>
      <w:pPr>
        <w:spacing w:after="0" w:line="83" w:lineRule="exact"/>
        <w:rPr>
          <w:sz w:val="20"/>
          <w:szCs w:val="20"/>
          <w:color w:val="auto"/>
        </w:rPr>
      </w:pPr>
    </w:p>
    <w:p>
      <w:pPr>
        <w:ind w:left="120" w:right="20"/>
        <w:spacing w:after="0" w:line="278" w:lineRule="auto"/>
        <w:rPr>
          <w:sz w:val="20"/>
          <w:szCs w:val="20"/>
          <w:color w:val="auto"/>
        </w:rPr>
      </w:pPr>
      <w:r>
        <w:rPr>
          <w:rFonts w:ascii="Arial" w:cs="Arial" w:eastAsia="Arial" w:hAnsi="Arial"/>
          <w:sz w:val="16"/>
          <w:szCs w:val="16"/>
          <w:i w:val="1"/>
          <w:iCs w:val="1"/>
          <w:color w:val="auto"/>
        </w:rPr>
        <w:t xml:space="preserve">Research, development and regulatory milestone payments: </w:t>
      </w:r>
      <w:r>
        <w:rPr>
          <w:rFonts w:ascii="Arial" w:cs="Arial" w:eastAsia="Arial" w:hAnsi="Arial"/>
          <w:sz w:val="16"/>
          <w:szCs w:val="16"/>
          <w:color w:val="auto"/>
        </w:rPr>
        <w:t>At the inception of each arrangement that includes research, development, or</w:t>
      </w:r>
      <w:r>
        <w:rPr>
          <w:rFonts w:ascii="Arial" w:cs="Arial" w:eastAsia="Arial" w:hAnsi="Arial"/>
          <w:sz w:val="16"/>
          <w:szCs w:val="16"/>
          <w:i w:val="1"/>
          <w:iCs w:val="1"/>
          <w:color w:val="auto"/>
        </w:rPr>
        <w:t xml:space="preserve"> </w:t>
      </w:r>
      <w:r>
        <w:rPr>
          <w:rFonts w:ascii="Arial" w:cs="Arial" w:eastAsia="Arial" w:hAnsi="Arial"/>
          <w:sz w:val="16"/>
          <w:szCs w:val="16"/>
          <w:color w:val="auto"/>
        </w:rPr>
        <w:t>regulatory milestone payments, we evaluate whether the milestones are considered probable of being reached and estimate the amount to be included in the transaction price. We use the most likely amount method for research, development and regulatory milestone payments. Under the most likely amount method, an entity considers the single most likely amount in a range of possible consideration amounts. If it is probable that a significant revenue reversal would not occur, the associated milestone value is included in the transaction price.</w:t>
      </w:r>
    </w:p>
    <w:p>
      <w:pPr>
        <w:spacing w:after="0" w:line="55" w:lineRule="exact"/>
        <w:rPr>
          <w:sz w:val="20"/>
          <w:szCs w:val="20"/>
          <w:color w:val="auto"/>
        </w:rPr>
      </w:pPr>
    </w:p>
    <w:p>
      <w:pPr>
        <w:ind w:left="120"/>
        <w:spacing w:after="0" w:line="283" w:lineRule="auto"/>
        <w:rPr>
          <w:sz w:val="20"/>
          <w:szCs w:val="20"/>
          <w:color w:val="auto"/>
        </w:rPr>
      </w:pPr>
      <w:r>
        <w:rPr>
          <w:rFonts w:ascii="Arial" w:cs="Arial" w:eastAsia="Arial" w:hAnsi="Arial"/>
          <w:sz w:val="16"/>
          <w:szCs w:val="16"/>
          <w:i w:val="1"/>
          <w:iCs w:val="1"/>
          <w:color w:val="auto"/>
        </w:rPr>
        <w:t xml:space="preserve">Sales-based milestones and royalties: </w:t>
      </w:r>
      <w:r>
        <w:rPr>
          <w:rFonts w:ascii="Arial" w:cs="Arial" w:eastAsia="Arial" w:hAnsi="Arial"/>
          <w:sz w:val="16"/>
          <w:szCs w:val="16"/>
          <w:color w:val="auto"/>
        </w:rPr>
        <w:t>For arrangements that include sales-based milestone or royalty payments based on the level of</w:t>
      </w:r>
      <w:r>
        <w:rPr>
          <w:rFonts w:ascii="Arial" w:cs="Arial" w:eastAsia="Arial" w:hAnsi="Arial"/>
          <w:sz w:val="16"/>
          <w:szCs w:val="16"/>
          <w:i w:val="1"/>
          <w:iCs w:val="1"/>
          <w:color w:val="auto"/>
        </w:rPr>
        <w:t xml:space="preserve"> </w:t>
      </w:r>
      <w:r>
        <w:rPr>
          <w:rFonts w:ascii="Arial" w:cs="Arial" w:eastAsia="Arial" w:hAnsi="Arial"/>
          <w:sz w:val="16"/>
          <w:szCs w:val="16"/>
          <w:color w:val="auto"/>
        </w:rPr>
        <w:t>sales, and in which the license is deemed to be the predominant item to which the sales-based milestone or royalties relate to, we recognize revenue in the period in which the sales-based milestone is achieved and in the period in which the sales associated with the royalty occur. To date, we have not recognized any or sales-based milestone or royalty revenue resulting from our collaboration arrangements.</w:t>
      </w:r>
    </w:p>
    <w:p>
      <w:pPr>
        <w:spacing w:after="0" w:line="68" w:lineRule="exact"/>
        <w:rPr>
          <w:sz w:val="20"/>
          <w:szCs w:val="20"/>
          <w:color w:val="auto"/>
        </w:rPr>
      </w:pPr>
    </w:p>
    <w:p>
      <w:pPr>
        <w:jc w:val="both"/>
        <w:ind w:left="120" w:right="440"/>
        <w:spacing w:after="0" w:line="275" w:lineRule="auto"/>
        <w:rPr>
          <w:sz w:val="20"/>
          <w:szCs w:val="20"/>
          <w:color w:val="auto"/>
        </w:rPr>
      </w:pPr>
      <w:r>
        <w:rPr>
          <w:rFonts w:ascii="Arial" w:cs="Arial" w:eastAsia="Arial" w:hAnsi="Arial"/>
          <w:sz w:val="16"/>
          <w:szCs w:val="16"/>
          <w:color w:val="auto"/>
        </w:rPr>
        <w:t>The transaction price for each collaboration agreement is determined based on the amount of consideration we expect to be entitled for satisfying all performance obligations within the agreement. Significant judgment may be required in determining the amount of variable consideration to be included in the transaction price. We use the most likely amount method to determine variable consideration and will re-evaluate the transaction price in each reporting period and as uncertain events are resolved or other changes in circumstances occur.</w:t>
      </w:r>
    </w:p>
    <w:p>
      <w:pPr>
        <w:spacing w:after="0" w:line="75"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Revenue is recognized based on actual costs incurred as a percentage of total estimated costs to be incurred over the performance obligation as we fulfill our performance obligations. A cost-based input method of revenue recognition requires management to make estimates of costs to complete our performance obligations. In making such estimates, significant judgment is required to evaluate assumptions related to cost estimates. The cumulative effect of revisions to estimated costs to fulfill our performance obligations will be recorded in the period in which changes are identified and amounts can be reasonably estimated.</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24" w:lineRule="exact"/>
        <w:rPr>
          <w:sz w:val="20"/>
          <w:szCs w:val="20"/>
          <w:color w:val="auto"/>
        </w:rPr>
      </w:pPr>
    </w:p>
    <w:p>
      <w:pPr>
        <w:ind w:left="120" w:right="160"/>
        <w:spacing w:after="0" w:line="237" w:lineRule="auto"/>
        <w:rPr>
          <w:sz w:val="20"/>
          <w:szCs w:val="20"/>
          <w:color w:val="auto"/>
        </w:rPr>
      </w:pPr>
      <w:r>
        <w:rPr>
          <w:rFonts w:ascii="Arial" w:cs="Arial" w:eastAsia="Arial" w:hAnsi="Arial"/>
          <w:sz w:val="18"/>
          <w:szCs w:val="18"/>
          <w:color w:val="auto"/>
        </w:rPr>
        <w:t>Accounting for business combinations requires us to make significant estimates and assumptions, especially at the acquisition date with respect to tangible and intangible assets acquired and liabilities assumed and pre-acquisition contingencies. We use our best estimates and assumptions to accurately assign fair value to the tangible and intangible assets acquired and liabilities assumed at the acquisition date as well as the useful lives of those acquired intangible assets. Examples of critical estimates in valuing certain of the intangible</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120" w:right="40"/>
        <w:spacing w:after="0" w:line="238" w:lineRule="auto"/>
        <w:rPr>
          <w:sz w:val="20"/>
          <w:szCs w:val="20"/>
          <w:color w:val="auto"/>
        </w:rPr>
      </w:pPr>
      <w:r>
        <w:rPr>
          <w:rFonts w:ascii="Arial" w:cs="Arial" w:eastAsia="Arial" w:hAnsi="Arial"/>
          <w:sz w:val="18"/>
          <w:szCs w:val="18"/>
          <w:color w:val="auto"/>
        </w:rPr>
        <w:t>assets we have acquired include but are not limited to developed technologies and in-process research and development. Our estimates may also impact our deferred income tax assets and liabilities. Unanticipated events and circumstances may occur that may affect the accuracy or validity of such assumptions, estimates or actual results.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record accrued expenses for estimated preclinical study and clinical trial expenses. Estimates are based on the services performed pursuant to contracts with research institutions and contract research organizations and clinical manufacturing organizations that conduct and manage preclinical studies and clinical trials on our behalf based on actual time and expenses incurred by them. Further, we accrue expenses related to clinical trials based on the level of patient enrollment and activity according to the related agreement. We monitor patient enrollment levels and related activity to the extent reasonably possible and make judgments and estimates in determining the accrued balance in each reporting period. If we underestimate or overestimate the level of services performed or the costs of these services, our actual expenses could differ from our estimates. To date, we have not experienced significant changes in our estimates of preclinical studies and clinical trial accruals.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4" w:lineRule="exact"/>
        <w:rPr>
          <w:sz w:val="20"/>
          <w:szCs w:val="20"/>
          <w:color w:val="auto"/>
        </w:rPr>
      </w:pPr>
    </w:p>
    <w:p>
      <w:pPr>
        <w:ind w:left="120" w:right="280"/>
        <w:spacing w:after="0" w:line="239" w:lineRule="auto"/>
        <w:rPr>
          <w:sz w:val="20"/>
          <w:szCs w:val="20"/>
          <w:color w:val="auto"/>
        </w:rPr>
      </w:pPr>
      <w:r>
        <w:rPr>
          <w:rFonts w:ascii="Arial" w:cs="Arial" w:eastAsia="Arial" w:hAnsi="Arial"/>
          <w:sz w:val="18"/>
          <w:szCs w:val="18"/>
          <w:color w:val="auto"/>
        </w:rPr>
        <w:t>We maintain an equity incentive plan as a long-term incentive for employees, consultants and members of our board of directors. The plan allows for the issuance of non-statutory options, or NSOs, incentive stock options to employees and NSOs to nonemployees.</w:t>
      </w:r>
    </w:p>
    <w:p>
      <w:pPr>
        <w:spacing w:after="0" w:line="101"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Stock-based compensation is measured using estimated grant date fair value and recognized as compensation expense over the service period in which the awards are expected to vest. We estimate the grant date fair value, and the resulting stock-based compensation, using the Black-Scholes option-pricing model, and we use the straight-line method for expense attribution. The fair-value-based measurements of options granted to nonemployees are remeasured at each period end until the options vest and are amortized to expense as earned. The valuation model used for calculating the estimated fair value of stock awards is the Black-Scholes option-pricing model. The Black-Scholes model requires us to make assumptions and judgments about the variables used in the calculations, including the expected term (weighted-average period of time that the options granted are expected to be outstanding), the expected volatility of our common stock, the related risk-free interest rate and the expected dividend. We have elected to recognize forfeitures of stock-based awards as they occur.</w:t>
      </w:r>
    </w:p>
    <w:p>
      <w:pPr>
        <w:spacing w:after="0" w:line="7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Black-Scholes option-pricing model requires the use of highly subjective assumptions to determine the fair value of stock-based awards.</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These assumptions include:</w:t>
      </w:r>
    </w:p>
    <w:p>
      <w:pPr>
        <w:spacing w:after="0" w:line="99" w:lineRule="exact"/>
        <w:rPr>
          <w:sz w:val="20"/>
          <w:szCs w:val="20"/>
          <w:color w:val="auto"/>
        </w:rPr>
      </w:pPr>
    </w:p>
    <w:p>
      <w:pPr>
        <w:ind w:left="340" w:right="140" w:hanging="224"/>
        <w:spacing w:after="0" w:line="247"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weighted-average period the stock options are expected to remain outstanding and is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options’ vesting terms, contractual terms and industry peers, as we did not have sufficient historical information to develop reasonable expectations about future exercise patterns and post-vesting employment termination behavior.</w:t>
      </w:r>
    </w:p>
    <w:p>
      <w:pPr>
        <w:spacing w:after="0" w:line="89" w:lineRule="exact"/>
        <w:rPr>
          <w:rFonts w:ascii="Arial" w:cs="Arial" w:eastAsia="Arial" w:hAnsi="Arial"/>
          <w:sz w:val="18"/>
          <w:szCs w:val="18"/>
          <w:color w:val="auto"/>
        </w:rPr>
      </w:pPr>
    </w:p>
    <w:p>
      <w:pPr>
        <w:ind w:left="340" w:right="40" w:hanging="224"/>
        <w:spacing w:after="0" w:line="243"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—Since we have been privately held and do not have any trading history for our common stock, the expected volatility is</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based on the average volatility for comparable publicly traded biotechnology companies over a period equal to the expected term of the stock option grants. The comparable companies are chosen based on their similar size, stage in the life cycle or area of specialty.</w:t>
      </w:r>
    </w:p>
    <w:p>
      <w:pPr>
        <w:spacing w:after="0" w:line="93" w:lineRule="exact"/>
        <w:rPr>
          <w:rFonts w:ascii="Arial" w:cs="Arial" w:eastAsia="Arial" w:hAnsi="Arial"/>
          <w:sz w:val="18"/>
          <w:szCs w:val="18"/>
          <w:color w:val="auto"/>
        </w:rPr>
      </w:pPr>
    </w:p>
    <w:p>
      <w:pPr>
        <w:ind w:left="340" w:right="480" w:hanging="224"/>
        <w:spacing w:after="0" w:line="260"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 grant for</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corresponding with the expected term of the option.</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right="500" w:hanging="224"/>
        <w:spacing w:after="0" w:line="260" w:lineRule="auto"/>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Expected Dividend</w:t>
      </w:r>
      <w:r>
        <w:rPr>
          <w:rFonts w:ascii="Arial" w:cs="Arial" w:eastAsia="Arial" w:hAnsi="Arial"/>
          <w:sz w:val="18"/>
          <w:szCs w:val="18"/>
          <w:color w:val="auto"/>
        </w:rPr>
        <w:t>—We have never paid dividends on our common stock and have no plans to pay dividends on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Therefore, we used an expected dividend yield of zero.</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Common stock valuation</w:t>
      </w:r>
    </w:p>
    <w:p>
      <w:pPr>
        <w:spacing w:after="0" w:line="122"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 xml:space="preserve">Historically, for all periods prior to this initial public offering, the fair values of the shares of common stock underlying our stock-based awards were estimated on each grant date by our board of directors. In order to determine the fair value of our common stock underlying option grants, our board of directors considered, among other things, valuations of our common stock prepared by an unrelated third-party valuation firm in accordance with the guidance provided by the American Institute of Certified Public Accountants Practice Guide, </w:t>
      </w:r>
      <w:r>
        <w:rPr>
          <w:rFonts w:ascii="Arial" w:cs="Arial" w:eastAsia="Arial" w:hAnsi="Arial"/>
          <w:sz w:val="18"/>
          <w:szCs w:val="18"/>
          <w:i w:val="1"/>
          <w:iCs w:val="1"/>
          <w:color w:val="auto"/>
        </w:rPr>
        <w:t>Valuation of Privately-Held-Company Equity Securities Issued as Compensation.</w:t>
      </w:r>
    </w:p>
    <w:p>
      <w:pPr>
        <w:spacing w:after="0" w:line="103" w:lineRule="exact"/>
        <w:rPr>
          <w:sz w:val="20"/>
          <w:szCs w:val="20"/>
          <w:color w:val="auto"/>
        </w:rPr>
      </w:pPr>
    </w:p>
    <w:p>
      <w:pPr>
        <w:jc w:val="both"/>
        <w:ind w:left="120" w:right="120"/>
        <w:spacing w:after="0" w:line="238" w:lineRule="auto"/>
        <w:rPr>
          <w:sz w:val="20"/>
          <w:szCs w:val="20"/>
          <w:color w:val="auto"/>
        </w:rPr>
      </w:pPr>
      <w:r>
        <w:rPr>
          <w:rFonts w:ascii="Arial" w:cs="Arial" w:eastAsia="Arial" w:hAnsi="Arial"/>
          <w:sz w:val="18"/>
          <w:szCs w:val="18"/>
          <w:color w:val="auto"/>
        </w:rPr>
        <w:t>For our valuations performed on or prior to December 31, 2018, we used the discounted cash flow model to estimate the value of equity, and allocated the equity value to the various classes of equity using an option pricing method, or OPM. The OPM uses option theory to value the various classes of a company’s securities in light of their respective claims to the enterprise value.</w:t>
      </w:r>
    </w:p>
    <w:p>
      <w:pPr>
        <w:spacing w:after="0" w:line="100"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Given the absence of a public trading market for our common stock, our board of directors exercised their judgment and considered a number of objective and subjective factors to determine the best estimate of the fair value of our common stock, including important developments in our operations, valuations performed by an independent third party, sales of preferred stock, actual operating results and financial performance, the conditions in the biotechnology industry and the economy in general, the stock price performance and volatility of comparable public companies, and the lack of liquidity of our common stock, among other factors. After the closing of this offering, our board of directors will determine the fair value of each share of underlying common stock based on the closing price of our common stock as reported on the date of the grant. Our board of directors intends all options granted to be exercisable at a price per share not less than the per share fair value of our common stock underlying those options on the grant date.</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Emerging growth company status</w:t>
      </w:r>
    </w:p>
    <w:p>
      <w:pPr>
        <w:spacing w:after="0" w:line="134" w:lineRule="exact"/>
        <w:rPr>
          <w:sz w:val="20"/>
          <w:szCs w:val="20"/>
          <w:color w:val="auto"/>
        </w:rPr>
      </w:pPr>
    </w:p>
    <w:p>
      <w:pPr>
        <w:ind w:left="120" w:right="20"/>
        <w:spacing w:after="0" w:line="269" w:lineRule="auto"/>
        <w:rPr>
          <w:sz w:val="20"/>
          <w:szCs w:val="20"/>
          <w:color w:val="auto"/>
        </w:rPr>
      </w:pPr>
      <w:r>
        <w:rPr>
          <w:rFonts w:ascii="Arial" w:cs="Arial" w:eastAsia="Arial" w:hAnsi="Arial"/>
          <w:sz w:val="16"/>
          <w:szCs w:val="16"/>
          <w:color w:val="auto"/>
        </w:rPr>
        <w:t>In April 2012, the Jumpstart Our Business Startups Act of 2012, or the JOBS Act, was enacted. Section 107 of the JOBS Act provides that an “emerging growth company,” or an EGC, can take advantage of the extended transition period provided in Section 7(a)(2)(B) of the Securities Act of 1933, as amended, or the Securities Act, for complying with new or revised accounting standards. Thus, an EGC can delay the adoption of certain accounting standards until those standards would otherwise apply to private companies. We early adopted ASC 606 as the JOBS Act does not preclude an EGC from early adopting a new or revised accounting standard earlier than the time that such standard applies to private companies. We have elected to use the extended transition period for any other new or revised accounting standards during the period in which we remain an emerging growth company; however, we may adopt certain new or revised accounting standards early.</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Recent accounting pronouncements</w:t>
      </w:r>
    </w:p>
    <w:p>
      <w:pPr>
        <w:spacing w:after="0" w:line="134"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See the sections titled “Summary of significant accounting policies—recently issued and adopted accounting Pronouncements” and “Recent accounting pronouncements not yet adopted” in Note 2 to our consolidated financial statements included elsewhere in this prospectus for additional information.</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Business</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Overview</w:t>
      </w:r>
    </w:p>
    <w:p>
      <w:pPr>
        <w:spacing w:after="0" w:line="116" w:lineRule="exact"/>
        <w:rPr>
          <w:sz w:val="20"/>
          <w:szCs w:val="20"/>
          <w:color w:val="auto"/>
        </w:rPr>
      </w:pPr>
    </w:p>
    <w:p>
      <w:pPr>
        <w:ind w:left="120"/>
        <w:spacing w:after="0" w:line="268" w:lineRule="auto"/>
        <w:rPr>
          <w:sz w:val="20"/>
          <w:szCs w:val="20"/>
          <w:color w:val="auto"/>
        </w:rPr>
      </w:pPr>
      <w:r>
        <w:rPr>
          <w:rFonts w:ascii="Arial" w:cs="Arial" w:eastAsia="Arial" w:hAnsi="Arial"/>
          <w:sz w:val="16"/>
          <w:szCs w:val="16"/>
          <w:color w:val="auto"/>
        </w:rPr>
        <w:t xml:space="preserve">We are a clinical-stage precision oncology company focused on developing novel targeted therapies to inhibit elusive, high-value </w:t>
      </w:r>
      <w:r>
        <w:rPr>
          <w:rFonts w:ascii="Arial" w:cs="Arial" w:eastAsia="Arial" w:hAnsi="Arial"/>
          <w:sz w:val="16"/>
          <w:szCs w:val="16"/>
          <w:i w:val="1"/>
          <w:iCs w:val="1"/>
          <w:color w:val="auto"/>
        </w:rPr>
        <w:t>frontier</w:t>
      </w:r>
      <w:r>
        <w:rPr>
          <w:rFonts w:ascii="Arial" w:cs="Arial" w:eastAsia="Arial" w:hAnsi="Arial"/>
          <w:sz w:val="16"/>
          <w:szCs w:val="16"/>
          <w:color w:val="auto"/>
        </w:rPr>
        <w:t xml:space="preserve"> targets within notorious growth and survival pathways, with particular emphasis on the RAS and mTOR signaling pathways. Our understanding of genetic drivers and adaptive resistance mechanisms in cancer, coupled with robust drug discovery and medicinal chemistry capabilities, has guided us to establish a deep pipeline targeting critical signaling nodes within these pathways. This cohesive approach underpins our clinical strategy of exploring mechanism-based dosing paradigms and in-pathway combinations to optimize treatment for cancer patients. Our most advanced product candidate, RMC-4630, is a potent and selective inhibitor of SHP2, a central node in the RAS signaling pathway. In collaboration with Sanofi, we are evaluating RMC-4630 in a multi-cohort Phase 1/2 clinical program, with clinical activity data in selected patient cohorts expected in 2020. Leveraging our proprietary tri-complex technology platform, we are also developing a portfolio of mutant-selective RAS inhibitors that we believe are the first potent, selective, cell-active inhibitors of the active, GTP-bound form of RAS, or RAS(ON). Initially, we will prioritize four mutant RAS(ON) targets—KRAS</w:t>
      </w:r>
      <w:r>
        <w:rPr>
          <w:rFonts w:ascii="Arial" w:cs="Arial" w:eastAsia="Arial" w:hAnsi="Arial"/>
          <w:sz w:val="10"/>
          <w:szCs w:val="10"/>
          <w:color w:val="auto"/>
        </w:rPr>
        <w:t>G12C</w:t>
      </w:r>
      <w:r>
        <w:rPr>
          <w:rFonts w:ascii="Arial" w:cs="Arial" w:eastAsia="Arial" w:hAnsi="Arial"/>
          <w:sz w:val="16"/>
          <w:szCs w:val="16"/>
          <w:color w:val="auto"/>
        </w:rPr>
        <w:t>, KRAS</w:t>
      </w:r>
      <w:r>
        <w:rPr>
          <w:rFonts w:ascii="Arial" w:cs="Arial" w:eastAsia="Arial" w:hAnsi="Arial"/>
          <w:sz w:val="10"/>
          <w:szCs w:val="10"/>
          <w:color w:val="auto"/>
        </w:rPr>
        <w:t>G13C</w:t>
      </w:r>
      <w:r>
        <w:rPr>
          <w:rFonts w:ascii="Arial" w:cs="Arial" w:eastAsia="Arial" w:hAnsi="Arial"/>
          <w:sz w:val="16"/>
          <w:szCs w:val="16"/>
          <w:color w:val="auto"/>
        </w:rPr>
        <w:t>, KRAS</w:t>
      </w:r>
      <w:r>
        <w:rPr>
          <w:rFonts w:ascii="Arial" w:cs="Arial" w:eastAsia="Arial" w:hAnsi="Arial"/>
          <w:sz w:val="10"/>
          <w:szCs w:val="10"/>
          <w:color w:val="auto"/>
        </w:rPr>
        <w:t>G12D</w:t>
      </w:r>
      <w:r>
        <w:rPr>
          <w:rFonts w:ascii="Arial" w:cs="Arial" w:eastAsia="Arial" w:hAnsi="Arial"/>
          <w:sz w:val="16"/>
          <w:szCs w:val="16"/>
          <w:color w:val="auto"/>
        </w:rPr>
        <w:t xml:space="preserve"> and NRAS</w:t>
      </w:r>
      <w:r>
        <w:rPr>
          <w:rFonts w:ascii="Arial" w:cs="Arial" w:eastAsia="Arial" w:hAnsi="Arial"/>
          <w:sz w:val="10"/>
          <w:szCs w:val="10"/>
          <w:color w:val="auto"/>
        </w:rPr>
        <w:t>G12C</w:t>
      </w:r>
      <w:r>
        <w:rPr>
          <w:rFonts w:ascii="Arial" w:cs="Arial" w:eastAsia="Arial" w:hAnsi="Arial"/>
          <w:sz w:val="16"/>
          <w:szCs w:val="16"/>
          <w:color w:val="auto"/>
        </w:rPr>
        <w:t>—and expect to nominate our first development candidate in 2020. Our pipeline also includes inhibitors of other key nodes within the RAS and mTOR signaling pathways, such as SOS1 and mTORC1. We believe our deep, differentiated pipeline and development strategies provide us with the opportunity to pioneer novel treatment regimens to maximize the depth and durability of clinical benefit and circumvent adaptive resistance mechanisms for patients with cancers dependent on these critical pathways.</w:t>
      </w:r>
    </w:p>
    <w:p>
      <w:pPr>
        <w:spacing w:after="0" w:line="290" w:lineRule="exact"/>
        <w:rPr>
          <w:sz w:val="20"/>
          <w:szCs w:val="20"/>
          <w:color w:val="auto"/>
        </w:rPr>
      </w:pPr>
    </w:p>
    <w:p>
      <w:pPr>
        <w:ind w:left="120" w:right="40"/>
        <w:spacing w:after="0" w:line="235" w:lineRule="auto"/>
        <w:rPr>
          <w:sz w:val="20"/>
          <w:szCs w:val="20"/>
          <w:color w:val="auto"/>
        </w:rPr>
      </w:pPr>
      <w:r>
        <w:rPr>
          <w:rFonts w:ascii="Arial" w:cs="Arial" w:eastAsia="Arial" w:hAnsi="Arial"/>
          <w:sz w:val="18"/>
          <w:szCs w:val="18"/>
          <w:color w:val="auto"/>
        </w:rPr>
        <w:t>The RAS and mTOR signaling cascades are among the most frequently exploited by human cancers, where mutations in key nodes in these pathways cause excessive or aberrant signaling and cell growth. For example, mutations in RAS proteins account for approximately 30% of all human cancers, many of which are fatal. According to the National Cancer Institute, KRAS protein mutations occur in up to 35% of lung, 45% of colon and 95% of pancreatic cancers. Cancers caused by RAS-pathway mutations exhibit a phenomenon called “oncogene addiction,” in which tumor cells become highly dependent on signaling through the RAS pathway to survive. The importance of the RAS pathway in cancer has led to the development of several targeted therapies that can profoundly inhibit tumor growth and cause regressions in some instances. However, cancer cells can eventually develop adaptive resistance, losing sensitivity to treatment by hijacking other cell signaling circuitry to circumvent the inhibition and restore RAS-dependent signaling. The need to overcome this resistance in treating RAS-dependent tumors has led to the use of combination regimens designed to inhibit the RAS signaling pathway at multiple nodes simultaneously in an attempt to prolong the depth and durability of clinical benefit.</w:t>
      </w:r>
    </w:p>
    <w:p>
      <w:pPr>
        <w:spacing w:after="0" w:line="106"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 xml:space="preserve">Despite recent progress in targeted therapies, we believe there is a significant need and opportunity to further improve the treatment of certain cancers. We have built an innovation engine consisting of three complementary drivers that enable us to discover and develop targeted therapies for elusive, high-value </w:t>
      </w:r>
      <w:r>
        <w:rPr>
          <w:rFonts w:ascii="Arial" w:cs="Arial" w:eastAsia="Arial" w:hAnsi="Arial"/>
          <w:sz w:val="18"/>
          <w:szCs w:val="18"/>
          <w:i w:val="1"/>
          <w:iCs w:val="1"/>
          <w:color w:val="auto"/>
        </w:rPr>
        <w:t>frontier</w:t>
      </w:r>
      <w:r>
        <w:rPr>
          <w:rFonts w:ascii="Arial" w:cs="Arial" w:eastAsia="Arial" w:hAnsi="Arial"/>
          <w:sz w:val="18"/>
          <w:szCs w:val="18"/>
          <w:color w:val="auto"/>
        </w:rPr>
        <w:t xml:space="preserve"> cancer targets within notorious growth and survival pathways:</w:t>
      </w:r>
    </w:p>
    <w:p>
      <w:pPr>
        <w:spacing w:after="0" w:line="91" w:lineRule="exact"/>
        <w:rPr>
          <w:sz w:val="20"/>
          <w:szCs w:val="20"/>
          <w:color w:val="auto"/>
        </w:rPr>
      </w:pPr>
    </w:p>
    <w:p>
      <w:pPr>
        <w:ind w:left="340" w:right="260" w:hanging="224"/>
        <w:spacing w:after="0" w:line="264"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Deep </w:t>
      </w:r>
      <w:r>
        <w:rPr>
          <w:rFonts w:ascii="Arial" w:cs="Arial" w:eastAsia="Arial" w:hAnsi="Arial"/>
          <w:sz w:val="18"/>
          <w:szCs w:val="18"/>
          <w:b w:val="1"/>
          <w:bCs w:val="1"/>
          <w:color w:val="auto"/>
        </w:rPr>
        <w:t>chemical biology and cancer pharmacology know-how</w:t>
      </w:r>
      <w:r>
        <w:rPr>
          <w:rFonts w:ascii="Arial" w:cs="Arial" w:eastAsia="Arial" w:hAnsi="Arial"/>
          <w:sz w:val="18"/>
          <w:szCs w:val="18"/>
          <w:color w:val="auto"/>
        </w:rPr>
        <w:t>, including assays and proprietary tool compounds, to define the critical vulnerabilities of “frontier” RAS and mTOR pathway targets and associated signaling circuits in cancer cells;</w:t>
      </w:r>
    </w:p>
    <w:p>
      <w:pPr>
        <w:spacing w:after="0" w:line="71" w:lineRule="exact"/>
        <w:rPr>
          <w:rFonts w:ascii="Arial" w:cs="Arial" w:eastAsia="Arial" w:hAnsi="Arial"/>
          <w:sz w:val="18"/>
          <w:szCs w:val="18"/>
          <w:color w:val="auto"/>
        </w:rPr>
      </w:pPr>
    </w:p>
    <w:p>
      <w:pPr>
        <w:ind w:left="340" w:right="540" w:hanging="224"/>
        <w:spacing w:after="0" w:line="264"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Sophisticated </w:t>
      </w:r>
      <w:r>
        <w:rPr>
          <w:rFonts w:ascii="Arial" w:cs="Arial" w:eastAsia="Arial" w:hAnsi="Arial"/>
          <w:sz w:val="18"/>
          <w:szCs w:val="18"/>
          <w:b w:val="1"/>
          <w:bCs w:val="1"/>
          <w:color w:val="auto"/>
        </w:rPr>
        <w:t>structure-based drug discovery capabilities</w:t>
      </w:r>
      <w:r>
        <w:rPr>
          <w:rFonts w:ascii="Arial" w:cs="Arial" w:eastAsia="Arial" w:hAnsi="Arial"/>
          <w:sz w:val="18"/>
          <w:szCs w:val="18"/>
          <w:color w:val="auto"/>
        </w:rPr>
        <w:t xml:space="preserve">, including proven </w:t>
      </w:r>
      <w:r>
        <w:rPr>
          <w:rFonts w:ascii="Arial" w:cs="Arial" w:eastAsia="Arial" w:hAnsi="Arial"/>
          <w:sz w:val="18"/>
          <w:szCs w:val="18"/>
          <w:b w:val="1"/>
          <w:bCs w:val="1"/>
          <w:color w:val="auto"/>
        </w:rPr>
        <w:t>access to complex chemical space</w:t>
      </w:r>
      <w:r>
        <w:rPr>
          <w:rFonts w:ascii="Arial" w:cs="Arial" w:eastAsia="Arial" w:hAnsi="Arial"/>
          <w:sz w:val="18"/>
          <w:szCs w:val="18"/>
          <w:color w:val="auto"/>
        </w:rPr>
        <w:t>, to create drug candidates tailored to unconventional binding sites on elusive cancer targets; and</w:t>
      </w:r>
    </w:p>
    <w:p>
      <w:pPr>
        <w:spacing w:after="0" w:line="71" w:lineRule="exact"/>
        <w:rPr>
          <w:rFonts w:ascii="Arial" w:cs="Arial" w:eastAsia="Arial" w:hAnsi="Arial"/>
          <w:sz w:val="18"/>
          <w:szCs w:val="18"/>
          <w:color w:val="auto"/>
        </w:rPr>
      </w:pPr>
    </w:p>
    <w:p>
      <w:pPr>
        <w:ind w:left="340" w:right="540" w:hanging="224"/>
        <w:spacing w:after="0" w:line="327" w:lineRule="auto"/>
        <w:tabs>
          <w:tab w:leader="none" w:pos="3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Astute </w:t>
      </w:r>
      <w:r>
        <w:rPr>
          <w:rFonts w:ascii="Arial" w:cs="Arial" w:eastAsia="Arial" w:hAnsi="Arial"/>
          <w:sz w:val="16"/>
          <w:szCs w:val="16"/>
          <w:b w:val="1"/>
          <w:bCs w:val="1"/>
          <w:color w:val="auto"/>
        </w:rPr>
        <w:t>precision medicine approach</w:t>
      </w:r>
      <w:r>
        <w:rPr>
          <w:rFonts w:ascii="Arial" w:cs="Arial" w:eastAsia="Arial" w:hAnsi="Arial"/>
          <w:sz w:val="16"/>
          <w:szCs w:val="16"/>
          <w:color w:val="auto"/>
        </w:rPr>
        <w:t>, embracing patient selection and innovative single agent and combination drug regimens, to translate our preclinical insights into clinical benefit for patients with genetically-defined cancers that are addicted to these pathways.</w:t>
      </w:r>
    </w:p>
    <w:p>
      <w:pPr>
        <w:spacing w:after="0" w:line="7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Focusing these drivers on a cohesive set of related disease targets provides biological, chemical and translational insights that can be leveraged to maximize the efficiency and effectiveness of our discovery and development efforts. We have built a portfolio of compounds that inhibit select signaling nodes within these pathways, including clinical targets that previously have been difficult or impossible to drug. We believe our current and future product candidates, when used in specialized dosing paradigms and rational in-pathway combinations, will have the potential to promote profound and sustainable clinical benefit, combat adaptive resistance mechanisms and, in some cases, supplant the current standard of care for patients with tumors driven by these pathways.</w:t>
      </w:r>
    </w:p>
    <w:p>
      <w:pPr>
        <w:spacing w:after="0" w:line="102"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Our most advanced product candidate, RMC-4630, is a potent and selective inhibitor of SHP2, a protein that plays a central role in modulating cell survival and growth by transmitting signals from upstream receptor tyrosine kinases, or RTKs, to RAS. In collaboration with Sanofi, we are evaluating RMC-4630 in a multi-cohort Phase 1/2 clinical program, which includes our ongoing Phase 1 trial of RMC-4630 as monotherapy in patients with tumors harboring genetically defined mutations in the RAS signaling pathway. Based on our own data, and supported by observations by others, we are evaluating intermittent dosing schedules in our clinical program to allow us to maximize dose intensity in order to achieve the greatest depth of response. We also plan to explore the potential clinical benefit of RMC-4630 in combination with other in-pathway agents targeting MEK, epidermal growth factor receptor, or EGFR, and KRAS</w:t>
      </w:r>
      <w:r>
        <w:rPr>
          <w:rFonts w:ascii="Arial" w:cs="Arial" w:eastAsia="Arial" w:hAnsi="Arial"/>
          <w:sz w:val="11"/>
          <w:szCs w:val="11"/>
          <w:color w:val="auto"/>
        </w:rPr>
        <w:t>G12C</w:t>
      </w:r>
      <w:r>
        <w:rPr>
          <w:rFonts w:ascii="Arial" w:cs="Arial" w:eastAsia="Arial" w:hAnsi="Arial"/>
          <w:sz w:val="18"/>
          <w:szCs w:val="18"/>
          <w:color w:val="auto"/>
        </w:rPr>
        <w:t>, as well as in combination with PD-1 inhibitors. We initiated the first such combination trial in July 2019, a Phase 1b/2 trial with Roche’s MEK inhibitor cobimetinib (marketed as COTELLIC). We believe RMC-4630 is well positioned to become the backbone of targeted therapy combinations for the treatment of various RAS-dependent tumors. Under our collaboration with Sanofi, we have a 50-50 profit share and a co-promote right in the United States and are eligible to receive royalties on net sales outside of the United States. Sanofi is responsible for reimbursing substantially all of our research costs and all of our development costs for the SHP2 program.</w:t>
      </w:r>
    </w:p>
    <w:p>
      <w:pPr>
        <w:spacing w:after="0" w:line="106" w:lineRule="exact"/>
        <w:rPr>
          <w:sz w:val="20"/>
          <w:szCs w:val="20"/>
          <w:color w:val="auto"/>
        </w:rPr>
      </w:pPr>
    </w:p>
    <w:p>
      <w:pPr>
        <w:ind w:left="120" w:right="60"/>
        <w:spacing w:after="0" w:line="235" w:lineRule="auto"/>
        <w:rPr>
          <w:sz w:val="20"/>
          <w:szCs w:val="20"/>
          <w:color w:val="auto"/>
        </w:rPr>
      </w:pPr>
      <w:r>
        <w:rPr>
          <w:rFonts w:ascii="Arial" w:cs="Arial" w:eastAsia="Arial" w:hAnsi="Arial"/>
          <w:sz w:val="18"/>
          <w:szCs w:val="18"/>
          <w:color w:val="auto"/>
        </w:rPr>
        <w:t>We are also developing a portfolio of what we believe to be the first potent, selective and cell-active inhibitors of mutant RAS(ON) proteins. Historically, direct inhibition of any RAS protein has been challenging due to a lack of tractable, or “druggable,” binding pockets. Recently, selective inhibitors of inactive, GDP-bound forms of RAS, or RAS(OFF), have demonstrated encouraging preliminary anti-tumor effects and thus provide clinical validation for targeting mutant RAS in cancer. Our small molecule inhibitors of mutant RAS(ON) are derived from our proprietary tri-complex technology platform, which enables us to target proteins lacking intrinsic drug binding sites by inducing new druggable pockets. Initially, we will prioritize four mutant RAS(ON) targets—KRAS</w:t>
      </w:r>
      <w:r>
        <w:rPr>
          <w:rFonts w:ascii="Arial" w:cs="Arial" w:eastAsia="Arial" w:hAnsi="Arial"/>
          <w:sz w:val="11"/>
          <w:szCs w:val="11"/>
          <w:color w:val="auto"/>
        </w:rPr>
        <w:t>G12C</w:t>
      </w:r>
      <w:r>
        <w:rPr>
          <w:rFonts w:ascii="Arial" w:cs="Arial" w:eastAsia="Arial" w:hAnsi="Arial"/>
          <w:sz w:val="18"/>
          <w:szCs w:val="18"/>
          <w:color w:val="auto"/>
        </w:rPr>
        <w:t>, KRAS</w:t>
      </w:r>
      <w:r>
        <w:rPr>
          <w:rFonts w:ascii="Arial" w:cs="Arial" w:eastAsia="Arial" w:hAnsi="Arial"/>
          <w:sz w:val="11"/>
          <w:szCs w:val="11"/>
          <w:color w:val="auto"/>
        </w:rPr>
        <w:t>G13C</w:t>
      </w:r>
      <w:r>
        <w:rPr>
          <w:rFonts w:ascii="Arial" w:cs="Arial" w:eastAsia="Arial" w:hAnsi="Arial"/>
          <w:sz w:val="18"/>
          <w:szCs w:val="18"/>
          <w:color w:val="auto"/>
        </w:rPr>
        <w:t>, KRAS</w:t>
      </w:r>
      <w:r>
        <w:rPr>
          <w:rFonts w:ascii="Arial" w:cs="Arial" w:eastAsia="Arial" w:hAnsi="Arial"/>
          <w:sz w:val="11"/>
          <w:szCs w:val="11"/>
          <w:color w:val="auto"/>
        </w:rPr>
        <w:t>G12D</w:t>
      </w:r>
      <w:r>
        <w:rPr>
          <w:rFonts w:ascii="Arial" w:cs="Arial" w:eastAsia="Arial" w:hAnsi="Arial"/>
          <w:sz w:val="18"/>
          <w:szCs w:val="18"/>
          <w:color w:val="auto"/>
        </w:rPr>
        <w:t xml:space="preserve"> and NRAS</w:t>
      </w:r>
      <w:r>
        <w:rPr>
          <w:rFonts w:ascii="Arial" w:cs="Arial" w:eastAsia="Arial" w:hAnsi="Arial"/>
          <w:sz w:val="11"/>
          <w:szCs w:val="11"/>
          <w:color w:val="auto"/>
        </w:rPr>
        <w:t>G12C</w:t>
      </w:r>
      <w:r>
        <w:rPr>
          <w:rFonts w:ascii="Arial" w:cs="Arial" w:eastAsia="Arial" w:hAnsi="Arial"/>
          <w:sz w:val="18"/>
          <w:szCs w:val="18"/>
          <w:color w:val="auto"/>
        </w:rPr>
        <w:t>—and expect to nominate our first development candidate in 2020. We plan to evaluate our RAS(ON) inhibitors alone and in combination with other drugs and investigational new drugs, particularly in-pathway agents. We believe our ability to inhibit various oncogenic RAS(ON) mutants represents a highly differentiated approach for treating the large population of patients with diverse RAS mutations, including non-small cell lung cancer, or NSCLC, colorectal, pancreatic and other cancers.</w:t>
      </w:r>
    </w:p>
    <w:p>
      <w:pPr>
        <w:spacing w:after="0" w:line="106"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We have two preclinical programs targeting other key nodes in the RAS and mTOR signaling pathways. Our program targeting SOS1, a protein that plays a key role in converting RAS(OFF) to RAS(ON) in cells, is currently in lead generation stage. In addition, our preclinical development candidate, RMC-5552, is designed to selectively and deeply inhibit mTORC1, thereby preventing phosphorylation and inactivation of 4EBP1, a downstream protein in the mTOR signaling pathway that normally suppresses expression of certain oncogenes such as C-MYC. We advanced RMC-5552 into IND-enabling development in June 2019.</w:t>
      </w:r>
    </w:p>
    <w:p>
      <w:pPr>
        <w:spacing w:after="0" w:line="103" w:lineRule="exact"/>
        <w:rPr>
          <w:sz w:val="20"/>
          <w:szCs w:val="20"/>
          <w:color w:val="auto"/>
        </w:rPr>
      </w:pPr>
    </w:p>
    <w:p>
      <w:pPr>
        <w:ind w:left="120"/>
        <w:spacing w:after="0" w:line="275" w:lineRule="auto"/>
        <w:rPr>
          <w:sz w:val="20"/>
          <w:szCs w:val="20"/>
          <w:color w:val="auto"/>
        </w:rPr>
      </w:pPr>
      <w:r>
        <w:rPr>
          <w:rFonts w:ascii="Arial" w:cs="Arial" w:eastAsia="Arial" w:hAnsi="Arial"/>
          <w:sz w:val="16"/>
          <w:szCs w:val="16"/>
          <w:color w:val="auto"/>
        </w:rPr>
        <w:t>Our management team has significant experience in oncology and in progressing products from early stage research to clinical trials, and ultimately to regulatory approval and commercialization. Dr. Steve Kelsey, our President of Research and Development, was previously President of Onkaido Therapeutics, a Moderna venture focused on oncology mRNA therapeutics, and has held senior positions at Medivation, Geron and Genentech, where he played a significant role in the development of Perjeta, Kadcyla and Erivedge. Our President and Chief</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Executive Officer, Dr. Mark Goldsmith, served as Chief Executive Officer of Constellation Pharmaceuticals, where he led the creation of its oncology pipeline and drove the development of a strategic alliance with Genentech. He also has led four other companies spanning early discovery through development, including Global Blood Therapeutics, where he led the discovery and early development of voxelotor. We are also supported by a leading syndicate of investors, which include our founding investor, Third Rock Ventures, and BVF, Casdin Capital, Cormorant, Deerfield, Fidelity, Nextech, Tavistock, The Column Group and Vivo Ventures.</w:t>
      </w:r>
    </w:p>
    <w:p>
      <w:pPr>
        <w:spacing w:after="0" w:line="10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Our company was founded and continues to be supported by three world-class scientific advisors: Dr. Kevan Shokat (Professor and Chair of the Department of Cellular and Molecular Pharmacology at University of California, San Francisco, Professor of Chemistry at the University of California, Berkeley and an investigator at the Howard Hughes Medical Institute), Dr. Martin Burke (Professor of Chemistry at the University of Illinois at Urbana-Champaign) and Dr. Michael Fischbach (Associate Professor in the Department of Bioengineering at Stanford University and a Stanford ChEM-H Institute Scholar). Dr. Shokat is widely recognized for his seminal contributions to the field of kinase biology, using chemistry, protein engineering and genetic tools to pioneer novel therapeutic approaches to target key signaling pathways in cancer. He led the discovery of the first KRAS</w:t>
      </w:r>
      <w:r>
        <w:rPr>
          <w:rFonts w:ascii="Arial" w:cs="Arial" w:eastAsia="Arial" w:hAnsi="Arial"/>
          <w:sz w:val="11"/>
          <w:szCs w:val="11"/>
          <w:color w:val="auto"/>
        </w:rPr>
        <w:t>G12C</w:t>
      </w:r>
      <w:r>
        <w:rPr>
          <w:rFonts w:ascii="Arial" w:cs="Arial" w:eastAsia="Arial" w:hAnsi="Arial"/>
          <w:sz w:val="18"/>
          <w:szCs w:val="18"/>
          <w:color w:val="auto"/>
        </w:rPr>
        <w:t>(OFF) inhibitor.</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Our strategy</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goal is to develop novel targeted therapies to outsmart cancer for the benefit of patients. We plan to pursue the following strategies:</w:t>
      </w:r>
    </w:p>
    <w:p>
      <w:pPr>
        <w:spacing w:after="0" w:line="97" w:lineRule="exact"/>
        <w:rPr>
          <w:sz w:val="20"/>
          <w:szCs w:val="20"/>
          <w:color w:val="auto"/>
        </w:rPr>
      </w:pPr>
    </w:p>
    <w:p>
      <w:pPr>
        <w:ind w:left="340" w:hanging="224"/>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Deploy our innovation engine against frontier oncology targets. </w:t>
      </w:r>
      <w:r>
        <w:rPr>
          <w:rFonts w:ascii="Arial" w:cs="Arial" w:eastAsia="Arial" w:hAnsi="Arial"/>
          <w:sz w:val="18"/>
          <w:szCs w:val="18"/>
          <w:color w:val="auto"/>
        </w:rPr>
        <w:t>We use our chemical biology and cancer pharmacology know-how,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structure-based drug discovery capabilities, and precision medicine approach to discover and develop compounds designed to overcome the complex molecular circuitry of cancer. We focus on a cohesive set of genetically-defined targets in the RAS signaling pathway to create compounds that may be used alone and in combination with other targeted therapies. We evaluate in-pathway proprietary mechanism-based combination therapies and innovative dosing paradigms. Collectively, these are designed to maximize the depth and durability of clinical benefit and improve the lives of patients with cancer.</w:t>
      </w:r>
    </w:p>
    <w:p>
      <w:pPr>
        <w:spacing w:after="0" w:line="94" w:lineRule="exact"/>
        <w:rPr>
          <w:rFonts w:ascii="Arial" w:cs="Arial" w:eastAsia="Arial" w:hAnsi="Arial"/>
          <w:sz w:val="18"/>
          <w:szCs w:val="18"/>
          <w:color w:val="auto"/>
        </w:rPr>
      </w:pPr>
    </w:p>
    <w:p>
      <w:pPr>
        <w:ind w:left="340" w:hanging="224"/>
        <w:spacing w:after="0" w:line="238" w:lineRule="auto"/>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Establish our proprietary SHP2 inhibitor, RMC-4630, as the backbone of targeted therapy combinations for the treatment of RAS-dependent tumors. </w:t>
      </w:r>
      <w:r>
        <w:rPr>
          <w:rFonts w:ascii="Arial" w:cs="Arial" w:eastAsia="Arial" w:hAnsi="Arial"/>
          <w:sz w:val="18"/>
          <w:szCs w:val="18"/>
          <w:color w:val="auto"/>
        </w:rPr>
        <w:t>As SHP2 is a convergent node within the oncogenic RAS-signaling pathway, we plan to evaluate RMC-4630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 with other in-pathway agents targeting MEK, EGFR, and KRAS</w:t>
      </w:r>
      <w:r>
        <w:rPr>
          <w:rFonts w:ascii="Arial" w:cs="Arial" w:eastAsia="Arial" w:hAnsi="Arial"/>
          <w:sz w:val="11"/>
          <w:szCs w:val="11"/>
          <w:color w:val="auto"/>
        </w:rPr>
        <w:t>G12C</w:t>
      </w:r>
      <w:r>
        <w:rPr>
          <w:rFonts w:ascii="Arial" w:cs="Arial" w:eastAsia="Arial" w:hAnsi="Arial"/>
          <w:sz w:val="18"/>
          <w:szCs w:val="18"/>
          <w:color w:val="auto"/>
        </w:rPr>
        <w:t>. We have initiated a Phase 1b/2 trial of RMC-4630 with cobimetinib (a MEK inhibitor) and we plan to evaluate RMC-4630 in combination with osimertinib (an EGFR inhibitor). We also intend to study RMC-4630 in combination with a clinical-stage KRAS</w:t>
      </w:r>
      <w:r>
        <w:rPr>
          <w:rFonts w:ascii="Arial" w:cs="Arial" w:eastAsia="Arial" w:hAnsi="Arial"/>
          <w:sz w:val="11"/>
          <w:szCs w:val="11"/>
          <w:color w:val="auto"/>
        </w:rPr>
        <w:t>G12C</w:t>
      </w:r>
      <w:r>
        <w:rPr>
          <w:rFonts w:ascii="Arial" w:cs="Arial" w:eastAsia="Arial" w:hAnsi="Arial"/>
          <w:sz w:val="18"/>
          <w:szCs w:val="18"/>
          <w:color w:val="auto"/>
        </w:rPr>
        <w:t>(OFF) inhibitor and subsequently in combination with our proprietary KRAS</w:t>
      </w:r>
      <w:r>
        <w:rPr>
          <w:rFonts w:ascii="Arial" w:cs="Arial" w:eastAsia="Arial" w:hAnsi="Arial"/>
          <w:sz w:val="11"/>
          <w:szCs w:val="11"/>
          <w:color w:val="auto"/>
        </w:rPr>
        <w:t>G12C</w:t>
      </w:r>
      <w:r>
        <w:rPr>
          <w:rFonts w:ascii="Arial" w:cs="Arial" w:eastAsia="Arial" w:hAnsi="Arial"/>
          <w:sz w:val="18"/>
          <w:szCs w:val="18"/>
          <w:color w:val="auto"/>
        </w:rPr>
        <w:t>(ON) inhibitor once a clinical candidate has been selected for development. As many patients with tumors carrying mutations that are potentially SHP2-dependent are currently treated with immune checkpoint inhibitors, we also plan to study RMC-4630 in combination with a PD-1 inhibitor.</w:t>
      </w:r>
    </w:p>
    <w:p>
      <w:pPr>
        <w:spacing w:after="0" w:line="99" w:lineRule="exact"/>
        <w:rPr>
          <w:rFonts w:ascii="Arial" w:cs="Arial" w:eastAsia="Arial" w:hAnsi="Arial"/>
          <w:sz w:val="18"/>
          <w:szCs w:val="18"/>
          <w:color w:val="auto"/>
        </w:rPr>
      </w:pPr>
    </w:p>
    <w:p>
      <w:pPr>
        <w:ind w:left="340" w:right="20" w:hanging="224"/>
        <w:spacing w:after="0" w:line="274" w:lineRule="auto"/>
        <w:tabs>
          <w:tab w:leader="none" w:pos="340" w:val="left"/>
        </w:tabs>
        <w:numPr>
          <w:ilvl w:val="0"/>
          <w:numId w:val="7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Pioneer mutant selective RAS(ON) inhibition across multiple genetically defined cancers. </w:t>
      </w:r>
      <w:r>
        <w:rPr>
          <w:rFonts w:ascii="Arial" w:cs="Arial" w:eastAsia="Arial" w:hAnsi="Arial"/>
          <w:sz w:val="16"/>
          <w:szCs w:val="16"/>
          <w:color w:val="auto"/>
        </w:rPr>
        <w:t>There are dozens of RAS mutants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been implicated as molecular drivers of cancer. We are developing a pipeline of small molecules targeting multiple oncogenic forms of RAS(ON) that are derived from our proprietary tri-complex technology platform. Initially, we will prioritize four mutant RAS(ON) targets— KRAS</w:t>
      </w:r>
      <w:r>
        <w:rPr>
          <w:rFonts w:ascii="Arial" w:cs="Arial" w:eastAsia="Arial" w:hAnsi="Arial"/>
          <w:sz w:val="10"/>
          <w:szCs w:val="10"/>
          <w:color w:val="auto"/>
        </w:rPr>
        <w:t>G12C</w:t>
      </w:r>
      <w:r>
        <w:rPr>
          <w:rFonts w:ascii="Arial" w:cs="Arial" w:eastAsia="Arial" w:hAnsi="Arial"/>
          <w:sz w:val="16"/>
          <w:szCs w:val="16"/>
          <w:color w:val="auto"/>
        </w:rPr>
        <w:t>, KRAS</w:t>
      </w:r>
      <w:r>
        <w:rPr>
          <w:rFonts w:ascii="Arial" w:cs="Arial" w:eastAsia="Arial" w:hAnsi="Arial"/>
          <w:sz w:val="10"/>
          <w:szCs w:val="10"/>
          <w:color w:val="auto"/>
        </w:rPr>
        <w:t>G13C</w:t>
      </w:r>
      <w:r>
        <w:rPr>
          <w:rFonts w:ascii="Arial" w:cs="Arial" w:eastAsia="Arial" w:hAnsi="Arial"/>
          <w:sz w:val="16"/>
          <w:szCs w:val="16"/>
          <w:color w:val="auto"/>
        </w:rPr>
        <w:t>, KRAS</w:t>
      </w:r>
      <w:r>
        <w:rPr>
          <w:rFonts w:ascii="Arial" w:cs="Arial" w:eastAsia="Arial" w:hAnsi="Arial"/>
          <w:sz w:val="10"/>
          <w:szCs w:val="10"/>
          <w:color w:val="auto"/>
        </w:rPr>
        <w:t>G12D</w:t>
      </w:r>
      <w:r>
        <w:rPr>
          <w:rFonts w:ascii="Arial" w:cs="Arial" w:eastAsia="Arial" w:hAnsi="Arial"/>
          <w:sz w:val="16"/>
          <w:szCs w:val="16"/>
          <w:color w:val="auto"/>
        </w:rPr>
        <w:t xml:space="preserve"> and NRAS</w:t>
      </w:r>
      <w:r>
        <w:rPr>
          <w:rFonts w:ascii="Arial" w:cs="Arial" w:eastAsia="Arial" w:hAnsi="Arial"/>
          <w:sz w:val="10"/>
          <w:szCs w:val="10"/>
          <w:color w:val="auto"/>
        </w:rPr>
        <w:t>G12C</w:t>
      </w:r>
      <w:r>
        <w:rPr>
          <w:rFonts w:ascii="Arial" w:cs="Arial" w:eastAsia="Arial" w:hAnsi="Arial"/>
          <w:sz w:val="16"/>
          <w:szCs w:val="16"/>
          <w:color w:val="auto"/>
        </w:rPr>
        <w:t>—and expect to nominate our first development candidate in 2020. We plan to evaluate our RAS(ON) inhibitors alone and in combination with other drugs and investigational new drugs, particularly in-pathway agents. We believe our ability to inhibit various oncogenic RAS(ON) mutants represents a highly differentiated approach for treating the large population of patients with diverse RAS mutations, including NSCLC, colorectal, pancreatic and other cancers.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00"/>
          </w:cols>
          <w:pgMar w:left="320" w:top="459" w:right="4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340" w:hanging="224"/>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Maximize the global value of our programs by continuing to execute synergistic and value-creating transactions. </w:t>
      </w:r>
      <w:r>
        <w:rPr>
          <w:rFonts w:ascii="Arial" w:cs="Arial" w:eastAsia="Arial" w:hAnsi="Arial"/>
          <w:sz w:val="18"/>
          <w:szCs w:val="18"/>
          <w:color w:val="auto"/>
        </w:rPr>
        <w:t>We have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organizational capabilities and resources to enable us to continue to complete value-creating transactions, such as our collaboration with Sanofi on SHP2 and our acquisition of Warp Drive. In the future, we may enter into other collaborations where we believe there is an opportunity to accelerate the development and commercialization of our product candidates while allowing us to retain meaningful rights in major markets. We may also seek to acquire or in-license product candidates or technologies opportunistically that are synergistic with our drug discovery and development efforts.</w:t>
      </w:r>
    </w:p>
    <w:p>
      <w:pPr>
        <w:spacing w:after="0" w:line="92" w:lineRule="exact"/>
        <w:rPr>
          <w:rFonts w:ascii="Arial" w:cs="Arial" w:eastAsia="Arial" w:hAnsi="Arial"/>
          <w:sz w:val="18"/>
          <w:szCs w:val="18"/>
          <w:color w:val="auto"/>
        </w:rPr>
      </w:pPr>
    </w:p>
    <w:p>
      <w:pPr>
        <w:ind w:left="340" w:right="100" w:hanging="224"/>
        <w:spacing w:after="0" w:line="244" w:lineRule="auto"/>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Maintain our culture of tireless commitment to patients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we grow our business, we will continue to apply transformative science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development of novel targeted therapies for patients suffering from cancers with limited therapeutic options. To accomplish this, we intend to continue building our team of qualified individuals who share our commitment to collaboration and scientific rigor in the development of novel therapies to outsmart cancer and improve the lives of patients.</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40"/>
          </w:cols>
          <w:pgMar w:left="320" w:top="459" w:right="5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auto"/>
        </w:rPr>
        <w:t>Our opportunity: unmet needs in cancers with driver mutations in notorious growth and survival pathways</w:t>
      </w:r>
    </w:p>
    <w:p>
      <w:pPr>
        <w:spacing w:after="0" w:line="1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Background</w:t>
      </w:r>
    </w:p>
    <w:p>
      <w:pPr>
        <w:spacing w:after="0" w:line="124"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The RAS and mTOR signaling cascades are among the most frequently exploited by human cancers. Cancer cells often carry mutations in proteins in these pathways that subvert normal cell growth and survival by causing excessive or aberrant signal transduction. These proteins can be directly or indirectly involved in signal transduction. For example, many tumors of different types exhibit excessive activation of the RAS signaling cascade as a result of mutations in RTKs, RAS, NF1 and/or RAF.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70485</wp:posOffset>
            </wp:positionV>
            <wp:extent cx="4714875" cy="39776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714875" cy="3977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120" w:right="240"/>
        <w:spacing w:after="0" w:line="299" w:lineRule="auto"/>
        <w:rPr>
          <w:sz w:val="20"/>
          <w:szCs w:val="20"/>
          <w:color w:val="auto"/>
        </w:rPr>
      </w:pPr>
      <w:r>
        <w:rPr>
          <w:rFonts w:ascii="Arial" w:cs="Arial" w:eastAsia="Arial" w:hAnsi="Arial"/>
          <w:sz w:val="16"/>
          <w:szCs w:val="16"/>
          <w:color w:val="auto"/>
        </w:rPr>
        <w:t>We have built a portfolio of compounds that inhibit select signaling nodes within the RAS and mTOR pathways. To date, our discovery and development efforts have focused on SHP2, RAS, SOS1 and mTORC1 (these targets are shaded dark green or blue in the figure above).</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SHP2</w:t>
      </w:r>
    </w:p>
    <w:p>
      <w:pPr>
        <w:spacing w:after="0" w:line="122"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SHP2 is a protein tyrosine phosphatase that plays a critical role in the transduction of intracellular signals downstream of a wide variety of RTK growth factor receptors to promote cell survival and growth. SHP2 acts as a central signaling node that regulates growth signals within normal cells and, in certain circumstances, cancer cells. Some mutant forms of RAS, such as KRAS</w:t>
      </w:r>
      <w:r>
        <w:rPr>
          <w:rFonts w:ascii="Arial" w:cs="Arial" w:eastAsia="Arial" w:hAnsi="Arial"/>
          <w:sz w:val="11"/>
          <w:szCs w:val="11"/>
          <w:color w:val="auto"/>
        </w:rPr>
        <w:t>G12C</w:t>
      </w:r>
      <w:r>
        <w:rPr>
          <w:rFonts w:ascii="Arial" w:cs="Arial" w:eastAsia="Arial" w:hAnsi="Arial"/>
          <w:sz w:val="18"/>
          <w:szCs w:val="18"/>
          <w:color w:val="auto"/>
        </w:rPr>
        <w:t xml:space="preserve"> and KRAS</w:t>
      </w:r>
      <w:r>
        <w:rPr>
          <w:rFonts w:ascii="Arial" w:cs="Arial" w:eastAsia="Arial" w:hAnsi="Arial"/>
          <w:sz w:val="11"/>
          <w:szCs w:val="11"/>
          <w:color w:val="auto"/>
        </w:rPr>
        <w:t>G12A</w:t>
      </w:r>
      <w:r>
        <w:rPr>
          <w:rFonts w:ascii="Arial" w:cs="Arial" w:eastAsia="Arial" w:hAnsi="Arial"/>
          <w:sz w:val="18"/>
          <w:szCs w:val="18"/>
          <w:color w:val="auto"/>
        </w:rPr>
        <w:t>, exert their oncogenic effects by amplifying or exaggerating normal RTK-mediated growth signals transmitted via SHP2, and as a result they can be</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60"/>
          </w:cols>
          <w:pgMar w:left="320" w:top="459" w:right="51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00"/>
        <w:spacing w:after="0" w:line="237" w:lineRule="auto"/>
        <w:rPr>
          <w:sz w:val="20"/>
          <w:szCs w:val="20"/>
          <w:color w:val="auto"/>
        </w:rPr>
      </w:pPr>
      <w:r>
        <w:rPr>
          <w:rFonts w:ascii="Arial" w:cs="Arial" w:eastAsia="Arial" w:hAnsi="Arial"/>
          <w:sz w:val="18"/>
          <w:szCs w:val="18"/>
          <w:color w:val="auto"/>
        </w:rPr>
        <w:t>suppressed by inhibiting SHP2. There are other cancer-causing mutations that result in, or are dependent upon, activation of wild-type RAS and are likewise dependent on SHP2, including amplification of wild-type RAS or mutations in the gene encoding the GTPase-activating protein (GAP) neurofibromin 1 (NF1) which reduce activity of NF1 (so called NF1 loss-of-function or NF1</w:t>
      </w:r>
      <w:r>
        <w:rPr>
          <w:rFonts w:ascii="Arial" w:cs="Arial" w:eastAsia="Arial" w:hAnsi="Arial"/>
          <w:sz w:val="11"/>
          <w:szCs w:val="11"/>
          <w:color w:val="auto"/>
        </w:rPr>
        <w:t>LOF</w:t>
      </w:r>
      <w:r>
        <w:rPr>
          <w:rFonts w:ascii="Arial" w:cs="Arial" w:eastAsia="Arial" w:hAnsi="Arial"/>
          <w:sz w:val="18"/>
          <w:szCs w:val="18"/>
          <w:color w:val="auto"/>
        </w:rPr>
        <w:t>), and class 3 mutations in the downstream effector BRAF (BRAF</w:t>
      </w:r>
      <w:r>
        <w:rPr>
          <w:rFonts w:ascii="Arial" w:cs="Arial" w:eastAsia="Arial" w:hAnsi="Arial"/>
          <w:sz w:val="11"/>
          <w:szCs w:val="11"/>
          <w:color w:val="auto"/>
        </w:rPr>
        <w:t>Class3</w:t>
      </w:r>
      <w:r>
        <w:rPr>
          <w:rFonts w:ascii="Arial" w:cs="Arial" w:eastAsia="Arial" w:hAnsi="Arial"/>
          <w:sz w:val="18"/>
          <w:szCs w:val="18"/>
          <w:color w:val="auto"/>
        </w:rPr>
        <w:t>).</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RAS</w:t>
      </w:r>
    </w:p>
    <w:p>
      <w:pPr>
        <w:spacing w:after="0" w:line="122"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RAS proteins drive normal cell proliferation, differentiation and survival in response to growth factors acting through RTKs, and they can also be direct drivers of cancer. Normally RAS proteins cycle between an inactive form (RAS(OFF)), which is bound to GDP and unable to transmit signals, and an active conformation (RAS(ON)), which is induced upon binding GTP in response to growth factor receptor stimulation, causing it to become competent to interact physically with downstream effector proteins such as RAF. The magnitude of cell signals transmitted by the RAS activation cycle is proportional to the intracellular level of RAS(ON). In a healthy, normal cell RAS(ON) represents a small fraction of the total RAS pool within a cell. Signals arising from RTKs upstream of the RAS cycle act through SHP2 to promote the substitution of GTP for GDP in association with RAS, thereby increasing RAS(ON) levels. In cancers with abnormally elevated RTK activity, increased signaling via the RAS activation cycle is a major driver of tumor cell growth. Likewise, oncogenic mutations of RAS itself result in a significant slowing of the enzymatic conversion of RAS-bound GTP to GDP and thus drive cancer by raising RAS(ON) significantly above normal levels. In some cells harboring a KRAS</w:t>
      </w:r>
      <w:r>
        <w:rPr>
          <w:rFonts w:ascii="Arial" w:cs="Arial" w:eastAsia="Arial" w:hAnsi="Arial"/>
          <w:sz w:val="11"/>
          <w:szCs w:val="11"/>
          <w:color w:val="auto"/>
        </w:rPr>
        <w:t>G12C</w:t>
      </w:r>
      <w:r>
        <w:rPr>
          <w:rFonts w:ascii="Arial" w:cs="Arial" w:eastAsia="Arial" w:hAnsi="Arial"/>
          <w:sz w:val="18"/>
          <w:szCs w:val="18"/>
          <w:color w:val="auto"/>
        </w:rPr>
        <w:t xml:space="preserve"> mutation, 80% or more of cellular KRAS</w:t>
      </w:r>
      <w:r>
        <w:rPr>
          <w:rFonts w:ascii="Arial" w:cs="Arial" w:eastAsia="Arial" w:hAnsi="Arial"/>
          <w:sz w:val="11"/>
          <w:szCs w:val="11"/>
          <w:color w:val="auto"/>
        </w:rPr>
        <w:t>G12C</w:t>
      </w:r>
      <w:r>
        <w:rPr>
          <w:rFonts w:ascii="Arial" w:cs="Arial" w:eastAsia="Arial" w:hAnsi="Arial"/>
          <w:sz w:val="18"/>
          <w:szCs w:val="18"/>
          <w:color w:val="auto"/>
        </w:rPr>
        <w:t xml:space="preserve"> is in the GTP-bound state (RAS(ON)), representing a &gt;15-fold increase compared to wild-type KRAS. As a general principle, RAS-dependent cancer cells exploit a high level of RAS(ON) for continued survival and growth.</w:t>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SOS1</w:t>
      </w:r>
    </w:p>
    <w:p>
      <w:pPr>
        <w:spacing w:after="0" w:line="122" w:lineRule="exact"/>
        <w:rPr>
          <w:sz w:val="20"/>
          <w:szCs w:val="20"/>
          <w:color w:val="auto"/>
        </w:rPr>
      </w:pPr>
    </w:p>
    <w:p>
      <w:pPr>
        <w:ind w:left="120" w:right="180"/>
        <w:spacing w:after="0" w:line="236" w:lineRule="auto"/>
        <w:rPr>
          <w:sz w:val="20"/>
          <w:szCs w:val="20"/>
          <w:color w:val="auto"/>
        </w:rPr>
      </w:pPr>
      <w:r>
        <w:rPr>
          <w:rFonts w:ascii="Arial" w:cs="Arial" w:eastAsia="Arial" w:hAnsi="Arial"/>
          <w:sz w:val="18"/>
          <w:szCs w:val="18"/>
          <w:color w:val="auto"/>
        </w:rPr>
        <w:t>SOS1 is a member of a family of proteins that activate RAS. SOS1 directly activates RAS proteins by promoting the release of tightly bound GDP and facilitating the binding of GTP, which is present at a much higher intracellular concentrations than GDP, to generate RAS(ON). SOS1 itself is activated by RAS through the binding of RAS(ON) to an allosteric site on the SOS1 protein. As a result, there is a positive feedback loop between SOS1 and RAS that increases RAS signaling. The activation of RAS by SOS1 is ‘processive’; that is, once a single molecule of SOS1 is activated it can sequentially activate multiple RAS molecules until it eventually becomes inactive.</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4EBP1/mTORC1</w:t>
      </w:r>
    </w:p>
    <w:p>
      <w:pPr>
        <w:spacing w:after="0" w:line="122"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mTORC1 and mTORC2 are large protein complexes that share mTOR kinase but contain distinct additional components and cellular functions. mTORC1 is a critical regulator of metabolism, growth and proliferation within cells, including cancer cells. Two of the main substrates of mTORC1 are eukaryotic initiation factor 4E-binding protein 1 (4EBP1) and ribosomal S6 kinase (S6K). Under resting conditions non-phosphorylated 4EBP1 functions as a suppressor of the translation of proteins that are required for cell growth, proliferation and survival. Phosphorylation of 4EBP1 by activated mTORC1 inhibits this suppressive regulatory function and thereby upregulates translation of these proteins. One of the most important proteins regulated by 4EBP1 is the oncogenic protein C-MYC, which for many years has been thought to be central to cancer cell growth and survival. The abnormal activation of mTORC1, and subsequent inactivation of the tumor suppressor 4EBP1, is a mechanism that is frequently harnessed by cancer cells to gain a growth and proliferation advantage over normal cells. A number of upstream proteins in the mTOR signaling pathway that regulate mTORC1 activity are frequently mutated, or deleted, in cancer cells, resulting in increased activation of mTORC1 and upregulation of translation; these targets of mutation include PTEN, PI3 kinase (PI3K) and hamartin (TSC1) and tuberin (TSC2).</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RAS mutant epidemiology in the United States</w:t>
      </w:r>
    </w:p>
    <w:p>
      <w:pPr>
        <w:spacing w:after="0" w:line="122" w:lineRule="exact"/>
        <w:rPr>
          <w:sz w:val="20"/>
          <w:szCs w:val="20"/>
          <w:color w:val="auto"/>
        </w:rPr>
      </w:pPr>
    </w:p>
    <w:p>
      <w:pPr>
        <w:ind w:left="120" w:right="220"/>
        <w:spacing w:after="0" w:line="237" w:lineRule="auto"/>
        <w:rPr>
          <w:sz w:val="20"/>
          <w:szCs w:val="20"/>
          <w:color w:val="auto"/>
        </w:rPr>
      </w:pPr>
      <w:r>
        <w:rPr>
          <w:rFonts w:ascii="Arial" w:cs="Arial" w:eastAsia="Arial" w:hAnsi="Arial"/>
          <w:sz w:val="18"/>
          <w:szCs w:val="18"/>
          <w:color w:val="auto"/>
        </w:rPr>
        <w:t>Mutations in RAS proteins account for approximately 30% of all human cancers, many of which are fatal. The table below summarizes the frequency of RAS cancer mutations in the United States. There continues to be a high unmet medical need for patients bearing tumors with these mutations. We believe our programs, including our SHP2, RAS and SOS1 inhibitors, may be useful in addressing this unmet medical need.</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Projected number of new cases in 2019 in the United States (frequency % shown in parentheses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83820</wp:posOffset>
            </wp:positionV>
            <wp:extent cx="5194935" cy="17227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94935"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40" w:hanging="324"/>
        <w:spacing w:after="0"/>
        <w:tabs>
          <w:tab w:leader="none" w:pos="440" w:val="left"/>
        </w:tabs>
        <w:numPr>
          <w:ilvl w:val="0"/>
          <w:numId w:val="74"/>
        </w:numPr>
        <w:rPr>
          <w:rFonts w:ascii="Arial" w:cs="Arial" w:eastAsia="Arial" w:hAnsi="Arial"/>
          <w:sz w:val="13"/>
          <w:szCs w:val="13"/>
          <w:color w:val="auto"/>
        </w:rPr>
      </w:pPr>
      <w:r>
        <w:rPr>
          <w:rFonts w:ascii="Arial" w:cs="Arial" w:eastAsia="Arial" w:hAnsi="Arial"/>
          <w:sz w:val="13"/>
          <w:szCs w:val="13"/>
          <w:color w:val="auto"/>
        </w:rPr>
        <w:t>NSCLC = Non-small cell lung cancer; Adeno = adenocarcinoma; AML = Acute myeloid leukemia.</w:t>
      </w:r>
    </w:p>
    <w:p>
      <w:pPr>
        <w:spacing w:after="0" w:line="67" w:lineRule="exact"/>
        <w:rPr>
          <w:sz w:val="20"/>
          <w:szCs w:val="20"/>
          <w:color w:val="auto"/>
        </w:rPr>
      </w:pPr>
    </w:p>
    <w:p>
      <w:pPr>
        <w:ind w:left="440" w:right="200" w:hanging="324"/>
        <w:spacing w:after="0" w:line="258" w:lineRule="auto"/>
        <w:tabs>
          <w:tab w:leader="none" w:pos="440" w:val="left"/>
        </w:tabs>
        <w:numPr>
          <w:ilvl w:val="0"/>
          <w:numId w:val="75"/>
        </w:numPr>
        <w:rPr>
          <w:rFonts w:ascii="Arial" w:cs="Arial" w:eastAsia="Arial" w:hAnsi="Arial"/>
          <w:sz w:val="13"/>
          <w:szCs w:val="13"/>
          <w:color w:val="auto"/>
        </w:rPr>
      </w:pPr>
      <w:r>
        <w:rPr>
          <w:rFonts w:ascii="Arial" w:cs="Arial" w:eastAsia="Arial" w:hAnsi="Arial"/>
          <w:sz w:val="13"/>
          <w:szCs w:val="13"/>
          <w:color w:val="auto"/>
        </w:rPr>
        <w:t>Data are based on projections from the National Cancer Institute’s SEER Program for new cases of lung cancer, colorectal cancer, pancreatic cancer, AML and other cancers in 2019 and estimates from the American Cancer Society of the incidence of NSCLC and adenocarcinoma in lung cancer cases.</w:t>
      </w:r>
    </w:p>
    <w:p>
      <w:pPr>
        <w:spacing w:after="0" w:line="43" w:lineRule="exact"/>
        <w:rPr>
          <w:sz w:val="20"/>
          <w:szCs w:val="20"/>
          <w:color w:val="auto"/>
        </w:rPr>
      </w:pPr>
    </w:p>
    <w:p>
      <w:pPr>
        <w:ind w:left="440" w:hanging="324"/>
        <w:spacing w:after="0" w:line="258" w:lineRule="auto"/>
        <w:tabs>
          <w:tab w:leader="none" w:pos="440" w:val="left"/>
        </w:tabs>
        <w:numPr>
          <w:ilvl w:val="0"/>
          <w:numId w:val="76"/>
        </w:numPr>
        <w:rPr>
          <w:rFonts w:ascii="Arial" w:cs="Arial" w:eastAsia="Arial" w:hAnsi="Arial"/>
          <w:sz w:val="13"/>
          <w:szCs w:val="13"/>
          <w:color w:val="auto"/>
        </w:rPr>
      </w:pPr>
      <w:r>
        <w:rPr>
          <w:rFonts w:ascii="Arial" w:cs="Arial" w:eastAsia="Arial" w:hAnsi="Arial"/>
          <w:sz w:val="13"/>
          <w:szCs w:val="13"/>
          <w:color w:val="auto"/>
        </w:rPr>
        <w:t>Reflects our estimate of projected number of cases in 2019 by RAS protein mutation for each cancer histotype indicated. Estimated frequency percentages (shown in parentheses) of RAS protein mutation in applicable histotype are based on data obtained from Foundation Medicine, Inc., applied to data described in footnote † above.</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Limitations of approved drugs treating RAS-dependent cancers and our opportunity</w:t>
      </w:r>
    </w:p>
    <w:p>
      <w:pPr>
        <w:spacing w:after="0" w:line="124"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A major goal in contemporary oncology treatment is to replace relatively unselective chemotherapy regimens—which in many cases remain the standard of care today but provide only partial benefit with many side effects—with more effective and better tolerated targeted therapeutic options. Targeted therapies directed against RAS-dependent cancers, which include drugs that inhibit RTKs, RAF and MEK, have been approved for use in lung cancer, melanoma and colorectal cancer. These targeted therapies have shown the capacity to drive deeper and more durable responses than conventional chemotherapy regimens while minimizing unwanted side effects and damage to normal tissues.</w:t>
      </w:r>
    </w:p>
    <w:p>
      <w:pPr>
        <w:spacing w:after="0" w:line="102" w:lineRule="exact"/>
        <w:rPr>
          <w:sz w:val="20"/>
          <w:szCs w:val="20"/>
          <w:color w:val="auto"/>
        </w:rPr>
      </w:pPr>
    </w:p>
    <w:p>
      <w:pPr>
        <w:jc w:val="both"/>
        <w:ind w:left="120" w:right="100"/>
        <w:spacing w:after="0" w:line="238" w:lineRule="auto"/>
        <w:rPr>
          <w:sz w:val="20"/>
          <w:szCs w:val="20"/>
          <w:color w:val="auto"/>
        </w:rPr>
      </w:pPr>
      <w:r>
        <w:rPr>
          <w:rFonts w:ascii="Arial" w:cs="Arial" w:eastAsia="Arial" w:hAnsi="Arial"/>
          <w:sz w:val="18"/>
          <w:szCs w:val="18"/>
          <w:color w:val="auto"/>
        </w:rPr>
        <w:t xml:space="preserve">Two treatment gaps remain in RAS-dependent cancers. First, several oncogenic proteins are not addressed by current targeted therapies, or </w:t>
      </w:r>
      <w:r>
        <w:rPr>
          <w:rFonts w:ascii="Arial" w:cs="Arial" w:eastAsia="Arial" w:hAnsi="Arial"/>
          <w:sz w:val="18"/>
          <w:szCs w:val="18"/>
          <w:i w:val="1"/>
          <w:iCs w:val="1"/>
          <w:color w:val="auto"/>
        </w:rPr>
        <w:t xml:space="preserve">frontier </w:t>
      </w:r>
      <w:r>
        <w:rPr>
          <w:rFonts w:ascii="Arial" w:cs="Arial" w:eastAsia="Arial" w:hAnsi="Arial"/>
          <w:sz w:val="18"/>
          <w:szCs w:val="18"/>
          <w:color w:val="auto"/>
        </w:rPr>
        <w:t>targets. Second, cancers driven by oncogenic proteins that are addressed by current targeted therapies often progress in the face of</w:t>
      </w:r>
      <w:r>
        <w:rPr>
          <w:rFonts w:ascii="Arial" w:cs="Arial" w:eastAsia="Arial" w:hAnsi="Arial"/>
          <w:sz w:val="18"/>
          <w:szCs w:val="18"/>
          <w:i w:val="1"/>
          <w:iCs w:val="1"/>
          <w:color w:val="auto"/>
        </w:rPr>
        <w:t xml:space="preserve"> </w:t>
      </w:r>
      <w:r>
        <w:rPr>
          <w:rFonts w:ascii="Arial" w:cs="Arial" w:eastAsia="Arial" w:hAnsi="Arial"/>
          <w:sz w:val="18"/>
          <w:szCs w:val="18"/>
          <w:color w:val="auto"/>
        </w:rPr>
        <w:t>drug therapy due to adaptive resistance mechanisms.</w:t>
      </w:r>
    </w:p>
    <w:p>
      <w:pPr>
        <w:spacing w:after="0" w:line="82" w:lineRule="exact"/>
        <w:rPr>
          <w:sz w:val="20"/>
          <w:szCs w:val="20"/>
          <w:color w:val="auto"/>
        </w:rPr>
      </w:pPr>
    </w:p>
    <w:p>
      <w:pPr>
        <w:ind w:left="120" w:right="160"/>
        <w:spacing w:after="0" w:line="239" w:lineRule="auto"/>
        <w:rPr>
          <w:sz w:val="20"/>
          <w:szCs w:val="20"/>
          <w:color w:val="auto"/>
        </w:rPr>
      </w:pPr>
      <w:r>
        <w:rPr>
          <w:rFonts w:ascii="Arial" w:cs="Arial" w:eastAsia="Arial" w:hAnsi="Arial"/>
          <w:sz w:val="18"/>
          <w:szCs w:val="18"/>
          <w:color w:val="auto"/>
        </w:rPr>
        <w:t xml:space="preserve">Specific examples of </w:t>
      </w:r>
      <w:r>
        <w:rPr>
          <w:rFonts w:ascii="Arial" w:cs="Arial" w:eastAsia="Arial" w:hAnsi="Arial"/>
          <w:sz w:val="18"/>
          <w:szCs w:val="18"/>
          <w:i w:val="1"/>
          <w:iCs w:val="1"/>
          <w:color w:val="auto"/>
        </w:rPr>
        <w:t>frontier</w:t>
      </w:r>
      <w:r>
        <w:rPr>
          <w:rFonts w:ascii="Arial" w:cs="Arial" w:eastAsia="Arial" w:hAnsi="Arial"/>
          <w:sz w:val="18"/>
          <w:szCs w:val="18"/>
          <w:color w:val="auto"/>
        </w:rPr>
        <w:t xml:space="preserve"> cancer drivers are RAS, NF1, and selected RAF mutants (BRAF</w:t>
      </w:r>
      <w:r>
        <w:rPr>
          <w:rFonts w:ascii="Arial" w:cs="Arial" w:eastAsia="Arial" w:hAnsi="Arial"/>
          <w:sz w:val="11"/>
          <w:szCs w:val="11"/>
          <w:color w:val="auto"/>
        </w:rPr>
        <w:t>Class3</w:t>
      </w:r>
      <w:r>
        <w:rPr>
          <w:rFonts w:ascii="Arial" w:cs="Arial" w:eastAsia="Arial" w:hAnsi="Arial"/>
          <w:sz w:val="18"/>
          <w:szCs w:val="18"/>
          <w:color w:val="auto"/>
        </w:rPr>
        <w:t>). Historically, direct inhibition of any RAS protein has been challenging due to a lack of tractable, or “druggable,” binding pockets. Recently reported initial clinical results from a RAS(OFF) inhibitor targeting mutant KRAS</w:t>
      </w:r>
      <w:r>
        <w:rPr>
          <w:rFonts w:ascii="Arial" w:cs="Arial" w:eastAsia="Arial" w:hAnsi="Arial"/>
          <w:sz w:val="11"/>
          <w:szCs w:val="11"/>
          <w:color w:val="auto"/>
        </w:rPr>
        <w:t>G12C</w:t>
      </w:r>
      <w:r>
        <w:rPr>
          <w:rFonts w:ascii="Arial" w:cs="Arial" w:eastAsia="Arial" w:hAnsi="Arial"/>
          <w:sz w:val="18"/>
          <w:szCs w:val="18"/>
          <w:color w:val="auto"/>
        </w:rPr>
        <w:t xml:space="preserve"> suggest significant clinical benefit and provide strong pharmacologic validation of this oncoprotein as a cancer driver. These results, along with other preclinical data, provide a compelling basis for our commitment to targeting oncogenic mutant forms of RAS(ON). We are using our innovation engine to develop a portfolio of mutant-selective RAS(ON) inhibitors and, initially, we will prioritize four mutant RAS(ON) targets—KRAS</w:t>
      </w:r>
      <w:r>
        <w:rPr>
          <w:rFonts w:ascii="Arial" w:cs="Arial" w:eastAsia="Arial" w:hAnsi="Arial"/>
          <w:sz w:val="11"/>
          <w:szCs w:val="11"/>
          <w:color w:val="auto"/>
        </w:rPr>
        <w:t>G12C</w:t>
      </w:r>
      <w:r>
        <w:rPr>
          <w:rFonts w:ascii="Arial" w:cs="Arial" w:eastAsia="Arial" w:hAnsi="Arial"/>
          <w:sz w:val="18"/>
          <w:szCs w:val="18"/>
          <w:color w:val="auto"/>
        </w:rPr>
        <w:t>, KRAS</w:t>
      </w:r>
      <w:r>
        <w:rPr>
          <w:rFonts w:ascii="Arial" w:cs="Arial" w:eastAsia="Arial" w:hAnsi="Arial"/>
          <w:sz w:val="11"/>
          <w:szCs w:val="11"/>
          <w:color w:val="auto"/>
        </w:rPr>
        <w:t>G13C</w:t>
      </w:r>
      <w:r>
        <w:rPr>
          <w:rFonts w:ascii="Arial" w:cs="Arial" w:eastAsia="Arial" w:hAnsi="Arial"/>
          <w:sz w:val="18"/>
          <w:szCs w:val="18"/>
          <w:color w:val="auto"/>
        </w:rPr>
        <w:t>, KRAS</w:t>
      </w:r>
      <w:r>
        <w:rPr>
          <w:rFonts w:ascii="Arial" w:cs="Arial" w:eastAsia="Arial" w:hAnsi="Arial"/>
          <w:sz w:val="11"/>
          <w:szCs w:val="11"/>
          <w:color w:val="auto"/>
        </w:rPr>
        <w:t>G12D</w:t>
      </w:r>
      <w:r>
        <w:rPr>
          <w:rFonts w:ascii="Arial" w:cs="Arial" w:eastAsia="Arial" w:hAnsi="Arial"/>
          <w:sz w:val="18"/>
          <w:szCs w:val="18"/>
          <w:color w:val="auto"/>
        </w:rPr>
        <w:t xml:space="preserve"> and NRAS</w:t>
      </w:r>
      <w:r>
        <w:rPr>
          <w:rFonts w:ascii="Arial" w:cs="Arial" w:eastAsia="Arial" w:hAnsi="Arial"/>
          <w:sz w:val="11"/>
          <w:szCs w:val="11"/>
          <w:color w:val="auto"/>
        </w:rPr>
        <w:t>G12C</w:t>
      </w:r>
      <w:r>
        <w:rPr>
          <w:rFonts w:ascii="Arial" w:cs="Arial" w:eastAsia="Arial" w:hAnsi="Arial"/>
          <w:sz w:val="18"/>
          <w:szCs w:val="18"/>
          <w:color w:val="auto"/>
        </w:rPr>
        <w:t>.</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A common source of treatment failure with existing targeted therapies is that cancer cells exhibiting “oncogene addiction” exploit cell signaling circuitry to bypass the drug’s effect and sustain growth and survival. This phenomenon is particularly well recognized in RAS-dependent cancers, and may be especially active in certain tumor histotypes, making them less sensitive to a drug from the outset and/or more likely to progress over time. Certain RAS-dependent cancers have been effectively treated with two RAS pathway targeted agents to achieve combinatorial benefit by attenuating adaptive resistance mechanisms. For example, melanomas driven by BRAF</w:t>
      </w:r>
      <w:r>
        <w:rPr>
          <w:rFonts w:ascii="Arial" w:cs="Arial" w:eastAsia="Arial" w:hAnsi="Arial"/>
          <w:sz w:val="11"/>
          <w:szCs w:val="11"/>
          <w:color w:val="auto"/>
        </w:rPr>
        <w:t>Class1</w:t>
      </w:r>
      <w:r>
        <w:rPr>
          <w:rFonts w:ascii="Arial" w:cs="Arial" w:eastAsia="Arial" w:hAnsi="Arial"/>
          <w:sz w:val="18"/>
          <w:szCs w:val="18"/>
          <w:color w:val="auto"/>
        </w:rPr>
        <w:t xml:space="preserve"> mutations can be treated with a combination of a BRAF inhibitor and a MEK inhibitor. We have substantial preclinical evidence that SHP2 is a central node that can be targeted to disrupt bypass signaling pathways that may involve activation of multiple RTKs. Therefore, we believe RMC-4630, a potent and selective inhibitor of SHP2, is well positioned to become the backbone of targeted therapy combinations for the treatment of various RAS-dependent tumors, and plan to explore this paradigm in our ongoing RMC-4630 clinical program.</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are using our innovation engine to develop novel targeted therapies and combination regimens to address these treatment gaps.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Our innovation engine</w:t>
      </w:r>
    </w:p>
    <w:p>
      <w:pPr>
        <w:spacing w:after="0" w:line="116"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color w:val="auto"/>
        </w:rPr>
        <w:t xml:space="preserve">We have built an innovation engine that enables us to discover and develop novel targeted therapies for elusive high-value </w:t>
      </w:r>
      <w:r>
        <w:rPr>
          <w:rFonts w:ascii="Arial" w:cs="Arial" w:eastAsia="Arial" w:hAnsi="Arial"/>
          <w:sz w:val="18"/>
          <w:szCs w:val="18"/>
          <w:i w:val="1"/>
          <w:iCs w:val="1"/>
          <w:color w:val="auto"/>
        </w:rPr>
        <w:t>frontier</w:t>
      </w:r>
      <w:r>
        <w:rPr>
          <w:rFonts w:ascii="Arial" w:cs="Arial" w:eastAsia="Arial" w:hAnsi="Arial"/>
          <w:sz w:val="18"/>
          <w:szCs w:val="18"/>
          <w:color w:val="auto"/>
        </w:rPr>
        <w:t xml:space="preserve"> cancer targets with particular focus on a cohesive set of disease targets within notorious growth and survival pathways. This engine consists of three complementary drivers:</w:t>
      </w:r>
    </w:p>
    <w:p>
      <w:pPr>
        <w:spacing w:after="0" w:line="86" w:lineRule="exact"/>
        <w:rPr>
          <w:sz w:val="20"/>
          <w:szCs w:val="20"/>
          <w:color w:val="auto"/>
        </w:rPr>
      </w:pPr>
    </w:p>
    <w:p>
      <w:pPr>
        <w:ind w:left="340" w:right="260" w:hanging="224"/>
        <w:spacing w:after="0" w:line="264" w:lineRule="auto"/>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Deep </w:t>
      </w:r>
      <w:r>
        <w:rPr>
          <w:rFonts w:ascii="Arial" w:cs="Arial" w:eastAsia="Arial" w:hAnsi="Arial"/>
          <w:sz w:val="18"/>
          <w:szCs w:val="18"/>
          <w:b w:val="1"/>
          <w:bCs w:val="1"/>
          <w:color w:val="auto"/>
        </w:rPr>
        <w:t>chemical biology and cancer pharmacology know-how</w:t>
      </w:r>
      <w:r>
        <w:rPr>
          <w:rFonts w:ascii="Arial" w:cs="Arial" w:eastAsia="Arial" w:hAnsi="Arial"/>
          <w:sz w:val="18"/>
          <w:szCs w:val="18"/>
          <w:color w:val="auto"/>
        </w:rPr>
        <w:t>, including assays and proprietary tool compounds, to define the critical vulnerabilities of “frontier” RAS and mTOR pathway targets and associated signaling circuits in cancer cells;</w:t>
      </w:r>
    </w:p>
    <w:p>
      <w:pPr>
        <w:spacing w:after="0" w:line="71" w:lineRule="exact"/>
        <w:rPr>
          <w:rFonts w:ascii="Arial" w:cs="Arial" w:eastAsia="Arial" w:hAnsi="Arial"/>
          <w:sz w:val="18"/>
          <w:szCs w:val="18"/>
          <w:color w:val="auto"/>
        </w:rPr>
      </w:pPr>
    </w:p>
    <w:p>
      <w:pPr>
        <w:ind w:left="340" w:right="540" w:hanging="224"/>
        <w:spacing w:after="0" w:line="264" w:lineRule="auto"/>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Sophisticated </w:t>
      </w:r>
      <w:r>
        <w:rPr>
          <w:rFonts w:ascii="Arial" w:cs="Arial" w:eastAsia="Arial" w:hAnsi="Arial"/>
          <w:sz w:val="18"/>
          <w:szCs w:val="18"/>
          <w:b w:val="1"/>
          <w:bCs w:val="1"/>
          <w:color w:val="auto"/>
        </w:rPr>
        <w:t>structure-based drug discovery capabilities</w:t>
      </w:r>
      <w:r>
        <w:rPr>
          <w:rFonts w:ascii="Arial" w:cs="Arial" w:eastAsia="Arial" w:hAnsi="Arial"/>
          <w:sz w:val="18"/>
          <w:szCs w:val="18"/>
          <w:color w:val="auto"/>
        </w:rPr>
        <w:t xml:space="preserve">, including proven </w:t>
      </w:r>
      <w:r>
        <w:rPr>
          <w:rFonts w:ascii="Arial" w:cs="Arial" w:eastAsia="Arial" w:hAnsi="Arial"/>
          <w:sz w:val="18"/>
          <w:szCs w:val="18"/>
          <w:b w:val="1"/>
          <w:bCs w:val="1"/>
          <w:color w:val="auto"/>
        </w:rPr>
        <w:t>access to complex chemical space</w:t>
      </w:r>
      <w:r>
        <w:rPr>
          <w:rFonts w:ascii="Arial" w:cs="Arial" w:eastAsia="Arial" w:hAnsi="Arial"/>
          <w:sz w:val="18"/>
          <w:szCs w:val="18"/>
          <w:color w:val="auto"/>
        </w:rPr>
        <w:t>, to create drug candidates tailored to unconventional binding sites on elusive cancer targets; and</w:t>
      </w:r>
    </w:p>
    <w:p>
      <w:pPr>
        <w:spacing w:after="0" w:line="71" w:lineRule="exact"/>
        <w:rPr>
          <w:rFonts w:ascii="Arial" w:cs="Arial" w:eastAsia="Arial" w:hAnsi="Arial"/>
          <w:sz w:val="18"/>
          <w:szCs w:val="18"/>
          <w:color w:val="auto"/>
        </w:rPr>
      </w:pPr>
    </w:p>
    <w:p>
      <w:pPr>
        <w:ind w:left="340" w:right="540" w:hanging="224"/>
        <w:spacing w:after="0" w:line="327" w:lineRule="auto"/>
        <w:tabs>
          <w:tab w:leader="none" w:pos="3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Astute </w:t>
      </w:r>
      <w:r>
        <w:rPr>
          <w:rFonts w:ascii="Arial" w:cs="Arial" w:eastAsia="Arial" w:hAnsi="Arial"/>
          <w:sz w:val="16"/>
          <w:szCs w:val="16"/>
          <w:b w:val="1"/>
          <w:bCs w:val="1"/>
          <w:color w:val="auto"/>
        </w:rPr>
        <w:t>precision medicine approach</w:t>
      </w:r>
      <w:r>
        <w:rPr>
          <w:rFonts w:ascii="Arial" w:cs="Arial" w:eastAsia="Arial" w:hAnsi="Arial"/>
          <w:sz w:val="16"/>
          <w:szCs w:val="16"/>
          <w:color w:val="auto"/>
        </w:rPr>
        <w:t>, embracing patient selection and innovative single agent and combination drug regimens, to translate our preclinical insights into clinical benefit for patients with genetically-defined cancers that are addicted to these pathways.</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chemical biology and cancer pharmacology know-how</w:t>
      </w:r>
    </w:p>
    <w:p>
      <w:pPr>
        <w:spacing w:after="0" w:line="106" w:lineRule="exact"/>
        <w:rPr>
          <w:sz w:val="20"/>
          <w:szCs w:val="20"/>
          <w:color w:val="auto"/>
        </w:rPr>
      </w:pPr>
    </w:p>
    <w:p>
      <w:pPr>
        <w:ind w:left="120" w:right="40"/>
        <w:spacing w:after="0" w:line="275" w:lineRule="auto"/>
        <w:rPr>
          <w:sz w:val="20"/>
          <w:szCs w:val="20"/>
          <w:color w:val="auto"/>
        </w:rPr>
      </w:pPr>
      <w:r>
        <w:rPr>
          <w:rFonts w:ascii="Arial" w:cs="Arial" w:eastAsia="Arial" w:hAnsi="Arial"/>
          <w:sz w:val="16"/>
          <w:szCs w:val="16"/>
          <w:color w:val="auto"/>
        </w:rPr>
        <w:t xml:space="preserve">We test our inhibitors across a diverse set of human cancer cell and patient-derived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and/or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models of cancer. This is complemented by targeted implementation of bioinformatics and functional genomics. The biological insights we generate help us to unravel the complex molecular circuitry in human cancers. We also explore mechanisms of adaptive resistance that RAS-addicted cancer cells use to circumvent inhibition of the pathway, and develop innovative mechanism-based dosing paradigms and rational in-pathway combinations with our proprietary compounds and/or other agents. We evaluate such dosing and combination approaches in our preclinical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models to define their pharmacologic opportunities and limitations, and to prioritize therapeutic strategies for translation to the clinic.</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structure-based drug discovery capabilities</w:t>
      </w:r>
    </w:p>
    <w:p>
      <w:pPr>
        <w:spacing w:after="0" w:line="124"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We enlist various technologies and capabilities that give us chemical access to challenging sites that are generally not accessible using conventional small molecule drug discovery approaches. For each target, we consider the specific structural, physico-chemical, functional and dynamic properties of the target and deploy the approach(es) that appears most likely to yield viable development candidates. In some instances the</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compounds we discover and develop are small molecules (e.g., less than 500 mw) with properties that generally satisfy conventional pharmaceutical “Rule of 5” criteria, while in other cases, they are larger (e.g., 500-1000 mw) “Beyond Rule of 5” compounds. In either case, we use various structure-based design tools to discover the initial chemical matter, drive optimization using iterative medicinal chemistry, and generate structure-activity and structure-property relationships to identify development candidates. In order to prosecute effective medicinal chemistry campaigns within complex chemical space, we use our deep experience and make the necessary investments to design and develop scalable modular chemical synthesis, purification and analytical methods for selected scaffolds to routinely and efficiently analogue our “Beyond Rule of 5” chemical series.</w:t>
      </w:r>
    </w:p>
    <w:p>
      <w:pPr>
        <w:spacing w:after="0" w:line="83" w:lineRule="exact"/>
        <w:rPr>
          <w:sz w:val="20"/>
          <w:szCs w:val="20"/>
          <w:color w:val="auto"/>
        </w:rPr>
      </w:pPr>
    </w:p>
    <w:p>
      <w:pPr>
        <w:ind w:left="120" w:right="60"/>
        <w:spacing w:after="0" w:line="243" w:lineRule="auto"/>
        <w:rPr>
          <w:sz w:val="20"/>
          <w:szCs w:val="20"/>
          <w:color w:val="auto"/>
        </w:rPr>
      </w:pPr>
      <w:r>
        <w:rPr>
          <w:rFonts w:ascii="Arial" w:cs="Arial" w:eastAsia="Arial" w:hAnsi="Arial"/>
          <w:sz w:val="18"/>
          <w:szCs w:val="18"/>
          <w:color w:val="auto"/>
        </w:rPr>
        <w:t xml:space="preserve">Our differentiated chemical approaches to discovering inhibitors for challenging </w:t>
      </w:r>
      <w:r>
        <w:rPr>
          <w:rFonts w:ascii="Arial" w:cs="Arial" w:eastAsia="Arial" w:hAnsi="Arial"/>
          <w:sz w:val="18"/>
          <w:szCs w:val="18"/>
          <w:i w:val="1"/>
          <w:iCs w:val="1"/>
          <w:color w:val="auto"/>
        </w:rPr>
        <w:t>frontier</w:t>
      </w:r>
      <w:r>
        <w:rPr>
          <w:rFonts w:ascii="Arial" w:cs="Arial" w:eastAsia="Arial" w:hAnsi="Arial"/>
          <w:sz w:val="18"/>
          <w:szCs w:val="18"/>
          <w:color w:val="auto"/>
        </w:rPr>
        <w:t xml:space="preserve"> cancer targets is exemplified by our current portfolio. Each of our current programs takes advantage of allosteric regulation to inhibit the target of interest by exploiting one or more of three distinct mechanisms. We use the term allosteric inhibitors to describe those that “act at a distance,” meaning that the inhibitory effect occurs at a protein site or domain distinct from the compound’s binding site.</w:t>
      </w:r>
    </w:p>
    <w:p>
      <w:pPr>
        <w:spacing w:after="0" w:line="35" w:lineRule="exact"/>
        <w:rPr>
          <w:sz w:val="20"/>
          <w:szCs w:val="20"/>
          <w:color w:val="auto"/>
        </w:rPr>
      </w:pPr>
    </w:p>
    <w:p>
      <w:pPr>
        <w:ind w:left="540" w:right="80" w:hanging="424"/>
        <w:spacing w:after="0" w:line="280" w:lineRule="auto"/>
        <w:tabs>
          <w:tab w:leader="none" w:pos="540" w:val="left"/>
        </w:tabs>
        <w:numPr>
          <w:ilvl w:val="0"/>
          <w:numId w:val="78"/>
        </w:numPr>
        <w:rPr>
          <w:rFonts w:ascii="Arial" w:cs="Arial" w:eastAsia="Arial" w:hAnsi="Arial"/>
          <w:sz w:val="16"/>
          <w:szCs w:val="16"/>
          <w:color w:val="auto"/>
        </w:rPr>
      </w:pPr>
      <w:r>
        <w:rPr>
          <w:rFonts w:ascii="Arial" w:cs="Arial" w:eastAsia="Arial" w:hAnsi="Arial"/>
          <w:sz w:val="16"/>
          <w:szCs w:val="16"/>
          <w:b w:val="1"/>
          <w:bCs w:val="1"/>
          <w:color w:val="auto"/>
        </w:rPr>
        <w:t>Intra-Molecular Allosteric Inhibitors</w:t>
      </w:r>
      <w:r>
        <w:rPr>
          <w:rFonts w:ascii="Arial" w:cs="Arial" w:eastAsia="Arial" w:hAnsi="Arial"/>
          <w:sz w:val="16"/>
          <w:szCs w:val="16"/>
          <w:color w:val="auto"/>
        </w:rPr>
        <w:t>: Our SHP2 inhibitors, including RMC-4630, act by binding to a site in the protein that is distinct</w:t>
      </w:r>
      <w:r>
        <w:rPr>
          <w:rFonts w:ascii="Arial" w:cs="Arial" w:eastAsia="Arial" w:hAnsi="Arial"/>
          <w:sz w:val="16"/>
          <w:szCs w:val="16"/>
          <w:b w:val="1"/>
          <w:bCs w:val="1"/>
          <w:color w:val="auto"/>
        </w:rPr>
        <w:t xml:space="preserve"> </w:t>
      </w:r>
      <w:r>
        <w:rPr>
          <w:rFonts w:ascii="Arial" w:cs="Arial" w:eastAsia="Arial" w:hAnsi="Arial"/>
          <w:sz w:val="16"/>
          <w:szCs w:val="16"/>
          <w:color w:val="auto"/>
        </w:rPr>
        <w:t>from the catalytic “active site” but nonetheless inhibit the phosphatase activity of SHP2. The inhibitors bind to a pocket within SHP2 that is formed when the protein is folded back onto itself in its basal, “autoinhibited” state; by binding to this pocket, these compounds stabilize the inactive conformation of SHP2 and therefore inhibit its overall function. We refer to this mechanism as “intra-molecular allostery” since it involves inhibitory actions entirely within the target protein itself. RMC-4630 is a traditional “Rule of 5” compound.</w:t>
      </w:r>
    </w:p>
    <w:p>
      <w:pPr>
        <w:spacing w:after="0" w:line="6" w:lineRule="exact"/>
        <w:rPr>
          <w:rFonts w:ascii="Arial" w:cs="Arial" w:eastAsia="Arial" w:hAnsi="Arial"/>
          <w:sz w:val="16"/>
          <w:szCs w:val="16"/>
          <w:color w:val="auto"/>
        </w:rPr>
      </w:pPr>
    </w:p>
    <w:p>
      <w:pPr>
        <w:ind w:left="540" w:right="20" w:hanging="424"/>
        <w:spacing w:after="0" w:line="273" w:lineRule="auto"/>
        <w:tabs>
          <w:tab w:leader="none" w:pos="540" w:val="left"/>
        </w:tabs>
        <w:numPr>
          <w:ilvl w:val="0"/>
          <w:numId w:val="78"/>
        </w:numPr>
        <w:rPr>
          <w:rFonts w:ascii="Arial" w:cs="Arial" w:eastAsia="Arial" w:hAnsi="Arial"/>
          <w:sz w:val="16"/>
          <w:szCs w:val="16"/>
          <w:color w:val="auto"/>
        </w:rPr>
      </w:pPr>
      <w:r>
        <w:rPr>
          <w:rFonts w:ascii="Arial" w:cs="Arial" w:eastAsia="Arial" w:hAnsi="Arial"/>
          <w:sz w:val="16"/>
          <w:szCs w:val="16"/>
          <w:b w:val="1"/>
          <w:bCs w:val="1"/>
          <w:color w:val="auto"/>
        </w:rPr>
        <w:t>Tri-Complex Inhibitors</w:t>
      </w:r>
      <w:r>
        <w:rPr>
          <w:rFonts w:ascii="Arial" w:cs="Arial" w:eastAsia="Arial" w:hAnsi="Arial"/>
          <w:sz w:val="16"/>
          <w:szCs w:val="16"/>
          <w:color w:val="auto"/>
        </w:rPr>
        <w:t>: Our targeted mutant RAS(ON) portfolio takes advantage of our proprietary tri-complex technology that enables</w:t>
      </w:r>
      <w:r>
        <w:rPr>
          <w:rFonts w:ascii="Arial" w:cs="Arial" w:eastAsia="Arial" w:hAnsi="Arial"/>
          <w:sz w:val="16"/>
          <w:szCs w:val="16"/>
          <w:b w:val="1"/>
          <w:bCs w:val="1"/>
          <w:color w:val="auto"/>
        </w:rPr>
        <w:t xml:space="preserve"> </w:t>
      </w:r>
      <w:r>
        <w:rPr>
          <w:rFonts w:ascii="Arial" w:cs="Arial" w:eastAsia="Arial" w:hAnsi="Arial"/>
          <w:sz w:val="16"/>
          <w:szCs w:val="16"/>
          <w:color w:val="auto"/>
        </w:rPr>
        <w:t>us to discover small molecule inhibitors of targets lacking intrinsic drug binding sites by inducing new druggable pockets. Our RAS inhibitors induce a new binding pocket on RAS(ON) by driving formation of a high affinity ternary complex (tri-complex) between the mutant RAS protein and a widely expressed cytosolic protein called a chaperone (e.g., FKPB12 or cyclophilin A). The inhibitory effect on RAS is mediated by steric occlusion of the interaction site between the mutant RAS and downstream effector molecules, such as RAF, which are required for propagating the oncogenic signal. We refer to this mechanism as “inter-molecular allostery” since it involves indirect inhibitory effects of a second protein (the chaperone) on the target in the presence of our tri-complex inhibitors. Our RAS(ON) inhibitors, which are inspired by natural products that act through this type of mechanism, are “Beyond Rule of 5” compounds.</w:t>
      </w:r>
    </w:p>
    <w:p>
      <w:pPr>
        <w:spacing w:after="0" w:line="13" w:lineRule="exact"/>
        <w:rPr>
          <w:rFonts w:ascii="Arial" w:cs="Arial" w:eastAsia="Arial" w:hAnsi="Arial"/>
          <w:sz w:val="16"/>
          <w:szCs w:val="16"/>
          <w:color w:val="auto"/>
        </w:rPr>
      </w:pPr>
    </w:p>
    <w:p>
      <w:pPr>
        <w:ind w:left="540" w:hanging="424"/>
        <w:spacing w:after="0" w:line="276" w:lineRule="auto"/>
        <w:tabs>
          <w:tab w:leader="none" w:pos="540" w:val="left"/>
        </w:tabs>
        <w:numPr>
          <w:ilvl w:val="0"/>
          <w:numId w:val="78"/>
        </w:numPr>
        <w:rPr>
          <w:rFonts w:ascii="Arial" w:cs="Arial" w:eastAsia="Arial" w:hAnsi="Arial"/>
          <w:sz w:val="16"/>
          <w:szCs w:val="16"/>
          <w:color w:val="auto"/>
        </w:rPr>
      </w:pPr>
      <w:r>
        <w:rPr>
          <w:rFonts w:ascii="Arial" w:cs="Arial" w:eastAsia="Arial" w:hAnsi="Arial"/>
          <w:sz w:val="16"/>
          <w:szCs w:val="16"/>
          <w:b w:val="1"/>
          <w:bCs w:val="1"/>
          <w:color w:val="auto"/>
        </w:rPr>
        <w:t>Bi-Steric Inhibitors</w:t>
      </w:r>
      <w:r>
        <w:rPr>
          <w:rFonts w:ascii="Arial" w:cs="Arial" w:eastAsia="Arial" w:hAnsi="Arial"/>
          <w:sz w:val="16"/>
          <w:szCs w:val="16"/>
          <w:color w:val="auto"/>
        </w:rPr>
        <w:t>: Our mTORC1 inhibitors comprise two pharmacophores in a single compound. One pharmacophore binds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well-known FRB (FKBP12-rapamycin binding) site on mTORC1 and the other binds to the mTOR kinase active site. As a result of these two binding interactions, such compounds exhibit two biologically useful features: (1) selectivity for mTORC1 over mTORC2, which is characteristic of the natural compound rapamycin, and (2) deep inhibition of mTORC1, which is characteristic of known active site inhibitors. These properties enable selective inhibition of phosphorylation of mTORC1 substrates, including 4EBP1. We refer to this type of inhibition as a “bi-steric mode.” These mTORC1 inhibitors, which are inspired by natural products, are “Beyond Rule of 5” compounds.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80"/>
        <w:spacing w:after="0"/>
        <w:tabs>
          <w:tab w:leader="none" w:pos="5260" w:val="left"/>
          <w:tab w:leader="none" w:pos="8020" w:val="left"/>
        </w:tabs>
        <w:rPr>
          <w:sz w:val="20"/>
          <w:szCs w:val="20"/>
          <w:color w:val="auto"/>
        </w:rPr>
      </w:pPr>
      <w:r>
        <w:rPr>
          <w:rFonts w:ascii="Arial" w:cs="Arial" w:eastAsia="Arial" w:hAnsi="Arial"/>
          <w:sz w:val="18"/>
          <w:szCs w:val="18"/>
          <w:b w:val="1"/>
          <w:bCs w:val="1"/>
          <w:color w:val="auto"/>
        </w:rPr>
        <w:t xml:space="preserve">SHP2: </w:t>
      </w:r>
      <w:r>
        <w:rPr>
          <w:rFonts w:ascii="Arial" w:cs="Arial" w:eastAsia="Arial" w:hAnsi="Arial"/>
          <w:sz w:val="18"/>
          <w:szCs w:val="18"/>
          <w:b w:val="1"/>
          <w:bCs w:val="1"/>
          <w:i w:val="1"/>
          <w:iCs w:val="1"/>
          <w:color w:val="auto"/>
        </w:rPr>
        <w:t>Intra-Molecular Allosteric</w:t>
      </w:r>
      <w:r>
        <w:rPr>
          <w:sz w:val="20"/>
          <w:szCs w:val="20"/>
          <w:color w:val="auto"/>
        </w:rPr>
        <w:tab/>
      </w:r>
      <w:r>
        <w:rPr>
          <w:rFonts w:ascii="Arial" w:cs="Arial" w:eastAsia="Arial" w:hAnsi="Arial"/>
          <w:sz w:val="18"/>
          <w:szCs w:val="18"/>
          <w:b w:val="1"/>
          <w:bCs w:val="1"/>
          <w:color w:val="auto"/>
        </w:rPr>
        <w:t xml:space="preserve">RAS: </w:t>
      </w:r>
      <w:r>
        <w:rPr>
          <w:rFonts w:ascii="Arial" w:cs="Arial" w:eastAsia="Arial" w:hAnsi="Arial"/>
          <w:sz w:val="18"/>
          <w:szCs w:val="18"/>
          <w:b w:val="1"/>
          <w:bCs w:val="1"/>
          <w:i w:val="1"/>
          <w:iCs w:val="1"/>
          <w:color w:val="auto"/>
        </w:rPr>
        <w:t>Tri-Complex</w:t>
      </w:r>
      <w:r>
        <w:rPr>
          <w:sz w:val="20"/>
          <w:szCs w:val="20"/>
          <w:color w:val="auto"/>
        </w:rPr>
        <w:tab/>
      </w:r>
      <w:r>
        <w:rPr>
          <w:rFonts w:ascii="Arial" w:cs="Arial" w:eastAsia="Arial" w:hAnsi="Arial"/>
          <w:sz w:val="16"/>
          <w:szCs w:val="16"/>
          <w:b w:val="1"/>
          <w:bCs w:val="1"/>
          <w:color w:val="auto"/>
        </w:rPr>
        <w:t xml:space="preserve">mTORC1: </w:t>
      </w:r>
      <w:r>
        <w:rPr>
          <w:rFonts w:ascii="Arial" w:cs="Arial" w:eastAsia="Arial" w:hAnsi="Arial"/>
          <w:sz w:val="16"/>
          <w:szCs w:val="16"/>
          <w:b w:val="1"/>
          <w:bCs w:val="1"/>
          <w:i w:val="1"/>
          <w:iCs w:val="1"/>
          <w:color w:val="auto"/>
        </w:rPr>
        <w:t>Bi-Steric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precision medicine approach</w:t>
      </w:r>
    </w:p>
    <w:p>
      <w:pPr>
        <w:spacing w:after="0" w:line="124"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We interrogate the biology of different cancers and their associated mutational drivers to help inform patient selection, therapeutic treatment regimens, and appropriate outcome measures. To identify patient subsets that may benefit most from our treatment strategies, we use genomics, transcriptomics and proteomics data from human tumor samples and/or broad panels of human cancer cell lines. We also pursue development of drug combinations where combinatorial benefits are predicted and confirmed in preclinical models. Innovative, mechanism-based dosing paradigms are explored for each combination and refined using pharmacokinetic and pharmacodynamic modeling techniques and sophisticated continuous reassessment dosing methodology. We also identify and monitor pharmacodynamic biomarkers and surrogates of clinical activity to help measure target inhibition.</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Our pipeline</w:t>
      </w:r>
    </w:p>
    <w:p>
      <w:pPr>
        <w:spacing w:after="0" w:line="116" w:lineRule="exact"/>
        <w:rPr>
          <w:sz w:val="20"/>
          <w:szCs w:val="20"/>
          <w:color w:val="auto"/>
        </w:rPr>
      </w:pPr>
    </w:p>
    <w:p>
      <w:pPr>
        <w:ind w:left="120"/>
        <w:spacing w:after="0" w:line="241" w:lineRule="auto"/>
        <w:rPr>
          <w:sz w:val="20"/>
          <w:szCs w:val="20"/>
          <w:color w:val="auto"/>
        </w:rPr>
      </w:pPr>
      <w:r>
        <w:rPr>
          <w:rFonts w:ascii="Arial" w:cs="Arial" w:eastAsia="Arial" w:hAnsi="Arial"/>
          <w:sz w:val="18"/>
          <w:szCs w:val="18"/>
          <w:color w:val="auto"/>
        </w:rPr>
        <w:t xml:space="preserve">We are using our innovation engine to develop a deep pipeline of novel targeted therapies to inhibit elusive, high-value </w:t>
      </w:r>
      <w:r>
        <w:rPr>
          <w:rFonts w:ascii="Arial" w:cs="Arial" w:eastAsia="Arial" w:hAnsi="Arial"/>
          <w:sz w:val="18"/>
          <w:szCs w:val="18"/>
          <w:i w:val="1"/>
          <w:iCs w:val="1"/>
          <w:color w:val="auto"/>
        </w:rPr>
        <w:t>frontier</w:t>
      </w:r>
      <w:r>
        <w:rPr>
          <w:rFonts w:ascii="Arial" w:cs="Arial" w:eastAsia="Arial" w:hAnsi="Arial"/>
          <w:sz w:val="18"/>
          <w:szCs w:val="18"/>
          <w:color w:val="auto"/>
        </w:rPr>
        <w:t xml:space="preserve"> targets within the notorious RAS and mTOR signaling pathways. Under our collaboration with Sanofi, we have a 50-50 profit share and a co-promote right in the United States and are eligible to receive royalties on net sales outside of the United States. Sanofi is responsible for reimbursing substantially all of our research costs and all of our development costs for the SHP2 program. For all other programs, we retain worldwide commercial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146685</wp:posOffset>
            </wp:positionV>
            <wp:extent cx="5186045" cy="22713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86045" cy="227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SHP2 inhibitor, RMC-4630</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Overview</w:t>
      </w:r>
    </w:p>
    <w:p>
      <w:pPr>
        <w:spacing w:after="0" w:line="122"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Our most advanced product candidate, RMC-4630, is a potent and selective inhibitor of SHP2, a protein that plays a central role in modulating cell survival and growth by transmitting signals from upstream RTKs to RAS. In collaboration with Sanofi, we are evaluating RMC-4630 in a multi-cohort Phase 1/2 clinical program, which includes our ongoing Phase 1 trial of RMC-4630 as monotherapy in patients with tumors harboring genetically defined mutations in the RAS signaling pathway. Based on our own data, and supported by observations by others, we are evaluating intermittent dosing schedules in our clinical program to allow us to maximize dose intensity in order to achieve the greatest depth of response. We also plan to explore the potential clinical benefit of RMC-4630 in combination with other in-pathway agents targeting MEK, EGFR, and KRAS</w:t>
      </w:r>
      <w:r>
        <w:rPr>
          <w:rFonts w:ascii="Arial" w:cs="Arial" w:eastAsia="Arial" w:hAnsi="Arial"/>
          <w:sz w:val="11"/>
          <w:szCs w:val="11"/>
          <w:color w:val="auto"/>
        </w:rPr>
        <w:t>G12C</w:t>
      </w:r>
      <w:r>
        <w:rPr>
          <w:rFonts w:ascii="Arial" w:cs="Arial" w:eastAsia="Arial" w:hAnsi="Arial"/>
          <w:sz w:val="18"/>
          <w:szCs w:val="18"/>
          <w:color w:val="auto"/>
        </w:rPr>
        <w:t>, as well as in combination with PD-1 inhibitors. We initiated the first such combination trial in July 2019, a Phase 1b/2 trial with cobimetinib, a MEK inhibitor. We believe RMC-4630 is well positioned to become the backbone of targeted therapy combinations for the treatment of various RAS-dependent tumors.</w:t>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anti-tumor activity</w:t>
      </w:r>
    </w:p>
    <w:p>
      <w:pPr>
        <w:spacing w:after="0" w:line="122"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Consistent with the role of SHP2 as a regulator of the RAS cycle, we observed that RMC-4630 suppresses tumor growth in a dose-dependent manner in human cell-line or patient-derived preclinical xenograft models of tumors harboring KRAS</w:t>
      </w:r>
      <w:r>
        <w:rPr>
          <w:rFonts w:ascii="Arial" w:cs="Arial" w:eastAsia="Arial" w:hAnsi="Arial"/>
          <w:sz w:val="11"/>
          <w:szCs w:val="11"/>
          <w:color w:val="auto"/>
        </w:rPr>
        <w:t>G12C</w:t>
      </w:r>
      <w:r>
        <w:rPr>
          <w:rFonts w:ascii="Arial" w:cs="Arial" w:eastAsia="Arial" w:hAnsi="Arial"/>
          <w:sz w:val="18"/>
          <w:szCs w:val="18"/>
          <w:color w:val="auto"/>
        </w:rPr>
        <w:t>, NF1</w:t>
      </w:r>
      <w:r>
        <w:rPr>
          <w:rFonts w:ascii="Arial" w:cs="Arial" w:eastAsia="Arial" w:hAnsi="Arial"/>
          <w:sz w:val="11"/>
          <w:szCs w:val="11"/>
          <w:color w:val="auto"/>
        </w:rPr>
        <w:t>LOF</w:t>
      </w:r>
      <w:r>
        <w:rPr>
          <w:rFonts w:ascii="Arial" w:cs="Arial" w:eastAsia="Arial" w:hAnsi="Arial"/>
          <w:sz w:val="18"/>
          <w:szCs w:val="18"/>
          <w:color w:val="auto"/>
        </w:rPr>
        <w:t>, or BRAF</w:t>
      </w:r>
      <w:r>
        <w:rPr>
          <w:rFonts w:ascii="Arial" w:cs="Arial" w:eastAsia="Arial" w:hAnsi="Arial"/>
          <w:sz w:val="11"/>
          <w:szCs w:val="11"/>
          <w:color w:val="auto"/>
        </w:rPr>
        <w:t>Class3</w:t>
      </w:r>
      <w:r>
        <w:rPr>
          <w:rFonts w:ascii="Arial" w:cs="Arial" w:eastAsia="Arial" w:hAnsi="Arial"/>
          <w:sz w:val="18"/>
          <w:szCs w:val="18"/>
          <w:color w:val="auto"/>
        </w:rPr>
        <w:t xml:space="preserve"> mutations or wild-type KRAS amplifications (Figure 1). Moreover, RMC-4630 at 30 mg/kg daily administered orally induced regression in some tumor models.</w:t>
      </w:r>
    </w:p>
    <w:p>
      <w:pPr>
        <w:spacing w:after="0" w:line="78" w:lineRule="exact"/>
        <w:rPr>
          <w:sz w:val="20"/>
          <w:szCs w:val="20"/>
          <w:color w:val="auto"/>
        </w:rPr>
      </w:pPr>
    </w:p>
    <w:p>
      <w:pPr>
        <w:ind w:left="120" w:right="800"/>
        <w:spacing w:after="0" w:line="264" w:lineRule="auto"/>
        <w:rPr>
          <w:sz w:val="20"/>
          <w:szCs w:val="20"/>
          <w:color w:val="auto"/>
        </w:rPr>
      </w:pPr>
      <w:r>
        <w:rPr>
          <w:rFonts w:ascii="Arial" w:cs="Arial" w:eastAsia="Arial" w:hAnsi="Arial"/>
          <w:sz w:val="18"/>
          <w:szCs w:val="18"/>
          <w:b w:val="1"/>
          <w:bCs w:val="1"/>
          <w:color w:val="auto"/>
        </w:rPr>
        <w:t>Figure 1</w:t>
      </w:r>
      <w:r>
        <w:rPr>
          <w:rFonts w:ascii="Arial" w:cs="Arial" w:eastAsia="Arial" w:hAnsi="Arial"/>
          <w:sz w:val="18"/>
          <w:szCs w:val="18"/>
          <w:color w:val="auto"/>
        </w:rPr>
        <w:t>: RMC-4630 suppresses tumor growth in preclinical xenograft models of tumors harboring KRAS</w:t>
      </w:r>
      <w:r>
        <w:rPr>
          <w:rFonts w:ascii="Arial" w:cs="Arial" w:eastAsia="Arial" w:hAnsi="Arial"/>
          <w:sz w:val="11"/>
          <w:szCs w:val="11"/>
          <w:color w:val="auto"/>
        </w:rPr>
        <w:t>G12C</w:t>
      </w:r>
      <w:r>
        <w:rPr>
          <w:rFonts w:ascii="Arial" w:cs="Arial" w:eastAsia="Arial" w:hAnsi="Arial"/>
          <w:sz w:val="18"/>
          <w:szCs w:val="18"/>
          <w:color w:val="auto"/>
        </w:rPr>
        <w:t>, NF1</w:t>
      </w:r>
      <w:r>
        <w:rPr>
          <w:rFonts w:ascii="Arial" w:cs="Arial" w:eastAsia="Arial" w:hAnsi="Arial"/>
          <w:sz w:val="11"/>
          <w:szCs w:val="11"/>
          <w:color w:val="auto"/>
        </w:rPr>
        <w:t>LOF</w:t>
      </w:r>
      <w:r>
        <w:rPr>
          <w:rFonts w:ascii="Arial" w:cs="Arial" w:eastAsia="Arial" w:hAnsi="Arial"/>
          <w:sz w:val="18"/>
          <w:szCs w:val="18"/>
          <w:color w:val="auto"/>
        </w:rPr>
        <w:t>, or BRAF</w:t>
      </w:r>
      <w:r>
        <w:rPr>
          <w:rFonts w:ascii="Arial" w:cs="Arial" w:eastAsia="Arial" w:hAnsi="Arial"/>
          <w:sz w:val="11"/>
          <w:szCs w:val="11"/>
          <w:color w:val="auto"/>
        </w:rPr>
        <w:t>Class3</w:t>
      </w:r>
      <w:r>
        <w:rPr>
          <w:rFonts w:ascii="Arial" w:cs="Arial" w:eastAsia="Arial" w:hAnsi="Arial"/>
          <w:sz w:val="18"/>
          <w:szCs w:val="18"/>
          <w:b w:val="1"/>
          <w:bCs w:val="1"/>
          <w:color w:val="auto"/>
        </w:rPr>
        <w:t xml:space="preserve"> </w:t>
      </w:r>
      <w:r>
        <w:rPr>
          <w:rFonts w:ascii="Arial" w:cs="Arial" w:eastAsia="Arial" w:hAnsi="Arial"/>
          <w:sz w:val="18"/>
          <w:szCs w:val="18"/>
          <w:color w:val="auto"/>
        </w:rPr>
        <w:t>mutations or wild-type KRAS amplifications.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57150</wp:posOffset>
            </wp:positionV>
            <wp:extent cx="4397375" cy="28117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397375"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0" w:right="20"/>
        <w:spacing w:after="0" w:line="182" w:lineRule="auto"/>
        <w:rPr>
          <w:sz w:val="20"/>
          <w:szCs w:val="20"/>
          <w:color w:val="auto"/>
        </w:rPr>
      </w:pPr>
      <w:r>
        <w:rPr>
          <w:rFonts w:ascii="Arial" w:cs="Arial" w:eastAsia="Arial" w:hAnsi="Arial"/>
          <w:sz w:val="13"/>
          <w:szCs w:val="13"/>
          <w:color w:val="auto"/>
        </w:rPr>
        <w:t xml:space="preserve">Daily oral administration of RMC-4630 (10 mg/kg or 30 mg/kg po qd) produces a dose-dependent inhibition of tumor growth in multiple solid tumor cell line-derived or patient-derived xenograft (CDX or PDX, respectively) models bearing RAS pathway activating mutations of interest: </w:t>
      </w:r>
      <w:r>
        <w:rPr>
          <w:rFonts w:ascii="Arial" w:cs="Arial" w:eastAsia="Arial" w:hAnsi="Arial"/>
          <w:sz w:val="13"/>
          <w:szCs w:val="13"/>
          <w:b w:val="1"/>
          <w:bCs w:val="1"/>
          <w:color w:val="auto"/>
        </w:rPr>
        <w:t>(a)</w:t>
      </w:r>
      <w:r>
        <w:rPr>
          <w:rFonts w:ascii="Arial" w:cs="Arial" w:eastAsia="Arial" w:hAnsi="Arial"/>
          <w:sz w:val="13"/>
          <w:szCs w:val="13"/>
          <w:color w:val="auto"/>
        </w:rPr>
        <w:t xml:space="preserve"> non-small cell lung cancer (NSCLC) PDX LUN#092 KRAS</w:t>
      </w:r>
      <w:r>
        <w:rPr>
          <w:rFonts w:ascii="Arial" w:cs="Arial" w:eastAsia="Arial" w:hAnsi="Arial"/>
          <w:sz w:val="21"/>
          <w:szCs w:val="21"/>
          <w:color w:val="auto"/>
          <w:vertAlign w:val="superscript"/>
        </w:rPr>
        <w:t>G12C</w:t>
      </w:r>
      <w:r>
        <w:rPr>
          <w:rFonts w:ascii="Arial" w:cs="Arial" w:eastAsia="Arial" w:hAnsi="Arial"/>
          <w:sz w:val="13"/>
          <w:szCs w:val="13"/>
          <w:color w:val="auto"/>
        </w:rPr>
        <w:t xml:space="preserve">, </w:t>
      </w:r>
      <w:r>
        <w:rPr>
          <w:rFonts w:ascii="Arial" w:cs="Arial" w:eastAsia="Arial" w:hAnsi="Arial"/>
          <w:sz w:val="13"/>
          <w:szCs w:val="13"/>
          <w:b w:val="1"/>
          <w:bCs w:val="1"/>
          <w:color w:val="auto"/>
        </w:rPr>
        <w:t>(b)</w:t>
      </w:r>
      <w:r>
        <w:rPr>
          <w:rFonts w:ascii="Arial" w:cs="Arial" w:eastAsia="Arial" w:hAnsi="Arial"/>
          <w:sz w:val="13"/>
          <w:szCs w:val="13"/>
          <w:color w:val="auto"/>
        </w:rPr>
        <w:t xml:space="preserve"> NSCLC BRAF</w:t>
      </w:r>
      <w:r>
        <w:rPr>
          <w:rFonts w:ascii="Arial" w:cs="Arial" w:eastAsia="Arial" w:hAnsi="Arial"/>
          <w:sz w:val="21"/>
          <w:szCs w:val="21"/>
          <w:color w:val="auto"/>
          <w:vertAlign w:val="superscript"/>
        </w:rPr>
        <w:t>Class 3</w:t>
      </w:r>
      <w:r>
        <w:rPr>
          <w:rFonts w:ascii="Arial" w:cs="Arial" w:eastAsia="Arial" w:hAnsi="Arial"/>
          <w:sz w:val="13"/>
          <w:szCs w:val="13"/>
          <w:color w:val="auto"/>
        </w:rPr>
        <w:t xml:space="preserve"> PDX LUN#023 (BRAF</w:t>
      </w:r>
      <w:r>
        <w:rPr>
          <w:rFonts w:ascii="Arial" w:cs="Arial" w:eastAsia="Arial" w:hAnsi="Arial"/>
          <w:sz w:val="21"/>
          <w:szCs w:val="21"/>
          <w:color w:val="auto"/>
          <w:vertAlign w:val="superscript"/>
        </w:rPr>
        <w:t>D594N</w:t>
      </w:r>
      <w:r>
        <w:rPr>
          <w:rFonts w:ascii="Arial" w:cs="Arial" w:eastAsia="Arial" w:hAnsi="Arial"/>
          <w:sz w:val="13"/>
          <w:szCs w:val="13"/>
          <w:color w:val="auto"/>
        </w:rPr>
        <w:t xml:space="preserve">), </w:t>
      </w:r>
      <w:r>
        <w:rPr>
          <w:rFonts w:ascii="Arial" w:cs="Arial" w:eastAsia="Arial" w:hAnsi="Arial"/>
          <w:sz w:val="13"/>
          <w:szCs w:val="13"/>
          <w:b w:val="1"/>
          <w:bCs w:val="1"/>
          <w:color w:val="auto"/>
        </w:rPr>
        <w:t>(c)</w:t>
      </w:r>
      <w:r>
        <w:rPr>
          <w:rFonts w:ascii="Arial" w:cs="Arial" w:eastAsia="Arial" w:hAnsi="Arial"/>
          <w:sz w:val="13"/>
          <w:szCs w:val="13"/>
          <w:color w:val="auto"/>
        </w:rPr>
        <w:t xml:space="preserve"> gastric cancer PDX STO#332 wild-type KRAS amplification (KRAS Amp, copy number, CN = 4) and </w:t>
      </w:r>
      <w:r>
        <w:rPr>
          <w:rFonts w:ascii="Arial" w:cs="Arial" w:eastAsia="Arial" w:hAnsi="Arial"/>
          <w:sz w:val="13"/>
          <w:szCs w:val="13"/>
          <w:b w:val="1"/>
          <w:bCs w:val="1"/>
          <w:color w:val="auto"/>
        </w:rPr>
        <w:t>(d)</w:t>
      </w:r>
      <w:r>
        <w:rPr>
          <w:rFonts w:ascii="Arial" w:cs="Arial" w:eastAsia="Arial" w:hAnsi="Arial"/>
          <w:sz w:val="13"/>
          <w:szCs w:val="13"/>
          <w:color w:val="auto"/>
        </w:rPr>
        <w:t xml:space="preserve"> NSCLC CDX NCI-H1838 NF1</w:t>
      </w:r>
      <w:r>
        <w:rPr>
          <w:rFonts w:ascii="Arial" w:cs="Arial" w:eastAsia="Arial" w:hAnsi="Arial"/>
          <w:sz w:val="21"/>
          <w:szCs w:val="21"/>
          <w:color w:val="auto"/>
          <w:vertAlign w:val="superscript"/>
        </w:rPr>
        <w:t>LOF</w:t>
      </w:r>
      <w:r>
        <w:rPr>
          <w:rFonts w:ascii="Arial" w:cs="Arial" w:eastAsia="Arial" w:hAnsi="Arial"/>
          <w:sz w:val="13"/>
          <w:szCs w:val="13"/>
          <w:color w:val="auto"/>
        </w:rPr>
        <w:t xml:space="preserve"> (NF1</w:t>
      </w:r>
      <w:r>
        <w:rPr>
          <w:rFonts w:ascii="Arial" w:cs="Arial" w:eastAsia="Arial" w:hAnsi="Arial"/>
          <w:sz w:val="21"/>
          <w:szCs w:val="21"/>
          <w:color w:val="auto"/>
          <w:vertAlign w:val="superscript"/>
        </w:rPr>
        <w:t>I184fs</w:t>
      </w:r>
      <w:r>
        <w:rPr>
          <w:rFonts w:ascii="Arial" w:cs="Arial" w:eastAsia="Arial" w:hAnsi="Arial"/>
          <w:sz w:val="13"/>
          <w:szCs w:val="13"/>
          <w:color w:val="auto"/>
        </w:rPr>
        <w:t>). Waterfall plots represent individual end of study tumor responses, with tumor volume expressed as a percentage of initial tumor volume at time of study start (truncated at</w:t>
      </w:r>
    </w:p>
    <w:p>
      <w:pPr>
        <w:spacing w:after="0" w:line="1" w:lineRule="exact"/>
        <w:rPr>
          <w:sz w:val="20"/>
          <w:szCs w:val="20"/>
          <w:color w:val="auto"/>
        </w:rPr>
      </w:pPr>
    </w:p>
    <w:p>
      <w:pPr>
        <w:ind w:left="120" w:right="260"/>
        <w:spacing w:after="0" w:line="258" w:lineRule="auto"/>
        <w:rPr>
          <w:sz w:val="20"/>
          <w:szCs w:val="20"/>
          <w:color w:val="auto"/>
        </w:rPr>
      </w:pPr>
      <w:r>
        <w:rPr>
          <w:rFonts w:ascii="Arial" w:cs="Arial" w:eastAsia="Arial" w:hAnsi="Arial"/>
          <w:sz w:val="13"/>
          <w:szCs w:val="13"/>
          <w:color w:val="auto"/>
        </w:rPr>
        <w:t>400%). Each animal represented as a separate bar (n = 9-10/group). Numbers indicate number of regressions (defined as &gt; 10% reduction in tumor volume from starting volume) in each group. Dotted line references 50% reduction in tumor volume.</w:t>
      </w:r>
    </w:p>
    <w:p>
      <w:pPr>
        <w:spacing w:after="0" w:line="12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Optimizing dosing and scheduling</w:t>
      </w:r>
    </w:p>
    <w:p>
      <w:pPr>
        <w:spacing w:after="0" w:line="122" w:lineRule="exact"/>
        <w:rPr>
          <w:sz w:val="20"/>
          <w:szCs w:val="20"/>
          <w:color w:val="auto"/>
        </w:rPr>
      </w:pPr>
    </w:p>
    <w:p>
      <w:pPr>
        <w:ind w:left="120" w:right="340"/>
        <w:spacing w:after="0" w:line="238" w:lineRule="auto"/>
        <w:rPr>
          <w:sz w:val="20"/>
          <w:szCs w:val="20"/>
          <w:color w:val="auto"/>
        </w:rPr>
      </w:pPr>
      <w:r>
        <w:rPr>
          <w:rFonts w:ascii="Arial" w:cs="Arial" w:eastAsia="Arial" w:hAnsi="Arial"/>
          <w:sz w:val="18"/>
          <w:szCs w:val="18"/>
          <w:color w:val="auto"/>
        </w:rPr>
        <w:t>Using an intermittent dosing schedule, which permits deep but discontinuous inhibition of the SHP2 target, significantly higher doses of RMC-4630 were tolerated than could be delivered with daily dosing. These higher doses of RMC-4630 led to more effective tumor growth inhibition and resulted in more frequent and deeper tumor regressions (Figure 2).</w:t>
      </w:r>
    </w:p>
    <w:p>
      <w:pPr>
        <w:spacing w:after="0" w:line="78" w:lineRule="exact"/>
        <w:rPr>
          <w:sz w:val="20"/>
          <w:szCs w:val="20"/>
          <w:color w:val="auto"/>
        </w:rPr>
      </w:pPr>
    </w:p>
    <w:p>
      <w:pPr>
        <w:ind w:left="120" w:right="560"/>
        <w:spacing w:after="0" w:line="252" w:lineRule="auto"/>
        <w:rPr>
          <w:sz w:val="20"/>
          <w:szCs w:val="20"/>
          <w:color w:val="auto"/>
        </w:rPr>
      </w:pPr>
      <w:r>
        <w:rPr>
          <w:rFonts w:ascii="Arial" w:cs="Arial" w:eastAsia="Arial" w:hAnsi="Arial"/>
          <w:sz w:val="18"/>
          <w:szCs w:val="18"/>
          <w:b w:val="1"/>
          <w:bCs w:val="1"/>
          <w:color w:val="auto"/>
        </w:rPr>
        <w:t>Figure 2</w:t>
      </w:r>
      <w:r>
        <w:rPr>
          <w:rFonts w:ascii="Arial" w:cs="Arial" w:eastAsia="Arial" w:hAnsi="Arial"/>
          <w:sz w:val="18"/>
          <w:szCs w:val="18"/>
          <w:color w:val="auto"/>
        </w:rPr>
        <w:t>: Intermittent dose regimens of RMC-4630 produce deeper and more frequent tumor regressions than daily dosing at maximal</w:t>
      </w:r>
      <w:r>
        <w:rPr>
          <w:rFonts w:ascii="Arial" w:cs="Arial" w:eastAsia="Arial" w:hAnsi="Arial"/>
          <w:sz w:val="18"/>
          <w:szCs w:val="18"/>
          <w:b w:val="1"/>
          <w:bCs w:val="1"/>
          <w:color w:val="auto"/>
        </w:rPr>
        <w:t xml:space="preserve"> </w:t>
      </w:r>
      <w:r>
        <w:rPr>
          <w:rFonts w:ascii="Arial" w:cs="Arial" w:eastAsia="Arial" w:hAnsi="Arial"/>
          <w:sz w:val="18"/>
          <w:szCs w:val="18"/>
          <w:color w:val="auto"/>
        </w:rPr>
        <w:t>tolerated dose in a preclinical xenograft model of NSCLC tumors harboring KRAS</w:t>
      </w:r>
      <w:r>
        <w:rPr>
          <w:rFonts w:ascii="Arial" w:cs="Arial" w:eastAsia="Arial" w:hAnsi="Arial"/>
          <w:sz w:val="11"/>
          <w:szCs w:val="11"/>
          <w:color w:val="auto"/>
        </w:rPr>
        <w:t>G12C</w:t>
      </w:r>
      <w:r>
        <w:rPr>
          <w:rFonts w:ascii="Arial" w:cs="Arial" w:eastAsia="Arial" w:hAnsi="Arial"/>
          <w:sz w:val="18"/>
          <w:szCs w:val="18"/>
          <w:color w:val="auto"/>
        </w:rPr>
        <w:t xml:space="preserve"> mutations.</w:t>
      </w:r>
    </w:p>
    <w:p>
      <w:pPr>
        <w:jc w:val="center"/>
        <w:ind w:right="-139"/>
        <w:spacing w:after="0" w:line="185" w:lineRule="auto"/>
        <w:rPr>
          <w:sz w:val="20"/>
          <w:szCs w:val="20"/>
          <w:color w:val="auto"/>
        </w:rPr>
      </w:pPr>
      <w:r>
        <w:rPr>
          <w:rFonts w:ascii="Arial" w:cs="Arial" w:eastAsia="Arial" w:hAnsi="Arial"/>
          <w:sz w:val="35"/>
          <w:szCs w:val="35"/>
          <w:b w:val="1"/>
          <w:bCs w:val="1"/>
          <w:color w:val="auto"/>
          <w:vertAlign w:val="subscript"/>
        </w:rPr>
        <w:t>KRAS</w:t>
      </w:r>
      <w:r>
        <w:rPr>
          <w:rFonts w:ascii="Arial" w:cs="Arial" w:eastAsia="Arial" w:hAnsi="Arial"/>
          <w:sz w:val="11"/>
          <w:szCs w:val="11"/>
          <w:b w:val="1"/>
          <w:bCs w:val="1"/>
          <w:color w:val="auto"/>
        </w:rPr>
        <w:t>G12C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70485</wp:posOffset>
            </wp:positionV>
            <wp:extent cx="3737610" cy="26492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737610" cy="264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20"/>
        <w:spacing w:after="0" w:line="189" w:lineRule="auto"/>
        <w:rPr>
          <w:sz w:val="20"/>
          <w:szCs w:val="20"/>
          <w:color w:val="auto"/>
        </w:rPr>
      </w:pPr>
      <w:r>
        <w:rPr>
          <w:rFonts w:ascii="Arial" w:cs="Arial" w:eastAsia="Arial" w:hAnsi="Arial"/>
          <w:sz w:val="13"/>
          <w:szCs w:val="13"/>
          <w:color w:val="auto"/>
        </w:rPr>
        <w:t>Anti-tumor activity of daily (qd) and intermittent, every other day, (q2d) oral (po) dose regimens for RMC-4630 in NSCLC NCI-H358 KRAS</w:t>
      </w:r>
      <w:r>
        <w:rPr>
          <w:rFonts w:ascii="Arial" w:cs="Arial" w:eastAsia="Arial" w:hAnsi="Arial"/>
          <w:sz w:val="22"/>
          <w:szCs w:val="22"/>
          <w:color w:val="auto"/>
          <w:vertAlign w:val="superscript"/>
        </w:rPr>
        <w:t>G12C</w:t>
      </w:r>
      <w:r>
        <w:rPr>
          <w:rFonts w:ascii="Arial" w:cs="Arial" w:eastAsia="Arial" w:hAnsi="Arial"/>
          <w:sz w:val="13"/>
          <w:szCs w:val="13"/>
          <w:color w:val="auto"/>
        </w:rPr>
        <w:t xml:space="preserve"> cell line-derived xenograft model. Graphs show tumor volume data for individual animals, expressed as a percentage of initial tumor volume at time of study start, for </w:t>
      </w:r>
      <w:r>
        <w:rPr>
          <w:rFonts w:ascii="Arial" w:cs="Arial" w:eastAsia="Arial" w:hAnsi="Arial"/>
          <w:sz w:val="13"/>
          <w:szCs w:val="13"/>
          <w:b w:val="1"/>
          <w:bCs w:val="1"/>
          <w:color w:val="auto"/>
        </w:rPr>
        <w:t>(a)</w:t>
      </w:r>
      <w:r>
        <w:rPr>
          <w:rFonts w:ascii="Arial" w:cs="Arial" w:eastAsia="Arial" w:hAnsi="Arial"/>
          <w:sz w:val="13"/>
          <w:szCs w:val="13"/>
          <w:color w:val="auto"/>
        </w:rPr>
        <w:t xml:space="preserve"> 30 mg/kg qd, </w:t>
      </w:r>
      <w:r>
        <w:rPr>
          <w:rFonts w:ascii="Arial" w:cs="Arial" w:eastAsia="Arial" w:hAnsi="Arial"/>
          <w:sz w:val="13"/>
          <w:szCs w:val="13"/>
          <w:b w:val="1"/>
          <w:bCs w:val="1"/>
          <w:color w:val="auto"/>
        </w:rPr>
        <w:t>(b)</w:t>
      </w:r>
      <w:r>
        <w:rPr>
          <w:rFonts w:ascii="Arial" w:cs="Arial" w:eastAsia="Arial" w:hAnsi="Arial"/>
          <w:sz w:val="13"/>
          <w:szCs w:val="13"/>
          <w:color w:val="auto"/>
        </w:rPr>
        <w:t xml:space="preserve"> 60 mg/kg q2d, </w:t>
      </w:r>
      <w:r>
        <w:rPr>
          <w:rFonts w:ascii="Arial" w:cs="Arial" w:eastAsia="Arial" w:hAnsi="Arial"/>
          <w:sz w:val="13"/>
          <w:szCs w:val="13"/>
          <w:b w:val="1"/>
          <w:bCs w:val="1"/>
          <w:color w:val="auto"/>
        </w:rPr>
        <w:t>(c)</w:t>
      </w:r>
      <w:r>
        <w:rPr>
          <w:rFonts w:ascii="Arial" w:cs="Arial" w:eastAsia="Arial" w:hAnsi="Arial"/>
          <w:sz w:val="13"/>
          <w:szCs w:val="13"/>
          <w:color w:val="auto"/>
        </w:rPr>
        <w:t xml:space="preserve"> 120 mg/kg q2d and</w:t>
      </w:r>
    </w:p>
    <w:p>
      <w:pPr>
        <w:ind w:left="120" w:right="80" w:hanging="4"/>
        <w:spacing w:after="0" w:line="258" w:lineRule="auto"/>
        <w:tabs>
          <w:tab w:leader="none" w:pos="330" w:val="left"/>
        </w:tabs>
        <w:numPr>
          <w:ilvl w:val="0"/>
          <w:numId w:val="79"/>
        </w:numPr>
        <w:rPr>
          <w:rFonts w:ascii="Arial" w:cs="Arial" w:eastAsia="Arial" w:hAnsi="Arial"/>
          <w:sz w:val="13"/>
          <w:szCs w:val="13"/>
          <w:b w:val="1"/>
          <w:bCs w:val="1"/>
          <w:color w:val="auto"/>
        </w:rPr>
      </w:pPr>
      <w:r>
        <w:rPr>
          <w:rFonts w:ascii="Arial" w:cs="Arial" w:eastAsia="Arial" w:hAnsi="Arial"/>
          <w:sz w:val="13"/>
          <w:szCs w:val="13"/>
          <w:color w:val="auto"/>
        </w:rPr>
        <w:t>200 mg/kg q2d dose regimens (n=9-10/group). Changes in tumor volume of greater than 10% (grey zone) are considered significant. Dotted line references 50% reduction in tumor volume. All dose regimens were well-tolerated.</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Rationale for combining with other targeted agents</w:t>
      </w:r>
    </w:p>
    <w:p>
      <w:pPr>
        <w:spacing w:after="0" w:line="122"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Certain cancer treatments that inhibit components of the RAS signaling pathway are often unable to achieve the desired clinical effect as single agents due to the rapid development of adaptive resistance. These resistance mechanisms often involve hyperactivation of various RTKs that drive oncogenic signals via SHP2. Given that SHP2 is required for RAS signaling pathway activation by many RTKs, it might represent a viable target to limit potential resistance to other single-agent treatments. Inhibition of SHP2 in cell culture experiments abrogated RTK signaling and, in preclinical studies, RMC-4630 demonstrated combinatorial activity when given with other RAS signaling pathway inhibitors, such as MEK, KRAS</w:t>
      </w:r>
      <w:r>
        <w:rPr>
          <w:rFonts w:ascii="Arial" w:cs="Arial" w:eastAsia="Arial" w:hAnsi="Arial"/>
          <w:sz w:val="11"/>
          <w:szCs w:val="11"/>
          <w:color w:val="auto"/>
        </w:rPr>
        <w:t>G12C</w:t>
      </w:r>
      <w:r>
        <w:rPr>
          <w:rFonts w:ascii="Arial" w:cs="Arial" w:eastAsia="Arial" w:hAnsi="Arial"/>
          <w:sz w:val="18"/>
          <w:szCs w:val="18"/>
          <w:color w:val="auto"/>
        </w:rPr>
        <w:t xml:space="preserve"> or EGFR.</w:t>
      </w:r>
    </w:p>
    <w:p>
      <w:pPr>
        <w:spacing w:after="0" w:line="102"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MEK inhibitors, such as cobimetinib, are approved for the treatment of certain types of melanoma but only in combination therapy. As single agents they have shown limited clinical effect, particularly in lung cancers carrying RAS mutations, which is believed to be due in part to adaptive resistance mechanisms.</w:t>
      </w:r>
    </w:p>
    <w:p>
      <w:pPr>
        <w:spacing w:after="0" w:line="100" w:lineRule="exact"/>
        <w:rPr>
          <w:sz w:val="20"/>
          <w:szCs w:val="20"/>
          <w:color w:val="auto"/>
        </w:rPr>
      </w:pPr>
    </w:p>
    <w:p>
      <w:pPr>
        <w:ind w:left="120" w:right="400"/>
        <w:spacing w:after="0" w:line="239" w:lineRule="auto"/>
        <w:rPr>
          <w:sz w:val="20"/>
          <w:szCs w:val="20"/>
          <w:color w:val="auto"/>
        </w:rPr>
      </w:pPr>
      <w:r>
        <w:rPr>
          <w:rFonts w:ascii="Arial" w:cs="Arial" w:eastAsia="Arial" w:hAnsi="Arial"/>
          <w:sz w:val="18"/>
          <w:szCs w:val="18"/>
          <w:color w:val="auto"/>
        </w:rPr>
        <w:t>In several preclinical tumor xenograft models either RMC-4630 or cobimetinib, dosed as single agents at doses lower than the maximally tolerated dose for each agent, inhibited tumor growth but induced few tumor</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00"/>
          </w:cols>
          <w:pgMar w:left="320" w:top="459" w:right="4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500"/>
        <w:spacing w:after="0" w:line="239" w:lineRule="auto"/>
        <w:rPr>
          <w:sz w:val="20"/>
          <w:szCs w:val="20"/>
          <w:color w:val="auto"/>
        </w:rPr>
      </w:pPr>
      <w:r>
        <w:rPr>
          <w:rFonts w:ascii="Arial" w:cs="Arial" w:eastAsia="Arial" w:hAnsi="Arial"/>
          <w:sz w:val="18"/>
          <w:szCs w:val="18"/>
          <w:color w:val="auto"/>
        </w:rPr>
        <w:t>regressions. However, the number and depth of tumor regressions was markedly increased upon treatment with a combination of these low-doses of RMC-4630 and cobimetinib (Figure 3).</w:t>
      </w:r>
    </w:p>
    <w:p>
      <w:pPr>
        <w:spacing w:after="0" w:line="79" w:lineRule="exact"/>
        <w:rPr>
          <w:sz w:val="20"/>
          <w:szCs w:val="20"/>
          <w:color w:val="auto"/>
        </w:rPr>
      </w:pPr>
    </w:p>
    <w:p>
      <w:pPr>
        <w:ind w:left="120"/>
        <w:spacing w:after="0" w:line="264" w:lineRule="auto"/>
        <w:rPr>
          <w:sz w:val="20"/>
          <w:szCs w:val="20"/>
          <w:color w:val="auto"/>
        </w:rPr>
      </w:pPr>
      <w:r>
        <w:rPr>
          <w:rFonts w:ascii="Arial" w:cs="Arial" w:eastAsia="Arial" w:hAnsi="Arial"/>
          <w:sz w:val="18"/>
          <w:szCs w:val="18"/>
          <w:b w:val="1"/>
          <w:bCs w:val="1"/>
          <w:color w:val="auto"/>
        </w:rPr>
        <w:t>Figure 3</w:t>
      </w:r>
      <w:r>
        <w:rPr>
          <w:rFonts w:ascii="Arial" w:cs="Arial" w:eastAsia="Arial" w:hAnsi="Arial"/>
          <w:sz w:val="18"/>
          <w:szCs w:val="18"/>
          <w:color w:val="auto"/>
        </w:rPr>
        <w:t>: Combination benefit for RMC-4630 and cobimetinib in preclinical xenograft models of tumors harboring KRAS</w:t>
      </w:r>
      <w:r>
        <w:rPr>
          <w:rFonts w:ascii="Arial" w:cs="Arial" w:eastAsia="Arial" w:hAnsi="Arial"/>
          <w:sz w:val="11"/>
          <w:szCs w:val="11"/>
          <w:color w:val="auto"/>
        </w:rPr>
        <w:t>G12C</w:t>
      </w:r>
      <w:r>
        <w:rPr>
          <w:rFonts w:ascii="Arial" w:cs="Arial" w:eastAsia="Arial" w:hAnsi="Arial"/>
          <w:sz w:val="18"/>
          <w:szCs w:val="18"/>
          <w:b w:val="1"/>
          <w:bCs w:val="1"/>
          <w:color w:val="auto"/>
        </w:rPr>
        <w:t xml:space="preserve"> </w:t>
      </w:r>
      <w:r>
        <w:rPr>
          <w:rFonts w:ascii="Arial" w:cs="Arial" w:eastAsia="Arial" w:hAnsi="Arial"/>
          <w:sz w:val="18"/>
          <w:szCs w:val="18"/>
          <w:color w:val="auto"/>
        </w:rPr>
        <w:t>mutations or wild-type KRAS amplifications.</w:t>
      </w:r>
    </w:p>
    <w:p>
      <w:pPr>
        <w:spacing w:after="0" w:line="7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KRAS</w:t>
      </w:r>
      <w:r>
        <w:rPr>
          <w:rFonts w:ascii="Arial" w:cs="Arial" w:eastAsia="Arial" w:hAnsi="Arial"/>
          <w:sz w:val="11"/>
          <w:szCs w:val="11"/>
          <w:b w:val="1"/>
          <w:bCs w:val="1"/>
          <w:color w:val="auto"/>
        </w:rPr>
        <w:t>G12C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86360</wp:posOffset>
            </wp:positionV>
            <wp:extent cx="4303395" cy="16116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303395"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Wild-Type KRAS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86360</wp:posOffset>
            </wp:positionV>
            <wp:extent cx="4320540" cy="13627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320540" cy="136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20" w:right="120"/>
        <w:spacing w:after="0" w:line="186" w:lineRule="auto"/>
        <w:rPr>
          <w:sz w:val="20"/>
          <w:szCs w:val="20"/>
          <w:color w:val="auto"/>
        </w:rPr>
      </w:pPr>
      <w:r>
        <w:rPr>
          <w:rFonts w:ascii="Arial" w:cs="Arial" w:eastAsia="Arial" w:hAnsi="Arial"/>
          <w:sz w:val="13"/>
          <w:szCs w:val="13"/>
          <w:color w:val="auto"/>
        </w:rPr>
        <w:t xml:space="preserve">Anti-tumor activity of RMC-4630 (10 mg/kg) and cobimetinib (2.5 mg/kg) dosed daily by oral administration (po, qd) as single agents or in combination in </w:t>
      </w:r>
      <w:r>
        <w:rPr>
          <w:rFonts w:ascii="Arial" w:cs="Arial" w:eastAsia="Arial" w:hAnsi="Arial"/>
          <w:sz w:val="13"/>
          <w:szCs w:val="13"/>
          <w:b w:val="1"/>
          <w:bCs w:val="1"/>
          <w:color w:val="auto"/>
        </w:rPr>
        <w:t>(a</w:t>
      </w:r>
      <w:r>
        <w:rPr>
          <w:rFonts w:ascii="Arial" w:cs="Arial" w:eastAsia="Arial" w:hAnsi="Arial"/>
          <w:sz w:val="13"/>
          <w:szCs w:val="13"/>
          <w:color w:val="auto"/>
        </w:rPr>
        <w:t xml:space="preserve"> and </w:t>
      </w:r>
      <w:r>
        <w:rPr>
          <w:rFonts w:ascii="Arial" w:cs="Arial" w:eastAsia="Arial" w:hAnsi="Arial"/>
          <w:sz w:val="13"/>
          <w:szCs w:val="13"/>
          <w:b w:val="1"/>
          <w:bCs w:val="1"/>
          <w:color w:val="auto"/>
        </w:rPr>
        <w:t>b)</w:t>
      </w:r>
      <w:r>
        <w:rPr>
          <w:rFonts w:ascii="Arial" w:cs="Arial" w:eastAsia="Arial" w:hAnsi="Arial"/>
          <w:sz w:val="13"/>
          <w:szCs w:val="13"/>
          <w:color w:val="auto"/>
        </w:rPr>
        <w:t xml:space="preserve"> NSCLC CDX NCI-H358 KRAS</w:t>
      </w:r>
      <w:r>
        <w:rPr>
          <w:rFonts w:ascii="Arial" w:cs="Arial" w:eastAsia="Arial" w:hAnsi="Arial"/>
          <w:sz w:val="22"/>
          <w:szCs w:val="22"/>
          <w:color w:val="auto"/>
          <w:vertAlign w:val="superscript"/>
        </w:rPr>
        <w:t>G12C</w:t>
      </w:r>
      <w:r>
        <w:rPr>
          <w:rFonts w:ascii="Arial" w:cs="Arial" w:eastAsia="Arial" w:hAnsi="Arial"/>
          <w:sz w:val="13"/>
          <w:szCs w:val="13"/>
          <w:color w:val="auto"/>
        </w:rPr>
        <w:t xml:space="preserve"> and </w:t>
      </w:r>
      <w:r>
        <w:rPr>
          <w:rFonts w:ascii="Arial" w:cs="Arial" w:eastAsia="Arial" w:hAnsi="Arial"/>
          <w:sz w:val="13"/>
          <w:szCs w:val="13"/>
          <w:b w:val="1"/>
          <w:bCs w:val="1"/>
          <w:color w:val="auto"/>
        </w:rPr>
        <w:t>(c</w:t>
      </w:r>
      <w:r>
        <w:rPr>
          <w:rFonts w:ascii="Arial" w:cs="Arial" w:eastAsia="Arial" w:hAnsi="Arial"/>
          <w:sz w:val="13"/>
          <w:szCs w:val="13"/>
          <w:color w:val="auto"/>
        </w:rPr>
        <w:t xml:space="preserve"> and </w:t>
      </w:r>
      <w:r>
        <w:rPr>
          <w:rFonts w:ascii="Arial" w:cs="Arial" w:eastAsia="Arial" w:hAnsi="Arial"/>
          <w:sz w:val="13"/>
          <w:szCs w:val="13"/>
          <w:b w:val="1"/>
          <w:bCs w:val="1"/>
          <w:color w:val="auto"/>
        </w:rPr>
        <w:t>d)</w:t>
      </w:r>
      <w:r>
        <w:rPr>
          <w:rFonts w:ascii="Arial" w:cs="Arial" w:eastAsia="Arial" w:hAnsi="Arial"/>
          <w:sz w:val="13"/>
          <w:szCs w:val="13"/>
          <w:color w:val="auto"/>
        </w:rPr>
        <w:t xml:space="preserve"> gastric cancer PDX STO#332 wild-type KRAS amplification (KRAS Amp, CN = 4) models. Data represent </w:t>
      </w:r>
      <w:r>
        <w:rPr>
          <w:rFonts w:ascii="Arial" w:cs="Arial" w:eastAsia="Arial" w:hAnsi="Arial"/>
          <w:sz w:val="13"/>
          <w:szCs w:val="13"/>
          <w:b w:val="1"/>
          <w:bCs w:val="1"/>
          <w:color w:val="auto"/>
        </w:rPr>
        <w:t>(a</w:t>
      </w:r>
      <w:r>
        <w:rPr>
          <w:rFonts w:ascii="Arial" w:cs="Arial" w:eastAsia="Arial" w:hAnsi="Arial"/>
          <w:sz w:val="13"/>
          <w:szCs w:val="13"/>
          <w:color w:val="auto"/>
        </w:rPr>
        <w:t xml:space="preserve"> and </w:t>
      </w:r>
      <w:r>
        <w:rPr>
          <w:rFonts w:ascii="Arial" w:cs="Arial" w:eastAsia="Arial" w:hAnsi="Arial"/>
          <w:sz w:val="13"/>
          <w:szCs w:val="13"/>
          <w:b w:val="1"/>
          <w:bCs w:val="1"/>
          <w:color w:val="auto"/>
        </w:rPr>
        <w:t>c)</w:t>
      </w:r>
      <w:r>
        <w:rPr>
          <w:rFonts w:ascii="Arial" w:cs="Arial" w:eastAsia="Arial" w:hAnsi="Arial"/>
          <w:sz w:val="13"/>
          <w:szCs w:val="13"/>
          <w:color w:val="auto"/>
        </w:rPr>
        <w:t xml:space="preserve"> mean tumor volume over time</w:t>
      </w:r>
    </w:p>
    <w:p>
      <w:pPr>
        <w:ind w:left="120"/>
        <w:spacing w:after="0"/>
        <w:rPr>
          <w:sz w:val="20"/>
          <w:szCs w:val="20"/>
          <w:color w:val="auto"/>
        </w:rPr>
      </w:pPr>
      <w:r>
        <w:rPr>
          <w:rFonts w:ascii="Arial" w:cs="Arial" w:eastAsia="Arial" w:hAnsi="Arial"/>
          <w:sz w:val="13"/>
          <w:szCs w:val="13"/>
          <w:color w:val="auto"/>
        </w:rPr>
        <w:t xml:space="preserve">or </w:t>
      </w:r>
      <w:r>
        <w:rPr>
          <w:rFonts w:ascii="Arial" w:cs="Arial" w:eastAsia="Arial" w:hAnsi="Arial"/>
          <w:sz w:val="13"/>
          <w:szCs w:val="13"/>
          <w:b w:val="1"/>
          <w:bCs w:val="1"/>
          <w:color w:val="auto"/>
        </w:rPr>
        <w:t>(b</w:t>
      </w:r>
      <w:r>
        <w:rPr>
          <w:rFonts w:ascii="Arial" w:cs="Arial" w:eastAsia="Arial" w:hAnsi="Arial"/>
          <w:sz w:val="13"/>
          <w:szCs w:val="13"/>
          <w:color w:val="auto"/>
        </w:rPr>
        <w:t xml:space="preserve"> and </w:t>
      </w:r>
      <w:r>
        <w:rPr>
          <w:rFonts w:ascii="Arial" w:cs="Arial" w:eastAsia="Arial" w:hAnsi="Arial"/>
          <w:sz w:val="13"/>
          <w:szCs w:val="13"/>
          <w:b w:val="1"/>
          <w:bCs w:val="1"/>
          <w:color w:val="auto"/>
        </w:rPr>
        <w:t>d)</w:t>
      </w:r>
      <w:r>
        <w:rPr>
          <w:rFonts w:ascii="Arial" w:cs="Arial" w:eastAsia="Arial" w:hAnsi="Arial"/>
          <w:sz w:val="13"/>
          <w:szCs w:val="13"/>
          <w:color w:val="auto"/>
        </w:rPr>
        <w:t xml:space="preserve"> waterfall plots of individual end of study responses with tumor volume expressed as a percentage of initial tumor volume at time of study start (truncated at 300% in </w:t>
      </w:r>
      <w:r>
        <w:rPr>
          <w:rFonts w:ascii="Arial" w:cs="Arial" w:eastAsia="Arial" w:hAnsi="Arial"/>
          <w:sz w:val="13"/>
          <w:szCs w:val="13"/>
          <w:b w:val="1"/>
          <w:bCs w:val="1"/>
          <w:color w:val="auto"/>
        </w:rPr>
        <w:t>d</w:t>
      </w:r>
      <w:r>
        <w:rPr>
          <w:rFonts w:ascii="Arial" w:cs="Arial" w:eastAsia="Arial" w:hAnsi="Arial"/>
          <w:sz w:val="13"/>
          <w:szCs w:val="13"/>
          <w:color w:val="auto"/>
        </w:rPr>
        <w:t>).</w:t>
      </w:r>
    </w:p>
    <w:p>
      <w:pPr>
        <w:ind w:left="120"/>
        <w:spacing w:after="0"/>
        <w:rPr>
          <w:sz w:val="20"/>
          <w:szCs w:val="20"/>
          <w:color w:val="auto"/>
        </w:rPr>
      </w:pPr>
      <w:r>
        <w:rPr>
          <w:rFonts w:ascii="Arial" w:cs="Arial" w:eastAsia="Arial" w:hAnsi="Arial"/>
          <w:sz w:val="13"/>
          <w:szCs w:val="13"/>
          <w:color w:val="auto"/>
        </w:rPr>
        <w:t xml:space="preserve">Each animal represented as a separate bar in </w:t>
      </w:r>
      <w:r>
        <w:rPr>
          <w:rFonts w:ascii="Arial" w:cs="Arial" w:eastAsia="Arial" w:hAnsi="Arial"/>
          <w:sz w:val="13"/>
          <w:szCs w:val="13"/>
          <w:b w:val="1"/>
          <w:bCs w:val="1"/>
          <w:color w:val="auto"/>
        </w:rPr>
        <w:t>(b</w:t>
      </w:r>
      <w:r>
        <w:rPr>
          <w:rFonts w:ascii="Arial" w:cs="Arial" w:eastAsia="Arial" w:hAnsi="Arial"/>
          <w:sz w:val="13"/>
          <w:szCs w:val="13"/>
          <w:color w:val="auto"/>
        </w:rPr>
        <w:t xml:space="preserve"> and </w:t>
      </w:r>
      <w:r>
        <w:rPr>
          <w:rFonts w:ascii="Arial" w:cs="Arial" w:eastAsia="Arial" w:hAnsi="Arial"/>
          <w:sz w:val="13"/>
          <w:szCs w:val="13"/>
          <w:b w:val="1"/>
          <w:bCs w:val="1"/>
          <w:color w:val="auto"/>
        </w:rPr>
        <w:t>d)</w:t>
      </w:r>
      <w:r>
        <w:rPr>
          <w:rFonts w:ascii="Arial" w:cs="Arial" w:eastAsia="Arial" w:hAnsi="Arial"/>
          <w:sz w:val="13"/>
          <w:szCs w:val="13"/>
          <w:color w:val="auto"/>
        </w:rPr>
        <w:t>, n = 10/group. Respective doses (in parentheses) of RMC-4630 (10 mg/kg) and cobimetinib (2.5 mg/kg) are lower than the</w:t>
      </w:r>
    </w:p>
    <w:p>
      <w:pPr>
        <w:ind w:left="120"/>
        <w:spacing w:after="0"/>
        <w:rPr>
          <w:sz w:val="20"/>
          <w:szCs w:val="20"/>
          <w:color w:val="auto"/>
        </w:rPr>
      </w:pPr>
      <w:r>
        <w:rPr>
          <w:rFonts w:ascii="Arial" w:cs="Arial" w:eastAsia="Arial" w:hAnsi="Arial"/>
          <w:sz w:val="13"/>
          <w:szCs w:val="13"/>
          <w:color w:val="auto"/>
        </w:rPr>
        <w:t>corresponding maximally-tolerated dose for each agent. Numbers indicate number of regressions (defined as &gt; 10% reduction in tumor volume from starting volume) in each group.</w:t>
      </w:r>
    </w:p>
    <w:p>
      <w:pPr>
        <w:spacing w:after="0" w:line="111"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There are three important implications of these observations: First, the anti-tumor effects of RMC-4630 may be significantly greater in human cancers that are already predicted to be sensitive to SHP2 inhibition if RMC-4630 is combined with a MEK inhibitor. Second, the effects of the combination may be observed at doses or exposures of RMC-4630 or a MEK inhibitor that are significantly below the maximum tolerated dose for each agent. Third, there may be a higher probability of invoking tumor cell death with the combination, and thus seeing tumor regressions.</w:t>
      </w:r>
    </w:p>
    <w:p>
      <w:pPr>
        <w:spacing w:after="0" w:line="103" w:lineRule="exact"/>
        <w:rPr>
          <w:sz w:val="20"/>
          <w:szCs w:val="20"/>
          <w:color w:val="auto"/>
        </w:rPr>
      </w:pPr>
    </w:p>
    <w:p>
      <w:pPr>
        <w:jc w:val="both"/>
        <w:ind w:left="120" w:right="60"/>
        <w:spacing w:after="0" w:line="238" w:lineRule="auto"/>
        <w:rPr>
          <w:sz w:val="20"/>
          <w:szCs w:val="20"/>
          <w:color w:val="auto"/>
        </w:rPr>
      </w:pPr>
      <w:r>
        <w:rPr>
          <w:rFonts w:ascii="Arial" w:cs="Arial" w:eastAsia="Arial" w:hAnsi="Arial"/>
          <w:sz w:val="18"/>
          <w:szCs w:val="18"/>
          <w:color w:val="auto"/>
        </w:rPr>
        <w:t>In addition, two of our academic collaborators have demonstrated that tumors with KRAS</w:t>
      </w:r>
      <w:r>
        <w:rPr>
          <w:rFonts w:ascii="Arial" w:cs="Arial" w:eastAsia="Arial" w:hAnsi="Arial"/>
          <w:sz w:val="11"/>
          <w:szCs w:val="11"/>
          <w:color w:val="auto"/>
        </w:rPr>
        <w:t>G12D</w:t>
      </w:r>
      <w:r>
        <w:rPr>
          <w:rFonts w:ascii="Arial" w:cs="Arial" w:eastAsia="Arial" w:hAnsi="Arial"/>
          <w:sz w:val="18"/>
          <w:szCs w:val="18"/>
          <w:color w:val="auto"/>
        </w:rPr>
        <w:t xml:space="preserve"> or KRAS</w:t>
      </w:r>
      <w:r>
        <w:rPr>
          <w:rFonts w:ascii="Arial" w:cs="Arial" w:eastAsia="Arial" w:hAnsi="Arial"/>
          <w:sz w:val="11"/>
          <w:szCs w:val="11"/>
          <w:color w:val="auto"/>
        </w:rPr>
        <w:t>G13D</w:t>
      </w:r>
      <w:r>
        <w:rPr>
          <w:rFonts w:ascii="Arial" w:cs="Arial" w:eastAsia="Arial" w:hAnsi="Arial"/>
          <w:sz w:val="18"/>
          <w:szCs w:val="18"/>
          <w:color w:val="auto"/>
        </w:rPr>
        <w:t xml:space="preserve"> mutations may be responsive to a SHP2 inhibitor combined with a MEK inhibitor. Based on their published results, the RMC-4630 and MEK inhibitor combination may be active in some tumors with mutations that may not be sensitive to SHP2 inhibition alone.</w:t>
      </w:r>
    </w:p>
    <w:p>
      <w:pPr>
        <w:spacing w:after="0" w:line="100" w:lineRule="exact"/>
        <w:rPr>
          <w:sz w:val="20"/>
          <w:szCs w:val="20"/>
          <w:color w:val="auto"/>
        </w:rPr>
      </w:pPr>
    </w:p>
    <w:p>
      <w:pPr>
        <w:ind w:left="120" w:right="380"/>
        <w:spacing w:after="0" w:line="239" w:lineRule="auto"/>
        <w:rPr>
          <w:sz w:val="20"/>
          <w:szCs w:val="20"/>
          <w:color w:val="auto"/>
        </w:rPr>
      </w:pPr>
      <w:r>
        <w:rPr>
          <w:rFonts w:ascii="Arial" w:cs="Arial" w:eastAsia="Arial" w:hAnsi="Arial"/>
          <w:sz w:val="18"/>
          <w:szCs w:val="18"/>
          <w:color w:val="auto"/>
        </w:rPr>
        <w:t>The combination of RMC-4630 and cobimetinib has been relatively well tolerated in preclinical studies. We have also sought to maximize potent anti-tumor efficacy of RMC-4630, and reduce potential side effects, by deploying an intermittent dosing schedule.</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00"/>
          </w:cols>
          <w:pgMar w:left="320" w:top="459" w:right="4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Recently reported initial clinical results from a KRAS</w:t>
      </w:r>
      <w:r>
        <w:rPr>
          <w:rFonts w:ascii="Arial" w:cs="Arial" w:eastAsia="Arial" w:hAnsi="Arial"/>
          <w:sz w:val="10"/>
          <w:szCs w:val="10"/>
          <w:color w:val="auto"/>
        </w:rPr>
        <w:t>G12C</w:t>
      </w:r>
      <w:r>
        <w:rPr>
          <w:rFonts w:ascii="Arial" w:cs="Arial" w:eastAsia="Arial" w:hAnsi="Arial"/>
          <w:sz w:val="16"/>
          <w:szCs w:val="16"/>
          <w:color w:val="auto"/>
        </w:rPr>
        <w:t>(OFF) inhibitor suggest significant clinical benefit and provide strong pharmacologic</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validation of this oncoprotein as a cancer driver. Preclinical studies have demonstrated that KRAS</w:t>
      </w:r>
      <w:r>
        <w:rPr>
          <w:rFonts w:ascii="Arial" w:cs="Arial" w:eastAsia="Arial" w:hAnsi="Arial"/>
          <w:sz w:val="11"/>
          <w:szCs w:val="11"/>
          <w:color w:val="auto"/>
        </w:rPr>
        <w:t>G12C</w:t>
      </w:r>
      <w:r>
        <w:rPr>
          <w:rFonts w:ascii="Arial" w:cs="Arial" w:eastAsia="Arial" w:hAnsi="Arial"/>
          <w:sz w:val="18"/>
          <w:szCs w:val="18"/>
          <w:color w:val="auto"/>
        </w:rPr>
        <w:t>(OFF) inhibitors also cause a rapid</w:t>
      </w:r>
    </w:p>
    <w:p>
      <w:pPr>
        <w:ind w:left="120"/>
        <w:spacing w:after="0" w:line="234" w:lineRule="auto"/>
        <w:rPr>
          <w:sz w:val="20"/>
          <w:szCs w:val="20"/>
          <w:color w:val="auto"/>
        </w:rPr>
      </w:pPr>
      <w:r>
        <w:rPr>
          <w:rFonts w:ascii="Arial" w:cs="Arial" w:eastAsia="Arial" w:hAnsi="Arial"/>
          <w:sz w:val="18"/>
          <w:szCs w:val="18"/>
          <w:color w:val="auto"/>
        </w:rPr>
        <w:t>increase in signaling through RTKs that are typically SHP2-dependent. Thus, the magnitude and durability of effect of an inhibitor of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KRAS</w:t>
      </w:r>
      <w:r>
        <w:rPr>
          <w:rFonts w:ascii="Arial" w:cs="Arial" w:eastAsia="Arial" w:hAnsi="Arial"/>
          <w:sz w:val="10"/>
          <w:szCs w:val="10"/>
          <w:color w:val="auto"/>
        </w:rPr>
        <w:t>G12C</w:t>
      </w:r>
      <w:r>
        <w:rPr>
          <w:rFonts w:ascii="Arial" w:cs="Arial" w:eastAsia="Arial" w:hAnsi="Arial"/>
          <w:sz w:val="16"/>
          <w:szCs w:val="16"/>
          <w:color w:val="auto"/>
        </w:rPr>
        <w:t>(OFF) may be significantly increased when combined with a SHP2 inhibitor that disrupts signaling from the activated RTKs. Recent</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data have demonstrated that a combination of our proprietary SHP2 inhibitor with KRAS</w:t>
      </w:r>
      <w:r>
        <w:rPr>
          <w:rFonts w:ascii="Arial" w:cs="Arial" w:eastAsia="Arial" w:hAnsi="Arial"/>
          <w:sz w:val="11"/>
          <w:szCs w:val="11"/>
          <w:color w:val="auto"/>
        </w:rPr>
        <w:t>G12C</w:t>
      </w:r>
      <w:r>
        <w:rPr>
          <w:rFonts w:ascii="Arial" w:cs="Arial" w:eastAsia="Arial" w:hAnsi="Arial"/>
          <w:sz w:val="18"/>
          <w:szCs w:val="18"/>
          <w:color w:val="auto"/>
        </w:rPr>
        <w:t>(OFF) inhibitors can drive significant tumor</w:t>
      </w:r>
    </w:p>
    <w:p>
      <w:pPr>
        <w:ind w:left="120"/>
        <w:spacing w:after="0"/>
        <w:rPr>
          <w:sz w:val="20"/>
          <w:szCs w:val="20"/>
          <w:color w:val="auto"/>
        </w:rPr>
      </w:pPr>
      <w:r>
        <w:rPr>
          <w:rFonts w:ascii="Arial" w:cs="Arial" w:eastAsia="Arial" w:hAnsi="Arial"/>
          <w:sz w:val="16"/>
          <w:szCs w:val="16"/>
          <w:color w:val="auto"/>
        </w:rPr>
        <w:t>regression in two distinct KRAS</w:t>
      </w:r>
      <w:r>
        <w:rPr>
          <w:rFonts w:ascii="Arial" w:cs="Arial" w:eastAsia="Arial" w:hAnsi="Arial"/>
          <w:sz w:val="10"/>
          <w:szCs w:val="10"/>
          <w:color w:val="auto"/>
        </w:rPr>
        <w:t>G12C</w:t>
      </w:r>
      <w:r>
        <w:rPr>
          <w:rFonts w:ascii="Arial" w:cs="Arial" w:eastAsia="Arial" w:hAnsi="Arial"/>
          <w:sz w:val="16"/>
          <w:szCs w:val="16"/>
          <w:color w:val="auto"/>
        </w:rPr>
        <w:t xml:space="preserve"> driven tumor models that exhibit only partial anti-tumor responses to either compound alone (Figure 4).</w:t>
      </w:r>
    </w:p>
    <w:p>
      <w:pPr>
        <w:spacing w:after="0" w:line="105" w:lineRule="exact"/>
        <w:rPr>
          <w:sz w:val="20"/>
          <w:szCs w:val="20"/>
          <w:color w:val="auto"/>
        </w:rPr>
      </w:pPr>
    </w:p>
    <w:p>
      <w:pPr>
        <w:ind w:left="120" w:right="80"/>
        <w:spacing w:after="0" w:line="264" w:lineRule="auto"/>
        <w:rPr>
          <w:sz w:val="20"/>
          <w:szCs w:val="20"/>
          <w:color w:val="auto"/>
        </w:rPr>
      </w:pPr>
      <w:r>
        <w:rPr>
          <w:rFonts w:ascii="Arial" w:cs="Arial" w:eastAsia="Arial" w:hAnsi="Arial"/>
          <w:sz w:val="18"/>
          <w:szCs w:val="18"/>
          <w:b w:val="1"/>
          <w:bCs w:val="1"/>
          <w:color w:val="auto"/>
        </w:rPr>
        <w:t>Figure 4</w:t>
      </w:r>
      <w:r>
        <w:rPr>
          <w:rFonts w:ascii="Arial" w:cs="Arial" w:eastAsia="Arial" w:hAnsi="Arial"/>
          <w:sz w:val="18"/>
          <w:szCs w:val="18"/>
          <w:color w:val="auto"/>
        </w:rPr>
        <w:t>: Combination benefit for SHP2 inhibitor and KRAS</w:t>
      </w:r>
      <w:r>
        <w:rPr>
          <w:rFonts w:ascii="Arial" w:cs="Arial" w:eastAsia="Arial" w:hAnsi="Arial"/>
          <w:sz w:val="11"/>
          <w:szCs w:val="11"/>
          <w:color w:val="auto"/>
        </w:rPr>
        <w:t>G12C</w:t>
      </w:r>
      <w:r>
        <w:rPr>
          <w:rFonts w:ascii="Arial" w:cs="Arial" w:eastAsia="Arial" w:hAnsi="Arial"/>
          <w:sz w:val="18"/>
          <w:szCs w:val="18"/>
          <w:color w:val="auto"/>
        </w:rPr>
        <w:t>(OFF) inhibitor in preclinical xenograft models of tumors harboring KRAS</w:t>
      </w:r>
      <w:r>
        <w:rPr>
          <w:rFonts w:ascii="Arial" w:cs="Arial" w:eastAsia="Arial" w:hAnsi="Arial"/>
          <w:sz w:val="11"/>
          <w:szCs w:val="11"/>
          <w:color w:val="auto"/>
        </w:rPr>
        <w:t>G12C</w:t>
      </w:r>
      <w:r>
        <w:rPr>
          <w:rFonts w:ascii="Arial" w:cs="Arial" w:eastAsia="Arial" w:hAnsi="Arial"/>
          <w:sz w:val="18"/>
          <w:szCs w:val="18"/>
          <w:b w:val="1"/>
          <w:bCs w:val="1"/>
          <w:color w:val="auto"/>
        </w:rPr>
        <w:t xml:space="preserve"> </w:t>
      </w:r>
      <w:r>
        <w:rPr>
          <w:rFonts w:ascii="Arial" w:cs="Arial" w:eastAsia="Arial" w:hAnsi="Arial"/>
          <w:sz w:val="18"/>
          <w:szCs w:val="18"/>
          <w:color w:val="auto"/>
        </w:rPr>
        <w:t>mutations.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57150</wp:posOffset>
            </wp:positionV>
            <wp:extent cx="4663440" cy="2049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663440" cy="2049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20" w:right="180"/>
        <w:spacing w:after="0" w:line="183" w:lineRule="auto"/>
        <w:rPr>
          <w:sz w:val="20"/>
          <w:szCs w:val="20"/>
          <w:color w:val="auto"/>
        </w:rPr>
      </w:pPr>
      <w:r>
        <w:rPr>
          <w:rFonts w:ascii="Arial" w:cs="Arial" w:eastAsia="Arial" w:hAnsi="Arial"/>
          <w:sz w:val="11"/>
          <w:szCs w:val="11"/>
          <w:color w:val="auto"/>
        </w:rPr>
        <w:t xml:space="preserve">Anti-tumor activity of a representative SHP2 allosteric inhibitor (RMC-4550) and a KRAS </w:t>
      </w:r>
      <w:r>
        <w:rPr>
          <w:rFonts w:ascii="Arial" w:cs="Arial" w:eastAsia="Arial" w:hAnsi="Arial"/>
          <w:sz w:val="18"/>
          <w:szCs w:val="18"/>
          <w:color w:val="auto"/>
          <w:vertAlign w:val="superscript"/>
        </w:rPr>
        <w:t>G12C</w:t>
      </w:r>
      <w:r>
        <w:rPr>
          <w:rFonts w:ascii="Arial" w:cs="Arial" w:eastAsia="Arial" w:hAnsi="Arial"/>
          <w:sz w:val="11"/>
          <w:szCs w:val="11"/>
          <w:color w:val="auto"/>
        </w:rPr>
        <w:t xml:space="preserve">(OFF) inhibitor (MRTX849 or MRTX1257) dosed daily by oral administration (po, qd) as single agents or in combination in </w:t>
      </w:r>
      <w:r>
        <w:rPr>
          <w:rFonts w:ascii="Arial" w:cs="Arial" w:eastAsia="Arial" w:hAnsi="Arial"/>
          <w:sz w:val="11"/>
          <w:szCs w:val="11"/>
          <w:b w:val="1"/>
          <w:bCs w:val="1"/>
          <w:color w:val="auto"/>
        </w:rPr>
        <w:t>(a)</w:t>
      </w:r>
      <w:r>
        <w:rPr>
          <w:rFonts w:ascii="Arial" w:cs="Arial" w:eastAsia="Arial" w:hAnsi="Arial"/>
          <w:sz w:val="11"/>
          <w:szCs w:val="11"/>
          <w:color w:val="auto"/>
        </w:rPr>
        <w:t xml:space="preserve"> esophageal carcinoma KYSE-410 and </w:t>
      </w:r>
      <w:r>
        <w:rPr>
          <w:rFonts w:ascii="Arial" w:cs="Arial" w:eastAsia="Arial" w:hAnsi="Arial"/>
          <w:sz w:val="11"/>
          <w:szCs w:val="11"/>
          <w:b w:val="1"/>
          <w:bCs w:val="1"/>
          <w:color w:val="auto"/>
        </w:rPr>
        <w:t>(b)</w:t>
      </w:r>
      <w:r>
        <w:rPr>
          <w:rFonts w:ascii="Arial" w:cs="Arial" w:eastAsia="Arial" w:hAnsi="Arial"/>
          <w:sz w:val="11"/>
          <w:szCs w:val="11"/>
          <w:color w:val="auto"/>
        </w:rPr>
        <w:t xml:space="preserve"> NSCLC NCI-H358 KRAS</w:t>
      </w:r>
      <w:r>
        <w:rPr>
          <w:rFonts w:ascii="Arial" w:cs="Arial" w:eastAsia="Arial" w:hAnsi="Arial"/>
          <w:sz w:val="18"/>
          <w:szCs w:val="18"/>
          <w:color w:val="auto"/>
          <w:vertAlign w:val="superscript"/>
        </w:rPr>
        <w:t>G12C</w:t>
      </w:r>
      <w:r>
        <w:rPr>
          <w:rFonts w:ascii="Arial" w:cs="Arial" w:eastAsia="Arial" w:hAnsi="Arial"/>
          <w:sz w:val="11"/>
          <w:szCs w:val="11"/>
          <w:color w:val="auto"/>
        </w:rPr>
        <w:t xml:space="preserve"> cell line-derived xenograft models. Data represent </w:t>
      </w:r>
      <w:r>
        <w:rPr>
          <w:rFonts w:ascii="Arial" w:cs="Arial" w:eastAsia="Arial" w:hAnsi="Arial"/>
          <w:sz w:val="11"/>
          <w:szCs w:val="11"/>
          <w:b w:val="1"/>
          <w:bCs w:val="1"/>
          <w:color w:val="auto"/>
        </w:rPr>
        <w:t>(a)</w:t>
      </w:r>
      <w:r>
        <w:rPr>
          <w:rFonts w:ascii="Arial" w:cs="Arial" w:eastAsia="Arial" w:hAnsi="Arial"/>
          <w:sz w:val="11"/>
          <w:szCs w:val="11"/>
          <w:color w:val="auto"/>
        </w:rPr>
        <w:t xml:space="preserve"> mean tumor</w:t>
      </w:r>
    </w:p>
    <w:p>
      <w:pPr>
        <w:ind w:left="120"/>
        <w:spacing w:after="0"/>
        <w:rPr>
          <w:sz w:val="20"/>
          <w:szCs w:val="20"/>
          <w:color w:val="auto"/>
        </w:rPr>
      </w:pPr>
      <w:r>
        <w:rPr>
          <w:rFonts w:ascii="Arial" w:cs="Arial" w:eastAsia="Arial" w:hAnsi="Arial"/>
          <w:sz w:val="13"/>
          <w:szCs w:val="13"/>
          <w:color w:val="auto"/>
        </w:rPr>
        <w:t xml:space="preserve">volume over time or </w:t>
      </w:r>
      <w:r>
        <w:rPr>
          <w:rFonts w:ascii="Arial" w:cs="Arial" w:eastAsia="Arial" w:hAnsi="Arial"/>
          <w:sz w:val="13"/>
          <w:szCs w:val="13"/>
          <w:b w:val="1"/>
          <w:bCs w:val="1"/>
          <w:color w:val="auto"/>
        </w:rPr>
        <w:t>(b)</w:t>
      </w:r>
      <w:r>
        <w:rPr>
          <w:rFonts w:ascii="Arial" w:cs="Arial" w:eastAsia="Arial" w:hAnsi="Arial"/>
          <w:sz w:val="13"/>
          <w:szCs w:val="13"/>
          <w:color w:val="auto"/>
        </w:rPr>
        <w:t xml:space="preserve"> waterfall plot of individual end of study responses, with tumor volume expressed as a percentage of initial tumor volume at time of study start. Data in panel</w:t>
      </w:r>
    </w:p>
    <w:p>
      <w:pPr>
        <w:ind w:left="120" w:hanging="4"/>
        <w:spacing w:after="0" w:line="210" w:lineRule="auto"/>
        <w:tabs>
          <w:tab w:leader="none" w:pos="322" w:val="left"/>
        </w:tabs>
        <w:numPr>
          <w:ilvl w:val="0"/>
          <w:numId w:val="80"/>
        </w:numPr>
        <w:rPr>
          <w:rFonts w:ascii="Arial" w:cs="Arial" w:eastAsia="Arial" w:hAnsi="Arial"/>
          <w:sz w:val="13"/>
          <w:szCs w:val="13"/>
          <w:b w:val="1"/>
          <w:bCs w:val="1"/>
          <w:color w:val="auto"/>
        </w:rPr>
      </w:pPr>
      <w:r>
        <w:rPr>
          <w:rFonts w:ascii="Arial" w:cs="Arial" w:eastAsia="Arial" w:hAnsi="Arial"/>
          <w:sz w:val="13"/>
          <w:szCs w:val="13"/>
          <w:color w:val="auto"/>
        </w:rPr>
        <w:t>taken from an August 2019 Mirati corporate presentation; show evidence for tumor regressions, in addition to reduced rate of tumor regrowth after ‘dosing stopped’, for the SHP2 plus KRAS</w:t>
      </w:r>
      <w:r>
        <w:rPr>
          <w:rFonts w:ascii="Arial" w:cs="Arial" w:eastAsia="Arial" w:hAnsi="Arial"/>
          <w:sz w:val="22"/>
          <w:szCs w:val="22"/>
          <w:color w:val="auto"/>
          <w:vertAlign w:val="superscript"/>
        </w:rPr>
        <w:t>G12C</w:t>
      </w:r>
      <w:r>
        <w:rPr>
          <w:rFonts w:ascii="Arial" w:cs="Arial" w:eastAsia="Arial" w:hAnsi="Arial"/>
          <w:sz w:val="13"/>
          <w:szCs w:val="13"/>
          <w:color w:val="auto"/>
        </w:rPr>
        <w:t xml:space="preserve">(OFF) inhibitor combination group relative to either single agent group. From our data in panel </w:t>
      </w:r>
      <w:r>
        <w:rPr>
          <w:rFonts w:ascii="Arial" w:cs="Arial" w:eastAsia="Arial" w:hAnsi="Arial"/>
          <w:sz w:val="13"/>
          <w:szCs w:val="13"/>
          <w:b w:val="1"/>
          <w:bCs w:val="1"/>
          <w:color w:val="auto"/>
        </w:rPr>
        <w:t>(b)</w:t>
      </w:r>
      <w:r>
        <w:rPr>
          <w:rFonts w:ascii="Arial" w:cs="Arial" w:eastAsia="Arial" w:hAnsi="Arial"/>
          <w:sz w:val="13"/>
          <w:szCs w:val="13"/>
          <w:color w:val="auto"/>
        </w:rPr>
        <w:t xml:space="preserve"> each animal represented as a separate bar (n = 10 /group, truncated at 300%). Numbers indicate number of regressions (&gt; 10% reduction in tumor volume from starting volume) in each group. RMC-4550 is a potent and selective SHP2 allosteric inhibitor tool compound (see Nichols et al., 2018). MRTX849 is Mirati’s KRAS</w:t>
      </w:r>
      <w:r>
        <w:rPr>
          <w:rFonts w:ascii="Arial" w:cs="Arial" w:eastAsia="Arial" w:hAnsi="Arial"/>
          <w:sz w:val="22"/>
          <w:szCs w:val="22"/>
          <w:color w:val="auto"/>
          <w:vertAlign w:val="superscript"/>
        </w:rPr>
        <w:t>G12C</w:t>
      </w:r>
      <w:r>
        <w:rPr>
          <w:rFonts w:ascii="Arial" w:cs="Arial" w:eastAsia="Arial" w:hAnsi="Arial"/>
          <w:sz w:val="13"/>
          <w:szCs w:val="13"/>
          <w:color w:val="auto"/>
        </w:rPr>
        <w:t>(OFF) clinical candidate and MRTX1257 is a potent and selective KRAS</w:t>
      </w:r>
      <w:r>
        <w:rPr>
          <w:rFonts w:ascii="Arial" w:cs="Arial" w:eastAsia="Arial" w:hAnsi="Arial"/>
          <w:sz w:val="22"/>
          <w:szCs w:val="22"/>
          <w:color w:val="auto"/>
          <w:vertAlign w:val="superscript"/>
        </w:rPr>
        <w:t>G12C</w:t>
      </w:r>
      <w:r>
        <w:rPr>
          <w:rFonts w:ascii="Arial" w:cs="Arial" w:eastAsia="Arial" w:hAnsi="Arial"/>
          <w:sz w:val="13"/>
          <w:szCs w:val="13"/>
          <w:color w:val="auto"/>
        </w:rPr>
        <w:t>(OFF) inhibitor tool compound.</w:t>
      </w:r>
    </w:p>
    <w:p>
      <w:pPr>
        <w:spacing w:after="0" w:line="2" w:lineRule="exact"/>
        <w:rPr>
          <w:sz w:val="20"/>
          <w:szCs w:val="20"/>
          <w:color w:val="auto"/>
        </w:rPr>
      </w:pPr>
    </w:p>
    <w:p>
      <w:pPr>
        <w:ind w:left="120" w:right="160"/>
        <w:spacing w:after="0" w:line="236" w:lineRule="auto"/>
        <w:rPr>
          <w:sz w:val="20"/>
          <w:szCs w:val="20"/>
          <w:color w:val="auto"/>
        </w:rPr>
      </w:pPr>
      <w:r>
        <w:rPr>
          <w:rFonts w:ascii="Arial" w:cs="Arial" w:eastAsia="Arial" w:hAnsi="Arial"/>
          <w:sz w:val="18"/>
          <w:szCs w:val="18"/>
          <w:color w:val="auto"/>
        </w:rPr>
        <w:t>In approximately 25% of NSCLC in North and South America, EGFR is mutated and drives tumor growth. EGFR inhibitors are used to treat these types of lung cancer, but emergence of resistance is a clinical problem. With recently approved EGFR inhibitors such as osimertinib (marketed as Tagrisso by AstraZeneca), emergent resistance is frequently due to mutation or amplification of signaling proteins other than EGFR. Similar to the adaptive resistance pathways activated by MEK inhibitors, several of these escape drivers have been shown to signal through SHP2.</w:t>
      </w:r>
    </w:p>
    <w:p>
      <w:pPr>
        <w:spacing w:after="0" w:line="103"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RMC-4630 enhanced the anti-tumor activity of osimertinib in preclinical models of osimertinib-sensitive and osimertinib-resistant EGFR-mutant tumors (Figures 5 and 6). RMC-4630 accelerated and increased the magnitude of tumor regression in an osimertinib-sensitive tumor and delayed and/or reduced tumor regrowth upon cessation of treatment in this model. RMC-4630 was also effective at inhibiting tumor growth in a patient-derived tumor xenograft that had become resistant to osimertinib via amplification of the oncogene c-MET, an RTK that has been shown to drive some forms of cancer and that signals through SHP2. This suggests that, under circumstances where escape from osimertinib occurs via a SHP2-dependent mechanism, RMC-4630 may have clinical activity.</w:t>
      </w:r>
    </w:p>
    <w:p>
      <w:pPr>
        <w:spacing w:after="0" w:line="14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60"/>
          </w:cols>
          <w:pgMar w:left="320" w:top="459" w:right="51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640"/>
        <w:spacing w:after="0" w:line="264" w:lineRule="auto"/>
        <w:rPr>
          <w:sz w:val="20"/>
          <w:szCs w:val="20"/>
          <w:color w:val="auto"/>
        </w:rPr>
      </w:pPr>
      <w:r>
        <w:rPr>
          <w:rFonts w:ascii="Arial" w:cs="Arial" w:eastAsia="Arial" w:hAnsi="Arial"/>
          <w:sz w:val="18"/>
          <w:szCs w:val="18"/>
          <w:b w:val="1"/>
          <w:bCs w:val="1"/>
          <w:color w:val="auto"/>
        </w:rPr>
        <w:t>Figure 5</w:t>
      </w:r>
      <w:r>
        <w:rPr>
          <w:rFonts w:ascii="Arial" w:cs="Arial" w:eastAsia="Arial" w:hAnsi="Arial"/>
          <w:sz w:val="18"/>
          <w:szCs w:val="18"/>
          <w:color w:val="auto"/>
        </w:rPr>
        <w:t>: Combination benefit for RMC-4630 and the EGFR inhibitor, osimertinib, in an EGFR</w:t>
      </w:r>
      <w:r>
        <w:rPr>
          <w:rFonts w:ascii="Arial" w:cs="Arial" w:eastAsia="Arial" w:hAnsi="Arial"/>
          <w:sz w:val="11"/>
          <w:szCs w:val="11"/>
          <w:color w:val="auto"/>
        </w:rPr>
        <w:t>L858R/T790M</w:t>
      </w:r>
      <w:r>
        <w:rPr>
          <w:rFonts w:ascii="Arial" w:cs="Arial" w:eastAsia="Arial" w:hAnsi="Arial"/>
          <w:sz w:val="18"/>
          <w:szCs w:val="18"/>
          <w:b w:val="1"/>
          <w:bCs w:val="1"/>
          <w:color w:val="auto"/>
        </w:rPr>
        <w:t xml:space="preserve"> </w:t>
      </w:r>
      <w:r>
        <w:rPr>
          <w:rFonts w:ascii="Arial" w:cs="Arial" w:eastAsia="Arial" w:hAnsi="Arial"/>
          <w:sz w:val="18"/>
          <w:szCs w:val="18"/>
          <w:color w:val="auto"/>
        </w:rPr>
        <w:t>osimertinib-sensitive NSCLC</w:t>
      </w:r>
      <w:r>
        <w:rPr>
          <w:rFonts w:ascii="Arial" w:cs="Arial" w:eastAsia="Arial" w:hAnsi="Arial"/>
          <w:sz w:val="18"/>
          <w:szCs w:val="18"/>
          <w:b w:val="1"/>
          <w:bCs w:val="1"/>
          <w:color w:val="auto"/>
        </w:rPr>
        <w:t xml:space="preserve"> </w:t>
      </w:r>
      <w:r>
        <w:rPr>
          <w:rFonts w:ascii="Arial" w:cs="Arial" w:eastAsia="Arial" w:hAnsi="Arial"/>
          <w:sz w:val="18"/>
          <w:szCs w:val="18"/>
          <w:color w:val="auto"/>
        </w:rPr>
        <w:t>xenograft model.</w:t>
      </w:r>
    </w:p>
    <w:p>
      <w:pPr>
        <w:spacing w:after="0" w:line="7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EGFR</w:t>
      </w:r>
      <w:r>
        <w:rPr>
          <w:rFonts w:ascii="Arial" w:cs="Arial" w:eastAsia="Arial" w:hAnsi="Arial"/>
          <w:sz w:val="11"/>
          <w:szCs w:val="11"/>
          <w:b w:val="1"/>
          <w:bCs w:val="1"/>
          <w:color w:val="auto"/>
        </w:rPr>
        <w:t>L858R/T790M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86360</wp:posOffset>
            </wp:positionV>
            <wp:extent cx="4097655" cy="22288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097655"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0" w:right="20"/>
        <w:spacing w:after="0" w:line="186" w:lineRule="auto"/>
        <w:rPr>
          <w:sz w:val="20"/>
          <w:szCs w:val="20"/>
          <w:color w:val="auto"/>
        </w:rPr>
      </w:pPr>
      <w:r>
        <w:rPr>
          <w:rFonts w:ascii="Arial" w:cs="Arial" w:eastAsia="Arial" w:hAnsi="Arial"/>
          <w:sz w:val="13"/>
          <w:szCs w:val="13"/>
          <w:color w:val="auto"/>
        </w:rPr>
        <w:t xml:space="preserve">Anti-tumor activity of osimertinib (5 mg/kg) dosed daily by oral administration (po, qd) as a single agent </w:t>
      </w:r>
      <w:r>
        <w:rPr>
          <w:rFonts w:ascii="Arial" w:cs="Arial" w:eastAsia="Arial" w:hAnsi="Arial"/>
          <w:sz w:val="13"/>
          <w:szCs w:val="13"/>
          <w:b w:val="1"/>
          <w:bCs w:val="1"/>
          <w:color w:val="auto"/>
        </w:rPr>
        <w:t>(a</w:t>
      </w:r>
      <w:r>
        <w:rPr>
          <w:rFonts w:ascii="Arial" w:cs="Arial" w:eastAsia="Arial" w:hAnsi="Arial"/>
          <w:sz w:val="13"/>
          <w:szCs w:val="13"/>
          <w:color w:val="auto"/>
        </w:rPr>
        <w:t xml:space="preserve"> and </w:t>
      </w:r>
      <w:r>
        <w:rPr>
          <w:rFonts w:ascii="Arial" w:cs="Arial" w:eastAsia="Arial" w:hAnsi="Arial"/>
          <w:sz w:val="13"/>
          <w:szCs w:val="13"/>
          <w:b w:val="1"/>
          <w:bCs w:val="1"/>
          <w:color w:val="auto"/>
        </w:rPr>
        <w:t>b)</w:t>
      </w:r>
      <w:r>
        <w:rPr>
          <w:rFonts w:ascii="Arial" w:cs="Arial" w:eastAsia="Arial" w:hAnsi="Arial"/>
          <w:sz w:val="13"/>
          <w:szCs w:val="13"/>
          <w:color w:val="auto"/>
        </w:rPr>
        <w:t xml:space="preserve"> or in combination with RMC-4630 (30 mg/kg po, qd) </w:t>
      </w:r>
      <w:r>
        <w:rPr>
          <w:rFonts w:ascii="Arial" w:cs="Arial" w:eastAsia="Arial" w:hAnsi="Arial"/>
          <w:sz w:val="13"/>
          <w:szCs w:val="13"/>
          <w:b w:val="1"/>
          <w:bCs w:val="1"/>
          <w:color w:val="auto"/>
        </w:rPr>
        <w:t>(c</w:t>
      </w:r>
      <w:r>
        <w:rPr>
          <w:rFonts w:ascii="Arial" w:cs="Arial" w:eastAsia="Arial" w:hAnsi="Arial"/>
          <w:sz w:val="13"/>
          <w:szCs w:val="13"/>
          <w:color w:val="auto"/>
        </w:rPr>
        <w:t xml:space="preserve"> and </w:t>
      </w:r>
      <w:r>
        <w:rPr>
          <w:rFonts w:ascii="Arial" w:cs="Arial" w:eastAsia="Arial" w:hAnsi="Arial"/>
          <w:sz w:val="13"/>
          <w:szCs w:val="13"/>
          <w:b w:val="1"/>
          <w:bCs w:val="1"/>
          <w:color w:val="auto"/>
        </w:rPr>
        <w:t>d)</w:t>
      </w:r>
      <w:r>
        <w:rPr>
          <w:rFonts w:ascii="Arial" w:cs="Arial" w:eastAsia="Arial" w:hAnsi="Arial"/>
          <w:sz w:val="13"/>
          <w:szCs w:val="13"/>
          <w:color w:val="auto"/>
        </w:rPr>
        <w:t xml:space="preserve"> in NSCLC NCI-H1975 (EGFR</w:t>
      </w:r>
      <w:r>
        <w:rPr>
          <w:rFonts w:ascii="Arial" w:cs="Arial" w:eastAsia="Arial" w:hAnsi="Arial"/>
          <w:sz w:val="22"/>
          <w:szCs w:val="22"/>
          <w:color w:val="auto"/>
          <w:vertAlign w:val="superscript"/>
        </w:rPr>
        <w:t>L858R/T790M</w:t>
      </w:r>
      <w:r>
        <w:rPr>
          <w:rFonts w:ascii="Arial" w:cs="Arial" w:eastAsia="Arial" w:hAnsi="Arial"/>
          <w:sz w:val="13"/>
          <w:szCs w:val="13"/>
          <w:color w:val="auto"/>
        </w:rPr>
        <w:t>) cell line-derived xenograft model. Graphs show tumor volume data for individual animals, expressed as a percentage of initial tumor volume at</w:t>
      </w:r>
    </w:p>
    <w:p>
      <w:pPr>
        <w:spacing w:after="0" w:line="1" w:lineRule="exact"/>
        <w:rPr>
          <w:sz w:val="20"/>
          <w:szCs w:val="20"/>
          <w:color w:val="auto"/>
        </w:rPr>
      </w:pPr>
    </w:p>
    <w:p>
      <w:pPr>
        <w:ind w:left="120"/>
        <w:spacing w:after="0" w:line="258" w:lineRule="auto"/>
        <w:rPr>
          <w:sz w:val="20"/>
          <w:szCs w:val="20"/>
          <w:color w:val="auto"/>
        </w:rPr>
      </w:pPr>
      <w:r>
        <w:rPr>
          <w:rFonts w:ascii="Arial" w:cs="Arial" w:eastAsia="Arial" w:hAnsi="Arial"/>
          <w:sz w:val="13"/>
          <w:szCs w:val="13"/>
          <w:color w:val="auto"/>
        </w:rPr>
        <w:t xml:space="preserve">time of study start (n=10/group). Horizontal dotted lines reference the starting tumor volume (0%) and a 50% reduction in tumor volume. Vertical dotted line marks time at which dosing was stopped. Panels </w:t>
      </w:r>
      <w:r>
        <w:rPr>
          <w:rFonts w:ascii="Arial" w:cs="Arial" w:eastAsia="Arial" w:hAnsi="Arial"/>
          <w:sz w:val="13"/>
          <w:szCs w:val="13"/>
          <w:b w:val="1"/>
          <w:bCs w:val="1"/>
          <w:color w:val="auto"/>
        </w:rPr>
        <w:t>(a</w:t>
      </w:r>
      <w:r>
        <w:rPr>
          <w:rFonts w:ascii="Arial" w:cs="Arial" w:eastAsia="Arial" w:hAnsi="Arial"/>
          <w:sz w:val="13"/>
          <w:szCs w:val="13"/>
          <w:color w:val="auto"/>
        </w:rPr>
        <w:t xml:space="preserve"> and </w:t>
      </w:r>
      <w:r>
        <w:rPr>
          <w:rFonts w:ascii="Arial" w:cs="Arial" w:eastAsia="Arial" w:hAnsi="Arial"/>
          <w:sz w:val="13"/>
          <w:szCs w:val="13"/>
          <w:b w:val="1"/>
          <w:bCs w:val="1"/>
          <w:color w:val="auto"/>
        </w:rPr>
        <w:t>c)</w:t>
      </w:r>
      <w:r>
        <w:rPr>
          <w:rFonts w:ascii="Arial" w:cs="Arial" w:eastAsia="Arial" w:hAnsi="Arial"/>
          <w:sz w:val="13"/>
          <w:szCs w:val="13"/>
          <w:color w:val="auto"/>
        </w:rPr>
        <w:t xml:space="preserve"> show the same data as in </w:t>
      </w:r>
      <w:r>
        <w:rPr>
          <w:rFonts w:ascii="Arial" w:cs="Arial" w:eastAsia="Arial" w:hAnsi="Arial"/>
          <w:sz w:val="13"/>
          <w:szCs w:val="13"/>
          <w:b w:val="1"/>
          <w:bCs w:val="1"/>
          <w:color w:val="auto"/>
        </w:rPr>
        <w:t>(b</w:t>
      </w:r>
      <w:r>
        <w:rPr>
          <w:rFonts w:ascii="Arial" w:cs="Arial" w:eastAsia="Arial" w:hAnsi="Arial"/>
          <w:sz w:val="13"/>
          <w:szCs w:val="13"/>
          <w:color w:val="auto"/>
        </w:rPr>
        <w:t xml:space="preserve"> and </w:t>
      </w:r>
      <w:r>
        <w:rPr>
          <w:rFonts w:ascii="Arial" w:cs="Arial" w:eastAsia="Arial" w:hAnsi="Arial"/>
          <w:sz w:val="13"/>
          <w:szCs w:val="13"/>
          <w:b w:val="1"/>
          <w:bCs w:val="1"/>
          <w:color w:val="auto"/>
        </w:rPr>
        <w:t>d)</w:t>
      </w:r>
      <w:r>
        <w:rPr>
          <w:rFonts w:ascii="Arial" w:cs="Arial" w:eastAsia="Arial" w:hAnsi="Arial"/>
          <w:sz w:val="13"/>
          <w:szCs w:val="13"/>
          <w:color w:val="auto"/>
        </w:rPr>
        <w:t xml:space="preserve"> up to the time point of dosing cessation but on an expanded time scale.</w:t>
      </w:r>
    </w:p>
    <w:p>
      <w:pPr>
        <w:spacing w:after="0" w:line="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6</w:t>
      </w:r>
      <w:r>
        <w:rPr>
          <w:rFonts w:ascii="Arial" w:cs="Arial" w:eastAsia="Arial" w:hAnsi="Arial"/>
          <w:sz w:val="18"/>
          <w:szCs w:val="18"/>
          <w:color w:val="auto"/>
        </w:rPr>
        <w:t>: RMC-4630 suppresses tumor growth in an osimertinib-resistant NSCLC patient-derived xenograft model</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(EGFR</w:t>
      </w:r>
      <w:r>
        <w:rPr>
          <w:rFonts w:ascii="Arial" w:cs="Arial" w:eastAsia="Arial" w:hAnsi="Arial"/>
          <w:sz w:val="11"/>
          <w:szCs w:val="11"/>
          <w:color w:val="auto"/>
        </w:rPr>
        <w:t>L858R/T790</w:t>
      </w:r>
      <w:r>
        <w:rPr>
          <w:rFonts w:ascii="Arial" w:cs="Arial" w:eastAsia="Arial" w:hAnsi="Arial"/>
          <w:sz w:val="18"/>
          <w:szCs w:val="18"/>
          <w:color w:val="auto"/>
        </w:rPr>
        <w:t>/MET</w:t>
      </w:r>
      <w:r>
        <w:rPr>
          <w:rFonts w:ascii="Arial" w:cs="Arial" w:eastAsia="Arial" w:hAnsi="Arial"/>
          <w:sz w:val="11"/>
          <w:szCs w:val="11"/>
          <w:color w:val="auto"/>
        </w:rPr>
        <w:t>amplified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-4445</wp:posOffset>
            </wp:positionV>
            <wp:extent cx="2682875" cy="21685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682875"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20" w:right="140"/>
        <w:spacing w:after="0" w:line="181" w:lineRule="auto"/>
        <w:rPr>
          <w:sz w:val="20"/>
          <w:szCs w:val="20"/>
          <w:color w:val="auto"/>
        </w:rPr>
      </w:pPr>
      <w:r>
        <w:rPr>
          <w:rFonts w:ascii="Arial" w:cs="Arial" w:eastAsia="Arial" w:hAnsi="Arial"/>
          <w:sz w:val="13"/>
          <w:szCs w:val="13"/>
          <w:color w:val="auto"/>
        </w:rPr>
        <w:t>Daily oral administration of RMC-4630 (30 mg/kg po, qd) inhibits tumor growth in an osimertinib-resistant NSCLC patient-derived xenograft model (EGFR</w:t>
      </w:r>
      <w:r>
        <w:rPr>
          <w:rFonts w:ascii="Arial" w:cs="Arial" w:eastAsia="Arial" w:hAnsi="Arial"/>
          <w:sz w:val="21"/>
          <w:szCs w:val="21"/>
          <w:color w:val="auto"/>
          <w:vertAlign w:val="superscript"/>
        </w:rPr>
        <w:t>L858R/T790</w:t>
      </w:r>
      <w:r>
        <w:rPr>
          <w:rFonts w:ascii="Arial" w:cs="Arial" w:eastAsia="Arial" w:hAnsi="Arial"/>
          <w:sz w:val="13"/>
          <w:szCs w:val="13"/>
          <w:color w:val="auto"/>
        </w:rPr>
        <w:t>/MET</w:t>
      </w:r>
      <w:r>
        <w:rPr>
          <w:rFonts w:ascii="Arial" w:cs="Arial" w:eastAsia="Arial" w:hAnsi="Arial"/>
          <w:sz w:val="21"/>
          <w:szCs w:val="21"/>
          <w:color w:val="auto"/>
          <w:vertAlign w:val="superscript"/>
        </w:rPr>
        <w:t>amplified</w:t>
      </w:r>
      <w:r>
        <w:rPr>
          <w:rFonts w:ascii="Arial" w:cs="Arial" w:eastAsia="Arial" w:hAnsi="Arial"/>
          <w:sz w:val="13"/>
          <w:szCs w:val="13"/>
          <w:color w:val="auto"/>
        </w:rPr>
        <w:t>) wherein the EGFR</w:t>
      </w:r>
      <w:r>
        <w:rPr>
          <w:rFonts w:ascii="Arial" w:cs="Arial" w:eastAsia="Arial" w:hAnsi="Arial"/>
          <w:sz w:val="21"/>
          <w:szCs w:val="21"/>
          <w:color w:val="auto"/>
          <w:vertAlign w:val="superscript"/>
        </w:rPr>
        <w:t>T790M</w:t>
      </w:r>
      <w:r>
        <w:rPr>
          <w:rFonts w:ascii="Arial" w:cs="Arial" w:eastAsia="Arial" w:hAnsi="Arial"/>
          <w:sz w:val="13"/>
          <w:szCs w:val="13"/>
          <w:color w:val="auto"/>
        </w:rPr>
        <w:t xml:space="preserve"> allele was no longer detected and the patient tumor exhibited genomic amplification of the MET receptor tyrosine kinase. Osimertinib 25 mg/kg, 5 days on/2 days off had no significant impact on tumor growth as anticipated.</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Rationale for combining with immune checkpoint inhibitors</w:t>
      </w:r>
    </w:p>
    <w:p>
      <w:pPr>
        <w:spacing w:after="0" w:line="122" w:lineRule="exact"/>
        <w:rPr>
          <w:sz w:val="20"/>
          <w:szCs w:val="20"/>
          <w:color w:val="auto"/>
        </w:rPr>
      </w:pPr>
    </w:p>
    <w:p>
      <w:pPr>
        <w:ind w:left="120" w:right="100"/>
        <w:spacing w:after="0" w:line="239" w:lineRule="auto"/>
        <w:rPr>
          <w:sz w:val="20"/>
          <w:szCs w:val="20"/>
          <w:color w:val="auto"/>
        </w:rPr>
      </w:pPr>
      <w:r>
        <w:rPr>
          <w:rFonts w:ascii="Arial" w:cs="Arial" w:eastAsia="Arial" w:hAnsi="Arial"/>
          <w:sz w:val="18"/>
          <w:szCs w:val="18"/>
          <w:color w:val="auto"/>
        </w:rPr>
        <w:t>Immune checkpoint inhibitors, such as inhibitors of PD-1, have been effective against a variety of tumor types, including melanomas, breast and lung cancers, certain types of colon cancer and bladder cancers. It has been</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20"/>
          </w:cols>
          <w:pgMar w:left="320" w:top="459" w:right="5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proposed in the scientific literature that SHP2 interacts with the PD-1 receptor and mediates at least part of its immune suppressive signals.</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We have observed that SHP2 inhibition phenocopies some of the effects of PD-1 blockade in certain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w:t>
      </w:r>
    </w:p>
    <w:p>
      <w:pPr>
        <w:spacing w:after="0" w:line="86"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 xml:space="preserve">We have also seen that SHP2 inhibition inhibits the viability of pro-tumorigenic (M2) macrophages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In the tumor microenvironment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SHP2 inhibition reduced the number of M2 macrophages while also promoting increases in the anti-tumor M1 macrophages population.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Therefore, RMC-4630 may increase the ability of the innate and adaptive arms of the immune system to control or even eradicate cancer cells. In models of cancer in immunocompetent mice, SHP2 inhibition activated the murine immune system to slow tumor growth, even in tumors that are not intrinsically sensitive to direct cellular effects of SHP2 inhibition. In preclinical models, the combination of a SHP2 inhibitor with an immune checkpoint inhibitor, such as a PD-1 inhibitor, occasionally induced an immune response that is sufficient for mice to ‘reject’ their tumors completely and elicit immunological memory.</w:t>
      </w:r>
    </w:p>
    <w:p>
      <w:pPr>
        <w:spacing w:after="0" w:line="101"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 xml:space="preserve">Significant anti-tumor effects of SHP2 inhibition, both alone and in combination with PD-1 inhibition, were also observed in tumors intrinsically sensitive to SHP2 inhibition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(Figure 7). A SHP2 inhibitor such as RMC-4630 may, therefore, elicit anti-tumor effects via two separate biologic mechanisms: targeted inhibition of RAS-dependent tumor growth, and liberation of anti-tumor immune responses by transformation of the tumor microenvironment.</w:t>
      </w:r>
    </w:p>
    <w:p>
      <w:pPr>
        <w:spacing w:after="0" w:line="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7</w:t>
      </w:r>
      <w:r>
        <w:rPr>
          <w:rFonts w:ascii="Arial" w:cs="Arial" w:eastAsia="Arial" w:hAnsi="Arial"/>
          <w:sz w:val="18"/>
          <w:szCs w:val="18"/>
          <w:color w:val="auto"/>
        </w:rPr>
        <w:t>: Anti-tumor effects of SHP2 inhibition alone and in combination with PD–1 checkpoint blockade in the EMT6 syngeneic model.</w:t>
      </w:r>
    </w:p>
    <w:p>
      <w:pPr>
        <w:spacing w:after="0" w:line="1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EMT6 Mouse Tumor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8890</wp:posOffset>
            </wp:positionV>
            <wp:extent cx="4389120" cy="22288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389120"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right="20"/>
        <w:spacing w:after="0"/>
        <w:rPr>
          <w:sz w:val="20"/>
          <w:szCs w:val="20"/>
          <w:color w:val="auto"/>
        </w:rPr>
      </w:pPr>
      <w:r>
        <w:rPr>
          <w:rFonts w:ascii="Arial" w:cs="Arial" w:eastAsia="Arial" w:hAnsi="Arial"/>
          <w:sz w:val="13"/>
          <w:szCs w:val="13"/>
          <w:color w:val="auto"/>
        </w:rPr>
        <w:t xml:space="preserve">RMC-4550 (30 mg/kg) was administered daily by oral administration for the duration of the study starting at day 6 post-implant; anti-PD-1 (10 mg/kg) was administered every three days by intra-peritoneal administration, for a total of 7 doses starting at day 6 post-implant, or a combination of both was administered to EMT6 tumor bearing immunocompetent mice. Control animals received the isotype control for the anti-PD-1 antibody. Data represent </w:t>
      </w:r>
      <w:r>
        <w:rPr>
          <w:rFonts w:ascii="Arial" w:cs="Arial" w:eastAsia="Arial" w:hAnsi="Arial"/>
          <w:sz w:val="13"/>
          <w:szCs w:val="13"/>
          <w:b w:val="1"/>
          <w:bCs w:val="1"/>
          <w:color w:val="auto"/>
        </w:rPr>
        <w:t>(a)</w:t>
      </w:r>
      <w:r>
        <w:rPr>
          <w:rFonts w:ascii="Arial" w:cs="Arial" w:eastAsia="Arial" w:hAnsi="Arial"/>
          <w:sz w:val="13"/>
          <w:szCs w:val="13"/>
          <w:color w:val="auto"/>
        </w:rPr>
        <w:t xml:space="preserve"> tumor growth of individual mice for each experimental group and </w:t>
      </w:r>
      <w:r>
        <w:rPr>
          <w:rFonts w:ascii="Arial" w:cs="Arial" w:eastAsia="Arial" w:hAnsi="Arial"/>
          <w:sz w:val="13"/>
          <w:szCs w:val="13"/>
          <w:b w:val="1"/>
          <w:bCs w:val="1"/>
          <w:color w:val="auto"/>
        </w:rPr>
        <w:t>(b)</w:t>
      </w:r>
      <w:r>
        <w:rPr>
          <w:rFonts w:ascii="Arial" w:cs="Arial" w:eastAsia="Arial" w:hAnsi="Arial"/>
          <w:sz w:val="13"/>
          <w:szCs w:val="13"/>
          <w:color w:val="auto"/>
        </w:rPr>
        <w:t xml:space="preserve"> Kaplan–Meier curves showing percentage of animals with tumor burden &lt; 2000 mm</w:t>
      </w:r>
      <w:r>
        <w:rPr>
          <w:rFonts w:ascii="Arial" w:cs="Arial" w:eastAsia="Arial" w:hAnsi="Arial"/>
          <w:sz w:val="22"/>
          <w:szCs w:val="22"/>
          <w:color w:val="auto"/>
          <w:vertAlign w:val="superscript"/>
        </w:rPr>
        <w:t>3</w:t>
      </w:r>
      <w:r>
        <w:rPr>
          <w:rFonts w:ascii="Arial" w:cs="Arial" w:eastAsia="Arial" w:hAnsi="Arial"/>
          <w:sz w:val="13"/>
          <w:szCs w:val="13"/>
          <w:color w:val="auto"/>
        </w:rPr>
        <w:t xml:space="preserve"> in each treatment group for the duration of the study. RMC-4550 is a potent and selective SHP2 allosteric inhibitor tool compound.</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Development strategy</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summary, preclinical research suggests that RMC-4630 has the potential to cause significant anti-tumor effects:</w:t>
      </w:r>
    </w:p>
    <w:p>
      <w:pPr>
        <w:spacing w:after="0" w:line="117" w:lineRule="exact"/>
        <w:rPr>
          <w:sz w:val="20"/>
          <w:szCs w:val="20"/>
          <w:color w:val="auto"/>
        </w:rPr>
      </w:pPr>
    </w:p>
    <w:p>
      <w:pPr>
        <w:ind w:left="5480" w:right="5320" w:hanging="5364"/>
        <w:spacing w:after="0" w:line="366" w:lineRule="auto"/>
        <w:tabs>
          <w:tab w:leader="none" w:pos="334"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 tumors harboring certain mutations of the RAS signaling pathway; 116</w:t>
      </w:r>
    </w:p>
    <w:p>
      <w:pPr>
        <w:sectPr>
          <w:pgSz w:w="11900" w:h="16838" w:orient="portrait"/>
          <w:cols w:equalWidth="0" w:num="1">
            <w:col w:w="11100"/>
          </w:cols>
          <w:pgMar w:left="320" w:top="459" w:right="4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hanging="224"/>
        <w:spacing w:after="0"/>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When administered at high doses on an intermittent basis;</w:t>
      </w:r>
    </w:p>
    <w:p>
      <w:pPr>
        <w:spacing w:after="0" w:line="117" w:lineRule="exact"/>
        <w:rPr>
          <w:rFonts w:ascii="Arial" w:cs="Arial" w:eastAsia="Arial" w:hAnsi="Arial"/>
          <w:sz w:val="18"/>
          <w:szCs w:val="18"/>
          <w:color w:val="auto"/>
        </w:rPr>
      </w:pPr>
    </w:p>
    <w:p>
      <w:pPr>
        <w:ind w:left="340" w:right="60" w:hanging="224"/>
        <w:spacing w:after="0" w:line="239" w:lineRule="auto"/>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When given in combination with other targeted anti-cancer agents such as inhibitors of MEK, EGFR or mutated KRAS, such as KRAS</w:t>
      </w:r>
      <w:r>
        <w:rPr>
          <w:rFonts w:ascii="Arial" w:cs="Arial" w:eastAsia="Arial" w:hAnsi="Arial"/>
          <w:sz w:val="11"/>
          <w:szCs w:val="11"/>
          <w:color w:val="auto"/>
        </w:rPr>
        <w:t>G12C</w:t>
      </w:r>
      <w:r>
        <w:rPr>
          <w:rFonts w:ascii="Arial" w:cs="Arial" w:eastAsia="Arial" w:hAnsi="Arial"/>
          <w:sz w:val="18"/>
          <w:szCs w:val="18"/>
          <w:color w:val="auto"/>
        </w:rPr>
        <w:t>; and</w:t>
      </w:r>
    </w:p>
    <w:p>
      <w:pPr>
        <w:spacing w:after="0" w:line="114" w:lineRule="exact"/>
        <w:rPr>
          <w:rFonts w:ascii="Arial" w:cs="Arial" w:eastAsia="Arial" w:hAnsi="Arial"/>
          <w:sz w:val="18"/>
          <w:szCs w:val="18"/>
          <w:color w:val="auto"/>
        </w:rPr>
      </w:pPr>
    </w:p>
    <w:p>
      <w:pPr>
        <w:ind w:left="340" w:right="620" w:hanging="224"/>
        <w:spacing w:after="0" w:line="239" w:lineRule="auto"/>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both the direct effects of SHP2 inhibition on cancer cells with RAS pathway mutations and activation of the immune system occur concurrently, which may be heightened through combination with a PD–1 inhibitor.</w:t>
      </w:r>
    </w:p>
    <w:p>
      <w:pPr>
        <w:spacing w:after="0" w:line="101" w:lineRule="exact"/>
        <w:rPr>
          <w:sz w:val="20"/>
          <w:szCs w:val="20"/>
          <w:color w:val="auto"/>
        </w:rPr>
      </w:pPr>
    </w:p>
    <w:p>
      <w:pPr>
        <w:ind w:left="120" w:right="1120"/>
        <w:spacing w:after="0" w:line="239" w:lineRule="auto"/>
        <w:rPr>
          <w:sz w:val="20"/>
          <w:szCs w:val="20"/>
          <w:color w:val="auto"/>
        </w:rPr>
      </w:pPr>
      <w:r>
        <w:rPr>
          <w:rFonts w:ascii="Arial" w:cs="Arial" w:eastAsia="Arial" w:hAnsi="Arial"/>
          <w:sz w:val="18"/>
          <w:szCs w:val="18"/>
          <w:color w:val="auto"/>
        </w:rPr>
        <w:t>We believe RMC-4630 is well positioned to become the backbone of targeted therapy combinations for the treatment of various RAS-dependent tumors (Figure 8).</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163195</wp:posOffset>
            </wp:positionV>
            <wp:extent cx="5186045" cy="21774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86045"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Phase 1/2 clinical program</w:t>
      </w:r>
    </w:p>
    <w:p>
      <w:pPr>
        <w:spacing w:after="0" w:line="122"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We are currently conducting a Phase 1 dose escalation trial (RMC-4630-01) in patients with advanced cancers to evaluate the safety, pharmacokinetics and pharmacodynamic effects of RMC-4630 as a single agent using two different schedules: daily and intermittent dosing. A preliminary evaluation of anti-tumor activity is also being made in patients who have tumors harboring mutations in the RAS-MAPK pathway that are predicted to be sensitive to SHP2 inhibition, including KRAS</w:t>
      </w:r>
      <w:r>
        <w:rPr>
          <w:rFonts w:ascii="Arial" w:cs="Arial" w:eastAsia="Arial" w:hAnsi="Arial"/>
          <w:sz w:val="11"/>
          <w:szCs w:val="11"/>
          <w:color w:val="auto"/>
        </w:rPr>
        <w:t>G12C</w:t>
      </w:r>
      <w:r>
        <w:rPr>
          <w:rFonts w:ascii="Arial" w:cs="Arial" w:eastAsia="Arial" w:hAnsi="Arial"/>
          <w:sz w:val="18"/>
          <w:szCs w:val="18"/>
          <w:color w:val="auto"/>
        </w:rPr>
        <w:t>, KRAS</w:t>
      </w:r>
      <w:r>
        <w:rPr>
          <w:rFonts w:ascii="Arial" w:cs="Arial" w:eastAsia="Arial" w:hAnsi="Arial"/>
          <w:sz w:val="11"/>
          <w:szCs w:val="11"/>
          <w:color w:val="auto"/>
        </w:rPr>
        <w:t>G12A</w:t>
      </w:r>
      <w:r>
        <w:rPr>
          <w:rFonts w:ascii="Arial" w:cs="Arial" w:eastAsia="Arial" w:hAnsi="Arial"/>
          <w:sz w:val="18"/>
          <w:szCs w:val="18"/>
          <w:color w:val="auto"/>
        </w:rPr>
        <w:t>, NF1</w:t>
      </w:r>
      <w:r>
        <w:rPr>
          <w:rFonts w:ascii="Arial" w:cs="Arial" w:eastAsia="Arial" w:hAnsi="Arial"/>
          <w:sz w:val="11"/>
          <w:szCs w:val="11"/>
          <w:color w:val="auto"/>
        </w:rPr>
        <w:t>LOF</w:t>
      </w:r>
      <w:r>
        <w:rPr>
          <w:rFonts w:ascii="Arial" w:cs="Arial" w:eastAsia="Arial" w:hAnsi="Arial"/>
          <w:sz w:val="18"/>
          <w:szCs w:val="18"/>
          <w:color w:val="auto"/>
        </w:rPr>
        <w:t>, and BRAF</w:t>
      </w:r>
      <w:r>
        <w:rPr>
          <w:rFonts w:ascii="Arial" w:cs="Arial" w:eastAsia="Arial" w:hAnsi="Arial"/>
          <w:sz w:val="11"/>
          <w:szCs w:val="11"/>
          <w:color w:val="auto"/>
        </w:rPr>
        <w:t>Class3</w:t>
      </w:r>
      <w:r>
        <w:rPr>
          <w:rFonts w:ascii="Arial" w:cs="Arial" w:eastAsia="Arial" w:hAnsi="Arial"/>
          <w:sz w:val="18"/>
          <w:szCs w:val="18"/>
          <w:color w:val="auto"/>
        </w:rPr>
        <w:t>. The RMC-4630-01 trial is currently being conducted at 12 clinical trial sites in the United States. As of early September 2019, the study had 60 enrolled patients of whom 57 had received study drug. Twelve patients received RMC-4630 20 mg daily, 13 received 40 mg daily, 18 received 60 mg daily, six received 80 mg daily, four received 140 mg twice-weekly and four received 200 mg twice-weekly. In addition, in July 2019, we started enrolling a Phase 1b/2 clinical trial (RMC-4630-02) testing RMC-4630 in combination with the MEK inhibitor cobimetinib. As of early September 2019, five patients had been enrolled and treated. We expect to report safety and efficacy data from the intermittent dosing arms of both RMC-4630-01 and RMC-4630-02 studies in 2020.</w:t>
      </w:r>
    </w:p>
    <w:p>
      <w:pPr>
        <w:spacing w:after="0" w:line="14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00"/>
          </w:cols>
          <w:pgMar w:left="320" w:top="459" w:right="4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In 2020, we also intend to start dosing patients in Phase 1b studies evaluating the combination of RMC-4630 with an EGFR inhibitor such as osimertinib and RMC-4630 with a PD-1 inhibitor. In 2020, we are also planning a Phase 1b/2 study of RMC-4630 in combination with a KRAS</w:t>
      </w:r>
      <w:r>
        <w:rPr>
          <w:rFonts w:ascii="Arial" w:cs="Arial" w:eastAsia="Arial" w:hAnsi="Arial"/>
          <w:sz w:val="11"/>
          <w:szCs w:val="11"/>
          <w:color w:val="auto"/>
        </w:rPr>
        <w:t>G12C</w:t>
      </w:r>
      <w:r>
        <w:rPr>
          <w:rFonts w:ascii="Arial" w:cs="Arial" w:eastAsia="Arial" w:hAnsi="Arial"/>
          <w:sz w:val="18"/>
          <w:szCs w:val="18"/>
          <w:color w:val="auto"/>
        </w:rPr>
        <w:t>(OFF) inhibitor. Figure 9 summarizes our Phase 1/2 clinical development program for RMC-4630.</w:t>
      </w:r>
    </w:p>
    <w:p>
      <w:pPr>
        <w:spacing w:after="0" w:line="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Figure 9: </w:t>
      </w:r>
      <w:r>
        <w:rPr>
          <w:rFonts w:ascii="Arial" w:cs="Arial" w:eastAsia="Arial" w:hAnsi="Arial"/>
          <w:sz w:val="18"/>
          <w:szCs w:val="18"/>
          <w:color w:val="auto"/>
        </w:rPr>
        <w:t>Phase 1/2 planned clinical development program for RMC-4630.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86360</wp:posOffset>
            </wp:positionV>
            <wp:extent cx="4474845" cy="24860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474845"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RAS(ON) portfolio</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Overview</w:t>
      </w:r>
    </w:p>
    <w:p>
      <w:pPr>
        <w:spacing w:after="0" w:line="122" w:lineRule="exact"/>
        <w:rPr>
          <w:sz w:val="20"/>
          <w:szCs w:val="20"/>
          <w:color w:val="auto"/>
        </w:rPr>
      </w:pPr>
    </w:p>
    <w:p>
      <w:pPr>
        <w:ind w:left="120" w:right="160"/>
        <w:spacing w:after="0" w:line="236" w:lineRule="auto"/>
        <w:rPr>
          <w:sz w:val="20"/>
          <w:szCs w:val="20"/>
          <w:color w:val="auto"/>
        </w:rPr>
      </w:pPr>
      <w:r>
        <w:rPr>
          <w:rFonts w:ascii="Arial" w:cs="Arial" w:eastAsia="Arial" w:hAnsi="Arial"/>
          <w:sz w:val="18"/>
          <w:szCs w:val="18"/>
          <w:color w:val="auto"/>
        </w:rPr>
        <w:t>We are also developing a portfolio of what we believe to be the first potent, selective and cell-active inhibitors of mutant RAS(ON) proteins. We believe that direct inhibitors of RAS(ON) will be highly effective at suppressing cell growth and survival as well as less susceptible to adaptive resistance mechanisms recognized for RAS(OFF) inhibitors. Initially, we will prioritize four mutant RAS(ON) targets - KRAS</w:t>
      </w:r>
      <w:r>
        <w:rPr>
          <w:rFonts w:ascii="Arial" w:cs="Arial" w:eastAsia="Arial" w:hAnsi="Arial"/>
          <w:sz w:val="11"/>
          <w:szCs w:val="11"/>
          <w:color w:val="auto"/>
        </w:rPr>
        <w:t>G12C</w:t>
      </w:r>
      <w:r>
        <w:rPr>
          <w:rFonts w:ascii="Arial" w:cs="Arial" w:eastAsia="Arial" w:hAnsi="Arial"/>
          <w:sz w:val="18"/>
          <w:szCs w:val="18"/>
          <w:color w:val="auto"/>
        </w:rPr>
        <w:t>, KRAS</w:t>
      </w:r>
      <w:r>
        <w:rPr>
          <w:rFonts w:ascii="Arial" w:cs="Arial" w:eastAsia="Arial" w:hAnsi="Arial"/>
          <w:sz w:val="11"/>
          <w:szCs w:val="11"/>
          <w:color w:val="auto"/>
        </w:rPr>
        <w:t>G13C</w:t>
      </w:r>
      <w:r>
        <w:rPr>
          <w:rFonts w:ascii="Arial" w:cs="Arial" w:eastAsia="Arial" w:hAnsi="Arial"/>
          <w:sz w:val="18"/>
          <w:szCs w:val="18"/>
          <w:color w:val="auto"/>
        </w:rPr>
        <w:t>, KRAS</w:t>
      </w:r>
      <w:r>
        <w:rPr>
          <w:rFonts w:ascii="Arial" w:cs="Arial" w:eastAsia="Arial" w:hAnsi="Arial"/>
          <w:sz w:val="11"/>
          <w:szCs w:val="11"/>
          <w:color w:val="auto"/>
        </w:rPr>
        <w:t>G12D</w:t>
      </w:r>
      <w:r>
        <w:rPr>
          <w:rFonts w:ascii="Arial" w:cs="Arial" w:eastAsia="Arial" w:hAnsi="Arial"/>
          <w:sz w:val="18"/>
          <w:szCs w:val="18"/>
          <w:color w:val="auto"/>
        </w:rPr>
        <w:t xml:space="preserve"> and NRAS</w:t>
      </w:r>
      <w:r>
        <w:rPr>
          <w:rFonts w:ascii="Arial" w:cs="Arial" w:eastAsia="Arial" w:hAnsi="Arial"/>
          <w:sz w:val="11"/>
          <w:szCs w:val="11"/>
          <w:color w:val="auto"/>
        </w:rPr>
        <w:t>G12C</w:t>
      </w:r>
      <w:r>
        <w:rPr>
          <w:rFonts w:ascii="Arial" w:cs="Arial" w:eastAsia="Arial" w:hAnsi="Arial"/>
          <w:sz w:val="18"/>
          <w:szCs w:val="18"/>
          <w:color w:val="auto"/>
        </w:rPr>
        <w:t xml:space="preserve"> - and expect to nominate our first development candidate in 2020. We plan to evaluate our RAS(ON) inhibitors alone and in combination with other drugs and investigational new drugs, particularly in-pathway agents. Our proprietary tri-complex technology platform provides us the opportunity to build a portfolio of genetically targeted RAS(ON) inhibitors by discovering and developing compounds that target diverse oncogenic RAS mutants.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Challenges and limitations of current approaches for RAS mutant cancers</w:t>
      </w:r>
    </w:p>
    <w:p>
      <w:pPr>
        <w:spacing w:after="0" w:line="122"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To our knowledge, every targeted therapy approved or in clinical development for the treatment of RAS-dependent cancers acts on targets that lie either upstream or downstream of RAS(ON) within the cellular signaling cascade. Historically, direct inhibition of any RAS protein has been challenging due to a lack of tractable, or “druggable,” binding pockets. However, selective inhibitors of the inactive GDP-bound, or “OFF” form, of KRAS</w:t>
      </w:r>
      <w:r>
        <w:rPr>
          <w:rFonts w:ascii="Arial" w:cs="Arial" w:eastAsia="Arial" w:hAnsi="Arial"/>
          <w:sz w:val="10"/>
          <w:szCs w:val="10"/>
          <w:color w:val="auto"/>
        </w:rPr>
        <w:t>G12C</w:t>
      </w:r>
      <w:r>
        <w:rPr>
          <w:rFonts w:ascii="Arial" w:cs="Arial" w:eastAsia="Arial" w:hAnsi="Arial"/>
          <w:sz w:val="16"/>
          <w:szCs w:val="16"/>
          <w:color w:val="auto"/>
        </w:rPr>
        <w:t xml:space="preserve"> are being developed by several companies. Recently reported initial clinical results from early testing of a RAS(OFF) inhibitor (Amgen’s AMG 510) that targets mutant KRAS</w:t>
      </w:r>
      <w:r>
        <w:rPr>
          <w:rFonts w:ascii="Arial" w:cs="Arial" w:eastAsia="Arial" w:hAnsi="Arial"/>
          <w:sz w:val="10"/>
          <w:szCs w:val="10"/>
          <w:color w:val="auto"/>
        </w:rPr>
        <w:t>G12C</w:t>
      </w:r>
      <w:r>
        <w:rPr>
          <w:rFonts w:ascii="Arial" w:cs="Arial" w:eastAsia="Arial" w:hAnsi="Arial"/>
          <w:sz w:val="16"/>
          <w:szCs w:val="16"/>
          <w:color w:val="auto"/>
        </w:rPr>
        <w:t xml:space="preserve"> suggest significant clinical benefit and provide strong pharmacologic validation of this oncoprotein as a cancer driver. These results, along with other preclinical data, provide a compelling basis for our commitment to targeting oncogenic mutant forms of RAS(ON). We are not aware of any programs in clinical development that have successfully targeted</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500"/>
        <w:spacing w:after="0" w:line="299" w:lineRule="auto"/>
        <w:rPr>
          <w:sz w:val="20"/>
          <w:szCs w:val="20"/>
          <w:color w:val="auto"/>
        </w:rPr>
      </w:pPr>
      <w:r>
        <w:rPr>
          <w:rFonts w:ascii="Arial" w:cs="Arial" w:eastAsia="Arial" w:hAnsi="Arial"/>
          <w:sz w:val="16"/>
          <w:szCs w:val="16"/>
          <w:color w:val="auto"/>
        </w:rPr>
        <w:t>any RAS(ON) protein. In tumor cells addicted to RAS(ON), we believe that selective inhibitors of RAS(ON) will be highly effective at suppressing cell growth and survival and also less susceptible to adaptive resistance mechanisms recognized for RAS(OFF) inhibitors.</w:t>
      </w:r>
    </w:p>
    <w:p>
      <w:pPr>
        <w:spacing w:after="0" w:line="55"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key drug discovery challenge for any known RAS(ON) protein is the absence of a tractable drug binding site on these RAS(ON) proteins, including different RAS isoforms and mutants. One molecular site of particular focus has been a switch region protein shallow, solvent-exposed groove, or “valley,” that has been detected exclusively in the GTP-bound forms of RAS. Our proprietary tri-complex technology enables us to discover small molecule compounds that inhibit this site by inducing new druggable pockets. This approach is inspired by a biological phenomenon observed in nature, as exemplified by rapamycin. These tri-complexes exploit the surfaces of the two adjacent proteins to form a new ligand-binding pocket. The chaperone protein in the tri-complex helps to form the ligand binding site for the small molecule compound. Further, by physically participating in the tri-complex in the presence of the compound, the chaperone proteins sterically occludes the target protein and prevents interaction with affiliated proteins required for propagating oncogenic signals.</w:t>
      </w:r>
    </w:p>
    <w:p>
      <w:pPr>
        <w:spacing w:after="0" w:line="78" w:lineRule="exact"/>
        <w:rPr>
          <w:sz w:val="20"/>
          <w:szCs w:val="20"/>
          <w:color w:val="auto"/>
        </w:rPr>
      </w:pPr>
    </w:p>
    <w:p>
      <w:pPr>
        <w:ind w:left="120" w:right="1000"/>
        <w:spacing w:after="0" w:line="264" w:lineRule="auto"/>
        <w:rPr>
          <w:sz w:val="20"/>
          <w:szCs w:val="20"/>
          <w:color w:val="auto"/>
        </w:rPr>
      </w:pPr>
      <w:r>
        <w:rPr>
          <w:rFonts w:ascii="Arial" w:cs="Arial" w:eastAsia="Arial" w:hAnsi="Arial"/>
          <w:sz w:val="18"/>
          <w:szCs w:val="18"/>
          <w:b w:val="1"/>
          <w:bCs w:val="1"/>
          <w:color w:val="auto"/>
        </w:rPr>
        <w:t>Figure 10</w:t>
      </w:r>
      <w:r>
        <w:rPr>
          <w:rFonts w:ascii="Arial" w:cs="Arial" w:eastAsia="Arial" w:hAnsi="Arial"/>
          <w:sz w:val="18"/>
          <w:szCs w:val="18"/>
          <w:color w:val="auto"/>
        </w:rPr>
        <w:t>: KRAS</w:t>
      </w:r>
      <w:r>
        <w:rPr>
          <w:rFonts w:ascii="Arial" w:cs="Arial" w:eastAsia="Arial" w:hAnsi="Arial"/>
          <w:sz w:val="11"/>
          <w:szCs w:val="11"/>
          <w:color w:val="auto"/>
        </w:rPr>
        <w:t>G12C</w:t>
      </w:r>
      <w:r>
        <w:rPr>
          <w:rFonts w:ascii="Arial" w:cs="Arial" w:eastAsia="Arial" w:hAnsi="Arial"/>
          <w:sz w:val="18"/>
          <w:szCs w:val="18"/>
          <w:color w:val="auto"/>
        </w:rPr>
        <w:t>(ON) inhibitor RM-A drives formation of a tri-complex binding to an induced pocket at the interface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KRAS</w:t>
      </w:r>
      <w:r>
        <w:rPr>
          <w:rFonts w:ascii="Arial" w:cs="Arial" w:eastAsia="Arial" w:hAnsi="Arial"/>
          <w:sz w:val="11"/>
          <w:szCs w:val="11"/>
          <w:color w:val="auto"/>
        </w:rPr>
        <w:t>G12C</w:t>
      </w:r>
      <w:r>
        <w:rPr>
          <w:rFonts w:ascii="Arial" w:cs="Arial" w:eastAsia="Arial" w:hAnsi="Arial"/>
          <w:sz w:val="18"/>
          <w:szCs w:val="18"/>
          <w:color w:val="auto"/>
        </w:rPr>
        <w:t>(ON) and cyclophilin A.</w:t>
      </w:r>
    </w:p>
    <w:p>
      <w:pPr>
        <w:spacing w:after="0" w:line="67"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100" w:type="dxa"/>
            <w:vAlign w:val="bottom"/>
          </w:tcPr>
          <w:p>
            <w:pPr>
              <w:spacing w:after="0"/>
              <w:rPr>
                <w:sz w:val="20"/>
                <w:szCs w:val="20"/>
                <w:color w:val="auto"/>
              </w:rPr>
            </w:pPr>
            <w:r>
              <w:rPr>
                <w:rFonts w:ascii="Arial" w:cs="Arial" w:eastAsia="Arial" w:hAnsi="Arial"/>
                <w:sz w:val="18"/>
                <w:szCs w:val="18"/>
                <w:b w:val="1"/>
                <w:bCs w:val="1"/>
                <w:color w:val="auto"/>
              </w:rPr>
              <w:t>(a)</w:t>
            </w:r>
          </w:p>
        </w:tc>
        <w:tc>
          <w:tcPr>
            <w:tcW w:w="4980" w:type="dxa"/>
            <w:vAlign w:val="bottom"/>
          </w:tcPr>
          <w:p>
            <w:pPr>
              <w:ind w:left="1880"/>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Highly selective for</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oncogenic</w:t>
            </w:r>
          </w:p>
        </w:tc>
        <w:tc>
          <w:tcPr>
            <w:tcW w:w="520" w:type="dxa"/>
            <w:vAlign w:val="bottom"/>
          </w:tcPr>
          <w:p>
            <w:pPr>
              <w:ind w:left="300"/>
              <w:spacing w:after="0"/>
              <w:rPr>
                <w:sz w:val="20"/>
                <w:szCs w:val="20"/>
                <w:color w:val="auto"/>
              </w:rPr>
            </w:pPr>
            <w:r>
              <w:rPr>
                <w:rFonts w:ascii="Arial" w:cs="Arial" w:eastAsia="Arial" w:hAnsi="Arial"/>
                <w:sz w:val="18"/>
                <w:szCs w:val="18"/>
                <w:b w:val="1"/>
                <w:bCs w:val="1"/>
                <w:color w:val="auto"/>
                <w:w w:val="90"/>
              </w:rPr>
              <w:t>(c)</w:t>
            </w:r>
          </w:p>
        </w:tc>
      </w:tr>
      <w:tr>
        <w:trPr>
          <w:trHeight w:val="233"/>
        </w:trPr>
        <w:tc>
          <w:tcPr>
            <w:tcW w:w="2100" w:type="dxa"/>
            <w:vAlign w:val="bottom"/>
          </w:tcPr>
          <w:p>
            <w:pPr>
              <w:spacing w:after="0"/>
              <w:rPr>
                <w:sz w:val="20"/>
                <w:szCs w:val="20"/>
                <w:color w:val="auto"/>
              </w:rPr>
            </w:pPr>
          </w:p>
        </w:tc>
        <w:tc>
          <w:tcPr>
            <w:tcW w:w="4980" w:type="dxa"/>
            <w:vAlign w:val="bottom"/>
          </w:tcPr>
          <w:p>
            <w:pPr>
              <w:ind w:left="2320"/>
              <w:spacing w:after="0"/>
              <w:rPr>
                <w:sz w:val="20"/>
                <w:szCs w:val="20"/>
                <w:color w:val="auto"/>
              </w:rPr>
            </w:pPr>
            <w:r>
              <w:rPr>
                <w:rFonts w:ascii="Arial" w:cs="Arial" w:eastAsia="Arial" w:hAnsi="Arial"/>
                <w:sz w:val="18"/>
                <w:szCs w:val="18"/>
                <w:b w:val="1"/>
                <w:bCs w:val="1"/>
                <w:color w:val="auto"/>
              </w:rPr>
              <w:t xml:space="preserve">GTP-bound </w:t>
            </w:r>
            <w:r>
              <w:rPr>
                <w:rFonts w:ascii="Arial" w:cs="Arial" w:eastAsia="Arial" w:hAnsi="Arial"/>
                <w:sz w:val="18"/>
                <w:szCs w:val="18"/>
                <w:color w:val="auto"/>
              </w:rPr>
              <w:t>form of KRAS</w:t>
            </w:r>
            <w:r>
              <w:rPr>
                <w:rFonts w:ascii="Arial" w:cs="Arial" w:eastAsia="Arial" w:hAnsi="Arial"/>
                <w:sz w:val="11"/>
                <w:szCs w:val="11"/>
                <w:color w:val="auto"/>
              </w:rPr>
              <w:t>G12C</w:t>
            </w:r>
          </w:p>
        </w:tc>
        <w:tc>
          <w:tcPr>
            <w:tcW w:w="5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43815</wp:posOffset>
            </wp:positionV>
            <wp:extent cx="5066030" cy="31032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066030" cy="3103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0"/>
        <w:spacing w:after="0"/>
        <w:rPr>
          <w:sz w:val="20"/>
          <w:szCs w:val="20"/>
          <w:color w:val="auto"/>
        </w:rPr>
      </w:pPr>
      <w:r>
        <w:rPr>
          <w:rFonts w:ascii="Arial" w:cs="Arial" w:eastAsia="Arial" w:hAnsi="Arial"/>
          <w:sz w:val="13"/>
          <w:szCs w:val="13"/>
          <w:color w:val="auto"/>
        </w:rPr>
        <w:t>Surface representation of atomic resolution crystal structures of KRAS</w:t>
      </w:r>
      <w:r>
        <w:rPr>
          <w:rFonts w:ascii="Arial" w:cs="Arial" w:eastAsia="Arial" w:hAnsi="Arial"/>
          <w:sz w:val="22"/>
          <w:szCs w:val="22"/>
          <w:color w:val="auto"/>
          <w:vertAlign w:val="superscript"/>
        </w:rPr>
        <w:t>G12C</w:t>
      </w:r>
      <w:r>
        <w:rPr>
          <w:rFonts w:ascii="Arial" w:cs="Arial" w:eastAsia="Arial" w:hAnsi="Arial"/>
          <w:sz w:val="13"/>
          <w:szCs w:val="13"/>
          <w:color w:val="auto"/>
        </w:rPr>
        <w:t xml:space="preserve"> (loaded with a non-hydrolysable analog of GTP in grey, gamma phosphate shown in yellow)</w:t>
      </w:r>
    </w:p>
    <w:p>
      <w:pPr>
        <w:ind w:left="120"/>
        <w:spacing w:after="0" w:line="183" w:lineRule="auto"/>
        <w:rPr>
          <w:sz w:val="20"/>
          <w:szCs w:val="20"/>
          <w:color w:val="auto"/>
        </w:rPr>
      </w:pPr>
      <w:r>
        <w:rPr>
          <w:rFonts w:ascii="Arial" w:cs="Arial" w:eastAsia="Arial" w:hAnsi="Arial"/>
          <w:sz w:val="11"/>
          <w:szCs w:val="11"/>
          <w:color w:val="auto"/>
        </w:rPr>
        <w:t>(KRAS</w:t>
      </w:r>
      <w:r>
        <w:rPr>
          <w:rFonts w:ascii="Arial" w:cs="Arial" w:eastAsia="Arial" w:hAnsi="Arial"/>
          <w:sz w:val="18"/>
          <w:szCs w:val="18"/>
          <w:color w:val="auto"/>
          <w:vertAlign w:val="superscript"/>
        </w:rPr>
        <w:t>G12C</w:t>
      </w:r>
      <w:r>
        <w:rPr>
          <w:rFonts w:ascii="Arial" w:cs="Arial" w:eastAsia="Arial" w:hAnsi="Arial"/>
          <w:sz w:val="11"/>
          <w:szCs w:val="11"/>
          <w:color w:val="auto"/>
        </w:rPr>
        <w:t xml:space="preserve">(ON), green) and a binary complex of RM-A (ochre) and cyclophilin A (brown) </w:t>
      </w:r>
      <w:r>
        <w:rPr>
          <w:rFonts w:ascii="Arial" w:cs="Arial" w:eastAsia="Arial" w:hAnsi="Arial"/>
          <w:sz w:val="11"/>
          <w:szCs w:val="11"/>
          <w:b w:val="1"/>
          <w:bCs w:val="1"/>
          <w:color w:val="auto"/>
        </w:rPr>
        <w:t>(a)</w:t>
      </w:r>
      <w:r>
        <w:rPr>
          <w:rFonts w:ascii="Arial" w:cs="Arial" w:eastAsia="Arial" w:hAnsi="Arial"/>
          <w:sz w:val="11"/>
          <w:szCs w:val="11"/>
          <w:color w:val="auto"/>
        </w:rPr>
        <w:t>. The shallow, solvent-exposed groove, or “valley,” between the switch I (blue) and switch II (red) regions of KRAS is highlighted. The cyclophilin A-RM-A binary complex binds to KRAS</w:t>
      </w:r>
      <w:r>
        <w:rPr>
          <w:rFonts w:ascii="Arial" w:cs="Arial" w:eastAsia="Arial" w:hAnsi="Arial"/>
          <w:sz w:val="18"/>
          <w:szCs w:val="18"/>
          <w:color w:val="auto"/>
          <w:vertAlign w:val="superscript"/>
        </w:rPr>
        <w:t>G12C</w:t>
      </w:r>
      <w:r>
        <w:rPr>
          <w:rFonts w:ascii="Arial" w:cs="Arial" w:eastAsia="Arial" w:hAnsi="Arial"/>
          <w:sz w:val="11"/>
          <w:szCs w:val="11"/>
          <w:color w:val="auto"/>
        </w:rPr>
        <w:t xml:space="preserve">(ON) to form a tri-complex </w:t>
      </w:r>
      <w:r>
        <w:rPr>
          <w:rFonts w:ascii="Arial" w:cs="Arial" w:eastAsia="Arial" w:hAnsi="Arial"/>
          <w:sz w:val="11"/>
          <w:szCs w:val="11"/>
          <w:b w:val="1"/>
          <w:bCs w:val="1"/>
          <w:color w:val="auto"/>
        </w:rPr>
        <w:t>(b)</w:t>
      </w:r>
      <w:r>
        <w:rPr>
          <w:rFonts w:ascii="Arial" w:cs="Arial" w:eastAsia="Arial" w:hAnsi="Arial"/>
          <w:sz w:val="11"/>
          <w:szCs w:val="11"/>
          <w:color w:val="auto"/>
        </w:rPr>
        <w:t xml:space="preserve"> with RM-A bound in an induced binding pocket at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 xml:space="preserve">interface between the two proteins, visible following digital removal of the ligand </w:t>
      </w:r>
      <w:r>
        <w:rPr>
          <w:rFonts w:ascii="Arial" w:cs="Arial" w:eastAsia="Arial" w:hAnsi="Arial"/>
          <w:sz w:val="13"/>
          <w:szCs w:val="13"/>
          <w:b w:val="1"/>
          <w:bCs w:val="1"/>
          <w:color w:val="auto"/>
        </w:rPr>
        <w:t>(c)</w:t>
      </w:r>
      <w:r>
        <w:rPr>
          <w:rFonts w:ascii="Arial" w:cs="Arial" w:eastAsia="Arial" w:hAnsi="Arial"/>
          <w:sz w:val="13"/>
          <w:szCs w:val="13"/>
          <w:color w:val="auto"/>
        </w:rPr>
        <w:t>.</w:t>
      </w:r>
    </w:p>
    <w:p>
      <w:pPr>
        <w:spacing w:after="0" w:line="111"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We design and synthesize novel RAS(ON) inhibitors that enter a cell and bind to the highly abundant chaperone protein cyclophilin A to create a “binary complex.” This binary complex presents a unique surface that has the molecular features needed to engage the RAS mutant of interest in a “tri-complex” with the inhibitor</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60"/>
          </w:cols>
          <w:pgMar w:left="320" w:top="459" w:right="51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sandwiched in an induced binding pocket at the interface between the two proteins. This tri-complex is held together by chemical interactions between cyclophilin A and the respective RAS(ON) mutant and between the compound and each of the two proteins. We use our structure-based drug discovery capabilities to drive rational design and optimization of tri-complex inhibitors of RAS(ON).</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RAS(ON) inhibitor programs</w:t>
      </w:r>
    </w:p>
    <w:p>
      <w:pPr>
        <w:spacing w:after="0" w:line="122" w:lineRule="exact"/>
        <w:rPr>
          <w:sz w:val="20"/>
          <w:szCs w:val="20"/>
          <w:color w:val="auto"/>
        </w:rPr>
      </w:pPr>
    </w:p>
    <w:p>
      <w:pPr>
        <w:ind w:left="120" w:right="20"/>
        <w:spacing w:after="0" w:line="269" w:lineRule="auto"/>
        <w:rPr>
          <w:sz w:val="20"/>
          <w:szCs w:val="20"/>
          <w:color w:val="auto"/>
        </w:rPr>
      </w:pPr>
      <w:r>
        <w:rPr>
          <w:rFonts w:ascii="Arial" w:cs="Arial" w:eastAsia="Arial" w:hAnsi="Arial"/>
          <w:sz w:val="16"/>
          <w:szCs w:val="16"/>
          <w:color w:val="auto"/>
        </w:rPr>
        <w:t>We are initially prioritizing four mutant RAS(ON) targets—KRAS</w:t>
      </w:r>
      <w:r>
        <w:rPr>
          <w:rFonts w:ascii="Arial" w:cs="Arial" w:eastAsia="Arial" w:hAnsi="Arial"/>
          <w:sz w:val="10"/>
          <w:szCs w:val="10"/>
          <w:color w:val="auto"/>
        </w:rPr>
        <w:t>G12C</w:t>
      </w:r>
      <w:r>
        <w:rPr>
          <w:rFonts w:ascii="Arial" w:cs="Arial" w:eastAsia="Arial" w:hAnsi="Arial"/>
          <w:sz w:val="16"/>
          <w:szCs w:val="16"/>
          <w:color w:val="auto"/>
        </w:rPr>
        <w:t>, KRAS</w:t>
      </w:r>
      <w:r>
        <w:rPr>
          <w:rFonts w:ascii="Arial" w:cs="Arial" w:eastAsia="Arial" w:hAnsi="Arial"/>
          <w:sz w:val="10"/>
          <w:szCs w:val="10"/>
          <w:color w:val="auto"/>
        </w:rPr>
        <w:t>G13C</w:t>
      </w:r>
      <w:r>
        <w:rPr>
          <w:rFonts w:ascii="Arial" w:cs="Arial" w:eastAsia="Arial" w:hAnsi="Arial"/>
          <w:sz w:val="16"/>
          <w:szCs w:val="16"/>
          <w:color w:val="auto"/>
        </w:rPr>
        <w:t>, KRAS</w:t>
      </w:r>
      <w:r>
        <w:rPr>
          <w:rFonts w:ascii="Arial" w:cs="Arial" w:eastAsia="Arial" w:hAnsi="Arial"/>
          <w:sz w:val="10"/>
          <w:szCs w:val="10"/>
          <w:color w:val="auto"/>
        </w:rPr>
        <w:t>G12D</w:t>
      </w:r>
      <w:r>
        <w:rPr>
          <w:rFonts w:ascii="Arial" w:cs="Arial" w:eastAsia="Arial" w:hAnsi="Arial"/>
          <w:sz w:val="16"/>
          <w:szCs w:val="16"/>
          <w:color w:val="auto"/>
        </w:rPr>
        <w:t xml:space="preserve"> and NRAS</w:t>
      </w:r>
      <w:r>
        <w:rPr>
          <w:rFonts w:ascii="Arial" w:cs="Arial" w:eastAsia="Arial" w:hAnsi="Arial"/>
          <w:sz w:val="10"/>
          <w:szCs w:val="10"/>
          <w:color w:val="auto"/>
        </w:rPr>
        <w:t>G12C</w:t>
      </w:r>
      <w:r>
        <w:rPr>
          <w:rFonts w:ascii="Arial" w:cs="Arial" w:eastAsia="Arial" w:hAnsi="Arial"/>
          <w:sz w:val="16"/>
          <w:szCs w:val="16"/>
          <w:color w:val="auto"/>
        </w:rPr>
        <w:t xml:space="preserve">. We believe our tri-complex RAS inhibitors act in three ways to suppress growth signaling: (1) We have demonstrated direct disruption of the critical RAS-RAF interaction that triggers the downstream portion of the growth signaling cascade. By extension, our RAS(ON) inhibitors likely also: (2) directly disrupt the RAS-PI3K interaction that stimulates mTOR-dependent growth signaling, and (3) prevent the binding of RAS to a recognized allosteric site of SOS1, thereby blocking a positive feedback loop that amplifies conversion of RAS(OFF) to RAS(ON). The first two effects represent direct suppression of oncogenic RAS signaling. The third effect may attenuate the ability of RAS(ON) to increase GTP-bound levels of other </w:t>
      </w:r>
      <w:r>
        <w:rPr>
          <w:rFonts w:ascii="Arial" w:cs="Arial" w:eastAsia="Arial" w:hAnsi="Arial"/>
          <w:sz w:val="16"/>
          <w:szCs w:val="16"/>
          <w:i w:val="1"/>
          <w:iCs w:val="1"/>
          <w:color w:val="auto"/>
        </w:rPr>
        <w:t xml:space="preserve">non-mutant </w:t>
      </w:r>
      <w:r>
        <w:rPr>
          <w:rFonts w:ascii="Arial" w:cs="Arial" w:eastAsia="Arial" w:hAnsi="Arial"/>
          <w:sz w:val="16"/>
          <w:szCs w:val="16"/>
          <w:color w:val="auto"/>
        </w:rPr>
        <w:t>forms, i.e. wild-type, of RAS in the same cancer cells that may contribute to overall cell survival and proliferation.</w:t>
      </w:r>
    </w:p>
    <w:p>
      <w:pPr>
        <w:spacing w:after="0" w:line="60" w:lineRule="exact"/>
        <w:rPr>
          <w:sz w:val="20"/>
          <w:szCs w:val="20"/>
          <w:color w:val="auto"/>
        </w:rPr>
      </w:pPr>
    </w:p>
    <w:p>
      <w:pPr>
        <w:ind w:left="120" w:right="60"/>
        <w:spacing w:after="0" w:line="264" w:lineRule="auto"/>
        <w:rPr>
          <w:sz w:val="20"/>
          <w:szCs w:val="20"/>
          <w:color w:val="auto"/>
        </w:rPr>
      </w:pPr>
      <w:r>
        <w:rPr>
          <w:rFonts w:ascii="Arial" w:cs="Arial" w:eastAsia="Arial" w:hAnsi="Arial"/>
          <w:sz w:val="18"/>
          <w:szCs w:val="18"/>
          <w:b w:val="1"/>
          <w:bCs w:val="1"/>
          <w:color w:val="auto"/>
        </w:rPr>
        <w:t>Figure 11</w:t>
      </w:r>
      <w:r>
        <w:rPr>
          <w:rFonts w:ascii="Arial" w:cs="Arial" w:eastAsia="Arial" w:hAnsi="Arial"/>
          <w:sz w:val="18"/>
          <w:szCs w:val="18"/>
          <w:color w:val="auto"/>
        </w:rPr>
        <w:t>: Layered structural models illustrating potential for tri-complex KRAS</w:t>
      </w:r>
      <w:r>
        <w:rPr>
          <w:rFonts w:ascii="Arial" w:cs="Arial" w:eastAsia="Arial" w:hAnsi="Arial"/>
          <w:sz w:val="11"/>
          <w:szCs w:val="11"/>
          <w:color w:val="auto"/>
        </w:rPr>
        <w:t>G12C</w:t>
      </w:r>
      <w:r>
        <w:rPr>
          <w:rFonts w:ascii="Arial" w:cs="Arial" w:eastAsia="Arial" w:hAnsi="Arial"/>
          <w:sz w:val="18"/>
          <w:szCs w:val="18"/>
          <w:color w:val="auto"/>
        </w:rPr>
        <w:t>(ON) inhibitors to sterically preclude engagement of RAF,</w:t>
      </w:r>
      <w:r>
        <w:rPr>
          <w:rFonts w:ascii="Arial" w:cs="Arial" w:eastAsia="Arial" w:hAnsi="Arial"/>
          <w:sz w:val="18"/>
          <w:szCs w:val="18"/>
          <w:b w:val="1"/>
          <w:bCs w:val="1"/>
          <w:color w:val="auto"/>
        </w:rPr>
        <w:t xml:space="preserve"> </w:t>
      </w:r>
      <w:r>
        <w:rPr>
          <w:rFonts w:ascii="Arial" w:cs="Arial" w:eastAsia="Arial" w:hAnsi="Arial"/>
          <w:sz w:val="18"/>
          <w:szCs w:val="18"/>
          <w:color w:val="auto"/>
        </w:rPr>
        <w:t>PI3K and SOS1 by KRAS</w:t>
      </w:r>
      <w:r>
        <w:rPr>
          <w:rFonts w:ascii="Arial" w:cs="Arial" w:eastAsia="Arial" w:hAnsi="Arial"/>
          <w:sz w:val="11"/>
          <w:szCs w:val="11"/>
          <w:color w:val="auto"/>
        </w:rPr>
        <w:t>G12C</w:t>
      </w:r>
      <w:r>
        <w:rPr>
          <w:rFonts w:ascii="Arial" w:cs="Arial" w:eastAsia="Arial" w:hAnsi="Arial"/>
          <w:sz w:val="18"/>
          <w:szCs w:val="18"/>
          <w:color w:val="auto"/>
        </w:rPr>
        <w:t>(ON).</w:t>
      </w:r>
    </w:p>
    <w:p>
      <w:pPr>
        <w:spacing w:after="0" w:line="71" w:lineRule="exact"/>
        <w:rPr>
          <w:sz w:val="20"/>
          <w:szCs w:val="20"/>
          <w:color w:val="auto"/>
        </w:rPr>
      </w:pPr>
    </w:p>
    <w:p>
      <w:pPr>
        <w:ind w:left="120"/>
        <w:spacing w:after="0"/>
        <w:tabs>
          <w:tab w:leader="none" w:pos="3980" w:val="left"/>
          <w:tab w:leader="none" w:pos="77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8890</wp:posOffset>
            </wp:positionV>
            <wp:extent cx="5023485" cy="20142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023485" cy="2014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20" w:right="240"/>
        <w:spacing w:after="0" w:line="197" w:lineRule="auto"/>
        <w:rPr>
          <w:sz w:val="20"/>
          <w:szCs w:val="20"/>
          <w:color w:val="auto"/>
        </w:rPr>
      </w:pPr>
      <w:r>
        <w:rPr>
          <w:rFonts w:ascii="Arial" w:cs="Arial" w:eastAsia="Arial" w:hAnsi="Arial"/>
          <w:sz w:val="13"/>
          <w:szCs w:val="13"/>
          <w:color w:val="auto"/>
        </w:rPr>
        <w:t>Surface representation of atomic resolution crystal structures of tri-complex of RM-A with KRAS</w:t>
      </w:r>
      <w:r>
        <w:rPr>
          <w:rFonts w:ascii="Arial" w:cs="Arial" w:eastAsia="Arial" w:hAnsi="Arial"/>
          <w:sz w:val="22"/>
          <w:szCs w:val="22"/>
          <w:color w:val="auto"/>
          <w:vertAlign w:val="superscript"/>
        </w:rPr>
        <w:t>G12C</w:t>
      </w:r>
      <w:r>
        <w:rPr>
          <w:rFonts w:ascii="Arial" w:cs="Arial" w:eastAsia="Arial" w:hAnsi="Arial"/>
          <w:sz w:val="13"/>
          <w:szCs w:val="13"/>
          <w:color w:val="auto"/>
        </w:rPr>
        <w:t xml:space="preserve">(ON) with structural overlays showing (in grey) interaction with </w:t>
      </w:r>
      <w:r>
        <w:rPr>
          <w:rFonts w:ascii="Arial" w:cs="Arial" w:eastAsia="Arial" w:hAnsi="Arial"/>
          <w:sz w:val="13"/>
          <w:szCs w:val="13"/>
          <w:b w:val="1"/>
          <w:bCs w:val="1"/>
          <w:color w:val="auto"/>
        </w:rPr>
        <w:t>(a)</w:t>
      </w:r>
      <w:r>
        <w:rPr>
          <w:rFonts w:ascii="Arial" w:cs="Arial" w:eastAsia="Arial" w:hAnsi="Arial"/>
          <w:sz w:val="13"/>
          <w:szCs w:val="13"/>
          <w:color w:val="auto"/>
        </w:rPr>
        <w:t xml:space="preserve"> RAS binding domain (RBD) of BRAF, </w:t>
      </w:r>
      <w:r>
        <w:rPr>
          <w:rFonts w:ascii="Arial" w:cs="Arial" w:eastAsia="Arial" w:hAnsi="Arial"/>
          <w:sz w:val="13"/>
          <w:szCs w:val="13"/>
          <w:b w:val="1"/>
          <w:bCs w:val="1"/>
          <w:color w:val="auto"/>
        </w:rPr>
        <w:t>(b)</w:t>
      </w:r>
      <w:r>
        <w:rPr>
          <w:rFonts w:ascii="Arial" w:cs="Arial" w:eastAsia="Arial" w:hAnsi="Arial"/>
          <w:sz w:val="13"/>
          <w:szCs w:val="13"/>
          <w:color w:val="auto"/>
        </w:rPr>
        <w:t xml:space="preserve"> p110a catalytic subunit of PI3K and </w:t>
      </w:r>
      <w:r>
        <w:rPr>
          <w:rFonts w:ascii="Arial" w:cs="Arial" w:eastAsia="Arial" w:hAnsi="Arial"/>
          <w:sz w:val="13"/>
          <w:szCs w:val="13"/>
          <w:b w:val="1"/>
          <w:bCs w:val="1"/>
          <w:color w:val="auto"/>
        </w:rPr>
        <w:t>(c)</w:t>
      </w:r>
      <w:r>
        <w:rPr>
          <w:rFonts w:ascii="Arial" w:cs="Arial" w:eastAsia="Arial" w:hAnsi="Arial"/>
          <w:sz w:val="13"/>
          <w:szCs w:val="13"/>
          <w:color w:val="auto"/>
        </w:rPr>
        <w:t xml:space="preserve"> allosteric site on SOS1.</w:t>
      </w:r>
    </w:p>
    <w:p>
      <w:pPr>
        <w:spacing w:after="0" w:line="99" w:lineRule="exact"/>
        <w:rPr>
          <w:sz w:val="20"/>
          <w:szCs w:val="20"/>
          <w:color w:val="auto"/>
        </w:rPr>
      </w:pPr>
    </w:p>
    <w:p>
      <w:pPr>
        <w:ind w:left="120" w:right="160"/>
        <w:spacing w:after="0" w:line="236" w:lineRule="auto"/>
        <w:rPr>
          <w:sz w:val="20"/>
          <w:szCs w:val="20"/>
          <w:color w:val="auto"/>
        </w:rPr>
      </w:pPr>
      <w:r>
        <w:rPr>
          <w:rFonts w:ascii="Arial" w:cs="Arial" w:eastAsia="Arial" w:hAnsi="Arial"/>
          <w:sz w:val="18"/>
          <w:szCs w:val="18"/>
          <w:color w:val="auto"/>
        </w:rPr>
        <w:t>A representative KRAS</w:t>
      </w:r>
      <w:r>
        <w:rPr>
          <w:rFonts w:ascii="Arial" w:cs="Arial" w:eastAsia="Arial" w:hAnsi="Arial"/>
          <w:sz w:val="11"/>
          <w:szCs w:val="11"/>
          <w:color w:val="auto"/>
        </w:rPr>
        <w:t>G12C</w:t>
      </w:r>
      <w:r>
        <w:rPr>
          <w:rFonts w:ascii="Arial" w:cs="Arial" w:eastAsia="Arial" w:hAnsi="Arial"/>
          <w:sz w:val="18"/>
          <w:szCs w:val="18"/>
          <w:color w:val="auto"/>
        </w:rPr>
        <w:t>(ON) tri-complex inhibitor causes concentration-dependent disruption of the interaction between KRAS</w:t>
      </w:r>
      <w:r>
        <w:rPr>
          <w:rFonts w:ascii="Arial" w:cs="Arial" w:eastAsia="Arial" w:hAnsi="Arial"/>
          <w:sz w:val="11"/>
          <w:szCs w:val="11"/>
          <w:color w:val="auto"/>
        </w:rPr>
        <w:t>G12C</w:t>
      </w:r>
      <w:r>
        <w:rPr>
          <w:rFonts w:ascii="Arial" w:cs="Arial" w:eastAsia="Arial" w:hAnsi="Arial"/>
          <w:sz w:val="18"/>
          <w:szCs w:val="18"/>
          <w:color w:val="auto"/>
        </w:rPr>
        <w:t>(ON) and RAF-binding domain of BRAF (Figure 12). This inhibitor also penetrates KRAS</w:t>
      </w:r>
      <w:r>
        <w:rPr>
          <w:rFonts w:ascii="Arial" w:cs="Arial" w:eastAsia="Arial" w:hAnsi="Arial"/>
          <w:sz w:val="11"/>
          <w:szCs w:val="11"/>
          <w:color w:val="auto"/>
        </w:rPr>
        <w:t>G12C</w:t>
      </w:r>
      <w:r>
        <w:rPr>
          <w:rFonts w:ascii="Arial" w:cs="Arial" w:eastAsia="Arial" w:hAnsi="Arial"/>
          <w:sz w:val="18"/>
          <w:szCs w:val="18"/>
          <w:color w:val="auto"/>
        </w:rPr>
        <w:t xml:space="preserve"> mutant tumor cells and potently suppresses pERK levels and cell growth. Most tumor cells carrying this RAS variant are highly sensitive to the inhibitor, whereas none of those with mutations elsewhere in the pathway are sensitive to this inhibitor at pharmacologically relevant concentrations. We believe the range of sensitivities reflects the level of addiction of each specific cell line to KRAS</w:t>
      </w:r>
      <w:r>
        <w:rPr>
          <w:rFonts w:ascii="Arial" w:cs="Arial" w:eastAsia="Arial" w:hAnsi="Arial"/>
          <w:sz w:val="11"/>
          <w:szCs w:val="11"/>
          <w:color w:val="auto"/>
        </w:rPr>
        <w:t>G12C</w:t>
      </w:r>
      <w:r>
        <w:rPr>
          <w:rFonts w:ascii="Arial" w:cs="Arial" w:eastAsia="Arial" w:hAnsi="Arial"/>
          <w:sz w:val="18"/>
          <w:szCs w:val="18"/>
          <w:color w:val="auto"/>
        </w:rPr>
        <w:t>(ON).</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040"/>
          </w:cols>
          <w:pgMar w:left="320" w:top="459" w:right="5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40"/>
        <w:spacing w:after="0" w:line="264" w:lineRule="auto"/>
        <w:rPr>
          <w:sz w:val="20"/>
          <w:szCs w:val="20"/>
          <w:color w:val="auto"/>
        </w:rPr>
      </w:pPr>
      <w:r>
        <w:rPr>
          <w:rFonts w:ascii="Arial" w:cs="Arial" w:eastAsia="Arial" w:hAnsi="Arial"/>
          <w:sz w:val="18"/>
          <w:szCs w:val="18"/>
          <w:b w:val="1"/>
          <w:bCs w:val="1"/>
          <w:color w:val="auto"/>
        </w:rPr>
        <w:t>Figure 12</w:t>
      </w:r>
      <w:r>
        <w:rPr>
          <w:rFonts w:ascii="Arial" w:cs="Arial" w:eastAsia="Arial" w:hAnsi="Arial"/>
          <w:sz w:val="18"/>
          <w:szCs w:val="18"/>
          <w:color w:val="auto"/>
        </w:rPr>
        <w:t>: KRAS</w:t>
      </w:r>
      <w:r>
        <w:rPr>
          <w:rFonts w:ascii="Arial" w:cs="Arial" w:eastAsia="Arial" w:hAnsi="Arial"/>
          <w:sz w:val="11"/>
          <w:szCs w:val="11"/>
          <w:color w:val="auto"/>
        </w:rPr>
        <w:t>G12C</w:t>
      </w:r>
      <w:r>
        <w:rPr>
          <w:rFonts w:ascii="Arial" w:cs="Arial" w:eastAsia="Arial" w:hAnsi="Arial"/>
          <w:sz w:val="18"/>
          <w:szCs w:val="18"/>
          <w:color w:val="auto"/>
        </w:rPr>
        <w:t>(ON) tri-complex inhibitor disrupts KRAS</w:t>
      </w:r>
      <w:r>
        <w:rPr>
          <w:rFonts w:ascii="Arial" w:cs="Arial" w:eastAsia="Arial" w:hAnsi="Arial"/>
          <w:sz w:val="11"/>
          <w:szCs w:val="11"/>
          <w:color w:val="auto"/>
        </w:rPr>
        <w:t>G12C</w:t>
      </w:r>
      <w:r>
        <w:rPr>
          <w:rFonts w:ascii="Arial" w:cs="Arial" w:eastAsia="Arial" w:hAnsi="Arial"/>
          <w:sz w:val="18"/>
          <w:szCs w:val="18"/>
          <w:color w:val="auto"/>
        </w:rPr>
        <w:t>-RAF interaction; inhibits RAS pathway and proliferation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vitro</w:t>
      </w:r>
      <w:r>
        <w:rPr>
          <w:rFonts w:ascii="Arial" w:cs="Arial" w:eastAsia="Arial" w:hAnsi="Arial"/>
          <w:sz w:val="18"/>
          <w:szCs w:val="18"/>
          <w:b w:val="1"/>
          <w:bCs w:val="1"/>
          <w:color w:val="auto"/>
        </w:rPr>
        <w:t xml:space="preserve"> </w:t>
      </w:r>
      <w:r>
        <w:rPr>
          <w:rFonts w:ascii="Arial" w:cs="Arial" w:eastAsia="Arial" w:hAnsi="Arial"/>
          <w:sz w:val="18"/>
          <w:szCs w:val="18"/>
          <w:color w:val="auto"/>
        </w:rPr>
        <w:t>in cells</w:t>
      </w:r>
      <w:r>
        <w:rPr>
          <w:rFonts w:ascii="Arial" w:cs="Arial" w:eastAsia="Arial" w:hAnsi="Arial"/>
          <w:sz w:val="18"/>
          <w:szCs w:val="18"/>
          <w:b w:val="1"/>
          <w:bCs w:val="1"/>
          <w:color w:val="auto"/>
        </w:rPr>
        <w:t xml:space="preserve"> </w:t>
      </w:r>
      <w:r>
        <w:rPr>
          <w:rFonts w:ascii="Arial" w:cs="Arial" w:eastAsia="Arial" w:hAnsi="Arial"/>
          <w:sz w:val="18"/>
          <w:szCs w:val="18"/>
          <w:color w:val="auto"/>
        </w:rPr>
        <w:t>bearing KRAS</w:t>
      </w:r>
      <w:r>
        <w:rPr>
          <w:rFonts w:ascii="Arial" w:cs="Arial" w:eastAsia="Arial" w:hAnsi="Arial"/>
          <w:sz w:val="11"/>
          <w:szCs w:val="11"/>
          <w:color w:val="auto"/>
        </w:rPr>
        <w:t>G12C</w:t>
      </w:r>
      <w:r>
        <w:rPr>
          <w:rFonts w:ascii="Arial" w:cs="Arial" w:eastAsia="Arial" w:hAnsi="Arial"/>
          <w:sz w:val="18"/>
          <w:szCs w:val="18"/>
          <w:color w:val="auto"/>
        </w:rPr>
        <w:t xml:space="preserve"> mutation.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57150</wp:posOffset>
            </wp:positionV>
            <wp:extent cx="4277360" cy="27686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277360"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20"/>
        <w:spacing w:after="0" w:line="183" w:lineRule="auto"/>
        <w:rPr>
          <w:sz w:val="20"/>
          <w:szCs w:val="20"/>
          <w:color w:val="auto"/>
        </w:rPr>
      </w:pPr>
      <w:r>
        <w:rPr>
          <w:rFonts w:ascii="Arial" w:cs="Arial" w:eastAsia="Arial" w:hAnsi="Arial"/>
          <w:sz w:val="11"/>
          <w:szCs w:val="11"/>
          <w:color w:val="auto"/>
        </w:rPr>
        <w:t>Biochemical characterization of the effect of KRAS</w:t>
      </w:r>
      <w:r>
        <w:rPr>
          <w:rFonts w:ascii="Arial" w:cs="Arial" w:eastAsia="Arial" w:hAnsi="Arial"/>
          <w:sz w:val="18"/>
          <w:szCs w:val="18"/>
          <w:color w:val="auto"/>
          <w:vertAlign w:val="superscript"/>
        </w:rPr>
        <w:t>G12C</w:t>
      </w:r>
      <w:r>
        <w:rPr>
          <w:rFonts w:ascii="Arial" w:cs="Arial" w:eastAsia="Arial" w:hAnsi="Arial"/>
          <w:sz w:val="11"/>
          <w:szCs w:val="11"/>
          <w:color w:val="auto"/>
        </w:rPr>
        <w:t>(ON) tri-complex inhibitor RM-B on the interaction between KRAS</w:t>
      </w:r>
      <w:r>
        <w:rPr>
          <w:rFonts w:ascii="Arial" w:cs="Arial" w:eastAsia="Arial" w:hAnsi="Arial"/>
          <w:sz w:val="18"/>
          <w:szCs w:val="18"/>
          <w:color w:val="auto"/>
          <w:vertAlign w:val="superscript"/>
        </w:rPr>
        <w:t>G12C</w:t>
      </w:r>
      <w:r>
        <w:rPr>
          <w:rFonts w:ascii="Arial" w:cs="Arial" w:eastAsia="Arial" w:hAnsi="Arial"/>
          <w:sz w:val="11"/>
          <w:szCs w:val="11"/>
          <w:color w:val="auto"/>
        </w:rPr>
        <w:t xml:space="preserve"> (loaded with a non-hydrolysable analog of GTP) and the RAS binding domain (RBD) of BRAF was performed using a TR-FRET assay (RAS-RAF disruption) </w:t>
      </w:r>
      <w:r>
        <w:rPr>
          <w:rFonts w:ascii="Arial" w:cs="Arial" w:eastAsia="Arial" w:hAnsi="Arial"/>
          <w:sz w:val="11"/>
          <w:szCs w:val="11"/>
          <w:b w:val="1"/>
          <w:bCs w:val="1"/>
          <w:color w:val="auto"/>
        </w:rPr>
        <w:t>(a)</w:t>
      </w:r>
      <w:r>
        <w:rPr>
          <w:rFonts w:ascii="Arial" w:cs="Arial" w:eastAsia="Arial" w:hAnsi="Arial"/>
          <w:sz w:val="11"/>
          <w:szCs w:val="11"/>
          <w:color w:val="auto"/>
        </w:rPr>
        <w:t>. RAS pathway activity and cell proliferation in NSCLC NCI-H358 KRAS</w:t>
      </w:r>
      <w:r>
        <w:rPr>
          <w:rFonts w:ascii="Arial" w:cs="Arial" w:eastAsia="Arial" w:hAnsi="Arial"/>
          <w:sz w:val="18"/>
          <w:szCs w:val="18"/>
          <w:color w:val="auto"/>
          <w:vertAlign w:val="superscript"/>
        </w:rPr>
        <w:t>G12C</w:t>
      </w:r>
      <w:r>
        <w:rPr>
          <w:rFonts w:ascii="Arial" w:cs="Arial" w:eastAsia="Arial" w:hAnsi="Arial"/>
          <w:sz w:val="11"/>
          <w:szCs w:val="11"/>
          <w:color w:val="auto"/>
        </w:rPr>
        <w:t xml:space="preserve"> cells</w:t>
      </w:r>
    </w:p>
    <w:p>
      <w:pPr>
        <w:spacing w:after="0" w:line="1" w:lineRule="exact"/>
        <w:rPr>
          <w:sz w:val="20"/>
          <w:szCs w:val="20"/>
          <w:color w:val="auto"/>
        </w:rPr>
      </w:pPr>
    </w:p>
    <w:p>
      <w:pPr>
        <w:ind w:left="120" w:right="220"/>
        <w:spacing w:after="0" w:line="182" w:lineRule="auto"/>
        <w:rPr>
          <w:sz w:val="20"/>
          <w:szCs w:val="20"/>
          <w:color w:val="auto"/>
        </w:rPr>
      </w:pPr>
      <w:r>
        <w:rPr>
          <w:rFonts w:ascii="Arial" w:cs="Arial" w:eastAsia="Arial" w:hAnsi="Arial"/>
          <w:sz w:val="13"/>
          <w:szCs w:val="13"/>
          <w:color w:val="auto"/>
        </w:rPr>
        <w:t xml:space="preserve">were monitored in 2D cell cultures using levels of ERK1/2 phosphorylation at Thr202/Tyr204 (cellular pERK) </w:t>
      </w:r>
      <w:r>
        <w:rPr>
          <w:rFonts w:ascii="Arial" w:cs="Arial" w:eastAsia="Arial" w:hAnsi="Arial"/>
          <w:sz w:val="13"/>
          <w:szCs w:val="13"/>
          <w:b w:val="1"/>
          <w:bCs w:val="1"/>
          <w:color w:val="auto"/>
        </w:rPr>
        <w:t>(b)</w:t>
      </w:r>
      <w:r>
        <w:rPr>
          <w:rFonts w:ascii="Arial" w:cs="Arial" w:eastAsia="Arial" w:hAnsi="Arial"/>
          <w:sz w:val="13"/>
          <w:szCs w:val="13"/>
          <w:color w:val="auto"/>
        </w:rPr>
        <w:t xml:space="preserve"> and in 3D cell cultures using CellTiter-Glo CTG (cell proliferation) </w:t>
      </w:r>
      <w:r>
        <w:rPr>
          <w:rFonts w:ascii="Arial" w:cs="Arial" w:eastAsia="Arial" w:hAnsi="Arial"/>
          <w:sz w:val="13"/>
          <w:szCs w:val="13"/>
          <w:b w:val="1"/>
          <w:bCs w:val="1"/>
          <w:color w:val="auto"/>
        </w:rPr>
        <w:t>(c)</w:t>
      </w:r>
      <w:r>
        <w:rPr>
          <w:rFonts w:ascii="Arial" w:cs="Arial" w:eastAsia="Arial" w:hAnsi="Arial"/>
          <w:sz w:val="13"/>
          <w:szCs w:val="13"/>
          <w:color w:val="auto"/>
        </w:rPr>
        <w:t>. RM-E potency (expressed as the IC</w:t>
      </w:r>
      <w:r>
        <w:rPr>
          <w:rFonts w:ascii="Arial" w:cs="Arial" w:eastAsia="Arial" w:hAnsi="Arial"/>
          <w:sz w:val="21"/>
          <w:szCs w:val="21"/>
          <w:color w:val="auto"/>
          <w:vertAlign w:val="subscript"/>
        </w:rPr>
        <w:t>50</w:t>
      </w:r>
      <w:r>
        <w:rPr>
          <w:rFonts w:ascii="Arial" w:cs="Arial" w:eastAsia="Arial" w:hAnsi="Arial"/>
          <w:sz w:val="13"/>
          <w:szCs w:val="13"/>
          <w:color w:val="auto"/>
        </w:rPr>
        <w:t xml:space="preserve"> in µM) for inhibition of proliferation of a panel of cell lines bearing KRAS</w:t>
      </w:r>
      <w:r>
        <w:rPr>
          <w:rFonts w:ascii="Arial" w:cs="Arial" w:eastAsia="Arial" w:hAnsi="Arial"/>
          <w:sz w:val="21"/>
          <w:szCs w:val="21"/>
          <w:color w:val="auto"/>
          <w:vertAlign w:val="superscript"/>
        </w:rPr>
        <w:t>G12C</w:t>
      </w:r>
      <w:r>
        <w:rPr>
          <w:rFonts w:ascii="Arial" w:cs="Arial" w:eastAsia="Arial" w:hAnsi="Arial"/>
          <w:sz w:val="13"/>
          <w:szCs w:val="13"/>
          <w:color w:val="auto"/>
        </w:rPr>
        <w:t xml:space="preserve"> mutations (green bars) or other non-KRAS</w:t>
      </w:r>
      <w:r>
        <w:rPr>
          <w:rFonts w:ascii="Arial" w:cs="Arial" w:eastAsia="Arial" w:hAnsi="Arial"/>
          <w:sz w:val="21"/>
          <w:szCs w:val="21"/>
          <w:color w:val="auto"/>
          <w:vertAlign w:val="superscript"/>
        </w:rPr>
        <w:t>G12C</w:t>
      </w:r>
      <w:r>
        <w:rPr>
          <w:rFonts w:ascii="Arial" w:cs="Arial" w:eastAsia="Arial" w:hAnsi="Arial"/>
          <w:sz w:val="13"/>
          <w:szCs w:val="13"/>
          <w:color w:val="auto"/>
        </w:rPr>
        <w:t xml:space="preserve"> mutations in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 xml:space="preserve">RAS pathway (blue bars) </w:t>
      </w:r>
      <w:r>
        <w:rPr>
          <w:rFonts w:ascii="Arial" w:cs="Arial" w:eastAsia="Arial" w:hAnsi="Arial"/>
          <w:sz w:val="13"/>
          <w:szCs w:val="13"/>
          <w:b w:val="1"/>
          <w:bCs w:val="1"/>
          <w:color w:val="auto"/>
        </w:rPr>
        <w:t>(d)</w:t>
      </w:r>
      <w:r>
        <w:rPr>
          <w:rFonts w:ascii="Arial" w:cs="Arial" w:eastAsia="Arial" w:hAnsi="Arial"/>
          <w:sz w:val="13"/>
          <w:szCs w:val="13"/>
          <w:color w:val="auto"/>
        </w:rPr>
        <w:t>.</w:t>
      </w:r>
    </w:p>
    <w:p>
      <w:pPr>
        <w:spacing w:after="0" w:line="111" w:lineRule="exact"/>
        <w:rPr>
          <w:sz w:val="20"/>
          <w:szCs w:val="20"/>
          <w:color w:val="auto"/>
        </w:rPr>
      </w:pPr>
    </w:p>
    <w:p>
      <w:pPr>
        <w:ind w:left="120" w:right="40"/>
        <w:spacing w:after="0" w:line="235" w:lineRule="auto"/>
        <w:rPr>
          <w:sz w:val="20"/>
          <w:szCs w:val="20"/>
          <w:color w:val="auto"/>
        </w:rPr>
      </w:pPr>
      <w:r>
        <w:rPr>
          <w:rFonts w:ascii="Arial" w:cs="Arial" w:eastAsia="Arial" w:hAnsi="Arial"/>
          <w:sz w:val="18"/>
          <w:szCs w:val="18"/>
          <w:color w:val="auto"/>
        </w:rPr>
        <w:t>We are also able to leverage our findings with KRAS</w:t>
      </w:r>
      <w:r>
        <w:rPr>
          <w:rFonts w:ascii="Arial" w:cs="Arial" w:eastAsia="Arial" w:hAnsi="Arial"/>
          <w:sz w:val="11"/>
          <w:szCs w:val="11"/>
          <w:color w:val="auto"/>
        </w:rPr>
        <w:t>G12C</w:t>
      </w:r>
      <w:r>
        <w:rPr>
          <w:rFonts w:ascii="Arial" w:cs="Arial" w:eastAsia="Arial" w:hAnsi="Arial"/>
          <w:sz w:val="18"/>
          <w:szCs w:val="18"/>
          <w:color w:val="auto"/>
        </w:rPr>
        <w:t>(ON) more broadly to facilitate identification of selective tri-complex inhibitors of other RAS(ON) mutants. We are developing inhibitors of several “hotspot” RAS(ON) mutants, with KRAS</w:t>
      </w:r>
      <w:r>
        <w:rPr>
          <w:rFonts w:ascii="Arial" w:cs="Arial" w:eastAsia="Arial" w:hAnsi="Arial"/>
          <w:sz w:val="11"/>
          <w:szCs w:val="11"/>
          <w:color w:val="auto"/>
        </w:rPr>
        <w:t>G13C</w:t>
      </w:r>
      <w:r>
        <w:rPr>
          <w:rFonts w:ascii="Arial" w:cs="Arial" w:eastAsia="Arial" w:hAnsi="Arial"/>
          <w:sz w:val="18"/>
          <w:szCs w:val="18"/>
          <w:color w:val="auto"/>
        </w:rPr>
        <w:t>, KRAS</w:t>
      </w:r>
      <w:r>
        <w:rPr>
          <w:rFonts w:ascii="Arial" w:cs="Arial" w:eastAsia="Arial" w:hAnsi="Arial"/>
          <w:sz w:val="11"/>
          <w:szCs w:val="11"/>
          <w:color w:val="auto"/>
        </w:rPr>
        <w:t>G12D</w:t>
      </w:r>
      <w:r>
        <w:rPr>
          <w:rFonts w:ascii="Arial" w:cs="Arial" w:eastAsia="Arial" w:hAnsi="Arial"/>
          <w:sz w:val="18"/>
          <w:szCs w:val="18"/>
          <w:color w:val="auto"/>
        </w:rPr>
        <w:t>, and NRAS</w:t>
      </w:r>
      <w:r>
        <w:rPr>
          <w:rFonts w:ascii="Arial" w:cs="Arial" w:eastAsia="Arial" w:hAnsi="Arial"/>
          <w:sz w:val="11"/>
          <w:szCs w:val="11"/>
          <w:color w:val="auto"/>
        </w:rPr>
        <w:t>G12C</w:t>
      </w:r>
      <w:r>
        <w:rPr>
          <w:rFonts w:ascii="Arial" w:cs="Arial" w:eastAsia="Arial" w:hAnsi="Arial"/>
          <w:sz w:val="18"/>
          <w:szCs w:val="18"/>
          <w:color w:val="auto"/>
        </w:rPr>
        <w:t xml:space="preserve"> as particular priorities. We have identified compounds with functional activity in biochemical and cellular assays that measure RAS signaling pathway activity and have representative data for all of these variants (Figures 13, 14 and 15). We have the ability to target different RAS isoforms (i.e., isoform hopping), such as KRAS and NRAS, different mutational hotspots (i.e., hotspot hopping), such as G12 and G13, and different amino acid residues at a given hotspot (i.e., residue hopping), as exemplified by G12C and G12D. We use a common inhibitory mechanism that underscores the versatility of our tri-complex technology platform. Employing this technology, we have the opportunity to generate a broad portfolio of novel RAS(ON) inhibitors with potentially differentiated clinical profiles for use by patients with different tumor genotypes.</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320"/>
        <w:spacing w:after="0" w:line="264" w:lineRule="auto"/>
        <w:rPr>
          <w:sz w:val="20"/>
          <w:szCs w:val="20"/>
          <w:color w:val="auto"/>
        </w:rPr>
      </w:pPr>
      <w:r>
        <w:rPr>
          <w:rFonts w:ascii="Arial" w:cs="Arial" w:eastAsia="Arial" w:hAnsi="Arial"/>
          <w:sz w:val="18"/>
          <w:szCs w:val="18"/>
          <w:b w:val="1"/>
          <w:bCs w:val="1"/>
          <w:color w:val="auto"/>
        </w:rPr>
        <w:t>Figure 13</w:t>
      </w:r>
      <w:r>
        <w:rPr>
          <w:rFonts w:ascii="Arial" w:cs="Arial" w:eastAsia="Arial" w:hAnsi="Arial"/>
          <w:sz w:val="18"/>
          <w:szCs w:val="18"/>
          <w:color w:val="auto"/>
        </w:rPr>
        <w:t>: KRAS</w:t>
      </w:r>
      <w:r>
        <w:rPr>
          <w:rFonts w:ascii="Arial" w:cs="Arial" w:eastAsia="Arial" w:hAnsi="Arial"/>
          <w:sz w:val="11"/>
          <w:szCs w:val="11"/>
          <w:color w:val="auto"/>
        </w:rPr>
        <w:t>G13C</w:t>
      </w:r>
      <w:r>
        <w:rPr>
          <w:rFonts w:ascii="Arial" w:cs="Arial" w:eastAsia="Arial" w:hAnsi="Arial"/>
          <w:sz w:val="18"/>
          <w:szCs w:val="18"/>
          <w:color w:val="auto"/>
        </w:rPr>
        <w:t>(ON) tri-complex inhibitor RM-C disrupts KRAS</w:t>
      </w:r>
      <w:r>
        <w:rPr>
          <w:rFonts w:ascii="Arial" w:cs="Arial" w:eastAsia="Arial" w:hAnsi="Arial"/>
          <w:sz w:val="11"/>
          <w:szCs w:val="11"/>
          <w:color w:val="auto"/>
        </w:rPr>
        <w:t>G13C</w:t>
      </w:r>
      <w:r>
        <w:rPr>
          <w:rFonts w:ascii="Arial" w:cs="Arial" w:eastAsia="Arial" w:hAnsi="Arial"/>
          <w:sz w:val="18"/>
          <w:szCs w:val="18"/>
          <w:color w:val="auto"/>
        </w:rPr>
        <w:t>-RAF interaction and inhibits RAS pathway activity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vitro</w:t>
      </w:r>
      <w:r>
        <w:rPr>
          <w:rFonts w:ascii="Arial" w:cs="Arial" w:eastAsia="Arial" w:hAnsi="Arial"/>
          <w:sz w:val="18"/>
          <w:szCs w:val="18"/>
          <w:b w:val="1"/>
          <w:bCs w:val="1"/>
          <w:color w:val="auto"/>
        </w:rPr>
        <w:t xml:space="preserve"> </w:t>
      </w:r>
      <w:r>
        <w:rPr>
          <w:rFonts w:ascii="Arial" w:cs="Arial" w:eastAsia="Arial" w:hAnsi="Arial"/>
          <w:sz w:val="18"/>
          <w:szCs w:val="18"/>
          <w:color w:val="auto"/>
        </w:rPr>
        <w:t>in cells</w:t>
      </w:r>
      <w:r>
        <w:rPr>
          <w:rFonts w:ascii="Arial" w:cs="Arial" w:eastAsia="Arial" w:hAnsi="Arial"/>
          <w:sz w:val="18"/>
          <w:szCs w:val="18"/>
          <w:b w:val="1"/>
          <w:bCs w:val="1"/>
          <w:color w:val="auto"/>
        </w:rPr>
        <w:t xml:space="preserve"> </w:t>
      </w:r>
      <w:r>
        <w:rPr>
          <w:rFonts w:ascii="Arial" w:cs="Arial" w:eastAsia="Arial" w:hAnsi="Arial"/>
          <w:sz w:val="18"/>
          <w:szCs w:val="18"/>
          <w:color w:val="auto"/>
        </w:rPr>
        <w:t>bearing KRAS</w:t>
      </w:r>
      <w:r>
        <w:rPr>
          <w:rFonts w:ascii="Arial" w:cs="Arial" w:eastAsia="Arial" w:hAnsi="Arial"/>
          <w:sz w:val="11"/>
          <w:szCs w:val="11"/>
          <w:color w:val="auto"/>
        </w:rPr>
        <w:t>G13C</w:t>
      </w:r>
      <w:r>
        <w:rPr>
          <w:rFonts w:ascii="Arial" w:cs="Arial" w:eastAsia="Arial" w:hAnsi="Arial"/>
          <w:sz w:val="18"/>
          <w:szCs w:val="18"/>
          <w:color w:val="auto"/>
        </w:rPr>
        <w:t xml:space="preserve"> mutation.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57150</wp:posOffset>
            </wp:positionV>
            <wp:extent cx="3883025" cy="26403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883025"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120" w:right="40"/>
        <w:spacing w:after="0" w:line="190" w:lineRule="auto"/>
        <w:rPr>
          <w:sz w:val="20"/>
          <w:szCs w:val="20"/>
          <w:color w:val="auto"/>
        </w:rPr>
      </w:pPr>
      <w:r>
        <w:rPr>
          <w:rFonts w:ascii="Arial" w:cs="Arial" w:eastAsia="Arial" w:hAnsi="Arial"/>
          <w:sz w:val="11"/>
          <w:szCs w:val="11"/>
          <w:color w:val="auto"/>
        </w:rPr>
        <w:t>Surface representation of atomic resolution crystal structure of tri-complex of RM-C with KRAS</w:t>
      </w:r>
      <w:r>
        <w:rPr>
          <w:rFonts w:ascii="Arial" w:cs="Arial" w:eastAsia="Arial" w:hAnsi="Arial"/>
          <w:sz w:val="17"/>
          <w:szCs w:val="17"/>
          <w:color w:val="auto"/>
          <w:vertAlign w:val="superscript"/>
        </w:rPr>
        <w:t>G13C</w:t>
      </w:r>
      <w:r>
        <w:rPr>
          <w:rFonts w:ascii="Arial" w:cs="Arial" w:eastAsia="Arial" w:hAnsi="Arial"/>
          <w:sz w:val="11"/>
          <w:szCs w:val="11"/>
          <w:color w:val="auto"/>
        </w:rPr>
        <w:t xml:space="preserve"> (loaded with a non-hydrolysable analog of GTP) and cyclophilin A </w:t>
      </w:r>
      <w:r>
        <w:rPr>
          <w:rFonts w:ascii="Arial" w:cs="Arial" w:eastAsia="Arial" w:hAnsi="Arial"/>
          <w:sz w:val="11"/>
          <w:szCs w:val="11"/>
          <w:b w:val="1"/>
          <w:bCs w:val="1"/>
          <w:color w:val="auto"/>
        </w:rPr>
        <w:t>(a)</w:t>
      </w:r>
      <w:r>
        <w:rPr>
          <w:rFonts w:ascii="Arial" w:cs="Arial" w:eastAsia="Arial" w:hAnsi="Arial"/>
          <w:sz w:val="11"/>
          <w:szCs w:val="11"/>
          <w:color w:val="auto"/>
        </w:rPr>
        <w:t>. Biochemical characterization of the effect of KRAS</w:t>
      </w:r>
      <w:r>
        <w:rPr>
          <w:rFonts w:ascii="Arial" w:cs="Arial" w:eastAsia="Arial" w:hAnsi="Arial"/>
          <w:sz w:val="17"/>
          <w:szCs w:val="17"/>
          <w:color w:val="auto"/>
          <w:vertAlign w:val="superscript"/>
        </w:rPr>
        <w:t>G13C</w:t>
      </w:r>
      <w:r>
        <w:rPr>
          <w:rFonts w:ascii="Arial" w:cs="Arial" w:eastAsia="Arial" w:hAnsi="Arial"/>
          <w:sz w:val="11"/>
          <w:szCs w:val="11"/>
          <w:color w:val="auto"/>
        </w:rPr>
        <w:t>(ON) tri-complex inhibitor RM-C on the interaction between KRAS</w:t>
      </w:r>
      <w:r>
        <w:rPr>
          <w:rFonts w:ascii="Arial" w:cs="Arial" w:eastAsia="Arial" w:hAnsi="Arial"/>
          <w:sz w:val="17"/>
          <w:szCs w:val="17"/>
          <w:color w:val="auto"/>
          <w:vertAlign w:val="superscript"/>
        </w:rPr>
        <w:t>G13C</w:t>
      </w:r>
      <w:r>
        <w:rPr>
          <w:rFonts w:ascii="Arial" w:cs="Arial" w:eastAsia="Arial" w:hAnsi="Arial"/>
          <w:sz w:val="11"/>
          <w:szCs w:val="11"/>
          <w:color w:val="auto"/>
        </w:rPr>
        <w:t xml:space="preserve"> (loaded with a non-hydrolysable analog of GTP) and the RAS binding domain (RBD) of BRAF was performed using a TR-FRET assay (RAS-RAF disruption) </w:t>
      </w:r>
      <w:r>
        <w:rPr>
          <w:rFonts w:ascii="Arial" w:cs="Arial" w:eastAsia="Arial" w:hAnsi="Arial"/>
          <w:sz w:val="11"/>
          <w:szCs w:val="11"/>
          <w:b w:val="1"/>
          <w:bCs w:val="1"/>
          <w:color w:val="auto"/>
        </w:rPr>
        <w:t>(b)</w:t>
      </w:r>
      <w:r>
        <w:rPr>
          <w:rFonts w:ascii="Arial" w:cs="Arial" w:eastAsia="Arial" w:hAnsi="Arial"/>
          <w:sz w:val="11"/>
          <w:szCs w:val="11"/>
          <w:color w:val="auto"/>
        </w:rPr>
        <w:t>. RAS pathway activity in NSCLC NCI-H1734 KRAS</w:t>
      </w:r>
      <w:r>
        <w:rPr>
          <w:rFonts w:ascii="Arial" w:cs="Arial" w:eastAsia="Arial" w:hAnsi="Arial"/>
          <w:sz w:val="17"/>
          <w:szCs w:val="17"/>
          <w:color w:val="auto"/>
          <w:vertAlign w:val="superscript"/>
        </w:rPr>
        <w:t>G13C</w:t>
      </w:r>
      <w:r>
        <w:rPr>
          <w:rFonts w:ascii="Arial" w:cs="Arial" w:eastAsia="Arial" w:hAnsi="Arial"/>
          <w:sz w:val="11"/>
          <w:szCs w:val="11"/>
          <w:color w:val="auto"/>
        </w:rPr>
        <w:t xml:space="preserve"> cells was monitored in 2D cell</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 xml:space="preserve">cultures using levels of ERK1/2 phosphorylation at Thr202/Tyr204 (cellular pERK) </w:t>
      </w:r>
      <w:r>
        <w:rPr>
          <w:rFonts w:ascii="Arial" w:cs="Arial" w:eastAsia="Arial" w:hAnsi="Arial"/>
          <w:sz w:val="13"/>
          <w:szCs w:val="13"/>
          <w:b w:val="1"/>
          <w:bCs w:val="1"/>
          <w:color w:val="auto"/>
        </w:rPr>
        <w:t>(c)</w:t>
      </w:r>
      <w:r>
        <w:rPr>
          <w:rFonts w:ascii="Arial" w:cs="Arial" w:eastAsia="Arial" w:hAnsi="Arial"/>
          <w:sz w:val="13"/>
          <w:szCs w:val="13"/>
          <w:color w:val="auto"/>
        </w:rPr>
        <w:t>.</w:t>
      </w:r>
    </w:p>
    <w:p>
      <w:pPr>
        <w:spacing w:after="0" w:line="89" w:lineRule="exact"/>
        <w:rPr>
          <w:sz w:val="20"/>
          <w:szCs w:val="20"/>
          <w:color w:val="auto"/>
        </w:rPr>
      </w:pPr>
    </w:p>
    <w:p>
      <w:pPr>
        <w:ind w:left="120" w:right="320"/>
        <w:spacing w:after="0" w:line="264" w:lineRule="auto"/>
        <w:rPr>
          <w:sz w:val="20"/>
          <w:szCs w:val="20"/>
          <w:color w:val="auto"/>
        </w:rPr>
      </w:pPr>
      <w:r>
        <w:rPr>
          <w:rFonts w:ascii="Arial" w:cs="Arial" w:eastAsia="Arial" w:hAnsi="Arial"/>
          <w:sz w:val="18"/>
          <w:szCs w:val="18"/>
          <w:b w:val="1"/>
          <w:bCs w:val="1"/>
          <w:color w:val="auto"/>
        </w:rPr>
        <w:t>Figure 14</w:t>
      </w:r>
      <w:r>
        <w:rPr>
          <w:rFonts w:ascii="Arial" w:cs="Arial" w:eastAsia="Arial" w:hAnsi="Arial"/>
          <w:sz w:val="18"/>
          <w:szCs w:val="18"/>
          <w:color w:val="auto"/>
        </w:rPr>
        <w:t>: KRAS</w:t>
      </w:r>
      <w:r>
        <w:rPr>
          <w:rFonts w:ascii="Arial" w:cs="Arial" w:eastAsia="Arial" w:hAnsi="Arial"/>
          <w:sz w:val="11"/>
          <w:szCs w:val="11"/>
          <w:color w:val="auto"/>
        </w:rPr>
        <w:t>G12D</w:t>
      </w:r>
      <w:r>
        <w:rPr>
          <w:rFonts w:ascii="Arial" w:cs="Arial" w:eastAsia="Arial" w:hAnsi="Arial"/>
          <w:sz w:val="18"/>
          <w:szCs w:val="18"/>
          <w:color w:val="auto"/>
        </w:rPr>
        <w:t>(ON) tri-complex inhibitor RM-D disrupts KRAS</w:t>
      </w:r>
      <w:r>
        <w:rPr>
          <w:rFonts w:ascii="Arial" w:cs="Arial" w:eastAsia="Arial" w:hAnsi="Arial"/>
          <w:sz w:val="11"/>
          <w:szCs w:val="11"/>
          <w:color w:val="auto"/>
        </w:rPr>
        <w:t>G12D</w:t>
      </w:r>
      <w:r>
        <w:rPr>
          <w:rFonts w:ascii="Arial" w:cs="Arial" w:eastAsia="Arial" w:hAnsi="Arial"/>
          <w:sz w:val="18"/>
          <w:szCs w:val="18"/>
          <w:color w:val="auto"/>
        </w:rPr>
        <w:t>-RAF interaction and inhibits RAS pathway activity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vitro</w:t>
      </w:r>
      <w:r>
        <w:rPr>
          <w:rFonts w:ascii="Arial" w:cs="Arial" w:eastAsia="Arial" w:hAnsi="Arial"/>
          <w:sz w:val="18"/>
          <w:szCs w:val="18"/>
          <w:b w:val="1"/>
          <w:bCs w:val="1"/>
          <w:color w:val="auto"/>
        </w:rPr>
        <w:t xml:space="preserve"> </w:t>
      </w:r>
      <w:r>
        <w:rPr>
          <w:rFonts w:ascii="Arial" w:cs="Arial" w:eastAsia="Arial" w:hAnsi="Arial"/>
          <w:sz w:val="18"/>
          <w:szCs w:val="18"/>
          <w:color w:val="auto"/>
        </w:rPr>
        <w:t>in cells</w:t>
      </w:r>
      <w:r>
        <w:rPr>
          <w:rFonts w:ascii="Arial" w:cs="Arial" w:eastAsia="Arial" w:hAnsi="Arial"/>
          <w:sz w:val="18"/>
          <w:szCs w:val="18"/>
          <w:b w:val="1"/>
          <w:bCs w:val="1"/>
          <w:color w:val="auto"/>
        </w:rPr>
        <w:t xml:space="preserve"> </w:t>
      </w:r>
      <w:r>
        <w:rPr>
          <w:rFonts w:ascii="Arial" w:cs="Arial" w:eastAsia="Arial" w:hAnsi="Arial"/>
          <w:sz w:val="18"/>
          <w:szCs w:val="18"/>
          <w:color w:val="auto"/>
        </w:rPr>
        <w:t>bearing KRAS</w:t>
      </w:r>
      <w:r>
        <w:rPr>
          <w:rFonts w:ascii="Arial" w:cs="Arial" w:eastAsia="Arial" w:hAnsi="Arial"/>
          <w:sz w:val="11"/>
          <w:szCs w:val="11"/>
          <w:color w:val="auto"/>
        </w:rPr>
        <w:t>G12D</w:t>
      </w:r>
      <w:r>
        <w:rPr>
          <w:rFonts w:ascii="Arial" w:cs="Arial" w:eastAsia="Arial" w:hAnsi="Arial"/>
          <w:sz w:val="18"/>
          <w:szCs w:val="18"/>
          <w:color w:val="auto"/>
        </w:rPr>
        <w:t xml:space="preserve"> mutation.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57150</wp:posOffset>
            </wp:positionV>
            <wp:extent cx="3883025" cy="2451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883025"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0"/>
        <w:spacing w:after="0" w:line="190" w:lineRule="auto"/>
        <w:rPr>
          <w:sz w:val="20"/>
          <w:szCs w:val="20"/>
          <w:color w:val="auto"/>
        </w:rPr>
      </w:pPr>
      <w:r>
        <w:rPr>
          <w:rFonts w:ascii="Arial" w:cs="Arial" w:eastAsia="Arial" w:hAnsi="Arial"/>
          <w:sz w:val="11"/>
          <w:szCs w:val="11"/>
          <w:color w:val="auto"/>
        </w:rPr>
        <w:t>Surface representation of atomic resolution crystal structure of tri-complex of RM-D with KRAS</w:t>
      </w:r>
      <w:r>
        <w:rPr>
          <w:rFonts w:ascii="Arial" w:cs="Arial" w:eastAsia="Arial" w:hAnsi="Arial"/>
          <w:sz w:val="17"/>
          <w:szCs w:val="17"/>
          <w:color w:val="auto"/>
          <w:vertAlign w:val="superscript"/>
        </w:rPr>
        <w:t>G12D</w:t>
      </w:r>
      <w:r>
        <w:rPr>
          <w:rFonts w:ascii="Arial" w:cs="Arial" w:eastAsia="Arial" w:hAnsi="Arial"/>
          <w:sz w:val="11"/>
          <w:szCs w:val="11"/>
          <w:color w:val="auto"/>
        </w:rPr>
        <w:t xml:space="preserve"> (loaded with a non-hydrolysable analog of GTP) and cyclophilin A </w:t>
      </w:r>
      <w:r>
        <w:rPr>
          <w:rFonts w:ascii="Arial" w:cs="Arial" w:eastAsia="Arial" w:hAnsi="Arial"/>
          <w:sz w:val="11"/>
          <w:szCs w:val="11"/>
          <w:b w:val="1"/>
          <w:bCs w:val="1"/>
          <w:color w:val="auto"/>
        </w:rPr>
        <w:t>(a)</w:t>
      </w:r>
      <w:r>
        <w:rPr>
          <w:rFonts w:ascii="Arial" w:cs="Arial" w:eastAsia="Arial" w:hAnsi="Arial"/>
          <w:sz w:val="11"/>
          <w:szCs w:val="11"/>
          <w:color w:val="auto"/>
        </w:rPr>
        <w:t>. Biochemical characterization of the effect of KRAS</w:t>
      </w:r>
      <w:r>
        <w:rPr>
          <w:rFonts w:ascii="Arial" w:cs="Arial" w:eastAsia="Arial" w:hAnsi="Arial"/>
          <w:sz w:val="17"/>
          <w:szCs w:val="17"/>
          <w:color w:val="auto"/>
          <w:vertAlign w:val="superscript"/>
        </w:rPr>
        <w:t>G12D</w:t>
      </w:r>
      <w:r>
        <w:rPr>
          <w:rFonts w:ascii="Arial" w:cs="Arial" w:eastAsia="Arial" w:hAnsi="Arial"/>
          <w:sz w:val="11"/>
          <w:szCs w:val="11"/>
          <w:color w:val="auto"/>
        </w:rPr>
        <w:t xml:space="preserve"> (ON) tri-complex inhibitor RM-D on the interaction between KRAS</w:t>
      </w:r>
      <w:r>
        <w:rPr>
          <w:rFonts w:ascii="Arial" w:cs="Arial" w:eastAsia="Arial" w:hAnsi="Arial"/>
          <w:sz w:val="17"/>
          <w:szCs w:val="17"/>
          <w:color w:val="auto"/>
          <w:vertAlign w:val="superscript"/>
        </w:rPr>
        <w:t>G12D</w:t>
      </w:r>
      <w:r>
        <w:rPr>
          <w:rFonts w:ascii="Arial" w:cs="Arial" w:eastAsia="Arial" w:hAnsi="Arial"/>
          <w:sz w:val="11"/>
          <w:szCs w:val="11"/>
          <w:color w:val="auto"/>
        </w:rPr>
        <w:t xml:space="preserve"> (loaded with a non-hydrolysable analog of GTP) and the RAS binding domain (RBD) of BRAF was performed using a TR-FRET assay (RAS-RAF disruption) </w:t>
      </w:r>
      <w:r>
        <w:rPr>
          <w:rFonts w:ascii="Arial" w:cs="Arial" w:eastAsia="Arial" w:hAnsi="Arial"/>
          <w:sz w:val="11"/>
          <w:szCs w:val="11"/>
          <w:b w:val="1"/>
          <w:bCs w:val="1"/>
          <w:color w:val="auto"/>
        </w:rPr>
        <w:t>(b)</w:t>
      </w:r>
      <w:r>
        <w:rPr>
          <w:rFonts w:ascii="Arial" w:cs="Arial" w:eastAsia="Arial" w:hAnsi="Arial"/>
          <w:sz w:val="11"/>
          <w:szCs w:val="11"/>
          <w:color w:val="auto"/>
        </w:rPr>
        <w:t>. RAS pathway activity in pancreatic AsPC-1 KRAS</w:t>
      </w:r>
      <w:r>
        <w:rPr>
          <w:rFonts w:ascii="Arial" w:cs="Arial" w:eastAsia="Arial" w:hAnsi="Arial"/>
          <w:sz w:val="17"/>
          <w:szCs w:val="17"/>
          <w:color w:val="auto"/>
          <w:vertAlign w:val="superscript"/>
        </w:rPr>
        <w:t>G13C</w:t>
      </w:r>
      <w:r>
        <w:rPr>
          <w:rFonts w:ascii="Arial" w:cs="Arial" w:eastAsia="Arial" w:hAnsi="Arial"/>
          <w:sz w:val="11"/>
          <w:szCs w:val="11"/>
          <w:color w:val="auto"/>
        </w:rPr>
        <w:t xml:space="preserve"> cells was monitored in 2D cell</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 xml:space="preserve">cultures using levels of ERK1/2 phosphorylation at Thr202/Tyr204 (cellular pERK) </w:t>
      </w:r>
      <w:r>
        <w:rPr>
          <w:rFonts w:ascii="Arial" w:cs="Arial" w:eastAsia="Arial" w:hAnsi="Arial"/>
          <w:sz w:val="13"/>
          <w:szCs w:val="13"/>
          <w:b w:val="1"/>
          <w:bCs w:val="1"/>
          <w:color w:val="auto"/>
        </w:rPr>
        <w:t>(c)</w:t>
      </w:r>
      <w:r>
        <w:rPr>
          <w:rFonts w:ascii="Arial" w:cs="Arial" w:eastAsia="Arial" w:hAnsi="Arial"/>
          <w:sz w:val="13"/>
          <w:szCs w:val="13"/>
          <w:color w:val="auto"/>
        </w:rPr>
        <w:t>.</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80"/>
          </w:cols>
          <w:pgMar w:left="320" w:top="459" w:right="49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64" w:lineRule="auto"/>
        <w:rPr>
          <w:sz w:val="20"/>
          <w:szCs w:val="20"/>
          <w:color w:val="auto"/>
        </w:rPr>
      </w:pPr>
      <w:r>
        <w:rPr>
          <w:rFonts w:ascii="Arial" w:cs="Arial" w:eastAsia="Arial" w:hAnsi="Arial"/>
          <w:sz w:val="18"/>
          <w:szCs w:val="18"/>
          <w:b w:val="1"/>
          <w:bCs w:val="1"/>
          <w:color w:val="auto"/>
        </w:rPr>
        <w:t>Figure 15</w:t>
      </w:r>
      <w:r>
        <w:rPr>
          <w:rFonts w:ascii="Arial" w:cs="Arial" w:eastAsia="Arial" w:hAnsi="Arial"/>
          <w:sz w:val="18"/>
          <w:szCs w:val="18"/>
          <w:color w:val="auto"/>
        </w:rPr>
        <w:t>: NRAS</w:t>
      </w:r>
      <w:r>
        <w:rPr>
          <w:rFonts w:ascii="Arial" w:cs="Arial" w:eastAsia="Arial" w:hAnsi="Arial"/>
          <w:sz w:val="11"/>
          <w:szCs w:val="11"/>
          <w:color w:val="auto"/>
        </w:rPr>
        <w:t>G12C</w:t>
      </w:r>
      <w:r>
        <w:rPr>
          <w:rFonts w:ascii="Arial" w:cs="Arial" w:eastAsia="Arial" w:hAnsi="Arial"/>
          <w:sz w:val="18"/>
          <w:szCs w:val="18"/>
          <w:color w:val="auto"/>
        </w:rPr>
        <w:t>(ON) tri-complex inhibitor RM-E disrupts NRAS</w:t>
      </w:r>
      <w:r>
        <w:rPr>
          <w:rFonts w:ascii="Arial" w:cs="Arial" w:eastAsia="Arial" w:hAnsi="Arial"/>
          <w:sz w:val="11"/>
          <w:szCs w:val="11"/>
          <w:color w:val="auto"/>
        </w:rPr>
        <w:t>G12C</w:t>
      </w:r>
      <w:r>
        <w:rPr>
          <w:rFonts w:ascii="Arial" w:cs="Arial" w:eastAsia="Arial" w:hAnsi="Arial"/>
          <w:sz w:val="18"/>
          <w:szCs w:val="18"/>
          <w:color w:val="auto"/>
        </w:rPr>
        <w:t>-RAF interaction; inhibits RAS pathway activity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vitro</w:t>
      </w:r>
      <w:r>
        <w:rPr>
          <w:rFonts w:ascii="Arial" w:cs="Arial" w:eastAsia="Arial" w:hAnsi="Arial"/>
          <w:sz w:val="18"/>
          <w:szCs w:val="18"/>
          <w:b w:val="1"/>
          <w:bCs w:val="1"/>
          <w:color w:val="auto"/>
        </w:rPr>
        <w:t xml:space="preserve"> </w:t>
      </w:r>
      <w:r>
        <w:rPr>
          <w:rFonts w:ascii="Arial" w:cs="Arial" w:eastAsia="Arial" w:hAnsi="Arial"/>
          <w:sz w:val="18"/>
          <w:szCs w:val="18"/>
          <w:color w:val="auto"/>
        </w:rPr>
        <w:t>in cells bearing</w:t>
      </w:r>
      <w:r>
        <w:rPr>
          <w:rFonts w:ascii="Arial" w:cs="Arial" w:eastAsia="Arial" w:hAnsi="Arial"/>
          <w:sz w:val="18"/>
          <w:szCs w:val="18"/>
          <w:b w:val="1"/>
          <w:bCs w:val="1"/>
          <w:color w:val="auto"/>
        </w:rPr>
        <w:t xml:space="preserve"> </w:t>
      </w:r>
      <w:r>
        <w:rPr>
          <w:rFonts w:ascii="Arial" w:cs="Arial" w:eastAsia="Arial" w:hAnsi="Arial"/>
          <w:sz w:val="18"/>
          <w:szCs w:val="18"/>
          <w:color w:val="auto"/>
        </w:rPr>
        <w:t>NRAS</w:t>
      </w:r>
      <w:r>
        <w:rPr>
          <w:rFonts w:ascii="Arial" w:cs="Arial" w:eastAsia="Arial" w:hAnsi="Arial"/>
          <w:sz w:val="11"/>
          <w:szCs w:val="11"/>
          <w:color w:val="auto"/>
        </w:rPr>
        <w:t>G12C</w:t>
      </w:r>
      <w:r>
        <w:rPr>
          <w:rFonts w:ascii="Arial" w:cs="Arial" w:eastAsia="Arial" w:hAnsi="Arial"/>
          <w:sz w:val="18"/>
          <w:szCs w:val="18"/>
          <w:color w:val="auto"/>
        </w:rPr>
        <w:t xml:space="preserve"> mutation.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57150</wp:posOffset>
            </wp:positionV>
            <wp:extent cx="3429000" cy="23399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00"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20" w:right="20"/>
        <w:spacing w:after="0" w:line="190" w:lineRule="auto"/>
        <w:rPr>
          <w:sz w:val="20"/>
          <w:szCs w:val="20"/>
          <w:color w:val="auto"/>
        </w:rPr>
      </w:pPr>
      <w:r>
        <w:rPr>
          <w:rFonts w:ascii="Arial" w:cs="Arial" w:eastAsia="Arial" w:hAnsi="Arial"/>
          <w:sz w:val="11"/>
          <w:szCs w:val="11"/>
          <w:color w:val="auto"/>
        </w:rPr>
        <w:t>Surface representation of atomic resolution crystal structure of tri-complex of RM-E with NRAS</w:t>
      </w:r>
      <w:r>
        <w:rPr>
          <w:rFonts w:ascii="Arial" w:cs="Arial" w:eastAsia="Arial" w:hAnsi="Arial"/>
          <w:sz w:val="17"/>
          <w:szCs w:val="17"/>
          <w:color w:val="auto"/>
          <w:vertAlign w:val="superscript"/>
        </w:rPr>
        <w:t>G12C</w:t>
      </w:r>
      <w:r>
        <w:rPr>
          <w:rFonts w:ascii="Arial" w:cs="Arial" w:eastAsia="Arial" w:hAnsi="Arial"/>
          <w:sz w:val="11"/>
          <w:szCs w:val="11"/>
          <w:color w:val="auto"/>
        </w:rPr>
        <w:t xml:space="preserve"> (loaded with a non-hydrolysable analog of GTP) and cyclophilin A </w:t>
      </w:r>
      <w:r>
        <w:rPr>
          <w:rFonts w:ascii="Arial" w:cs="Arial" w:eastAsia="Arial" w:hAnsi="Arial"/>
          <w:sz w:val="11"/>
          <w:szCs w:val="11"/>
          <w:b w:val="1"/>
          <w:bCs w:val="1"/>
          <w:color w:val="auto"/>
        </w:rPr>
        <w:t>(a)</w:t>
      </w:r>
      <w:r>
        <w:rPr>
          <w:rFonts w:ascii="Arial" w:cs="Arial" w:eastAsia="Arial" w:hAnsi="Arial"/>
          <w:sz w:val="11"/>
          <w:szCs w:val="11"/>
          <w:color w:val="auto"/>
        </w:rPr>
        <w:t>. Biochemical characterization of the effect of NRAS</w:t>
      </w:r>
      <w:r>
        <w:rPr>
          <w:rFonts w:ascii="Arial" w:cs="Arial" w:eastAsia="Arial" w:hAnsi="Arial"/>
          <w:sz w:val="17"/>
          <w:szCs w:val="17"/>
          <w:color w:val="auto"/>
          <w:vertAlign w:val="superscript"/>
        </w:rPr>
        <w:t>G12C</w:t>
      </w:r>
      <w:r>
        <w:rPr>
          <w:rFonts w:ascii="Arial" w:cs="Arial" w:eastAsia="Arial" w:hAnsi="Arial"/>
          <w:sz w:val="11"/>
          <w:szCs w:val="11"/>
          <w:color w:val="auto"/>
        </w:rPr>
        <w:t xml:space="preserve"> (ON) tri-complex inhibitor RM-E on the interaction between NRAS</w:t>
      </w:r>
      <w:r>
        <w:rPr>
          <w:rFonts w:ascii="Arial" w:cs="Arial" w:eastAsia="Arial" w:hAnsi="Arial"/>
          <w:sz w:val="17"/>
          <w:szCs w:val="17"/>
          <w:color w:val="auto"/>
          <w:vertAlign w:val="superscript"/>
        </w:rPr>
        <w:t>G12C</w:t>
      </w:r>
      <w:r>
        <w:rPr>
          <w:rFonts w:ascii="Arial" w:cs="Arial" w:eastAsia="Arial" w:hAnsi="Arial"/>
          <w:sz w:val="11"/>
          <w:szCs w:val="11"/>
          <w:color w:val="auto"/>
        </w:rPr>
        <w:t xml:space="preserve"> (loaded with a non-hydrolysable analog of GTP) and the RAS binding domain (RBD) of BRAF was performed using a TR-FRET assay (RAS-RAF disruption) </w:t>
      </w:r>
      <w:r>
        <w:rPr>
          <w:rFonts w:ascii="Arial" w:cs="Arial" w:eastAsia="Arial" w:hAnsi="Arial"/>
          <w:sz w:val="11"/>
          <w:szCs w:val="11"/>
          <w:b w:val="1"/>
          <w:bCs w:val="1"/>
          <w:color w:val="auto"/>
        </w:rPr>
        <w:t>(b)</w:t>
      </w:r>
      <w:r>
        <w:rPr>
          <w:rFonts w:ascii="Arial" w:cs="Arial" w:eastAsia="Arial" w:hAnsi="Arial"/>
          <w:sz w:val="11"/>
          <w:szCs w:val="11"/>
          <w:color w:val="auto"/>
        </w:rPr>
        <w:t>. RAS pathway activity in AML P31-FUJ NRAS</w:t>
      </w:r>
      <w:r>
        <w:rPr>
          <w:rFonts w:ascii="Arial" w:cs="Arial" w:eastAsia="Arial" w:hAnsi="Arial"/>
          <w:sz w:val="17"/>
          <w:szCs w:val="17"/>
          <w:color w:val="auto"/>
          <w:vertAlign w:val="superscript"/>
        </w:rPr>
        <w:t>G12C</w:t>
      </w:r>
      <w:r>
        <w:rPr>
          <w:rFonts w:ascii="Arial" w:cs="Arial" w:eastAsia="Arial" w:hAnsi="Arial"/>
          <w:sz w:val="11"/>
          <w:szCs w:val="11"/>
          <w:color w:val="auto"/>
        </w:rPr>
        <w:t xml:space="preserve"> cells was monitored in 2D cell cultures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 xml:space="preserve">using levels of ERK1/2 phosphorylation at Thr202/Tyr204 (cellular pERK) </w:t>
      </w:r>
      <w:r>
        <w:rPr>
          <w:rFonts w:ascii="Arial" w:cs="Arial" w:eastAsia="Arial" w:hAnsi="Arial"/>
          <w:sz w:val="13"/>
          <w:szCs w:val="13"/>
          <w:b w:val="1"/>
          <w:bCs w:val="1"/>
          <w:color w:val="auto"/>
        </w:rPr>
        <w:t>(c)</w:t>
      </w:r>
      <w:r>
        <w:rPr>
          <w:rFonts w:ascii="Arial" w:cs="Arial" w:eastAsia="Arial" w:hAnsi="Arial"/>
          <w:sz w:val="13"/>
          <w:szCs w:val="13"/>
          <w:color w:val="auto"/>
        </w:rPr>
        <w:t>.</w:t>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Reduced susceptibility of RAS(ON) inhibitors to adaptive resistance mechanisms, such as RTK activation</w:t>
      </w:r>
    </w:p>
    <w:p>
      <w:pPr>
        <w:spacing w:after="0" w:line="122" w:lineRule="exact"/>
        <w:rPr>
          <w:sz w:val="20"/>
          <w:szCs w:val="20"/>
          <w:color w:val="auto"/>
        </w:rPr>
      </w:pPr>
    </w:p>
    <w:p>
      <w:pPr>
        <w:ind w:left="120" w:right="80"/>
        <w:spacing w:after="0" w:line="235" w:lineRule="auto"/>
        <w:rPr>
          <w:sz w:val="20"/>
          <w:szCs w:val="20"/>
          <w:color w:val="auto"/>
        </w:rPr>
      </w:pPr>
      <w:r>
        <w:rPr>
          <w:rFonts w:ascii="Arial" w:cs="Arial" w:eastAsia="Arial" w:hAnsi="Arial"/>
          <w:sz w:val="18"/>
          <w:szCs w:val="18"/>
          <w:color w:val="auto"/>
        </w:rPr>
        <w:t>In tumor cells that are addicted to high levels of RAS activation, we believe that selective inhibitors of RAS(ON) will be highly effective at suppressing cell growth and survival and also less susceptible to adaptive resistance mechanisms recognized for RAS(OFF) inhibitors, specifically the KRAS</w:t>
      </w:r>
      <w:r>
        <w:rPr>
          <w:rFonts w:ascii="Arial" w:cs="Arial" w:eastAsia="Arial" w:hAnsi="Arial"/>
          <w:sz w:val="11"/>
          <w:szCs w:val="11"/>
          <w:color w:val="auto"/>
        </w:rPr>
        <w:t>G12C</w:t>
      </w:r>
      <w:r>
        <w:rPr>
          <w:rFonts w:ascii="Arial" w:cs="Arial" w:eastAsia="Arial" w:hAnsi="Arial"/>
          <w:sz w:val="18"/>
          <w:szCs w:val="18"/>
          <w:color w:val="auto"/>
        </w:rPr>
        <w:t>(OFF) inhibitors that are currently in early clinical development. KRAS</w:t>
      </w:r>
      <w:r>
        <w:rPr>
          <w:rFonts w:ascii="Arial" w:cs="Arial" w:eastAsia="Arial" w:hAnsi="Arial"/>
          <w:sz w:val="11"/>
          <w:szCs w:val="11"/>
          <w:color w:val="auto"/>
        </w:rPr>
        <w:t>G12C</w:t>
      </w:r>
      <w:r>
        <w:rPr>
          <w:rFonts w:ascii="Arial" w:cs="Arial" w:eastAsia="Arial" w:hAnsi="Arial"/>
          <w:sz w:val="18"/>
          <w:szCs w:val="18"/>
          <w:color w:val="auto"/>
        </w:rPr>
        <w:t>(OFF) inhibitors are susceptible to any cellular perturbations that reduce the intracellular pool of KRAS(OFF). Central to the differentiated profile of KRAS</w:t>
      </w:r>
      <w:r>
        <w:rPr>
          <w:rFonts w:ascii="Arial" w:cs="Arial" w:eastAsia="Arial" w:hAnsi="Arial"/>
          <w:sz w:val="11"/>
          <w:szCs w:val="11"/>
          <w:color w:val="auto"/>
        </w:rPr>
        <w:t>G12C</w:t>
      </w:r>
      <w:r>
        <w:rPr>
          <w:rFonts w:ascii="Arial" w:cs="Arial" w:eastAsia="Arial" w:hAnsi="Arial"/>
          <w:sz w:val="18"/>
          <w:szCs w:val="18"/>
          <w:color w:val="auto"/>
        </w:rPr>
        <w:t>(ON) inhibitors is their relative insensitivity to cellular mechanisms that activate KRAS</w:t>
      </w:r>
      <w:r>
        <w:rPr>
          <w:rFonts w:ascii="Arial" w:cs="Arial" w:eastAsia="Arial" w:hAnsi="Arial"/>
          <w:sz w:val="11"/>
          <w:szCs w:val="11"/>
          <w:color w:val="auto"/>
        </w:rPr>
        <w:t>G12C</w:t>
      </w:r>
      <w:r>
        <w:rPr>
          <w:rFonts w:ascii="Arial" w:cs="Arial" w:eastAsia="Arial" w:hAnsi="Arial"/>
          <w:sz w:val="18"/>
          <w:szCs w:val="18"/>
          <w:color w:val="auto"/>
        </w:rPr>
        <w:t xml:space="preserve"> and thereby increase the pool of KRAS</w:t>
      </w:r>
      <w:r>
        <w:rPr>
          <w:rFonts w:ascii="Arial" w:cs="Arial" w:eastAsia="Arial" w:hAnsi="Arial"/>
          <w:sz w:val="11"/>
          <w:szCs w:val="11"/>
          <w:color w:val="auto"/>
        </w:rPr>
        <w:t>G12C</w:t>
      </w:r>
      <w:r>
        <w:rPr>
          <w:rFonts w:ascii="Arial" w:cs="Arial" w:eastAsia="Arial" w:hAnsi="Arial"/>
          <w:sz w:val="18"/>
          <w:szCs w:val="18"/>
          <w:color w:val="auto"/>
        </w:rPr>
        <w:t>(ON) and decrease the pool of KRAS(OFF). We have demonstrated that the addition of growth factors to cells in order to directly activate RTKs (and hence increase the RAS(ON) pool) reduces the cellular potency of KRAS</w:t>
      </w:r>
      <w:r>
        <w:rPr>
          <w:rFonts w:ascii="Arial" w:cs="Arial" w:eastAsia="Arial" w:hAnsi="Arial"/>
          <w:sz w:val="11"/>
          <w:szCs w:val="11"/>
          <w:color w:val="auto"/>
        </w:rPr>
        <w:t>G12C</w:t>
      </w:r>
      <w:r>
        <w:rPr>
          <w:rFonts w:ascii="Arial" w:cs="Arial" w:eastAsia="Arial" w:hAnsi="Arial"/>
          <w:sz w:val="18"/>
          <w:szCs w:val="18"/>
          <w:color w:val="auto"/>
        </w:rPr>
        <w:t>(OFF) inhibitors but has much less effect on cellular potency of KRAS</w:t>
      </w:r>
      <w:r>
        <w:rPr>
          <w:rFonts w:ascii="Arial" w:cs="Arial" w:eastAsia="Arial" w:hAnsi="Arial"/>
          <w:sz w:val="11"/>
          <w:szCs w:val="11"/>
          <w:color w:val="auto"/>
        </w:rPr>
        <w:t>G12C</w:t>
      </w:r>
      <w:r>
        <w:rPr>
          <w:rFonts w:ascii="Arial" w:cs="Arial" w:eastAsia="Arial" w:hAnsi="Arial"/>
          <w:sz w:val="18"/>
          <w:szCs w:val="18"/>
          <w:color w:val="auto"/>
        </w:rPr>
        <w:t>(ON) inhibitors (Figure 16). These findings corroborate a previous published report that KRAS</w:t>
      </w:r>
      <w:r>
        <w:rPr>
          <w:rFonts w:ascii="Arial" w:cs="Arial" w:eastAsia="Arial" w:hAnsi="Arial"/>
          <w:sz w:val="11"/>
          <w:szCs w:val="11"/>
          <w:color w:val="auto"/>
        </w:rPr>
        <w:t>G12C</w:t>
      </w:r>
      <w:r>
        <w:rPr>
          <w:rFonts w:ascii="Arial" w:cs="Arial" w:eastAsia="Arial" w:hAnsi="Arial"/>
          <w:sz w:val="18"/>
          <w:szCs w:val="18"/>
          <w:color w:val="auto"/>
        </w:rPr>
        <w:t xml:space="preserve"> target engagement by a representative KRAS</w:t>
      </w:r>
      <w:r>
        <w:rPr>
          <w:rFonts w:ascii="Arial" w:cs="Arial" w:eastAsia="Arial" w:hAnsi="Arial"/>
          <w:sz w:val="11"/>
          <w:szCs w:val="11"/>
          <w:color w:val="auto"/>
        </w:rPr>
        <w:t>G12C</w:t>
      </w:r>
      <w:r>
        <w:rPr>
          <w:rFonts w:ascii="Arial" w:cs="Arial" w:eastAsia="Arial" w:hAnsi="Arial"/>
          <w:sz w:val="18"/>
          <w:szCs w:val="18"/>
          <w:color w:val="auto"/>
        </w:rPr>
        <w:t>(OFF) inhibitor is significantly reduced by growth factor administration, consistent with the relative depletion of the therapeutic target.</w:t>
      </w:r>
    </w:p>
    <w:p>
      <w:pPr>
        <w:spacing w:after="0" w:line="14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00"/>
          </w:cols>
          <w:pgMar w:left="320" w:top="459" w:right="4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620"/>
        <w:spacing w:after="0" w:line="264" w:lineRule="auto"/>
        <w:rPr>
          <w:sz w:val="20"/>
          <w:szCs w:val="20"/>
          <w:color w:val="auto"/>
        </w:rPr>
      </w:pPr>
      <w:r>
        <w:rPr>
          <w:rFonts w:ascii="Arial" w:cs="Arial" w:eastAsia="Arial" w:hAnsi="Arial"/>
          <w:sz w:val="18"/>
          <w:szCs w:val="18"/>
          <w:b w:val="1"/>
          <w:bCs w:val="1"/>
          <w:color w:val="auto"/>
        </w:rPr>
        <w:t>Figure 16</w:t>
      </w:r>
      <w:r>
        <w:rPr>
          <w:rFonts w:ascii="Arial" w:cs="Arial" w:eastAsia="Arial" w:hAnsi="Arial"/>
          <w:sz w:val="18"/>
          <w:szCs w:val="18"/>
          <w:color w:val="auto"/>
        </w:rPr>
        <w:t>: Differential susceptibility of KRAS</w:t>
      </w:r>
      <w:r>
        <w:rPr>
          <w:rFonts w:ascii="Arial" w:cs="Arial" w:eastAsia="Arial" w:hAnsi="Arial"/>
          <w:sz w:val="11"/>
          <w:szCs w:val="11"/>
          <w:color w:val="auto"/>
        </w:rPr>
        <w:t>G12C</w:t>
      </w:r>
      <w:r>
        <w:rPr>
          <w:rFonts w:ascii="Arial" w:cs="Arial" w:eastAsia="Arial" w:hAnsi="Arial"/>
          <w:sz w:val="18"/>
          <w:szCs w:val="18"/>
          <w:color w:val="auto"/>
        </w:rPr>
        <w:t>(ON) and KRAS</w:t>
      </w:r>
      <w:r>
        <w:rPr>
          <w:rFonts w:ascii="Arial" w:cs="Arial" w:eastAsia="Arial" w:hAnsi="Arial"/>
          <w:sz w:val="11"/>
          <w:szCs w:val="11"/>
          <w:color w:val="auto"/>
        </w:rPr>
        <w:t>G12C</w:t>
      </w:r>
      <w:r>
        <w:rPr>
          <w:rFonts w:ascii="Arial" w:cs="Arial" w:eastAsia="Arial" w:hAnsi="Arial"/>
          <w:sz w:val="18"/>
          <w:szCs w:val="18"/>
          <w:color w:val="auto"/>
        </w:rPr>
        <w:t>(OFF) inhibitors to the effects of RTK activation, via growth factor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challenge, on inhibition of RAS pathway and cell proliferation </w:t>
      </w:r>
      <w:r>
        <w:rPr>
          <w:rFonts w:ascii="Arial" w:cs="Arial" w:eastAsia="Arial" w:hAnsi="Arial"/>
          <w:sz w:val="18"/>
          <w:szCs w:val="18"/>
          <w:i w:val="1"/>
          <w:iCs w:val="1"/>
          <w:color w:val="auto"/>
        </w:rPr>
        <w:t>in vitro</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57150</wp:posOffset>
            </wp:positionV>
            <wp:extent cx="3086100" cy="23488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086100"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0" w:right="40"/>
        <w:spacing w:after="0" w:line="187" w:lineRule="auto"/>
        <w:rPr>
          <w:sz w:val="20"/>
          <w:szCs w:val="20"/>
          <w:color w:val="auto"/>
        </w:rPr>
      </w:pPr>
      <w:r>
        <w:rPr>
          <w:rFonts w:ascii="Arial" w:cs="Arial" w:eastAsia="Arial" w:hAnsi="Arial"/>
          <w:sz w:val="13"/>
          <w:szCs w:val="13"/>
          <w:color w:val="auto"/>
        </w:rPr>
        <w:t>RAS pathway activity and cell proliferation in NSCLC NCI-H358 KRAS</w:t>
      </w:r>
      <w:r>
        <w:rPr>
          <w:rFonts w:ascii="Arial" w:cs="Arial" w:eastAsia="Arial" w:hAnsi="Arial"/>
          <w:sz w:val="22"/>
          <w:szCs w:val="22"/>
          <w:color w:val="auto"/>
          <w:vertAlign w:val="superscript"/>
        </w:rPr>
        <w:t>G12C</w:t>
      </w:r>
      <w:r>
        <w:rPr>
          <w:rFonts w:ascii="Arial" w:cs="Arial" w:eastAsia="Arial" w:hAnsi="Arial"/>
          <w:sz w:val="13"/>
          <w:szCs w:val="13"/>
          <w:color w:val="auto"/>
        </w:rPr>
        <w:t xml:space="preserve"> cancer cells were monitored in 2D cell cultures using levels of ERK1/2 phosphorylation at Thr202/Tyr204 </w:t>
      </w:r>
      <w:r>
        <w:rPr>
          <w:rFonts w:ascii="Arial" w:cs="Arial" w:eastAsia="Arial" w:hAnsi="Arial"/>
          <w:sz w:val="13"/>
          <w:szCs w:val="13"/>
          <w:b w:val="1"/>
          <w:bCs w:val="1"/>
          <w:color w:val="auto"/>
        </w:rPr>
        <w:t>(a</w:t>
      </w:r>
      <w:r>
        <w:rPr>
          <w:rFonts w:ascii="Arial" w:cs="Arial" w:eastAsia="Arial" w:hAnsi="Arial"/>
          <w:sz w:val="13"/>
          <w:szCs w:val="13"/>
          <w:color w:val="auto"/>
        </w:rPr>
        <w:t xml:space="preserve"> and </w:t>
      </w:r>
      <w:r>
        <w:rPr>
          <w:rFonts w:ascii="Arial" w:cs="Arial" w:eastAsia="Arial" w:hAnsi="Arial"/>
          <w:sz w:val="13"/>
          <w:szCs w:val="13"/>
          <w:b w:val="1"/>
          <w:bCs w:val="1"/>
          <w:color w:val="auto"/>
        </w:rPr>
        <w:t>b)</w:t>
      </w:r>
      <w:r>
        <w:rPr>
          <w:rFonts w:ascii="Arial" w:cs="Arial" w:eastAsia="Arial" w:hAnsi="Arial"/>
          <w:sz w:val="13"/>
          <w:szCs w:val="13"/>
          <w:color w:val="auto"/>
        </w:rPr>
        <w:t xml:space="preserve"> and in 3D cell cultures using CellTiter-Glo (CTG) </w:t>
      </w:r>
      <w:r>
        <w:rPr>
          <w:rFonts w:ascii="Arial" w:cs="Arial" w:eastAsia="Arial" w:hAnsi="Arial"/>
          <w:sz w:val="13"/>
          <w:szCs w:val="13"/>
          <w:b w:val="1"/>
          <w:bCs w:val="1"/>
          <w:color w:val="auto"/>
        </w:rPr>
        <w:t>(c</w:t>
      </w:r>
      <w:r>
        <w:rPr>
          <w:rFonts w:ascii="Arial" w:cs="Arial" w:eastAsia="Arial" w:hAnsi="Arial"/>
          <w:sz w:val="13"/>
          <w:szCs w:val="13"/>
          <w:color w:val="auto"/>
        </w:rPr>
        <w:t xml:space="preserve"> and </w:t>
      </w:r>
      <w:r>
        <w:rPr>
          <w:rFonts w:ascii="Arial" w:cs="Arial" w:eastAsia="Arial" w:hAnsi="Arial"/>
          <w:sz w:val="13"/>
          <w:szCs w:val="13"/>
          <w:b w:val="1"/>
          <w:bCs w:val="1"/>
          <w:color w:val="auto"/>
        </w:rPr>
        <w:t>d).</w:t>
      </w:r>
      <w:r>
        <w:rPr>
          <w:rFonts w:ascii="Arial" w:cs="Arial" w:eastAsia="Arial" w:hAnsi="Arial"/>
          <w:sz w:val="13"/>
          <w:szCs w:val="13"/>
          <w:color w:val="auto"/>
        </w:rPr>
        <w:t xml:space="preserve"> The effects of activation of EGFR and MET receptor, by addition of growth factor ligands human EGF (hEGF) and human HGF (hHGF) (at their EC</w:t>
      </w:r>
      <w:r>
        <w:rPr>
          <w:rFonts w:ascii="Arial" w:cs="Arial" w:eastAsia="Arial" w:hAnsi="Arial"/>
          <w:sz w:val="22"/>
          <w:szCs w:val="22"/>
          <w:color w:val="auto"/>
          <w:vertAlign w:val="subscript"/>
        </w:rPr>
        <w:t>95</w:t>
      </w:r>
      <w:r>
        <w:rPr>
          <w:rFonts w:ascii="Arial" w:cs="Arial" w:eastAsia="Arial" w:hAnsi="Arial"/>
          <w:sz w:val="13"/>
          <w:szCs w:val="13"/>
          <w:color w:val="auto"/>
        </w:rPr>
        <w:t xml:space="preserve"> concentrations) respectively, on the inhibitory potency of the KRAS</w:t>
      </w:r>
      <w:r>
        <w:rPr>
          <w:rFonts w:ascii="Arial" w:cs="Arial" w:eastAsia="Arial" w:hAnsi="Arial"/>
          <w:sz w:val="22"/>
          <w:szCs w:val="22"/>
          <w:color w:val="auto"/>
          <w:vertAlign w:val="superscript"/>
        </w:rPr>
        <w:t>G12C</w:t>
      </w:r>
      <w:r>
        <w:rPr>
          <w:rFonts w:ascii="Arial" w:cs="Arial" w:eastAsia="Arial" w:hAnsi="Arial"/>
          <w:sz w:val="13"/>
          <w:szCs w:val="13"/>
          <w:color w:val="auto"/>
        </w:rPr>
        <w:t>(ON) inhibitor RM-B (</w:t>
      </w:r>
      <w:r>
        <w:rPr>
          <w:rFonts w:ascii="Arial" w:cs="Arial" w:eastAsia="Arial" w:hAnsi="Arial"/>
          <w:sz w:val="13"/>
          <w:szCs w:val="13"/>
          <w:b w:val="1"/>
          <w:bCs w:val="1"/>
          <w:color w:val="auto"/>
        </w:rPr>
        <w:t>a</w:t>
      </w:r>
      <w:r>
        <w:rPr>
          <w:rFonts w:ascii="Arial" w:cs="Arial" w:eastAsia="Arial" w:hAnsi="Arial"/>
          <w:sz w:val="13"/>
          <w:szCs w:val="13"/>
          <w:color w:val="auto"/>
        </w:rPr>
        <w:t xml:space="preserve"> and </w:t>
      </w:r>
      <w:r>
        <w:rPr>
          <w:rFonts w:ascii="Arial" w:cs="Arial" w:eastAsia="Arial" w:hAnsi="Arial"/>
          <w:sz w:val="13"/>
          <w:szCs w:val="13"/>
          <w:b w:val="1"/>
          <w:bCs w:val="1"/>
          <w:color w:val="auto"/>
        </w:rPr>
        <w:t>c</w:t>
      </w:r>
      <w:r>
        <w:rPr>
          <w:rFonts w:ascii="Arial" w:cs="Arial" w:eastAsia="Arial" w:hAnsi="Arial"/>
          <w:sz w:val="13"/>
          <w:szCs w:val="13"/>
          <w:color w:val="auto"/>
        </w:rPr>
        <w:t>) and KRAS</w:t>
      </w:r>
      <w:r>
        <w:rPr>
          <w:rFonts w:ascii="Arial" w:cs="Arial" w:eastAsia="Arial" w:hAnsi="Arial"/>
          <w:sz w:val="22"/>
          <w:szCs w:val="22"/>
          <w:color w:val="auto"/>
          <w:vertAlign w:val="superscript"/>
        </w:rPr>
        <w:t>G12C</w:t>
      </w:r>
      <w:r>
        <w:rPr>
          <w:rFonts w:ascii="Arial" w:cs="Arial" w:eastAsia="Arial" w:hAnsi="Arial"/>
          <w:sz w:val="13"/>
          <w:szCs w:val="13"/>
          <w:color w:val="auto"/>
        </w:rPr>
        <w:t>(OFF) inhibitor, MRTX1257 (</w:t>
      </w:r>
      <w:r>
        <w:rPr>
          <w:rFonts w:ascii="Arial" w:cs="Arial" w:eastAsia="Arial" w:hAnsi="Arial"/>
          <w:sz w:val="13"/>
          <w:szCs w:val="13"/>
          <w:b w:val="1"/>
          <w:bCs w:val="1"/>
          <w:color w:val="auto"/>
        </w:rPr>
        <w:t>b</w:t>
      </w:r>
      <w:r>
        <w:rPr>
          <w:rFonts w:ascii="Arial" w:cs="Arial" w:eastAsia="Arial" w:hAnsi="Arial"/>
          <w:sz w:val="13"/>
          <w:szCs w:val="13"/>
          <w:color w:val="auto"/>
        </w:rPr>
        <w:t xml:space="preserve"> and </w:t>
      </w:r>
      <w:r>
        <w:rPr>
          <w:rFonts w:ascii="Arial" w:cs="Arial" w:eastAsia="Arial" w:hAnsi="Arial"/>
          <w:sz w:val="13"/>
          <w:szCs w:val="13"/>
          <w:b w:val="1"/>
          <w:bCs w:val="1"/>
          <w:color w:val="auto"/>
        </w:rPr>
        <w:t>d</w:t>
      </w:r>
      <w:r>
        <w:rPr>
          <w:rFonts w:ascii="Arial" w:cs="Arial" w:eastAsia="Arial" w:hAnsi="Arial"/>
          <w:sz w:val="13"/>
          <w:szCs w:val="13"/>
          <w:color w:val="auto"/>
        </w:rPr>
        <w:t>) is shown.</w:t>
      </w:r>
    </w:p>
    <w:p>
      <w:pPr>
        <w:spacing w:after="0" w:line="81"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 xml:space="preserve">Furthermore, using long-term proliferation studies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to monitor cell proliferation over time, and by extension the durability of inhibitor effect, we have shown that the KRAS</w:t>
      </w:r>
      <w:r>
        <w:rPr>
          <w:rFonts w:ascii="Arial" w:cs="Arial" w:eastAsia="Arial" w:hAnsi="Arial"/>
          <w:sz w:val="11"/>
          <w:szCs w:val="11"/>
          <w:color w:val="auto"/>
        </w:rPr>
        <w:t>G12C</w:t>
      </w:r>
      <w:r>
        <w:rPr>
          <w:rFonts w:ascii="Arial" w:cs="Arial" w:eastAsia="Arial" w:hAnsi="Arial"/>
          <w:sz w:val="18"/>
          <w:szCs w:val="18"/>
          <w:color w:val="auto"/>
        </w:rPr>
        <w:t>(ON) inhibitors produce more durable growth inhibition compared to KRAS</w:t>
      </w:r>
      <w:r>
        <w:rPr>
          <w:rFonts w:ascii="Arial" w:cs="Arial" w:eastAsia="Arial" w:hAnsi="Arial"/>
          <w:sz w:val="11"/>
          <w:szCs w:val="11"/>
          <w:color w:val="auto"/>
        </w:rPr>
        <w:t>G12C</w:t>
      </w:r>
      <w:r>
        <w:rPr>
          <w:rFonts w:ascii="Arial" w:cs="Arial" w:eastAsia="Arial" w:hAnsi="Arial"/>
          <w:sz w:val="18"/>
          <w:szCs w:val="18"/>
          <w:color w:val="auto"/>
        </w:rPr>
        <w:t>(OFF) inhibitors (Figure 17). These data highlight the relative insensitivity of KRAS</w:t>
      </w:r>
      <w:r>
        <w:rPr>
          <w:rFonts w:ascii="Arial" w:cs="Arial" w:eastAsia="Arial" w:hAnsi="Arial"/>
          <w:sz w:val="11"/>
          <w:szCs w:val="11"/>
          <w:color w:val="auto"/>
        </w:rPr>
        <w:t>G12C</w:t>
      </w:r>
      <w:r>
        <w:rPr>
          <w:rFonts w:ascii="Arial" w:cs="Arial" w:eastAsia="Arial" w:hAnsi="Arial"/>
          <w:sz w:val="18"/>
          <w:szCs w:val="18"/>
          <w:color w:val="auto"/>
        </w:rPr>
        <w:t xml:space="preserve">(ON) inhibitors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to activation of adaptive resistance mechanisms, such as RTK activation, which can be exploited by a tumor cell in response to suppression of the RAS signaling pathway. We believe these findings may be clinically relevant since the durability of response to RAS signaling pathway inhibitors is generally accepted to be a key factor impacting anti-tumor efficacy.</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17</w:t>
      </w:r>
      <w:r>
        <w:rPr>
          <w:rFonts w:ascii="Arial" w:cs="Arial" w:eastAsia="Arial" w:hAnsi="Arial"/>
          <w:sz w:val="18"/>
          <w:szCs w:val="18"/>
          <w:color w:val="auto"/>
        </w:rPr>
        <w:t>: Effects of tri-complex KRAS</w:t>
      </w:r>
      <w:r>
        <w:rPr>
          <w:rFonts w:ascii="Arial" w:cs="Arial" w:eastAsia="Arial" w:hAnsi="Arial"/>
          <w:sz w:val="11"/>
          <w:szCs w:val="11"/>
          <w:color w:val="auto"/>
        </w:rPr>
        <w:t>G12C</w:t>
      </w:r>
      <w:r>
        <w:rPr>
          <w:rFonts w:ascii="Arial" w:cs="Arial" w:eastAsia="Arial" w:hAnsi="Arial"/>
          <w:sz w:val="18"/>
          <w:szCs w:val="18"/>
          <w:color w:val="auto"/>
        </w:rPr>
        <w:t>(ON) inhibitor or KRAS</w:t>
      </w:r>
      <w:r>
        <w:rPr>
          <w:rFonts w:ascii="Arial" w:cs="Arial" w:eastAsia="Arial" w:hAnsi="Arial"/>
          <w:sz w:val="11"/>
          <w:szCs w:val="11"/>
          <w:color w:val="auto"/>
        </w:rPr>
        <w:t>G12C</w:t>
      </w:r>
      <w:r>
        <w:rPr>
          <w:rFonts w:ascii="Arial" w:cs="Arial" w:eastAsia="Arial" w:hAnsi="Arial"/>
          <w:sz w:val="18"/>
          <w:szCs w:val="18"/>
          <w:color w:val="auto"/>
        </w:rPr>
        <w:t>(OFF) inhibitors on long term cell growth</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vitro.</w:t>
      </w:r>
    </w:p>
    <w:p>
      <w:pPr>
        <w:spacing w:after="0" w:line="117"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KRAS</w:t>
      </w:r>
      <w:r>
        <w:rPr>
          <w:rFonts w:ascii="Arial" w:cs="Arial" w:eastAsia="Arial" w:hAnsi="Arial"/>
          <w:sz w:val="11"/>
          <w:szCs w:val="11"/>
          <w:b w:val="1"/>
          <w:bCs w:val="1"/>
          <w:color w:val="auto"/>
        </w:rPr>
        <w:t>G12C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8890</wp:posOffset>
            </wp:positionV>
            <wp:extent cx="2983230" cy="15601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983230" cy="156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20" w:right="180"/>
        <w:spacing w:after="0" w:line="193" w:lineRule="auto"/>
        <w:rPr>
          <w:sz w:val="20"/>
          <w:szCs w:val="20"/>
          <w:color w:val="auto"/>
        </w:rPr>
      </w:pPr>
      <w:r>
        <w:rPr>
          <w:rFonts w:ascii="Arial" w:cs="Arial" w:eastAsia="Arial" w:hAnsi="Arial"/>
          <w:sz w:val="13"/>
          <w:szCs w:val="13"/>
          <w:color w:val="auto"/>
        </w:rPr>
        <w:t>NSCLC NCI-H358 KRAS</w:t>
      </w:r>
      <w:r>
        <w:rPr>
          <w:rFonts w:ascii="Arial" w:cs="Arial" w:eastAsia="Arial" w:hAnsi="Arial"/>
          <w:sz w:val="22"/>
          <w:szCs w:val="22"/>
          <w:color w:val="auto"/>
          <w:vertAlign w:val="superscript"/>
        </w:rPr>
        <w:t>G12C</w:t>
      </w:r>
      <w:r>
        <w:rPr>
          <w:rFonts w:ascii="Arial" w:cs="Arial" w:eastAsia="Arial" w:hAnsi="Arial"/>
          <w:sz w:val="13"/>
          <w:szCs w:val="13"/>
          <w:color w:val="auto"/>
        </w:rPr>
        <w:t xml:space="preserve"> cancer cells were maintained in 2D cell culture and cell proliferation (expressed as % confluence) monitored over time using the Incucyte imaging platform. Cells were incubated in the absence (control, black) or presence of KRAS</w:t>
      </w:r>
      <w:r>
        <w:rPr>
          <w:rFonts w:ascii="Arial" w:cs="Arial" w:eastAsia="Arial" w:hAnsi="Arial"/>
          <w:sz w:val="22"/>
          <w:szCs w:val="22"/>
          <w:color w:val="auto"/>
          <w:vertAlign w:val="superscript"/>
        </w:rPr>
        <w:t>G12C</w:t>
      </w:r>
      <w:r>
        <w:rPr>
          <w:rFonts w:ascii="Arial" w:cs="Arial" w:eastAsia="Arial" w:hAnsi="Arial"/>
          <w:sz w:val="13"/>
          <w:szCs w:val="13"/>
          <w:color w:val="auto"/>
        </w:rPr>
        <w:t>(OFF) (purple) or KRAS</w:t>
      </w:r>
      <w:r>
        <w:rPr>
          <w:rFonts w:ascii="Arial" w:cs="Arial" w:eastAsia="Arial" w:hAnsi="Arial"/>
          <w:sz w:val="22"/>
          <w:szCs w:val="22"/>
          <w:color w:val="auto"/>
          <w:vertAlign w:val="superscript"/>
        </w:rPr>
        <w:t>G12C</w:t>
      </w:r>
      <w:r>
        <w:rPr>
          <w:rFonts w:ascii="Arial" w:cs="Arial" w:eastAsia="Arial" w:hAnsi="Arial"/>
          <w:sz w:val="13"/>
          <w:szCs w:val="13"/>
          <w:color w:val="auto"/>
        </w:rPr>
        <w:t>(ON) (green) inhibitors at equi-efficacious concentrations, that is concentrations that produced 75% inhibition of proliferation in short-term growth studies. Under control conditions cells reached 100% confluence within ~ 10 days. Addition of the KRAS</w:t>
      </w:r>
      <w:r>
        <w:rPr>
          <w:rFonts w:ascii="Arial" w:cs="Arial" w:eastAsia="Arial" w:hAnsi="Arial"/>
          <w:sz w:val="22"/>
          <w:szCs w:val="22"/>
          <w:color w:val="auto"/>
          <w:vertAlign w:val="superscript"/>
        </w:rPr>
        <w:t>G12C</w:t>
      </w:r>
      <w:r>
        <w:rPr>
          <w:rFonts w:ascii="Arial" w:cs="Arial" w:eastAsia="Arial" w:hAnsi="Arial"/>
          <w:sz w:val="13"/>
          <w:szCs w:val="13"/>
          <w:color w:val="auto"/>
        </w:rPr>
        <w:t>(OFF) inhibitor tool compound, Mirati-11, inhibited cell growth, evident as an ~ 2-fold delay in</w:t>
      </w:r>
    </w:p>
    <w:p>
      <w:pPr>
        <w:spacing w:after="0" w:line="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80"/>
          </w:cols>
          <w:pgMar w:left="320" w:top="459" w:right="49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120" w:right="120"/>
        <w:spacing w:after="0" w:line="197" w:lineRule="auto"/>
        <w:rPr>
          <w:sz w:val="20"/>
          <w:szCs w:val="20"/>
          <w:color w:val="auto"/>
        </w:rPr>
      </w:pPr>
      <w:r>
        <w:rPr>
          <w:rFonts w:ascii="Arial" w:cs="Arial" w:eastAsia="Arial" w:hAnsi="Arial"/>
          <w:sz w:val="13"/>
          <w:szCs w:val="13"/>
          <w:color w:val="auto"/>
        </w:rPr>
        <w:t>the time to reach confluence (~ 20 days). In contrast, a representative KRAS</w:t>
      </w:r>
      <w:r>
        <w:rPr>
          <w:rFonts w:ascii="Arial" w:cs="Arial" w:eastAsia="Arial" w:hAnsi="Arial"/>
          <w:sz w:val="22"/>
          <w:szCs w:val="22"/>
          <w:color w:val="auto"/>
          <w:vertAlign w:val="superscript"/>
        </w:rPr>
        <w:t>G12C</w:t>
      </w:r>
      <w:r>
        <w:rPr>
          <w:rFonts w:ascii="Arial" w:cs="Arial" w:eastAsia="Arial" w:hAnsi="Arial"/>
          <w:sz w:val="13"/>
          <w:szCs w:val="13"/>
          <w:color w:val="auto"/>
        </w:rPr>
        <w:t>(ON) inhibitor (RM-E) caused a more sustained suppression of cell proliferation and confluence was not achieved during the time course of the experiment (~ 35 days).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Combination strategy for KRAS</w:t>
      </w:r>
      <w:r>
        <w:rPr>
          <w:rFonts w:ascii="Arial" w:cs="Arial" w:eastAsia="Arial" w:hAnsi="Arial"/>
          <w:sz w:val="11"/>
          <w:szCs w:val="11"/>
          <w:i w:val="1"/>
          <w:iCs w:val="1"/>
          <w:color w:val="auto"/>
        </w:rPr>
        <w:t>G12C</w:t>
      </w:r>
      <w:r>
        <w:rPr>
          <w:rFonts w:ascii="Arial" w:cs="Arial" w:eastAsia="Arial" w:hAnsi="Arial"/>
          <w:sz w:val="18"/>
          <w:szCs w:val="18"/>
          <w:i w:val="1"/>
          <w:iCs w:val="1"/>
          <w:color w:val="auto"/>
        </w:rPr>
        <w:t>(ON) inhibitors</w:t>
      </w:r>
    </w:p>
    <w:p>
      <w:pPr>
        <w:spacing w:after="0" w:line="122" w:lineRule="exact"/>
        <w:rPr>
          <w:sz w:val="20"/>
          <w:szCs w:val="20"/>
          <w:color w:val="auto"/>
        </w:rPr>
      </w:pPr>
    </w:p>
    <w:p>
      <w:pPr>
        <w:ind w:left="120" w:right="140"/>
        <w:spacing w:after="0" w:line="271" w:lineRule="auto"/>
        <w:rPr>
          <w:sz w:val="20"/>
          <w:szCs w:val="20"/>
          <w:color w:val="auto"/>
        </w:rPr>
      </w:pPr>
      <w:r>
        <w:rPr>
          <w:rFonts w:ascii="Arial" w:cs="Arial" w:eastAsia="Arial" w:hAnsi="Arial"/>
          <w:sz w:val="16"/>
          <w:szCs w:val="16"/>
          <w:color w:val="auto"/>
        </w:rPr>
        <w:t xml:space="preserve">The use of dual and even triple combination regimens to overcome adaptive resistance mechanisms to inhibitors of the RAS signaling pathway is well established based on clinical observations. We and others have demonstrated that robust combination benefit can be conferred in human cancer cell line xenograft models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by combining a SHP2 inhibitor with a KRAS</w:t>
      </w:r>
      <w:r>
        <w:rPr>
          <w:rFonts w:ascii="Arial" w:cs="Arial" w:eastAsia="Arial" w:hAnsi="Arial"/>
          <w:sz w:val="10"/>
          <w:szCs w:val="10"/>
          <w:color w:val="auto"/>
        </w:rPr>
        <w:t>G12C</w:t>
      </w:r>
      <w:r>
        <w:rPr>
          <w:rFonts w:ascii="Arial" w:cs="Arial" w:eastAsia="Arial" w:hAnsi="Arial"/>
          <w:sz w:val="16"/>
          <w:szCs w:val="16"/>
          <w:color w:val="auto"/>
        </w:rPr>
        <w:t xml:space="preserve">(OFF) inhibitor. Using the long-term proliferation model, we observed robust combination benefit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from combining a SHP2 inhibitor and a KRAS</w:t>
      </w:r>
      <w:r>
        <w:rPr>
          <w:rFonts w:ascii="Arial" w:cs="Arial" w:eastAsia="Arial" w:hAnsi="Arial"/>
          <w:sz w:val="10"/>
          <w:szCs w:val="10"/>
          <w:color w:val="auto"/>
        </w:rPr>
        <w:t>G12C</w:t>
      </w:r>
      <w:r>
        <w:rPr>
          <w:rFonts w:ascii="Arial" w:cs="Arial" w:eastAsia="Arial" w:hAnsi="Arial"/>
          <w:sz w:val="16"/>
          <w:szCs w:val="16"/>
          <w:color w:val="auto"/>
        </w:rPr>
        <w:t>(ON) inhibitor. While the molecular mechanism(s) underlying this combinatorial benefit has not been fully established, the combination of SHP2 inhibition and KRAS</w:t>
      </w:r>
      <w:r>
        <w:rPr>
          <w:rFonts w:ascii="Arial" w:cs="Arial" w:eastAsia="Arial" w:hAnsi="Arial"/>
          <w:sz w:val="10"/>
          <w:szCs w:val="10"/>
          <w:color w:val="auto"/>
        </w:rPr>
        <w:t>G12C</w:t>
      </w:r>
      <w:r>
        <w:rPr>
          <w:rFonts w:ascii="Arial" w:cs="Arial" w:eastAsia="Arial" w:hAnsi="Arial"/>
          <w:sz w:val="16"/>
          <w:szCs w:val="16"/>
          <w:color w:val="auto"/>
        </w:rPr>
        <w:t>(ON) inhibitor does demonstrably increase apoptosis, or programmed cell death, in a KRAS</w:t>
      </w:r>
      <w:r>
        <w:rPr>
          <w:rFonts w:ascii="Arial" w:cs="Arial" w:eastAsia="Arial" w:hAnsi="Arial"/>
          <w:sz w:val="10"/>
          <w:szCs w:val="10"/>
          <w:color w:val="auto"/>
        </w:rPr>
        <w:t>G12C</w:t>
      </w:r>
      <w:r>
        <w:rPr>
          <w:rFonts w:ascii="Arial" w:cs="Arial" w:eastAsia="Arial" w:hAnsi="Arial"/>
          <w:sz w:val="16"/>
          <w:szCs w:val="16"/>
          <w:color w:val="auto"/>
        </w:rPr>
        <w:t xml:space="preserve"> cell line </w:t>
      </w:r>
      <w:r>
        <w:rPr>
          <w:rFonts w:ascii="Arial" w:cs="Arial" w:eastAsia="Arial" w:hAnsi="Arial"/>
          <w:sz w:val="16"/>
          <w:szCs w:val="16"/>
          <w:i w:val="1"/>
          <w:iCs w:val="1"/>
          <w:color w:val="auto"/>
        </w:rPr>
        <w:t>in vitro</w:t>
      </w:r>
      <w:r>
        <w:rPr>
          <w:rFonts w:ascii="Arial" w:cs="Arial" w:eastAsia="Arial" w:hAnsi="Arial"/>
          <w:sz w:val="16"/>
          <w:szCs w:val="16"/>
          <w:color w:val="auto"/>
        </w:rPr>
        <w:t>.</w:t>
      </w:r>
    </w:p>
    <w:p>
      <w:pPr>
        <w:spacing w:after="0" w:line="58" w:lineRule="exact"/>
        <w:rPr>
          <w:sz w:val="20"/>
          <w:szCs w:val="20"/>
          <w:color w:val="auto"/>
        </w:rPr>
      </w:pPr>
    </w:p>
    <w:p>
      <w:pPr>
        <w:jc w:val="both"/>
        <w:ind w:left="120" w:right="200"/>
        <w:spacing w:after="0" w:line="283" w:lineRule="auto"/>
        <w:rPr>
          <w:sz w:val="20"/>
          <w:szCs w:val="20"/>
          <w:color w:val="auto"/>
        </w:rPr>
      </w:pPr>
      <w:r>
        <w:rPr>
          <w:rFonts w:ascii="Arial" w:cs="Arial" w:eastAsia="Arial" w:hAnsi="Arial"/>
          <w:sz w:val="16"/>
          <w:szCs w:val="16"/>
          <w:color w:val="auto"/>
        </w:rPr>
        <w:t>Another rational combination partner for a KRAS</w:t>
      </w:r>
      <w:r>
        <w:rPr>
          <w:rFonts w:ascii="Arial" w:cs="Arial" w:eastAsia="Arial" w:hAnsi="Arial"/>
          <w:sz w:val="10"/>
          <w:szCs w:val="10"/>
          <w:color w:val="auto"/>
        </w:rPr>
        <w:t>G12C</w:t>
      </w:r>
      <w:r>
        <w:rPr>
          <w:rFonts w:ascii="Arial" w:cs="Arial" w:eastAsia="Arial" w:hAnsi="Arial"/>
          <w:sz w:val="16"/>
          <w:szCs w:val="16"/>
          <w:color w:val="auto"/>
        </w:rPr>
        <w:t xml:space="preserve">(ON) inhibitor is a MEK inhibitor. In the long-term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proliferation model, dramatic combination benefit was demonstrated for a MEK inhibitor (trametinib) and a KRAS</w:t>
      </w:r>
      <w:r>
        <w:rPr>
          <w:rFonts w:ascii="Arial" w:cs="Arial" w:eastAsia="Arial" w:hAnsi="Arial"/>
          <w:sz w:val="10"/>
          <w:szCs w:val="10"/>
          <w:color w:val="auto"/>
        </w:rPr>
        <w:t>G12C</w:t>
      </w:r>
      <w:r>
        <w:rPr>
          <w:rFonts w:ascii="Arial" w:cs="Arial" w:eastAsia="Arial" w:hAnsi="Arial"/>
          <w:sz w:val="16"/>
          <w:szCs w:val="16"/>
          <w:color w:val="auto"/>
        </w:rPr>
        <w:t>(ON) inhibitor (Figure 18). Complete and sustained inhibition of cell growth and substantial cell death were observed. These effects are in contrast to the relatively rapid escape observed with the combination of a KRAS</w:t>
      </w:r>
      <w:r>
        <w:rPr>
          <w:rFonts w:ascii="Arial" w:cs="Arial" w:eastAsia="Arial" w:hAnsi="Arial"/>
          <w:sz w:val="10"/>
          <w:szCs w:val="10"/>
          <w:color w:val="auto"/>
        </w:rPr>
        <w:t>G12C</w:t>
      </w:r>
      <w:r>
        <w:rPr>
          <w:rFonts w:ascii="Arial" w:cs="Arial" w:eastAsia="Arial" w:hAnsi="Arial"/>
          <w:sz w:val="16"/>
          <w:szCs w:val="16"/>
          <w:color w:val="auto"/>
        </w:rPr>
        <w:t>(OFF) inhibitor and trametinib, in which cells reached full confluence within 20 days.</w:t>
      </w:r>
    </w:p>
    <w:p>
      <w:pPr>
        <w:spacing w:after="0" w:line="46" w:lineRule="exact"/>
        <w:rPr>
          <w:sz w:val="20"/>
          <w:szCs w:val="20"/>
          <w:color w:val="auto"/>
        </w:rPr>
      </w:pPr>
    </w:p>
    <w:p>
      <w:pPr>
        <w:ind w:left="120" w:right="40"/>
        <w:spacing w:after="0" w:line="264" w:lineRule="auto"/>
        <w:rPr>
          <w:sz w:val="20"/>
          <w:szCs w:val="20"/>
          <w:color w:val="auto"/>
        </w:rPr>
      </w:pPr>
      <w:r>
        <w:rPr>
          <w:rFonts w:ascii="Arial" w:cs="Arial" w:eastAsia="Arial" w:hAnsi="Arial"/>
          <w:sz w:val="18"/>
          <w:szCs w:val="18"/>
          <w:b w:val="1"/>
          <w:bCs w:val="1"/>
          <w:color w:val="auto"/>
        </w:rPr>
        <w:t>Figure 18</w:t>
      </w:r>
      <w:r>
        <w:rPr>
          <w:rFonts w:ascii="Arial" w:cs="Arial" w:eastAsia="Arial" w:hAnsi="Arial"/>
          <w:sz w:val="18"/>
          <w:szCs w:val="18"/>
          <w:color w:val="auto"/>
        </w:rPr>
        <w:t>: Effects of tri-complex KRAS</w:t>
      </w:r>
      <w:r>
        <w:rPr>
          <w:rFonts w:ascii="Arial" w:cs="Arial" w:eastAsia="Arial" w:hAnsi="Arial"/>
          <w:sz w:val="11"/>
          <w:szCs w:val="11"/>
          <w:color w:val="auto"/>
        </w:rPr>
        <w:t>G12C</w:t>
      </w:r>
      <w:r>
        <w:rPr>
          <w:rFonts w:ascii="Arial" w:cs="Arial" w:eastAsia="Arial" w:hAnsi="Arial"/>
          <w:sz w:val="18"/>
          <w:szCs w:val="18"/>
          <w:color w:val="auto"/>
        </w:rPr>
        <w:t>(ON) inhibitor or KRAS</w:t>
      </w:r>
      <w:r>
        <w:rPr>
          <w:rFonts w:ascii="Arial" w:cs="Arial" w:eastAsia="Arial" w:hAnsi="Arial"/>
          <w:sz w:val="11"/>
          <w:szCs w:val="11"/>
          <w:color w:val="auto"/>
        </w:rPr>
        <w:t>G12C</w:t>
      </w:r>
      <w:r>
        <w:rPr>
          <w:rFonts w:ascii="Arial" w:cs="Arial" w:eastAsia="Arial" w:hAnsi="Arial"/>
          <w:sz w:val="18"/>
          <w:szCs w:val="18"/>
          <w:color w:val="auto"/>
        </w:rPr>
        <w:t>(OFF) inhibitor alone and in combination with MEK inhibitor, trametinib,</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on long term cell growth </w:t>
      </w:r>
      <w:r>
        <w:rPr>
          <w:rFonts w:ascii="Arial" w:cs="Arial" w:eastAsia="Arial" w:hAnsi="Arial"/>
          <w:sz w:val="18"/>
          <w:szCs w:val="18"/>
          <w:i w:val="1"/>
          <w:iCs w:val="1"/>
          <w:color w:val="auto"/>
        </w:rPr>
        <w:t>in vitro</w:t>
      </w:r>
      <w:r>
        <w:rPr>
          <w:rFonts w:ascii="Arial" w:cs="Arial" w:eastAsia="Arial" w:hAnsi="Arial"/>
          <w:sz w:val="18"/>
          <w:szCs w:val="18"/>
          <w:color w:val="auto"/>
        </w:rPr>
        <w:t>.</w:t>
      </w:r>
    </w:p>
    <w:p>
      <w:pPr>
        <w:spacing w:after="0" w:line="7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KRAS</w:t>
      </w:r>
      <w:r>
        <w:rPr>
          <w:rFonts w:ascii="Arial" w:cs="Arial" w:eastAsia="Arial" w:hAnsi="Arial"/>
          <w:sz w:val="11"/>
          <w:szCs w:val="11"/>
          <w:b w:val="1"/>
          <w:bCs w:val="1"/>
          <w:color w:val="auto"/>
        </w:rPr>
        <w:t>G12C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8890</wp:posOffset>
            </wp:positionV>
            <wp:extent cx="3402965" cy="12515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02965" cy="125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0"/>
        <w:spacing w:after="0" w:line="185" w:lineRule="auto"/>
        <w:rPr>
          <w:sz w:val="20"/>
          <w:szCs w:val="20"/>
          <w:color w:val="auto"/>
        </w:rPr>
      </w:pPr>
      <w:r>
        <w:rPr>
          <w:rFonts w:ascii="Arial" w:cs="Arial" w:eastAsia="Arial" w:hAnsi="Arial"/>
          <w:sz w:val="12"/>
          <w:szCs w:val="12"/>
          <w:color w:val="auto"/>
        </w:rPr>
        <w:t>NSCLC NCI-H358 KRAS</w:t>
      </w:r>
      <w:r>
        <w:rPr>
          <w:rFonts w:ascii="Arial" w:cs="Arial" w:eastAsia="Arial" w:hAnsi="Arial"/>
          <w:sz w:val="20"/>
          <w:szCs w:val="20"/>
          <w:color w:val="auto"/>
          <w:vertAlign w:val="superscript"/>
        </w:rPr>
        <w:t>G12C</w:t>
      </w:r>
      <w:r>
        <w:rPr>
          <w:rFonts w:ascii="Arial" w:cs="Arial" w:eastAsia="Arial" w:hAnsi="Arial"/>
          <w:sz w:val="12"/>
          <w:szCs w:val="12"/>
          <w:color w:val="auto"/>
        </w:rPr>
        <w:t xml:space="preserve"> cancer cells were maintained in 2D cell culture and cell proliferation (expressed as % confluence) monitored over time using the Incucyte imaging platform. Cells were incubated in the absence (control, black) or presence of an EC</w:t>
      </w:r>
      <w:r>
        <w:rPr>
          <w:rFonts w:ascii="Arial" w:cs="Arial" w:eastAsia="Arial" w:hAnsi="Arial"/>
          <w:sz w:val="20"/>
          <w:szCs w:val="20"/>
          <w:color w:val="auto"/>
          <w:vertAlign w:val="subscript"/>
        </w:rPr>
        <w:t>50</w:t>
      </w:r>
      <w:r>
        <w:rPr>
          <w:rFonts w:ascii="Arial" w:cs="Arial" w:eastAsia="Arial" w:hAnsi="Arial"/>
          <w:sz w:val="12"/>
          <w:szCs w:val="12"/>
          <w:color w:val="auto"/>
        </w:rPr>
        <w:t xml:space="preserve"> concentration of test articles. </w:t>
      </w:r>
      <w:r>
        <w:rPr>
          <w:rFonts w:ascii="Arial" w:cs="Arial" w:eastAsia="Arial" w:hAnsi="Arial"/>
          <w:sz w:val="12"/>
          <w:szCs w:val="12"/>
          <w:b w:val="1"/>
          <w:bCs w:val="1"/>
          <w:color w:val="auto"/>
        </w:rPr>
        <w:t>(a)</w:t>
      </w:r>
      <w:r>
        <w:rPr>
          <w:rFonts w:ascii="Arial" w:cs="Arial" w:eastAsia="Arial" w:hAnsi="Arial"/>
          <w:sz w:val="12"/>
          <w:szCs w:val="12"/>
          <w:color w:val="auto"/>
        </w:rPr>
        <w:t xml:space="preserve"> Addition of KRAS</w:t>
      </w:r>
      <w:r>
        <w:rPr>
          <w:rFonts w:ascii="Arial" w:cs="Arial" w:eastAsia="Arial" w:hAnsi="Arial"/>
          <w:sz w:val="20"/>
          <w:szCs w:val="20"/>
          <w:color w:val="auto"/>
          <w:vertAlign w:val="superscript"/>
        </w:rPr>
        <w:t>G12C</w:t>
      </w:r>
      <w:r>
        <w:rPr>
          <w:rFonts w:ascii="Arial" w:cs="Arial" w:eastAsia="Arial" w:hAnsi="Arial"/>
          <w:sz w:val="12"/>
          <w:szCs w:val="12"/>
          <w:color w:val="auto"/>
        </w:rPr>
        <w:t>(ON) inhibitor (RM-E, dotted green line) produced a modest delay in the time for cells to reach 50% confluence, but the simultaneous addition of an EC</w:t>
      </w:r>
      <w:r>
        <w:rPr>
          <w:rFonts w:ascii="Arial" w:cs="Arial" w:eastAsia="Arial" w:hAnsi="Arial"/>
          <w:sz w:val="20"/>
          <w:szCs w:val="20"/>
          <w:color w:val="auto"/>
          <w:vertAlign w:val="subscript"/>
        </w:rPr>
        <w:t>50</w:t>
      </w:r>
      <w:r>
        <w:rPr>
          <w:rFonts w:ascii="Arial" w:cs="Arial" w:eastAsia="Arial" w:hAnsi="Arial"/>
          <w:sz w:val="12"/>
          <w:szCs w:val="12"/>
          <w:color w:val="auto"/>
        </w:rPr>
        <w:t xml:space="preserve"> concentration of the MEK inhibitor trametinib (solid green line) caused complete inhibition of cell growth and no viable cells were apparent during the time course of the experiment (~ 35 days). </w:t>
      </w:r>
      <w:r>
        <w:rPr>
          <w:rFonts w:ascii="Arial" w:cs="Arial" w:eastAsia="Arial" w:hAnsi="Arial"/>
          <w:sz w:val="12"/>
          <w:szCs w:val="12"/>
          <w:b w:val="1"/>
          <w:bCs w:val="1"/>
          <w:color w:val="auto"/>
        </w:rPr>
        <w:t>(b)</w:t>
      </w:r>
      <w:r>
        <w:rPr>
          <w:rFonts w:ascii="Arial" w:cs="Arial" w:eastAsia="Arial" w:hAnsi="Arial"/>
          <w:sz w:val="12"/>
          <w:szCs w:val="12"/>
          <w:color w:val="auto"/>
        </w:rPr>
        <w:t xml:space="preserve"> Addition of a KRAS</w:t>
      </w:r>
      <w:r>
        <w:rPr>
          <w:rFonts w:ascii="Arial" w:cs="Arial" w:eastAsia="Arial" w:hAnsi="Arial"/>
          <w:sz w:val="20"/>
          <w:szCs w:val="20"/>
          <w:color w:val="auto"/>
          <w:vertAlign w:val="superscript"/>
        </w:rPr>
        <w:t>G12C</w:t>
      </w:r>
      <w:r>
        <w:rPr>
          <w:rFonts w:ascii="Arial" w:cs="Arial" w:eastAsia="Arial" w:hAnsi="Arial"/>
          <w:sz w:val="12"/>
          <w:szCs w:val="12"/>
          <w:color w:val="auto"/>
        </w:rPr>
        <w:t>(OFF) inhibitor (Mirati-11, orange dotted line) produced a similar modest delay in the time for cells to reach 50% confluence and although the simultaneous addition of trametinib (solid orange line) caused a slight delay in cell proliferation, indicative of an initial combinatorial benefit, the cells escaped relatively quickly and approached full confluence within ~20 days.</w:t>
      </w:r>
    </w:p>
    <w:p>
      <w:pPr>
        <w:spacing w:after="0" w:line="101"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These results can be interpreted within the framework of what is known regarding the mechanism of action of the respective compounds and their effects on RAS signaling pathway activity. Hyperactivation of RTKs accompanied by reactivation of RAS is a well-established response to MEK (or ERK) inhibition, reflecting relief of endogenous inhibitory feedback loops in the presence of the downstream inhibitor. Consistent with this hypothesis, others have shown that MEK inhibition reduces KRAS</w:t>
      </w:r>
      <w:r>
        <w:rPr>
          <w:rFonts w:ascii="Arial" w:cs="Arial" w:eastAsia="Arial" w:hAnsi="Arial"/>
          <w:sz w:val="11"/>
          <w:szCs w:val="11"/>
          <w:color w:val="auto"/>
        </w:rPr>
        <w:t>G12C</w:t>
      </w:r>
      <w:r>
        <w:rPr>
          <w:rFonts w:ascii="Arial" w:cs="Arial" w:eastAsia="Arial" w:hAnsi="Arial"/>
          <w:sz w:val="18"/>
          <w:szCs w:val="18"/>
          <w:color w:val="auto"/>
        </w:rPr>
        <w:t xml:space="preserve"> target engagement by a representative KRAS</w:t>
      </w:r>
      <w:r>
        <w:rPr>
          <w:rFonts w:ascii="Arial" w:cs="Arial" w:eastAsia="Arial" w:hAnsi="Arial"/>
          <w:sz w:val="11"/>
          <w:szCs w:val="11"/>
          <w:color w:val="auto"/>
        </w:rPr>
        <w:t>G12C</w:t>
      </w:r>
      <w:r>
        <w:rPr>
          <w:rFonts w:ascii="Arial" w:cs="Arial" w:eastAsia="Arial" w:hAnsi="Arial"/>
          <w:sz w:val="18"/>
          <w:szCs w:val="18"/>
          <w:color w:val="auto"/>
        </w:rPr>
        <w:t>(OFF) inhibitor. In contrast, MEK inhibitor-induced activation of RAS does not antagonize the activity of a compound that inhibits KRAS</w:t>
      </w:r>
      <w:r>
        <w:rPr>
          <w:rFonts w:ascii="Arial" w:cs="Arial" w:eastAsia="Arial" w:hAnsi="Arial"/>
          <w:sz w:val="11"/>
          <w:szCs w:val="11"/>
          <w:color w:val="auto"/>
        </w:rPr>
        <w:t>G12C</w:t>
      </w:r>
      <w:r>
        <w:rPr>
          <w:rFonts w:ascii="Arial" w:cs="Arial" w:eastAsia="Arial" w:hAnsi="Arial"/>
          <w:sz w:val="18"/>
          <w:szCs w:val="18"/>
          <w:color w:val="auto"/>
        </w:rPr>
        <w:t>(ON) directly; rather, in this context the complementary mechanisms of the two agents can drive maximal pathway inhibition, which manifests as cell death.</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40"/>
          </w:cols>
          <w:pgMar w:left="320" w:top="459" w:right="5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Development strategy</w:t>
      </w:r>
    </w:p>
    <w:p>
      <w:pPr>
        <w:spacing w:after="0" w:line="122"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Initially, we will prioritize four mutant RAS(ON) targets-KRAS</w:t>
      </w:r>
      <w:r>
        <w:rPr>
          <w:rFonts w:ascii="Arial" w:cs="Arial" w:eastAsia="Arial" w:hAnsi="Arial"/>
          <w:sz w:val="11"/>
          <w:szCs w:val="11"/>
          <w:color w:val="auto"/>
        </w:rPr>
        <w:t>G12C</w:t>
      </w:r>
      <w:r>
        <w:rPr>
          <w:rFonts w:ascii="Arial" w:cs="Arial" w:eastAsia="Arial" w:hAnsi="Arial"/>
          <w:sz w:val="18"/>
          <w:szCs w:val="18"/>
          <w:color w:val="auto"/>
        </w:rPr>
        <w:t>, KRAS</w:t>
      </w:r>
      <w:r>
        <w:rPr>
          <w:rFonts w:ascii="Arial" w:cs="Arial" w:eastAsia="Arial" w:hAnsi="Arial"/>
          <w:sz w:val="11"/>
          <w:szCs w:val="11"/>
          <w:color w:val="auto"/>
        </w:rPr>
        <w:t>G13C</w:t>
      </w:r>
      <w:r>
        <w:rPr>
          <w:rFonts w:ascii="Arial" w:cs="Arial" w:eastAsia="Arial" w:hAnsi="Arial"/>
          <w:sz w:val="18"/>
          <w:szCs w:val="18"/>
          <w:color w:val="auto"/>
        </w:rPr>
        <w:t>, KRAS</w:t>
      </w:r>
      <w:r>
        <w:rPr>
          <w:rFonts w:ascii="Arial" w:cs="Arial" w:eastAsia="Arial" w:hAnsi="Arial"/>
          <w:sz w:val="11"/>
          <w:szCs w:val="11"/>
          <w:color w:val="auto"/>
        </w:rPr>
        <w:t>G12D</w:t>
      </w:r>
      <w:r>
        <w:rPr>
          <w:rFonts w:ascii="Arial" w:cs="Arial" w:eastAsia="Arial" w:hAnsi="Arial"/>
          <w:sz w:val="18"/>
          <w:szCs w:val="18"/>
          <w:color w:val="auto"/>
        </w:rPr>
        <w:t>, and NRAS</w:t>
      </w:r>
      <w:r>
        <w:rPr>
          <w:rFonts w:ascii="Arial" w:cs="Arial" w:eastAsia="Arial" w:hAnsi="Arial"/>
          <w:sz w:val="11"/>
          <w:szCs w:val="11"/>
          <w:color w:val="auto"/>
        </w:rPr>
        <w:t>G12C</w:t>
      </w:r>
      <w:r>
        <w:rPr>
          <w:rFonts w:ascii="Arial" w:cs="Arial" w:eastAsia="Arial" w:hAnsi="Arial"/>
          <w:sz w:val="18"/>
          <w:szCs w:val="18"/>
          <w:color w:val="auto"/>
        </w:rPr>
        <w:t>-and expect to nominate our first development candidate in 2020. We plan to evaluate our RAS(ON) inhibitors alone and in combination with other drugs and investigational new drugs, particularly in-pathway agents. We believe our ability to inhibit various oncogenic RAS(ON) mutants represents a highly differentiated approach for treating the large population of patients with diverse RAS mutations, including NSCLC, colorectal, pancreatic and other cancers.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SOS1 program</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SOS1 protein is responsible for stimulating the conversion of RAS from the inactive GDP-bound form (RAS(OFF)) to the active GTP-bound form (RAS(ON)) in response to growth factor receptor signaling. SOS1 directly activates RAS proteins by promoting the release of the bound GDP and thereby facilitating the binding of GTP, which is present within a cell in great excess to GDP, to generate RAS(ON). SOS1 itself is activated by RAS through the binding of RAS(ON) to an allosteric site on the SOS1 protein (Figure 19). As a result, there is a positive feedback loop between SOS1 and RAS that increases RAS signaling. The activation of RAS by SOS1 is “processive”; that is, once a single molecule of SOS1 is activated it can sequentially activate multiple RAS molecules. As a result, the potential for amplification of RAS signals by SOS1 is considerable. Therefore, we believe that inhibition of SOS1 may represent a viable approach for targeting RAS-driven tumors.</w:t>
      </w:r>
    </w:p>
    <w:p>
      <w:pPr>
        <w:spacing w:after="0" w:line="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86360</wp:posOffset>
            </wp:positionV>
            <wp:extent cx="4740275" cy="32143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740275" cy="3214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0" w:right="200"/>
        <w:spacing w:after="0" w:line="237" w:lineRule="auto"/>
        <w:rPr>
          <w:sz w:val="20"/>
          <w:szCs w:val="20"/>
          <w:color w:val="auto"/>
        </w:rPr>
      </w:pPr>
      <w:r>
        <w:rPr>
          <w:rFonts w:ascii="Arial" w:cs="Arial" w:eastAsia="Arial" w:hAnsi="Arial"/>
          <w:sz w:val="18"/>
          <w:szCs w:val="18"/>
          <w:color w:val="auto"/>
        </w:rPr>
        <w:t>We have designed and synthesized a number of potent and selective inhibitors of SOS1. The current focus of our discovery program is to improve the potency and drug-like properties of compounds in this series. We are investigating the potential utility of SOS1 inhibitors alone and in combination with our other proprietary inhibitors of RAS signaling, such as our SHP2 inhibitors and mutant-selective RAS(ON) inhibitors, in a wide</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40"/>
          </w:cols>
          <w:pgMar w:left="320" w:top="459" w:right="5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range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of genetically-defined cancers that are addicted to the RAS signaling pathway.</w:t>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4EBP1/mTORC1 program</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Overview</w:t>
      </w:r>
    </w:p>
    <w:p>
      <w:pPr>
        <w:spacing w:after="0" w:line="122" w:lineRule="exact"/>
        <w:rPr>
          <w:sz w:val="20"/>
          <w:szCs w:val="20"/>
          <w:color w:val="auto"/>
        </w:rPr>
      </w:pPr>
    </w:p>
    <w:p>
      <w:pPr>
        <w:ind w:left="120" w:right="40"/>
        <w:spacing w:after="0" w:line="272" w:lineRule="auto"/>
        <w:rPr>
          <w:sz w:val="20"/>
          <w:szCs w:val="20"/>
          <w:color w:val="auto"/>
        </w:rPr>
      </w:pPr>
      <w:r>
        <w:rPr>
          <w:rFonts w:ascii="Arial" w:cs="Arial" w:eastAsia="Arial" w:hAnsi="Arial"/>
          <w:sz w:val="16"/>
          <w:szCs w:val="16"/>
          <w:color w:val="auto"/>
        </w:rPr>
        <w:t>mTORC1 is a critical regulator of metabolism, growth and proliferation within cells, including cancer cells. The abnormal activation of mTORC1, and subsequent inactivation of the tumor suppressor 4EBP1, is a mechanism that is frequently harnessed by cancer cells to gain a growth and proliferation advantage over normal cells. Our preclinical development candidate, RMC-5552, selectively and deeply inhibits mTORC1, thereby preventing phosphorylation and inactivation of 4EBP1, a downstream protein in the mTOR signaling pathway that normally suppresses expression of certain oncogenes such as C-MYC. We advanced RMC-5552 into IND-enabling development in June 2019.</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studies</w:t>
      </w:r>
    </w:p>
    <w:p>
      <w:pPr>
        <w:spacing w:after="0" w:line="104"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 xml:space="preserve">RMC-5552 is a potent and selective inhibitor of mTORC1 that produces durable inhibition of 4EBP1 phosphorylation 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and/or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human cancer cell line models. In contrast to mTOR active site inhibitors, RMC-5552 does not inhibit mTORC2 and exhibits selectivity over a broad panel of kinases. In a xenograft model of human breast cancer, in which activating mutations in PIK3CA drive hyperactivation of the mTOR pathway, RMC-5552 induced significant regression of tumors when administered weekly via intraperitoneal injection at doses that were well tolerated (Figure 20). Inhibition of tumor growth was also seen in models of ovarian, liver, bladder and head and neck cancers that collectively bear activating mutations in the mTOR signaling pathway, are addicted to production of oncogenic proteins, and/or are dependent on inactivation or loss of 4EBP1.</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20</w:t>
      </w:r>
      <w:r>
        <w:rPr>
          <w:rFonts w:ascii="Arial" w:cs="Arial" w:eastAsia="Arial" w:hAnsi="Arial"/>
          <w:sz w:val="18"/>
          <w:szCs w:val="18"/>
          <w:color w:val="auto"/>
        </w:rPr>
        <w:t>: RMC-5552 drives tumor regressions in a preclinical xenograft model of breast cancer tumors harboring PIK3CA mutations.</w:t>
      </w:r>
    </w:p>
    <w:p>
      <w:pPr>
        <w:spacing w:after="0" w:line="11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PIK3CA</w:t>
      </w:r>
      <w:r>
        <w:rPr>
          <w:rFonts w:ascii="Arial" w:cs="Arial" w:eastAsia="Arial" w:hAnsi="Arial"/>
          <w:sz w:val="11"/>
          <w:szCs w:val="11"/>
          <w:b w:val="1"/>
          <w:bCs w:val="1"/>
          <w:color w:val="auto"/>
        </w:rPr>
        <w:t>E545K</w:t>
      </w:r>
      <w:r>
        <w:rPr>
          <w:rFonts w:ascii="Arial" w:cs="Arial" w:eastAsia="Arial" w:hAnsi="Arial"/>
          <w:sz w:val="18"/>
          <w:szCs w:val="18"/>
          <w:b w:val="1"/>
          <w:bCs w:val="1"/>
          <w:color w:val="auto"/>
        </w:rPr>
        <w:t xml:space="preserve"> , ER</w:t>
      </w:r>
      <w:r>
        <w:rPr>
          <w:rFonts w:ascii="Arial" w:cs="Arial" w:eastAsia="Arial" w:hAnsi="Arial"/>
          <w:sz w:val="11"/>
          <w:szCs w:val="11"/>
          <w:b w:val="1"/>
          <w:bCs w:val="1"/>
          <w:color w:val="auto"/>
        </w:rPr>
        <w:t>+</w:t>
      </w:r>
      <w:r>
        <w:rPr>
          <w:rFonts w:ascii="Arial" w:cs="Arial" w:eastAsia="Arial" w:hAnsi="Arial"/>
          <w:sz w:val="18"/>
          <w:szCs w:val="18"/>
          <w:b w:val="1"/>
          <w:bCs w:val="1"/>
          <w:color w:val="auto"/>
        </w:rPr>
        <w:t>/HER2</w:t>
      </w:r>
      <w:r>
        <w:rPr>
          <w:rFonts w:ascii="Arial" w:cs="Arial" w:eastAsia="Arial" w:hAnsi="Arial"/>
          <w:sz w:val="11"/>
          <w:szCs w:val="1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8890</wp:posOffset>
            </wp:positionV>
            <wp:extent cx="4431665" cy="20656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431665"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20" w:right="20"/>
        <w:spacing w:after="0" w:line="182" w:lineRule="auto"/>
        <w:rPr>
          <w:sz w:val="20"/>
          <w:szCs w:val="20"/>
          <w:color w:val="auto"/>
        </w:rPr>
      </w:pPr>
      <w:r>
        <w:rPr>
          <w:rFonts w:ascii="Arial" w:cs="Arial" w:eastAsia="Arial" w:hAnsi="Arial"/>
          <w:sz w:val="13"/>
          <w:szCs w:val="13"/>
          <w:color w:val="auto"/>
        </w:rPr>
        <w:t>Once weekly intraperitoneal administration of RMC-5552 (3 mg/kg, 10 mg/kg or 30 mg/kg ip qw) produces a dose-dependent inhibition of tumor growth in breast cancer MCF-7 ER-positive (ER</w:t>
      </w:r>
      <w:r>
        <w:rPr>
          <w:rFonts w:ascii="Arial" w:cs="Arial" w:eastAsia="Arial" w:hAnsi="Arial"/>
          <w:sz w:val="21"/>
          <w:szCs w:val="21"/>
          <w:color w:val="auto"/>
          <w:vertAlign w:val="superscript"/>
        </w:rPr>
        <w:t>+</w:t>
      </w:r>
      <w:r>
        <w:rPr>
          <w:rFonts w:ascii="Arial" w:cs="Arial" w:eastAsia="Arial" w:hAnsi="Arial"/>
          <w:sz w:val="13"/>
          <w:szCs w:val="13"/>
          <w:color w:val="auto"/>
        </w:rPr>
        <w:t>), HER2-negative (HER2-), PIK3CA</w:t>
      </w:r>
      <w:r>
        <w:rPr>
          <w:rFonts w:ascii="Arial" w:cs="Arial" w:eastAsia="Arial" w:hAnsi="Arial"/>
          <w:sz w:val="21"/>
          <w:szCs w:val="21"/>
          <w:color w:val="auto"/>
          <w:vertAlign w:val="superscript"/>
        </w:rPr>
        <w:t>E545K</w:t>
      </w:r>
      <w:r>
        <w:rPr>
          <w:rFonts w:ascii="Arial" w:cs="Arial" w:eastAsia="Arial" w:hAnsi="Arial"/>
          <w:sz w:val="13"/>
          <w:szCs w:val="13"/>
          <w:color w:val="auto"/>
        </w:rPr>
        <w:t xml:space="preserve"> cancer cell line-derived xenograft model. Data represent </w:t>
      </w:r>
      <w:r>
        <w:rPr>
          <w:rFonts w:ascii="Arial" w:cs="Arial" w:eastAsia="Arial" w:hAnsi="Arial"/>
          <w:sz w:val="13"/>
          <w:szCs w:val="13"/>
          <w:b w:val="1"/>
          <w:bCs w:val="1"/>
          <w:color w:val="auto"/>
        </w:rPr>
        <w:t>(a)</w:t>
      </w:r>
      <w:r>
        <w:rPr>
          <w:rFonts w:ascii="Arial" w:cs="Arial" w:eastAsia="Arial" w:hAnsi="Arial"/>
          <w:sz w:val="13"/>
          <w:szCs w:val="13"/>
          <w:color w:val="auto"/>
        </w:rPr>
        <w:t xml:space="preserve"> mean tumor volume over time and </w:t>
      </w:r>
      <w:r>
        <w:rPr>
          <w:rFonts w:ascii="Arial" w:cs="Arial" w:eastAsia="Arial" w:hAnsi="Arial"/>
          <w:sz w:val="13"/>
          <w:szCs w:val="13"/>
          <w:b w:val="1"/>
          <w:bCs w:val="1"/>
          <w:color w:val="auto"/>
        </w:rPr>
        <w:t>(b)</w:t>
      </w:r>
      <w:r>
        <w:rPr>
          <w:rFonts w:ascii="Arial" w:cs="Arial" w:eastAsia="Arial" w:hAnsi="Arial"/>
          <w:sz w:val="13"/>
          <w:szCs w:val="13"/>
          <w:color w:val="auto"/>
        </w:rPr>
        <w:t xml:space="preserve"> waterfall plots of individual</w:t>
      </w:r>
    </w:p>
    <w:p>
      <w:pPr>
        <w:spacing w:after="0" w:line="1" w:lineRule="exact"/>
        <w:rPr>
          <w:sz w:val="20"/>
          <w:szCs w:val="20"/>
          <w:color w:val="auto"/>
        </w:rPr>
      </w:pPr>
    </w:p>
    <w:p>
      <w:pPr>
        <w:jc w:val="both"/>
        <w:ind w:left="120" w:right="180"/>
        <w:spacing w:after="0" w:line="248" w:lineRule="auto"/>
        <w:rPr>
          <w:sz w:val="20"/>
          <w:szCs w:val="20"/>
          <w:color w:val="auto"/>
        </w:rPr>
      </w:pPr>
      <w:r>
        <w:rPr>
          <w:rFonts w:ascii="Arial" w:cs="Arial" w:eastAsia="Arial" w:hAnsi="Arial"/>
          <w:sz w:val="13"/>
          <w:szCs w:val="13"/>
          <w:color w:val="auto"/>
        </w:rPr>
        <w:t xml:space="preserve">end of study responses with tumor volume expressed as a percentage of initial tumor volume at time of study start (truncated at 500%). Each animal represented as a separate bar in </w:t>
      </w:r>
      <w:r>
        <w:rPr>
          <w:rFonts w:ascii="Arial" w:cs="Arial" w:eastAsia="Arial" w:hAnsi="Arial"/>
          <w:sz w:val="13"/>
          <w:szCs w:val="13"/>
          <w:b w:val="1"/>
          <w:bCs w:val="1"/>
          <w:color w:val="auto"/>
        </w:rPr>
        <w:t xml:space="preserve">(b), </w:t>
      </w:r>
      <w:r>
        <w:rPr>
          <w:rFonts w:ascii="Arial" w:cs="Arial" w:eastAsia="Arial" w:hAnsi="Arial"/>
          <w:sz w:val="13"/>
          <w:szCs w:val="13"/>
          <w:color w:val="auto"/>
        </w:rPr>
        <w:t>n= 10/group</w:t>
      </w:r>
      <w:r>
        <w:rPr>
          <w:rFonts w:ascii="Arial" w:cs="Arial" w:eastAsia="Arial" w:hAnsi="Arial"/>
          <w:sz w:val="13"/>
          <w:szCs w:val="13"/>
          <w:b w:val="1"/>
          <w:bCs w:val="1"/>
          <w:color w:val="auto"/>
        </w:rPr>
        <w:t xml:space="preserve">. </w:t>
      </w:r>
      <w:r>
        <w:rPr>
          <w:rFonts w:ascii="Arial" w:cs="Arial" w:eastAsia="Arial" w:hAnsi="Arial"/>
          <w:sz w:val="13"/>
          <w:szCs w:val="13"/>
          <w:color w:val="auto"/>
        </w:rPr>
        <w:t>Numbers indicate number of regressions (defined as &gt; 10% reduction in tumor volume from starting volume) in each group. Dotted line in panel (</w:t>
      </w:r>
      <w:r>
        <w:rPr>
          <w:rFonts w:ascii="Arial" w:cs="Arial" w:eastAsia="Arial" w:hAnsi="Arial"/>
          <w:sz w:val="13"/>
          <w:szCs w:val="13"/>
          <w:b w:val="1"/>
          <w:bCs w:val="1"/>
          <w:color w:val="auto"/>
        </w:rPr>
        <w:t xml:space="preserve">b) </w:t>
      </w:r>
      <w:r>
        <w:rPr>
          <w:rFonts w:ascii="Arial" w:cs="Arial" w:eastAsia="Arial" w:hAnsi="Arial"/>
          <w:sz w:val="13"/>
          <w:szCs w:val="13"/>
          <w:color w:val="auto"/>
        </w:rPr>
        <w:t>references 50%</w:t>
      </w:r>
      <w:r>
        <w:rPr>
          <w:rFonts w:ascii="Arial" w:cs="Arial" w:eastAsia="Arial" w:hAnsi="Arial"/>
          <w:sz w:val="13"/>
          <w:szCs w:val="13"/>
          <w:b w:val="1"/>
          <w:bCs w:val="1"/>
          <w:color w:val="auto"/>
        </w:rPr>
        <w:t xml:space="preserve"> </w:t>
      </w:r>
      <w:r>
        <w:rPr>
          <w:rFonts w:ascii="Arial" w:cs="Arial" w:eastAsia="Arial" w:hAnsi="Arial"/>
          <w:sz w:val="13"/>
          <w:szCs w:val="13"/>
          <w:color w:val="auto"/>
        </w:rPr>
        <w:t>reduction in tumor volume.</w:t>
      </w:r>
    </w:p>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We also tested RMC-5552 in the U87 cell line representing a human brain cancer, glioblastoma multiforme (Figure 21). In this model the tumors were implanted directly into the brains of immunodeficient mice to more accurately mimic the human disease. RMC-5552 was tested at two different doses, both of which were given once weekly via intraperitoneal injection. Because of the technical difficulties associated with measuring the size of tumors growing within the cranium, the main outcome measure for this experiment was duration of survival. RMC-5552 was well tolerated and prolonged survival at all doses tested. Importantly, at both the 3 mg/kg and 10 mg/kg doses, survival with RMC-5552 was significantly longer than with a clinically relevant dose of everolimus, an allosteric inhibitor of mTORC1 with limited inhibition of 4EBP1 phosphorylation. RMC-5552 also showed superior efficacy compared to MLN-0128, an mTOR kinase active site inhibitor. Based on the strength of our preclinical studies, we advanced RMC-5552 into IND-enabling development in June 2019.</w:t>
      </w:r>
    </w:p>
    <w:p>
      <w:pPr>
        <w:spacing w:after="0" w:line="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21</w:t>
      </w:r>
      <w:r>
        <w:rPr>
          <w:rFonts w:ascii="Arial" w:cs="Arial" w:eastAsia="Arial" w:hAnsi="Arial"/>
          <w:sz w:val="18"/>
          <w:szCs w:val="18"/>
          <w:color w:val="auto"/>
        </w:rPr>
        <w:t>: RMC-5552 prolongs survival in a preclinical xenograft model of glioblastoma multiforme harboring PTEN</w:t>
      </w:r>
      <w:r>
        <w:rPr>
          <w:rFonts w:ascii="Arial" w:cs="Arial" w:eastAsia="Arial" w:hAnsi="Arial"/>
          <w:sz w:val="11"/>
          <w:szCs w:val="11"/>
          <w:color w:val="auto"/>
        </w:rPr>
        <w:t>LOF</w:t>
      </w:r>
      <w:r>
        <w:rPr>
          <w:rFonts w:ascii="Arial" w:cs="Arial" w:eastAsia="Arial" w:hAnsi="Arial"/>
          <w:sz w:val="18"/>
          <w:szCs w:val="18"/>
          <w:color w:val="auto"/>
        </w:rPr>
        <w:t>.</w:t>
      </w:r>
    </w:p>
    <w:p>
      <w:pPr>
        <w:spacing w:after="0" w:line="11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PTEN</w:t>
      </w:r>
      <w:r>
        <w:rPr>
          <w:rFonts w:ascii="Arial" w:cs="Arial" w:eastAsia="Arial" w:hAnsi="Arial"/>
          <w:sz w:val="11"/>
          <w:szCs w:val="11"/>
          <w:b w:val="1"/>
          <w:bCs w:val="1"/>
          <w:color w:val="auto"/>
        </w:rPr>
        <w:t>LOF</w:t>
      </w:r>
      <w:r>
        <w:rPr>
          <w:rFonts w:ascii="Arial" w:cs="Arial" w:eastAsia="Arial" w:hAnsi="Arial"/>
          <w:sz w:val="18"/>
          <w:szCs w:val="18"/>
          <w:b w:val="1"/>
          <w:bCs w:val="1"/>
          <w:color w:val="auto"/>
        </w:rPr>
        <w:t xml:space="preserve"> orthotopic glioblastoma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8890</wp:posOffset>
            </wp:positionV>
            <wp:extent cx="3917315" cy="21005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917315"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right="140"/>
        <w:spacing w:after="0" w:line="207" w:lineRule="auto"/>
        <w:rPr>
          <w:sz w:val="20"/>
          <w:szCs w:val="20"/>
          <w:color w:val="auto"/>
        </w:rPr>
      </w:pPr>
      <w:r>
        <w:rPr>
          <w:rFonts w:ascii="Arial" w:cs="Arial" w:eastAsia="Arial" w:hAnsi="Arial"/>
          <w:sz w:val="13"/>
          <w:szCs w:val="13"/>
          <w:color w:val="auto"/>
        </w:rPr>
        <w:t>Anti-tumor activity of RMC-5552 (3 mg/kg and 10 mg/kg once weekly intraperitoneal administration, ip qw), everolimus (5 mg/kg daily oral administration, po qd) and MLN0128 (1.5 mg/kg daily oral administration, po qd) in a U87MG-Luc (PTEN</w:t>
      </w:r>
      <w:r>
        <w:rPr>
          <w:rFonts w:ascii="Arial" w:cs="Arial" w:eastAsia="Arial" w:hAnsi="Arial"/>
          <w:sz w:val="22"/>
          <w:szCs w:val="22"/>
          <w:color w:val="auto"/>
          <w:vertAlign w:val="superscript"/>
        </w:rPr>
        <w:t>LOF</w:t>
      </w:r>
      <w:r>
        <w:rPr>
          <w:rFonts w:ascii="Arial" w:cs="Arial" w:eastAsia="Arial" w:hAnsi="Arial"/>
          <w:sz w:val="13"/>
          <w:szCs w:val="13"/>
          <w:color w:val="auto"/>
        </w:rPr>
        <w:t>) orthotopic glioblastoma model. Data represent Kaplan–Meier curves showing percentage of animals meeting the survival endpoint in each treatment group for the duration of the study, n= 10/group. **p&lt;0.0001 as compared to control, and ***p&lt;0.0001 as compared to controls and other treatment groups via Log-rank test.</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Commercial plan</w:t>
      </w:r>
    </w:p>
    <w:p>
      <w:pPr>
        <w:spacing w:after="0" w:line="13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We intend to retain significant development and commercialization rights to our product candidates and, if marketing approval is obtained, to commercialize our product candidates on our own, or potentially with a partner, in the United States and other regions. Our most advanced product candidate, RMC-4630, is the subject of a global collaboration with Sanofi. Unless otherwise delegated to us by the joint commercialization committee, Sanofi has the sole right and responsibility for all aspects of the commercialization of SHP2 inhibitors in the world for any and all uses, at its expense, subject to our right to elect to co-promote SHP2 inhibitors in the United States. In the United States, we will share equally with Sanofi the profits and losses applicable to commercialization of SHP2 inhibitor products. Sanofi is responsible for manufacturing SHP2 inhibitors for commercial supply and is expected to lead commercialization efforts through a joint commercialization committee representing the partners. We currently have no sales, marketing or commercial product distribution capabilities. We intend to build the necessary infrastructure and capabilities over time for</w:t>
      </w:r>
    </w:p>
    <w:p>
      <w:pPr>
        <w:spacing w:after="0" w:line="14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380"/>
        <w:spacing w:after="0" w:line="238" w:lineRule="auto"/>
        <w:rPr>
          <w:sz w:val="20"/>
          <w:szCs w:val="20"/>
          <w:color w:val="auto"/>
        </w:rPr>
      </w:pPr>
      <w:r>
        <w:rPr>
          <w:rFonts w:ascii="Arial" w:cs="Arial" w:eastAsia="Arial" w:hAnsi="Arial"/>
          <w:sz w:val="18"/>
          <w:szCs w:val="18"/>
          <w:color w:val="auto"/>
        </w:rPr>
        <w:t>the United States, and potentially other regions, following further advancement of our product candidates. Clinical data, the size of the addressable patient population, the size of the commercial infrastructure and manufacturing needs, and the status of our pipeline, may all influence or alter our commercialization plans.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Collaboration agreement with Sanofi</w:t>
      </w:r>
    </w:p>
    <w:p>
      <w:pPr>
        <w:spacing w:after="0" w:line="13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In June 2018, we entered into a collaborative research, development and commercialization agreement with Aventis, Inc. (an affiliate of Sanofi), or the Sanofi Agreement, to research and develop SHP2 inhibitors, including RMC-4630, for any indications. The Sanofi Agreement was assigned to Genzyme Corporation, a Sanofi affiliate, in December 2018. For the purposes of this discussion, we refer to Genzyme Corporation as Sanofi. Pursuant to the Sanofi Agreement, we granted Sanofi a worldwide, exclusive, sublicenseable (subject to our consent in certain circumstances) license under certain of our patents and know-how to research, develop, manufacture, use, sell, offer for sale, import and otherwise commercialize SHP2 inhibitors, including RMC-4630, for any and all uses, subject to our exercise of rights and performance of obligations under the Sanofi Agreement. Such intellectual property exclusively licensed to Sanofi includes our interest under any of our solely-owned or jointly-owned inventions arising out of activities undertaken pursuant to the development of SHP2 inhibitor product candidates under the Sanofi Agreement.</w:t>
      </w:r>
    </w:p>
    <w:p>
      <w:pPr>
        <w:spacing w:after="0" w:line="106" w:lineRule="exact"/>
        <w:rPr>
          <w:sz w:val="20"/>
          <w:szCs w:val="20"/>
          <w:color w:val="auto"/>
        </w:rPr>
      </w:pPr>
    </w:p>
    <w:p>
      <w:pPr>
        <w:ind w:left="120" w:right="20"/>
        <w:spacing w:after="0" w:line="266" w:lineRule="auto"/>
        <w:rPr>
          <w:sz w:val="20"/>
          <w:szCs w:val="20"/>
          <w:color w:val="auto"/>
        </w:rPr>
      </w:pPr>
      <w:r>
        <w:rPr>
          <w:rFonts w:ascii="Arial" w:cs="Arial" w:eastAsia="Arial" w:hAnsi="Arial"/>
          <w:sz w:val="16"/>
          <w:szCs w:val="16"/>
          <w:color w:val="auto"/>
        </w:rPr>
        <w:t>Under the Sanofi Agreement, we have primary responsibility for performing preclinical research on SHP2 inhibitors, pursuant to an initial research plan and budget directed toward the identification, validation and optimization of SHP2 inhibitors for 2018-2020. The research plan and budget beyond 2020 will be determined by a joint research and development committee, over which Sanofi has final decision-making power subject to certain exceptions. We have primary responsibility for early clinical development of RMC-4630 pursuant to an initial development plan. The joint research and development committee is responsible for preparing development plans for other SHP2 inhibitors approved by such committee for development, if any. Sanofi is responsible for 80% of all internal and external research costs and expenses incurred under the research plan for 2019 and 2020, and for all other internal and external costs and expenses incurred to perform activities under the research and development plans. We are responsible for the manufacture of SHP2 inhibitors for Phase 1 and non-registrational Phase 2 clinical trials at Sanofi’s cost, while Sanofi is responsible for manufacturing SHP2 inhibitors for all other clinical trials and commercial supply. Sanofi has the sole right and responsibility to perform all regulatory activities under the Sanofi Agreement, except with respect to certain trials conducted by us or otherwise conducted under our IND, including our current clinical trials evaluating RMC-4630. Once we have completed all clinical trials for a product candidate that are assigned to us under a development plan, all regulatory approvals for such product candidate are automatically assigned to Sanofi. Unless otherwise delegated to us by the joint commercialization committee, Sanofi also has the sole right and responsibility for all aspects of the commercialization of SHP2 inhibitors in the world for any and all uses, at its expense, subject to our right to elect to co-promote SHP2 inhibitors in the United States. Sanofi is obligated to use commercially reasonable efforts to seek marketing approval for at least one SHP2 inhibitor product candidate in certain major market countries. Sanofi agrees to provide us, and we agree to provide Sanofi, with research, development and commercialization updates through the joint committees.</w:t>
      </w:r>
    </w:p>
    <w:p>
      <w:pPr>
        <w:spacing w:after="0" w:line="288"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Pursuant to the Sanofi Agreement, we received an upfront payment of $50 million from Sanofi in July 2018. Upon the achievement of specified development and regulatory milestones, Sanofi will be obligated to pay us up to $520 million in the aggregate, including up to $235 million upon the achievement of specified development milestones and up to $285 million upon achievement of certain marketing approval milestones. In the United States, we will share equally with Sanofi the profits and losses applicable to commercialization of SHP2 inhibitor products, pursuant to a profit/loss share agreement that the parties will negotiate based on key terms agreed in the Sanofi Agreement. On a product-by-product basis, Sanofi will also be required to pay us tiered royalties on annual net sales of each product outside the United States ranging from high single digit to</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mid-teen percentages. The royalty payments are subject to reduction under specified conditions set forth in the Sanofi Agreement. Subject to certain exceptions, the royalties are payable on a product-by-product and country-by-country basis until the latest of the expiration of all valid claims covering such product in such country contained in the patents licensed to Sanofi under the Sanofi Agreement and the expiration of regulatory exclusivity for such product in such country.</w:t>
      </w:r>
    </w:p>
    <w:p>
      <w:pPr>
        <w:spacing w:after="0" w:line="100"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Sanofi has the sole and exclusive right to file, prosecute and maintain any patents licensed to it pursuant to the Sanofi Agreement, as well as to enforce infringement of or defend claims against such patents that relate to SHP2 inhibitor products.</w:t>
      </w:r>
    </w:p>
    <w:p>
      <w:pPr>
        <w:spacing w:after="0" w:line="101"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Unless terminated earlier, the Sanofi Agreement will continue in effect until the later of the expiration of all of Sanofi’s milestone and royalty payment obligations and the expiration of the profit/loss share agreement. Upon expiration of the Sanofi Agreement, the licenses granted to Sanofi thereunder shall become fully paid-up, royalty-free, perpetual and irrevocable. Sanofi may terminate the Sanofi Agreement in its entirety or on a country-by-country or product-by-product basis for any reason or for significant safety concerns, upon prior notice to us within certain specified time periods. Sanofi may terminate the Sanofi Agreement in its entirety upon our change of control, with prior notice. Either party may terminate the Sanofi Agreement if an undisputed material breach by the other party is not cured within a defined period of time, or immediately upon notice for insolvency-related events of the other party. We may terminate the Sanofi Agreement after a certain number of years if Sanofi develops a competing program without commencing a registrational clinical trial for a SHP2 inhibitor product candidate, and subject to certain other conditions. We may also terminate the Sanofi Agreement at any time, if Sanofi ceases certain critical activities for SHP2 inhibitor product candidates for more than a specified period of time, provided that such cessations of critical activity were not a result of certain specified factors, and subject to certain other conditions. Upon any termination of the Sanofi Agreement with respect to any product or country, all licenses to Sanofi with respect to such product or country shall automatically terminate and all rights generally revert back to us. If the Sanofi Agreement is terminated, in its entirety or with respect to a product, other than by us for Sanofi’s material breach or insolvency, we may be required to pay Sanofi royalties on worldwide net sales of reverted products up to mid-single digit percentages based on the development and regulatory status of such reverted products, in each case subject to reductions in accordance with the terms of the Sanofi Agreement.</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Acquisition of Warp Drive</w:t>
      </w:r>
    </w:p>
    <w:p>
      <w:pPr>
        <w:spacing w:after="0" w:line="134"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In October 2018, we entered into an Agreement and Plan of Merger pursuant to which we acquired all outstanding shares of Warp Drive. In connection with the acquisition, we issued 33,079,554 shares of our Series B preferred stock and provided $0.9 million in other consideration, for total consideration valued at $69.0 million. The Agreement and Plan of Merger contained representations, warranties and covenants by, among and for the benefit of the parties, as well as mutual indemnification obligations.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Manufacturing</w:t>
      </w:r>
    </w:p>
    <w:p>
      <w:pPr>
        <w:spacing w:after="0" w:line="134"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We rely on and will continue to rely on our contract manufacturing organizations, or CMOs, for both drug substance and drug product. Currently, all of our manufacturing is outsourced to well-established third-party manufacturers. We have entered into contracts with CMOs for production of RMC-4630 and RMC-5552 drug substance and drug product for our clinical trials and IND-enabling development studies, respectively, and plan to enter into additional contracts with these or other manufacturers for additional supply.</w:t>
      </w:r>
    </w:p>
    <w:p>
      <w:pPr>
        <w:spacing w:after="0" w:line="100" w:lineRule="exact"/>
        <w:rPr>
          <w:sz w:val="20"/>
          <w:szCs w:val="20"/>
          <w:color w:val="auto"/>
        </w:rPr>
      </w:pPr>
    </w:p>
    <w:p>
      <w:pPr>
        <w:ind w:left="120" w:right="300"/>
        <w:spacing w:after="0" w:line="239" w:lineRule="auto"/>
        <w:rPr>
          <w:sz w:val="20"/>
          <w:szCs w:val="20"/>
          <w:color w:val="auto"/>
        </w:rPr>
      </w:pPr>
      <w:r>
        <w:rPr>
          <w:rFonts w:ascii="Arial" w:cs="Arial" w:eastAsia="Arial" w:hAnsi="Arial"/>
          <w:sz w:val="18"/>
          <w:szCs w:val="18"/>
          <w:color w:val="auto"/>
        </w:rPr>
        <w:t>Our outsourced approach to manufacturing relies on CMOs to first develop manufacturing processes that are compliant with current Good Manufacturing Practice, or cGMP, then produce material for preclinical and clinical</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00"/>
          </w:cols>
          <w:pgMar w:left="320" w:top="459" w:right="47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studies. Our agreements with CMOs may obligate them to develop and qualify upstream and downstream processes, develop drug product process, validate (and in some cases develop) suitable analytical methods for test and release as well as stability testing, produce drug substance for preclinical testing, produce cGMP-compliant drug substance, or produce cGMP-compliant drug product. We, and Sanofi, conduct audits of CMOs prior to initiation of activities under these agreements and monitor operations to ensure compliance with the mutually agreed process descriptions and to cGMP regulations.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Competition</w:t>
      </w:r>
    </w:p>
    <w:p>
      <w:pPr>
        <w:spacing w:after="0" w:line="134" w:lineRule="exact"/>
        <w:rPr>
          <w:sz w:val="20"/>
          <w:szCs w:val="20"/>
          <w:color w:val="auto"/>
        </w:rPr>
      </w:pPr>
    </w:p>
    <w:p>
      <w:pPr>
        <w:ind w:left="120" w:right="600"/>
        <w:spacing w:after="0" w:line="275" w:lineRule="auto"/>
        <w:rPr>
          <w:sz w:val="20"/>
          <w:szCs w:val="20"/>
          <w:color w:val="auto"/>
        </w:rPr>
      </w:pPr>
      <w:r>
        <w:rPr>
          <w:rFonts w:ascii="Arial" w:cs="Arial" w:eastAsia="Arial" w:hAnsi="Arial"/>
          <w:sz w:val="16"/>
          <w:szCs w:val="16"/>
          <w:color w:val="auto"/>
        </w:rPr>
        <w:t>The biotechnology and pharmaceutical industries, and the oncology sector, are characterized by rapid evolution of technologies, fierce competition and strong defense of intellectual property rights. While we believe that our discovery programs, technology, knowledge, experience, and scientific resources provide us with competitive advantages, we face competition from major pharmaceutical and biotechnology companies, academic institutions, governmental agencies and public and private research institutions, among others.</w:t>
      </w:r>
    </w:p>
    <w:p>
      <w:pPr>
        <w:spacing w:after="0" w:line="75"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Any product candidates that we successfully develop and commercialize will compete with currently approved therapies and new therapies that may become available in the future. Key product features that would affect our ability to effectively compete with other therapeutics include the efficacy, safety and convenience of our products and the ease of use and effectiveness of any complementary diagnostics and/or companion diagnostics.</w:t>
      </w:r>
    </w:p>
    <w:p>
      <w:pPr>
        <w:spacing w:after="0" w:line="100" w:lineRule="exact"/>
        <w:rPr>
          <w:sz w:val="20"/>
          <w:szCs w:val="20"/>
          <w:color w:val="auto"/>
        </w:rPr>
      </w:pPr>
    </w:p>
    <w:p>
      <w:pPr>
        <w:ind w:left="120" w:right="120"/>
        <w:spacing w:after="0" w:line="269" w:lineRule="auto"/>
        <w:rPr>
          <w:sz w:val="20"/>
          <w:szCs w:val="20"/>
          <w:color w:val="auto"/>
        </w:rPr>
      </w:pPr>
      <w:r>
        <w:rPr>
          <w:rFonts w:ascii="Arial" w:cs="Arial" w:eastAsia="Arial" w:hAnsi="Arial"/>
          <w:sz w:val="16"/>
          <w:szCs w:val="16"/>
          <w:color w:val="auto"/>
        </w:rPr>
        <w:t>There is a large number of companies developing or marketing treatments for cancer, including many major pharmaceutical and biotechnology companies. These treatments consist of small molecule drug products, biologics, cell-based therapies and traditional chemotherapy. There are also several programs in development targeting SHP2, including those clinical programs run by Novartis AG and Jacobio Pharmaceuticals Co. Ltd. There are several RAS pathway mutations programs, including those directed at KRAS</w:t>
      </w:r>
      <w:r>
        <w:rPr>
          <w:rFonts w:ascii="Arial" w:cs="Arial" w:eastAsia="Arial" w:hAnsi="Arial"/>
          <w:sz w:val="10"/>
          <w:szCs w:val="10"/>
          <w:color w:val="auto"/>
        </w:rPr>
        <w:t>G12C</w:t>
      </w:r>
      <w:r>
        <w:rPr>
          <w:rFonts w:ascii="Arial" w:cs="Arial" w:eastAsia="Arial" w:hAnsi="Arial"/>
          <w:sz w:val="16"/>
          <w:szCs w:val="16"/>
          <w:color w:val="auto"/>
        </w:rPr>
        <w:t>(OFF) and KRAS</w:t>
      </w:r>
      <w:r>
        <w:rPr>
          <w:rFonts w:ascii="Arial" w:cs="Arial" w:eastAsia="Arial" w:hAnsi="Arial"/>
          <w:sz w:val="10"/>
          <w:szCs w:val="10"/>
          <w:color w:val="auto"/>
        </w:rPr>
        <w:t>G12D</w:t>
      </w:r>
      <w:r>
        <w:rPr>
          <w:rFonts w:ascii="Arial" w:cs="Arial" w:eastAsia="Arial" w:hAnsi="Arial"/>
          <w:sz w:val="16"/>
          <w:szCs w:val="16"/>
          <w:color w:val="auto"/>
        </w:rPr>
        <w:t>(OFF) mutations, including clinical programs directed at KRAS</w:t>
      </w:r>
      <w:r>
        <w:rPr>
          <w:rFonts w:ascii="Arial" w:cs="Arial" w:eastAsia="Arial" w:hAnsi="Arial"/>
          <w:sz w:val="10"/>
          <w:szCs w:val="10"/>
          <w:color w:val="auto"/>
        </w:rPr>
        <w:t>G12C</w:t>
      </w:r>
      <w:r>
        <w:rPr>
          <w:rFonts w:ascii="Arial" w:cs="Arial" w:eastAsia="Arial" w:hAnsi="Arial"/>
          <w:sz w:val="16"/>
          <w:szCs w:val="16"/>
          <w:color w:val="auto"/>
        </w:rPr>
        <w:t>(OFF) being conducted by, Amgen Inc., Mirati Therapeutics, Inc. and Johnson &amp; Johnson. Other clinical programs directed at mutant RAS are being conducted by Merck &amp; Co./Moderna Therapeutics, and Gilead Sciences, Inc. Smaller and other early stage companies may also prove to be significant competitors. In addition, academic research departments and public and private research institutions may be conducting research on compounds that could prove to be competitive.</w:t>
      </w:r>
    </w:p>
    <w:p>
      <w:pPr>
        <w:spacing w:after="0" w:line="78" w:lineRule="exact"/>
        <w:rPr>
          <w:sz w:val="20"/>
          <w:szCs w:val="20"/>
          <w:color w:val="auto"/>
        </w:rPr>
      </w:pPr>
    </w:p>
    <w:p>
      <w:pPr>
        <w:ind w:left="120" w:right="420"/>
        <w:spacing w:after="0" w:line="237" w:lineRule="auto"/>
        <w:rPr>
          <w:sz w:val="20"/>
          <w:szCs w:val="20"/>
          <w:color w:val="auto"/>
        </w:rPr>
      </w:pPr>
      <w:r>
        <w:rPr>
          <w:rFonts w:ascii="Arial" w:cs="Arial" w:eastAsia="Arial" w:hAnsi="Arial"/>
          <w:sz w:val="18"/>
          <w:szCs w:val="18"/>
          <w:color w:val="auto"/>
        </w:rPr>
        <w:t>The availability of coverage and reimbursement from government and other third-party payors will also significantly affect the pricing and competitiveness of our products. Our competitors also may obtain U.S. Food and Drug Administration, or the FDA, or other regulatory approval for their products more rapidly than we may obtain approval for ours, which could result in our competitors establishing a strong market position before we are able to enter the market.</w:t>
      </w:r>
    </w:p>
    <w:p>
      <w:pPr>
        <w:spacing w:after="0" w:line="100"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Many of the companies against which we may compete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Intellectual property</w:t>
      </w:r>
    </w:p>
    <w:p>
      <w:pPr>
        <w:spacing w:after="0" w:line="134"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Our success depends in part on our ability and the ability of our collaborators to obtain and maintain proprietary protection for our technology, programs, and know-how related to our business, defend and</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32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120" w:right="320"/>
        <w:spacing w:after="0" w:line="238" w:lineRule="auto"/>
        <w:rPr>
          <w:sz w:val="20"/>
          <w:szCs w:val="20"/>
          <w:color w:val="auto"/>
        </w:rPr>
      </w:pPr>
      <w:r>
        <w:rPr>
          <w:rFonts w:ascii="Arial" w:cs="Arial" w:eastAsia="Arial" w:hAnsi="Arial"/>
          <w:sz w:val="18"/>
          <w:szCs w:val="18"/>
          <w:color w:val="auto"/>
        </w:rPr>
        <w:t>enforce our intellectual property rights, in particular, our patent rights, preserve the confidentiality of our trade secrets, and operate without infringing valid and enforceable intellectual property rights of others. We endeavor to establish, maintain and enforce intellectual property rights that protect our business interests.</w:t>
      </w:r>
    </w:p>
    <w:p>
      <w:pPr>
        <w:spacing w:after="0" w:line="100" w:lineRule="exact"/>
        <w:rPr>
          <w:sz w:val="20"/>
          <w:szCs w:val="20"/>
          <w:color w:val="auto"/>
        </w:rPr>
      </w:pPr>
    </w:p>
    <w:p>
      <w:pPr>
        <w:ind w:left="120" w:right="140"/>
        <w:spacing w:after="0" w:line="235" w:lineRule="auto"/>
        <w:rPr>
          <w:sz w:val="20"/>
          <w:szCs w:val="20"/>
          <w:color w:val="auto"/>
        </w:rPr>
      </w:pPr>
      <w:r>
        <w:rPr>
          <w:rFonts w:ascii="Arial" w:cs="Arial" w:eastAsia="Arial" w:hAnsi="Arial"/>
          <w:sz w:val="18"/>
          <w:szCs w:val="18"/>
          <w:color w:val="auto"/>
        </w:rPr>
        <w:t>The term of individual patents depends upon the legal term of patents in the countries in which they are obtained. In most countries in which we file, including the United States, the patent term is generally 20 years from the earliest date of filing a non-provisional patent application, assuming the patent has not been terminally disclaimed over a commonly-owned patent or a patent naming a common inventor, or over a patent not commonly owned but that was disqualified as prior art as the result of activities undertaken within the scope of a joint research agreement. In the United States, the term of a patent may also be eligible for patent term adjustment for delays within the United States Patent and Trademark Office, or USPTO. In addition, for patents that cover an FDA-approved drug, the Drug Price Competition and Patent Term Restoration Act of 1984, or the Hatch-Waxman Act, may permit a patent term extension of up to five years beyond the expiration of the patent. While the length of such patent term extension is related to the length of time the drug is under regulatory review, patent term extension cannot extend the remaining term of a patent beyond a total of 14 years from the date of product approval, only one patent per approved drug may be extended and only those claims covering the approved drug product, a method for using it or a method for manufacturing it may be extended. Similar provisions are available in Europe and certain other foreign jurisdictions to extend the term of a patent that covers an approved drug. In the future, if and when our products receive FDA approval, we expect to apply for patent term extensions on patents covering those products. We plan to seek any available patent term extension to any issued patents we may be granted in any jurisdiction where such extensions are available; however, there is no guarantee that the applicable authorities, including the FDA in the United States, will agree with our assessment of whether such extensions should be granted, and if granted, the length of such extensions.</w:t>
      </w:r>
    </w:p>
    <w:p>
      <w:pPr>
        <w:spacing w:after="0" w:line="105"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color w:val="auto"/>
        </w:rPr>
        <w:t>We also rely on trade secrets, know-how, and confidential information relating to our programs to develop and maintain our proprietary position, and seek to protect and maintain the confidentiality of such items to protect aspects of our business that are not amenable to, or that we do not presently consider appropriate for, patent protection. Our trade secrets include, for example, certain program specific syntheses, manufacturing schema, formulations, biomarkers, patient selection strategies, and certain aspects of our proprietary tri-complex technology platform. It is our policy to require our employees, consultants, contractors, outside scientific collaborators, sponsored researchers and other advisors to execute confidentiality agreements prior to the commencement of employment or consulting relationships with us, and for employees, contractors and consultants to enter into invention assignment agreements with us. These agreements generally provide that all confidential information developed or made known to the individual during the course of the individual’s relationship with us is to be kept confidential and not disclosed to third parties except in specific circumstances. Where applicable, the agreements provide that all inventions to which the individual contributed as an inventor shall be assigned to us, and as such, will become our property. There can be no assurance, however, that these agreements will be self-executing or otherwise provide meaningful protection or adequate remedies for our trade secrets or other proprietary information, including in the event of unauthorized use or disclosure of such information. We also seek to preserve the integrity and confidentiality of our trade secrets and confidential information by maintaining physical security of our premises and physical and electronic security of our information technology systems. While we have confidence in the measures we take to protect and preserve our trade secrets, such measures can be breached, and we may not have adequate remedies for any such breach. In addition, our trade secrets may otherwise become known or be independently discovered by competitors. For more information regarding the risks related to intellectual property, please see “Risk Factors—Risks related to intellectual property.”</w:t>
      </w:r>
    </w:p>
    <w:p>
      <w:pPr>
        <w:spacing w:after="0" w:line="32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program-specific patent portfolio</w:t>
      </w:r>
    </w:p>
    <w:p>
      <w:pPr>
        <w:spacing w:after="0" w:line="124" w:lineRule="exact"/>
        <w:rPr>
          <w:sz w:val="20"/>
          <w:szCs w:val="20"/>
          <w:color w:val="auto"/>
        </w:rPr>
      </w:pPr>
    </w:p>
    <w:p>
      <w:pPr>
        <w:ind w:left="120" w:right="360"/>
        <w:spacing w:after="0" w:line="238" w:lineRule="auto"/>
        <w:rPr>
          <w:sz w:val="20"/>
          <w:szCs w:val="20"/>
          <w:color w:val="auto"/>
        </w:rPr>
      </w:pPr>
      <w:r>
        <w:rPr>
          <w:rFonts w:ascii="Arial" w:cs="Arial" w:eastAsia="Arial" w:hAnsi="Arial"/>
          <w:sz w:val="18"/>
          <w:szCs w:val="18"/>
          <w:color w:val="auto"/>
        </w:rPr>
        <w:t>Our patent portfolio is directed to small molecules, platform methodologies, and related technology. We seek patent protection for product candidates, development programs, and related alternatives by filing and prosecuting patent applications in the United States and other countries, as appropriate.</w:t>
      </w:r>
    </w:p>
    <w:p>
      <w:pPr>
        <w:spacing w:after="0" w:line="100"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We own and co-own patent applications related to our SHP2 development program. As of July 31, 2019, our patent portfolio related to this program consists of ownership or co-ownership rights to three pending U.S. non-provisional patent applications, six pending applications under the Patent Cooperation Treaty, or PCT, and approximately 57 pending patent applications in other jurisdictions, including without limitation major markets such as Brazil, Canada, China, Europe, Japan, Mexico and South Korea, within eight total patent families that include patent applications covering compositions of matter or methods of using our clinical candidate, RMC-4630, alone or in combination with certain other therapeutic agents. The single co-owned patent family is co-owned with The University of California, San Francisco, or UCSF. Any patents issuing from these patent applications would have nominal expiration dates ranging from 2037 to 2039, without accounting for any applicable patent term adjustments or extensions. All but the single UCSF co-owned family is exclusively licensed to our SHP2 collaborator, Sanofi, under the Sanofi Agreement.</w:t>
      </w:r>
    </w:p>
    <w:p>
      <w:pPr>
        <w:spacing w:after="0" w:line="106"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We own or exclusively license patents and patent applications related to our 4EBP1/mTORC1 development program. As of July 31, 2019, our patent portfolio related to this program consists of ownership or the exclusive license of rights to one issued U.S. patent, two pending U.S. non-provisional patent applications, three pending PCT applications and nine pending patent applications in other jurisdictions, including without limitation major markets such as Canada, China, Europe, Japan and Mexico, within four total patent families that include filings covering compositions of matter or methods of using our development candidate, RMC-5552, alone or in combination with certain other therapeutic agents. The single exclusively licensed patent family is licensed from UCSF. The issued patent has, and any patents issuing from these patent applications would have, nominal expiration dates ranging from 2035 to 2039, without accounting for any applicable patent term adjustments or extensions.</w:t>
      </w:r>
    </w:p>
    <w:p>
      <w:pPr>
        <w:spacing w:after="0" w:line="100" w:lineRule="exact"/>
        <w:rPr>
          <w:sz w:val="20"/>
          <w:szCs w:val="20"/>
          <w:color w:val="auto"/>
        </w:rPr>
      </w:pPr>
    </w:p>
    <w:p>
      <w:pPr>
        <w:ind w:left="120" w:right="20"/>
        <w:spacing w:after="0" w:line="269" w:lineRule="auto"/>
        <w:rPr>
          <w:sz w:val="20"/>
          <w:szCs w:val="20"/>
          <w:color w:val="auto"/>
        </w:rPr>
      </w:pPr>
      <w:r>
        <w:rPr>
          <w:rFonts w:ascii="Arial" w:cs="Arial" w:eastAsia="Arial" w:hAnsi="Arial"/>
          <w:sz w:val="16"/>
          <w:szCs w:val="16"/>
          <w:color w:val="auto"/>
        </w:rPr>
        <w:t>We own patents and patent applications related to our RAS tri-complex inhibitors and related platform technology. As of July 31, 2019, our patent portfolio related to this program consists of ownership rights to four issued U.S. patents, five pending U.S. non-provisional patent applications, one pending PCT application and approximately nine pending patent applications in other jurisdictions, including without limitation major markets such as Canada, Europe and Japan, within six total patent families that include filings covering compositions of matter, methods of using those compositions alone or in combination with certain other therapeutic agents, or aspects pertaining to our tri-complex approach to RAS inhibition. The issued patents have, and any patents issuing from these patent applications would have, nominal expiration dates ranging from 2031 to 2038, without accounting for any applicable patent term adjustments or extensions.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Government regulation</w:t>
      </w:r>
    </w:p>
    <w:p>
      <w:pPr>
        <w:spacing w:after="0" w:line="134" w:lineRule="exact"/>
        <w:rPr>
          <w:sz w:val="20"/>
          <w:szCs w:val="20"/>
          <w:color w:val="auto"/>
        </w:rPr>
      </w:pPr>
    </w:p>
    <w:p>
      <w:pPr>
        <w:ind w:left="120" w:right="140"/>
        <w:spacing w:after="0" w:line="236" w:lineRule="auto"/>
        <w:rPr>
          <w:sz w:val="20"/>
          <w:szCs w:val="20"/>
          <w:color w:val="auto"/>
        </w:rPr>
      </w:pPr>
      <w:r>
        <w:rPr>
          <w:rFonts w:ascii="Arial" w:cs="Arial" w:eastAsia="Arial" w:hAnsi="Arial"/>
          <w:sz w:val="18"/>
          <w:szCs w:val="18"/>
          <w:color w:val="auto"/>
        </w:rPr>
        <w:t>The FDA and other regulatory authorities at federal, state, and local levels, as well as in foreign countries, extensively regulate, among other things, the research, development, testing, manufacture, storage, recordkeeping, approval, labeling, marketing and promotion, distribution, post-approval monitoring and reporting, sampling, and import and export of products, such as those we are developing. The process of obtaining regulatory approvals and the subsequent compliance with appropriate federal, state, local and foreign statutes and regulations require the expenditure of substantial time and financial resources.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drug regulation</w:t>
      </w:r>
    </w:p>
    <w:p>
      <w:pPr>
        <w:spacing w:after="0" w:line="124"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In the United States, the FDA regulates drugs under the Federal Food, Drug, and Cosmetic Act, or FDCA, and its implementing regulations. FDA approval is required before any new unapproved drug can be marketed in the United States. Drugs are also subject to other federal, state and local statutes and regulations. Failure to comply with applicable FDA or other requirements may subject a company to a variety of administrative or judicial sanctions, such as FDA clinical holds, refusal to approve pending applications, withdrawal of an approval, warning or untitled letters, product recalls, product seizures, total or partial suspension of production or distribution, injunctions, fines, civil penalties and criminal prosecution.</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process required by the FDA before product candidates may be marketed in the United States generally involves the following:</w:t>
      </w:r>
    </w:p>
    <w:p>
      <w:pPr>
        <w:spacing w:after="0" w:line="117" w:lineRule="exact"/>
        <w:rPr>
          <w:sz w:val="20"/>
          <w:szCs w:val="20"/>
          <w:color w:val="auto"/>
        </w:rPr>
      </w:pPr>
    </w:p>
    <w:p>
      <w:pPr>
        <w:ind w:left="340" w:right="140" w:hanging="224"/>
        <w:spacing w:after="0" w:line="239" w:lineRule="auto"/>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completion of preclinical laboratory tests and animal studies, where all supporting safety and toxicity studies are performed in accordance with the FDA’s Good Laboratory Practice, or GLP, regulations;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manufacture of clinical drug supply in accordance with FDA’s current Good Manufacturing Practice, or cGMP, regulations, when required;</w:t>
      </w:r>
    </w:p>
    <w:p>
      <w:pPr>
        <w:spacing w:after="0" w:line="140" w:lineRule="exact"/>
        <w:rPr>
          <w:rFonts w:ascii="Arial" w:cs="Arial" w:eastAsia="Arial" w:hAnsi="Arial"/>
          <w:sz w:val="16"/>
          <w:szCs w:val="16"/>
          <w:color w:val="auto"/>
        </w:rPr>
      </w:pPr>
    </w:p>
    <w:p>
      <w:pPr>
        <w:ind w:left="340" w:right="120" w:hanging="224"/>
        <w:spacing w:after="0" w:line="239" w:lineRule="auto"/>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or IND, which must become effective before human clinical studies may begin and must be updated annually or when significant changes are made;</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representing each clinical site before a clinical study may be initiated;</w:t>
      </w:r>
    </w:p>
    <w:p>
      <w:pPr>
        <w:spacing w:after="0" w:line="117" w:lineRule="exact"/>
        <w:rPr>
          <w:rFonts w:ascii="Arial" w:cs="Arial" w:eastAsia="Arial" w:hAnsi="Arial"/>
          <w:sz w:val="18"/>
          <w:szCs w:val="18"/>
          <w:color w:val="auto"/>
        </w:rPr>
      </w:pPr>
    </w:p>
    <w:p>
      <w:pPr>
        <w:ind w:left="340" w:hanging="224"/>
        <w:spacing w:after="0" w:line="239" w:lineRule="auto"/>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 or GCP, regulations to establish the safety and efficacy of the product candidate for each proposed indication;</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preparation of and submission to the FDA of a NDA;</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to file the application for review;</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17" w:lineRule="exact"/>
        <w:rPr>
          <w:rFonts w:ascii="Arial" w:cs="Arial" w:eastAsia="Arial" w:hAnsi="Arial"/>
          <w:sz w:val="18"/>
          <w:szCs w:val="18"/>
          <w:color w:val="auto"/>
        </w:rPr>
      </w:pPr>
    </w:p>
    <w:p>
      <w:pPr>
        <w:ind w:left="340" w:right="220" w:hanging="224"/>
        <w:spacing w:after="0" w:line="238" w:lineRule="auto"/>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facility(ies) where the product is manufactured to assess compliance with current good manufacturing practice, or cGMP, regulations, and of selected clinical investigation sites to assess compliance with GCP; and</w:t>
      </w:r>
    </w:p>
    <w:p>
      <w:pPr>
        <w:spacing w:after="0" w:line="113" w:lineRule="exact"/>
        <w:rPr>
          <w:rFonts w:ascii="Arial" w:cs="Arial" w:eastAsia="Arial" w:hAnsi="Arial"/>
          <w:sz w:val="18"/>
          <w:szCs w:val="18"/>
          <w:color w:val="auto"/>
        </w:rPr>
      </w:pPr>
    </w:p>
    <w:p>
      <w:pPr>
        <w:ind w:left="340" w:hanging="224"/>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FDA review and approval of an NDA to permit commercial marketing of the product for its particular labeled uses in the United States.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Preclinical and clinical studies</w:t>
      </w:r>
    </w:p>
    <w:p>
      <w:pPr>
        <w:spacing w:after="0" w:line="124"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The preclinical and clinical testing and approval process can take many years and the actual time required to obtain approval, if any, may vary substantially based upon the type, complexity and novelty of the product or condition being treated.</w:t>
      </w:r>
    </w:p>
    <w:p>
      <w:pPr>
        <w:spacing w:after="0" w:line="83" w:lineRule="exact"/>
        <w:rPr>
          <w:sz w:val="20"/>
          <w:szCs w:val="20"/>
          <w:color w:val="auto"/>
        </w:rPr>
      </w:pPr>
    </w:p>
    <w:p>
      <w:pPr>
        <w:ind w:left="120"/>
        <w:spacing w:after="0" w:line="243" w:lineRule="auto"/>
        <w:rPr>
          <w:sz w:val="20"/>
          <w:szCs w:val="20"/>
          <w:color w:val="auto"/>
        </w:rPr>
      </w:pPr>
      <w:r>
        <w:rPr>
          <w:rFonts w:ascii="Arial" w:cs="Arial" w:eastAsia="Arial" w:hAnsi="Arial"/>
          <w:sz w:val="18"/>
          <w:szCs w:val="18"/>
          <w:color w:val="auto"/>
        </w:rPr>
        <w:t>Preclinical tests include laboratory (</w:t>
      </w:r>
      <w:r>
        <w:rPr>
          <w:rFonts w:ascii="Arial" w:cs="Arial" w:eastAsia="Arial" w:hAnsi="Arial"/>
          <w:sz w:val="18"/>
          <w:szCs w:val="18"/>
          <w:i w:val="1"/>
          <w:iCs w:val="1"/>
          <w:color w:val="auto"/>
        </w:rPr>
        <w:t>in vitro</w:t>
      </w:r>
      <w:r>
        <w:rPr>
          <w:rFonts w:ascii="Arial" w:cs="Arial" w:eastAsia="Arial" w:hAnsi="Arial"/>
          <w:sz w:val="18"/>
          <w:szCs w:val="18"/>
          <w:color w:val="auto"/>
        </w:rPr>
        <w:t>) evaluation of product chemistry, formulation and toxicity, as well as animal (</w:t>
      </w:r>
      <w:r>
        <w:rPr>
          <w:rFonts w:ascii="Arial" w:cs="Arial" w:eastAsia="Arial" w:hAnsi="Arial"/>
          <w:sz w:val="18"/>
          <w:szCs w:val="18"/>
          <w:i w:val="1"/>
          <w:iCs w:val="1"/>
          <w:color w:val="auto"/>
        </w:rPr>
        <w:t>in vivo</w:t>
      </w:r>
      <w:r>
        <w:rPr>
          <w:rFonts w:ascii="Arial" w:cs="Arial" w:eastAsia="Arial" w:hAnsi="Arial"/>
          <w:sz w:val="18"/>
          <w:szCs w:val="18"/>
          <w:color w:val="auto"/>
        </w:rPr>
        <w:t>) studies to assess the characteristics and potential safety and efficacy of the product. The conduct of preclinical tests that provide safety and toxicological information must comply with federal regulations and requirements, including GLP. The results of preclinical testing are submitted to the FDA as part of an IND along with other information, including information about product chemistry, manufacturing and</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80"/>
        <w:spacing w:after="0" w:line="239" w:lineRule="auto"/>
        <w:rPr>
          <w:sz w:val="20"/>
          <w:szCs w:val="20"/>
          <w:color w:val="auto"/>
        </w:rPr>
      </w:pPr>
      <w:r>
        <w:rPr>
          <w:rFonts w:ascii="Arial" w:cs="Arial" w:eastAsia="Arial" w:hAnsi="Arial"/>
          <w:sz w:val="18"/>
          <w:szCs w:val="18"/>
          <w:color w:val="auto"/>
        </w:rPr>
        <w:t>controls (CMC) and any available human data or literature to support use of the product in humans. Long-term preclinical tests, such as animal tests of reproductive toxicity and carcinogenicity, may continue after the IND is submitted.</w:t>
      </w:r>
    </w:p>
    <w:p>
      <w:pPr>
        <w:spacing w:after="0" w:line="101"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The central focus of an IND submission is on the general investigational plan and the protocol(s) for human studies. An IND must become effective before human clinical trials may begin. An IND will automatically become effective 30 days after receipt by the FDA, unless before that time the FDA raises concerns or questions related to the proposed clinical studies. In such a case, the IND may be placed on clinical hold and the IND sponsor and the FDA must resolve any outstanding concerns or questions before clinical studies can begin.</w:t>
      </w:r>
    </w:p>
    <w:p>
      <w:pPr>
        <w:spacing w:after="0" w:line="100"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For each successive clinical trial conducted with the investigational drug, a separate, new protocol submission to an existing IND must be made, along with any subsequent changes to the investigational plan. Sponsors are also subject to ongoing reporting requirements, including submission of IND safety reports for any serious adverse experiences associated with use of the investigational drug or findings from preclinical studies suggesting a significant risk for human subjects, as well as IND annual reports on the progress of the investigations conducted under the IND.</w:t>
      </w:r>
    </w:p>
    <w:p>
      <w:pPr>
        <w:spacing w:after="0" w:line="10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Clinical studies involve the administration of the investigational new drug to human subjects under the supervision of qualified investigators in accordance with GCPs, which include the requirement that all research subjects provide their informed consent for participation in each clinical study. Clinical studies are conducted under protocols detailing, among other things, the objectives of the study, the parameters to be used in monitoring safety and the efficacy criteria to be evaluated. A protocol for each clinical study and any subsequent protocol amendments must be submitted to the FDA as part of the IND. Additionally, approval must also be obtained from each clinical study site’s IRB before a study may be initiated at the site, and the IRB must monitor the study until completed. Sponsors of clinical trials generally must register and report ongoing clinical studies and clinical study results to public registries, including the website maintained by the U.S. National Institutes of Health, ClinicalTrials.gov.</w:t>
      </w:r>
    </w:p>
    <w:p>
      <w:pPr>
        <w:spacing w:after="0" w:line="100"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For purposes of NDA approval, human clinical trials are typically divided into three or four phases. Although the phases are usually conducted sequentially, they may overlap or be combined.</w:t>
      </w:r>
    </w:p>
    <w:p>
      <w:pPr>
        <w:spacing w:after="0" w:line="96" w:lineRule="exact"/>
        <w:rPr>
          <w:sz w:val="20"/>
          <w:szCs w:val="20"/>
          <w:color w:val="auto"/>
        </w:rPr>
      </w:pPr>
    </w:p>
    <w:p>
      <w:pPr>
        <w:ind w:left="340" w:right="180" w:hanging="224"/>
        <w:spacing w:after="0" w:line="247" w:lineRule="auto"/>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The drug is initially introduced into healthy human subjects or into patients with the target disease or condition. These studies</w:t>
      </w:r>
      <w:r>
        <w:rPr>
          <w:rFonts w:ascii="Arial" w:cs="Arial" w:eastAsia="Arial" w:hAnsi="Arial"/>
          <w:sz w:val="18"/>
          <w:szCs w:val="18"/>
          <w:i w:val="1"/>
          <w:iCs w:val="1"/>
          <w:color w:val="auto"/>
        </w:rPr>
        <w:t xml:space="preserve"> </w:t>
      </w:r>
      <w:r>
        <w:rPr>
          <w:rFonts w:ascii="Arial" w:cs="Arial" w:eastAsia="Arial" w:hAnsi="Arial"/>
          <w:sz w:val="18"/>
          <w:szCs w:val="18"/>
          <w:color w:val="auto"/>
        </w:rPr>
        <w:t>are designed to evaluate the safety, dosage tolerance, metabolism and pharmacologic actions of the drug in humans, the side effects associated with increasing doses, and if possible, to gain early evidence on effectiveness.</w:t>
      </w:r>
    </w:p>
    <w:p>
      <w:pPr>
        <w:spacing w:after="0" w:line="89" w:lineRule="exact"/>
        <w:rPr>
          <w:rFonts w:ascii="Arial" w:cs="Arial" w:eastAsia="Arial" w:hAnsi="Arial"/>
          <w:sz w:val="18"/>
          <w:szCs w:val="18"/>
          <w:color w:val="auto"/>
        </w:rPr>
      </w:pPr>
    </w:p>
    <w:p>
      <w:pPr>
        <w:ind w:left="340" w:right="160" w:hanging="224"/>
        <w:spacing w:after="0" w:line="247" w:lineRule="auto"/>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The drug is administered to a limited patient population to evaluate tolerance and optimal dose, identify possible adverse side</w:t>
      </w:r>
      <w:r>
        <w:rPr>
          <w:rFonts w:ascii="Arial" w:cs="Arial" w:eastAsia="Arial" w:hAnsi="Arial"/>
          <w:sz w:val="18"/>
          <w:szCs w:val="18"/>
          <w:i w:val="1"/>
          <w:iCs w:val="1"/>
          <w:color w:val="auto"/>
        </w:rPr>
        <w:t xml:space="preserve"> </w:t>
      </w:r>
      <w:r>
        <w:rPr>
          <w:rFonts w:ascii="Arial" w:cs="Arial" w:eastAsia="Arial" w:hAnsi="Arial"/>
          <w:sz w:val="18"/>
          <w:szCs w:val="18"/>
          <w:color w:val="auto"/>
        </w:rPr>
        <w:t>effects and safety risks, and preliminarily evaluate efficacy. Multiple Phase 2 trials may be conducted to obtain additional data prior to beginning Phase 3 trials.</w:t>
      </w:r>
    </w:p>
    <w:p>
      <w:pPr>
        <w:spacing w:after="0" w:line="89" w:lineRule="exact"/>
        <w:rPr>
          <w:rFonts w:ascii="Arial" w:cs="Arial" w:eastAsia="Arial" w:hAnsi="Arial"/>
          <w:sz w:val="18"/>
          <w:szCs w:val="18"/>
          <w:color w:val="auto"/>
        </w:rPr>
      </w:pPr>
    </w:p>
    <w:p>
      <w:pPr>
        <w:ind w:left="340" w:right="180" w:hanging="224"/>
        <w:spacing w:after="0" w:line="247" w:lineRule="auto"/>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The drug is administered to an expanded patient population, generally at geographically dispersed clinical study sites to</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 enough data to statistically evaluate dosage, clinical effectiveness and safety, to establish the overall benefit-risk relationship of the investigational product and to provide an adequate basis for product approval.</w:t>
      </w:r>
    </w:p>
    <w:p>
      <w:pPr>
        <w:spacing w:after="0" w:line="89" w:lineRule="exact"/>
        <w:rPr>
          <w:rFonts w:ascii="Arial" w:cs="Arial" w:eastAsia="Arial" w:hAnsi="Arial"/>
          <w:sz w:val="18"/>
          <w:szCs w:val="18"/>
          <w:color w:val="auto"/>
        </w:rPr>
      </w:pPr>
    </w:p>
    <w:p>
      <w:pPr>
        <w:ind w:left="340" w:right="80" w:hanging="224"/>
        <w:spacing w:after="0" w:line="247" w:lineRule="auto"/>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Phase 4</w:t>
      </w:r>
      <w:r>
        <w:rPr>
          <w:rFonts w:ascii="Arial" w:cs="Arial" w:eastAsia="Arial" w:hAnsi="Arial"/>
          <w:sz w:val="18"/>
          <w:szCs w:val="18"/>
          <w:color w:val="auto"/>
        </w:rPr>
        <w:t>. In some cases, the FDA may condition approval of an NDA for a product candidate on the sponsor’s agreement to conduct</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clinical studies after approval. In other cases, a sponsor may voluntarily conduct additional clinical studies after approval to gain more information about the drug. Such post-approval studies are typically referred to as Phase 4 clinical studies.</w:t>
      </w:r>
    </w:p>
    <w:p>
      <w:pPr>
        <w:spacing w:after="0" w:line="94" w:lineRule="exact"/>
        <w:rPr>
          <w:sz w:val="20"/>
          <w:szCs w:val="20"/>
          <w:color w:val="auto"/>
        </w:rPr>
      </w:pPr>
    </w:p>
    <w:p>
      <w:pPr>
        <w:ind w:left="120" w:right="160"/>
        <w:spacing w:after="0" w:line="239" w:lineRule="auto"/>
        <w:rPr>
          <w:sz w:val="20"/>
          <w:szCs w:val="20"/>
          <w:color w:val="auto"/>
        </w:rPr>
      </w:pPr>
      <w:r>
        <w:rPr>
          <w:rFonts w:ascii="Arial" w:cs="Arial" w:eastAsia="Arial" w:hAnsi="Arial"/>
          <w:sz w:val="18"/>
          <w:szCs w:val="18"/>
          <w:color w:val="auto"/>
        </w:rPr>
        <w:t>The FDA, the IRB or the clinical study sponsor may suspend or terminate a clinical study at any time on various grounds, including a finding that the research subjects are being exposed to an unacceptable health risk. The</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00"/>
          </w:cols>
          <w:pgMar w:left="320" w:top="459" w:right="4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sponsor may also suspend or terminate a clinical study based on evolving business objectives and/or competitive climate.</w:t>
      </w:r>
    </w:p>
    <w:p>
      <w:pPr>
        <w:spacing w:after="0" w:line="86"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 xml:space="preserve">Concurrent with clinical trials, companies may complete additional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 and develop additional information about the characteristics of the product candidate. Companies must also finalize a process for manufacturing the product in commercially applicable quantities in accordance with cGMP requirements. The manufacturing process must be capable of consistently producing quality batches of the product and, among other things, must use validated methods for testing the product against specifications to confirm its identity, strength, quality and purity. Additionally, appropriate packaging must be selected and tested and stability studies must be conducted to demonstrate that the product does not undergo unacceptable deterioration over its shelf life.</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Submission of an NDA to the FDA</w:t>
      </w:r>
    </w:p>
    <w:p>
      <w:pPr>
        <w:spacing w:after="0" w:line="122" w:lineRule="exact"/>
        <w:rPr>
          <w:sz w:val="20"/>
          <w:szCs w:val="20"/>
          <w:color w:val="auto"/>
        </w:rPr>
      </w:pPr>
    </w:p>
    <w:p>
      <w:pPr>
        <w:ind w:left="120" w:right="480"/>
        <w:spacing w:after="0" w:line="237"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the results of product development and testing are submitted to the FDA in the form of an NDA requesting approval to market the product for one or more indications. The submission of an NDA requires payment of a substantial application user fee to the FDA, unless a waiver or exemption applies.</w:t>
      </w:r>
    </w:p>
    <w:p>
      <w:pPr>
        <w:spacing w:after="0" w:line="100"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An NDA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a use of a product, or from a number of alternative sources, including studies initiated by investigators. To support marketing approval, the data submitted must be sufficient in quality and quantity to establish the safety and effectiveness of the investigational product to the satisfaction of the FDA.</w:t>
      </w:r>
    </w:p>
    <w:p>
      <w:pPr>
        <w:spacing w:after="0" w:line="102"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FDA has 60 days from its receipt of an NDA to determine whether the application will be accepted for filing based on the agency’s threshold determination that it is sufficiently complete to permit substantive review. The FDA may request additional information rather than accept an application for filing. In this event, the application must be resubmitted with the additional information and is subject to payment of additional user fees. The resubmitted application is also subject to review before the FDA accepts it for filing. Once the submission is accepted for filing, the FDA begins an in-depth substantive review. Under applicable Prescription Drug User Fee Act, or PDUFA, performance goals, the FDA endeavors to review applications subject to standard review within ten to twelve months, and to review applications subject to priority review within six to eight months, depending on whether the drug is a new molecular entity.</w:t>
      </w:r>
    </w:p>
    <w:p>
      <w:pPr>
        <w:spacing w:after="0" w:line="101" w:lineRule="exact"/>
        <w:rPr>
          <w:sz w:val="20"/>
          <w:szCs w:val="20"/>
          <w:color w:val="auto"/>
        </w:rPr>
      </w:pPr>
    </w:p>
    <w:p>
      <w:pPr>
        <w:ind w:left="120" w:right="100"/>
        <w:spacing w:after="0" w:line="299" w:lineRule="auto"/>
        <w:rPr>
          <w:sz w:val="20"/>
          <w:szCs w:val="20"/>
          <w:color w:val="auto"/>
        </w:rPr>
      </w:pPr>
      <w:r>
        <w:rPr>
          <w:rFonts w:ascii="Arial" w:cs="Arial" w:eastAsia="Arial" w:hAnsi="Arial"/>
          <w:sz w:val="16"/>
          <w:szCs w:val="16"/>
          <w:color w:val="auto"/>
        </w:rPr>
        <w:t>The FDA may refer applications for novel drug products or drug products which present difficult questions of safety or efficacy to an advisory committee for review, evaluation and recommendation as to whether the application should be approved and under what conditions.</w:t>
      </w:r>
    </w:p>
    <w:p>
      <w:pPr>
        <w:spacing w:after="0" w:line="55"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the FDA will typically inspect one or more clinical sites to assure that relevant study data was obtained in compliance with GCP requirements.</w:t>
      </w:r>
    </w:p>
    <w:p>
      <w:pPr>
        <w:spacing w:after="0" w:line="100"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After the FDA evaluates the NDA and conducts inspections of manufacturing facilities, it may issue an approval letter or a complete response letter. A complete response letter indicates that the review cycle of the application is complete and the application is not ready for approval. A complete response letter generally</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80"/>
          </w:cols>
          <w:pgMar w:left="320" w:top="459" w:right="49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outlines the deficiencies in the submission and may require substantial additional testing or information in order for the FDA to reconsider the application. Even with submission of this additional information, the FDA may ultimately decide that an application does not satisfy the regulatory criteria for approval. If, or when, the deficiencies have been addressed to the FDA’s satisfaction in a resubmission of the application, the FDA will issue an approval letter. An approval letter authorizes commercial marketing of the drug with specific prescribing information for specific indications.</w:t>
      </w:r>
    </w:p>
    <w:p>
      <w:pPr>
        <w:spacing w:after="0" w:line="103" w:lineRule="exact"/>
        <w:rPr>
          <w:sz w:val="20"/>
          <w:szCs w:val="20"/>
          <w:color w:val="auto"/>
        </w:rPr>
      </w:pPr>
    </w:p>
    <w:p>
      <w:pPr>
        <w:ind w:left="120"/>
        <w:spacing w:after="0" w:line="271" w:lineRule="auto"/>
        <w:rPr>
          <w:sz w:val="20"/>
          <w:szCs w:val="20"/>
          <w:color w:val="auto"/>
        </w:rPr>
      </w:pPr>
      <w:r>
        <w:rPr>
          <w:rFonts w:ascii="Arial" w:cs="Arial" w:eastAsia="Arial" w:hAnsi="Arial"/>
          <w:sz w:val="16"/>
          <w:szCs w:val="16"/>
          <w:color w:val="auto"/>
        </w:rPr>
        <w:t>As a condition of NDA approval, the FDA may require a Risk Evaluation and Mitigation Strategy, or REMS, program to help ensure that the benefits of the drug outweigh its risks. If the FDA determines a REMS program is necessary during review of the application, the drug sponsor must agree to the REMS plan at the time of approval. A REMS program may be required to include various elements, such as a medication guide or patient package insert, a communication plan to educate healthcare providers of the drug’s risks, or other elements to assure safe use, such as limitations on who may prescribe or dispense the drug, dispensing only under certain circumstances, special monitoring and the use of patient registries. In addition, all REMS programs must include a timetable to periodically assess the strategy following implementation.</w:t>
      </w:r>
    </w:p>
    <w:p>
      <w:pPr>
        <w:spacing w:after="0" w:line="76"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Further, product approval may require substantial post-approval testing and surveillance to monitor the drug’s safety and efficacy, and the FDA has the authority to prevent or limit further marketing of a product based on the results of these post-marketing programs. Once granted, product approvals may be withdrawn if compliance with regulatory standards is not maintained or problems are identified following initial marketing. Moreover, changes to the conditions established in an approved application, including changes in indications, labeling or manufacturing processes or facilities may require submission and FDA approval of a new NDA or NDA supplement before the changes can be implemented. An NDA supplement for a new indication typically requires clinical data similar to that supporting the original approval, and the FDA uses similar procedures in reviewing supplements as it does in reviewing original applications.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Expedited development and review programs</w:t>
      </w:r>
    </w:p>
    <w:p>
      <w:pPr>
        <w:spacing w:after="0" w:line="122" w:lineRule="exact"/>
        <w:rPr>
          <w:sz w:val="20"/>
          <w:szCs w:val="20"/>
          <w:color w:val="auto"/>
        </w:rPr>
      </w:pPr>
    </w:p>
    <w:p>
      <w:pPr>
        <w:ind w:left="120" w:right="340"/>
        <w:spacing w:after="0" w:line="239" w:lineRule="auto"/>
        <w:rPr>
          <w:sz w:val="20"/>
          <w:szCs w:val="20"/>
          <w:color w:val="auto"/>
        </w:rPr>
      </w:pPr>
      <w:r>
        <w:rPr>
          <w:rFonts w:ascii="Arial" w:cs="Arial" w:eastAsia="Arial" w:hAnsi="Arial"/>
          <w:sz w:val="18"/>
          <w:szCs w:val="18"/>
          <w:color w:val="auto"/>
        </w:rPr>
        <w:t>The FDA offers a number of expedited development and review programs for qualifying product candidates, one or more of which may be available for our current or future products.</w:t>
      </w:r>
    </w:p>
    <w:p>
      <w:pPr>
        <w:spacing w:after="0" w:line="101" w:lineRule="exact"/>
        <w:rPr>
          <w:sz w:val="20"/>
          <w:szCs w:val="20"/>
          <w:color w:val="auto"/>
        </w:rPr>
      </w:pPr>
    </w:p>
    <w:p>
      <w:pPr>
        <w:ind w:left="120" w:right="140"/>
        <w:spacing w:after="0" w:line="236" w:lineRule="auto"/>
        <w:rPr>
          <w:sz w:val="20"/>
          <w:szCs w:val="20"/>
          <w:color w:val="auto"/>
        </w:rPr>
      </w:pPr>
      <w:r>
        <w:rPr>
          <w:rFonts w:ascii="Arial" w:cs="Arial" w:eastAsia="Arial" w:hAnsi="Arial"/>
          <w:sz w:val="18"/>
          <w:szCs w:val="18"/>
          <w:color w:val="auto"/>
        </w:rPr>
        <w:t>New drug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has opportunities for frequent interactions with the review team during product development and, once an NDA is submitted, the product may be eligible for priority review. A fast track product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00"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A product intended to treat a serious or life-threatening disease or condition may also be eligible for breakthrough therapy designation to expedite its development and review. A product can receive breakthrough therapy designation if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including involvement of senior managers.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After an NDA is submitted for a product, including a product with a fast track designation and/or breakthrough therapy designation, the NDA may be eligible for priority review. A product is eligible for priority review if it has the potential to provide a significant improvement in the treatment, diagnosis or prevention of a serious disease or condition compared to marketed products. Depending on whether a drug contains a new molecular entity, priority review designation means the FDA’s goal is to take an action on the marketing application within six to eight months of the 60-day filing date, compared with ten to twelve months under standard review.</w:t>
      </w:r>
    </w:p>
    <w:p>
      <w:pPr>
        <w:spacing w:after="0" w:line="103"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Additionally, products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product.</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Orphan drug designation</w:t>
      </w:r>
    </w:p>
    <w:p>
      <w:pPr>
        <w:spacing w:after="0" w:line="122" w:lineRule="exact"/>
        <w:rPr>
          <w:sz w:val="20"/>
          <w:szCs w:val="20"/>
          <w:color w:val="auto"/>
        </w:rPr>
      </w:pPr>
    </w:p>
    <w:p>
      <w:pPr>
        <w:ind w:left="120" w:right="340"/>
        <w:spacing w:after="0" w:line="239" w:lineRule="auto"/>
        <w:rPr>
          <w:sz w:val="20"/>
          <w:szCs w:val="20"/>
          <w:color w:val="auto"/>
        </w:rPr>
      </w:pPr>
      <w:r>
        <w:rPr>
          <w:rFonts w:ascii="Arial" w:cs="Arial" w:eastAsia="Arial" w:hAnsi="Arial"/>
          <w:sz w:val="18"/>
          <w:szCs w:val="18"/>
          <w:color w:val="auto"/>
        </w:rPr>
        <w:t>We intend to pursue orphan drug designation with respect to oncology indications, as appropriate, with the potential to obtain orphan drug exclusivity for our products, if approved.</w:t>
      </w:r>
    </w:p>
    <w:p>
      <w:pPr>
        <w:spacing w:after="0" w:line="101"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Under the Orphan Drug Act, the FDA may grant orphan designation to a drug intended to treat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for this type of disease or condition will be recovered from sales in the United States for that drug. Orphan drug designation must be requested before submitting an NDA.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101" w:lineRule="exact"/>
        <w:rPr>
          <w:sz w:val="20"/>
          <w:szCs w:val="20"/>
          <w:color w:val="auto"/>
        </w:rPr>
      </w:pPr>
    </w:p>
    <w:p>
      <w:pPr>
        <w:ind w:left="120" w:right="140"/>
        <w:spacing w:after="0" w:line="236" w:lineRule="auto"/>
        <w:rPr>
          <w:sz w:val="20"/>
          <w:szCs w:val="20"/>
          <w:color w:val="auto"/>
        </w:rPr>
      </w:pPr>
      <w:r>
        <w:rPr>
          <w:rFonts w:ascii="Arial" w:cs="Arial" w:eastAsia="Arial" w:hAnsi="Arial"/>
          <w:sz w:val="18"/>
          <w:szCs w:val="18"/>
          <w:color w:val="auto"/>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NDA, to market the same drug for the same indication for seven years, except in limited circumstances, such as a showing of clinical superiority to the product with orphan drug exclusivity. Orphan drug exclusivity does not prevent the FDA from approving a different drug for the same disease or condition, or the same drug for a different disease or condition. Among the other benefits of orphan drug designation are tax credits for certain research and a waiver of the application user fee.</w:t>
      </w:r>
    </w:p>
    <w:p>
      <w:pPr>
        <w:spacing w:after="0" w:line="102" w:lineRule="exact"/>
        <w:rPr>
          <w:sz w:val="20"/>
          <w:szCs w:val="20"/>
          <w:color w:val="auto"/>
        </w:rPr>
      </w:pPr>
    </w:p>
    <w:p>
      <w:pPr>
        <w:ind w:left="120" w:right="360"/>
        <w:spacing w:after="0" w:line="237"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Pediatric information and pediatric exclusivity</w:t>
      </w:r>
    </w:p>
    <w:p>
      <w:pPr>
        <w:spacing w:after="0" w:line="122" w:lineRule="exact"/>
        <w:rPr>
          <w:sz w:val="20"/>
          <w:szCs w:val="20"/>
          <w:color w:val="auto"/>
        </w:rPr>
      </w:pPr>
    </w:p>
    <w:p>
      <w:pPr>
        <w:ind w:left="120" w:right="100"/>
        <w:spacing w:after="0" w:line="239" w:lineRule="auto"/>
        <w:rPr>
          <w:sz w:val="20"/>
          <w:szCs w:val="20"/>
          <w:color w:val="auto"/>
        </w:rPr>
      </w:pPr>
      <w:r>
        <w:rPr>
          <w:rFonts w:ascii="Arial" w:cs="Arial" w:eastAsia="Arial" w:hAnsi="Arial"/>
          <w:sz w:val="18"/>
          <w:szCs w:val="18"/>
          <w:color w:val="auto"/>
        </w:rPr>
        <w:t>Under the Pediatric Research Equity Act, or PREA, certain NDAs and certain supplements to an NDA must contain data to assess the safety and efficacy of the drug for the claimed indications in all relevant pediatric</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subpopulations and to support dosing and administration for each pediatric subpopulation for which the product is safe and effective. The FDA may grant deferrals for submission of pediatric data or full or partial waivers. The Food and Drug Administration Safety and Innovation Act, or FDASIA, amended the FDCA to require that a sponsor who is planning to submit a marketing application for a drug that includes a new active ingredient, new indication, new dosage form, new dosing regimen or new route of administration submit an initial Pediatric Study Plan, or iPSP, within 60 days of an end-of-Phase 2 meeting or, if there is no such meeting, as early as practicable before the initiation of a Phase 3 or Phase 2/3 study. The iPSP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iPSP. A sponsor can submit amendments to an agreed-upon iPSP at any time if changes to the pediatric plan need to be considered based on data collected from preclinical studies, early phase clinical trials and/or other clinical development programs.</w:t>
      </w:r>
    </w:p>
    <w:p>
      <w:pPr>
        <w:spacing w:after="0" w:line="106" w:lineRule="exact"/>
        <w:rPr>
          <w:sz w:val="20"/>
          <w:szCs w:val="20"/>
          <w:color w:val="auto"/>
        </w:rPr>
      </w:pPr>
    </w:p>
    <w:p>
      <w:pPr>
        <w:ind w:left="120" w:right="40"/>
        <w:spacing w:after="0" w:line="281" w:lineRule="auto"/>
        <w:rPr>
          <w:sz w:val="20"/>
          <w:szCs w:val="20"/>
          <w:color w:val="auto"/>
        </w:rPr>
      </w:pPr>
      <w:r>
        <w:rPr>
          <w:rFonts w:ascii="Arial" w:cs="Arial" w:eastAsia="Arial" w:hAnsi="Arial"/>
          <w:sz w:val="16"/>
          <w:szCs w:val="16"/>
          <w:color w:val="auto"/>
        </w:rPr>
        <w:t>A drug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5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Post-approval requirements</w:t>
      </w:r>
    </w:p>
    <w:p>
      <w:pPr>
        <w:spacing w:after="0" w:line="122" w:lineRule="exact"/>
        <w:rPr>
          <w:sz w:val="20"/>
          <w:szCs w:val="20"/>
          <w:color w:val="auto"/>
        </w:rPr>
      </w:pPr>
    </w:p>
    <w:p>
      <w:pPr>
        <w:ind w:left="120" w:right="240"/>
        <w:spacing w:after="0" w:line="236" w:lineRule="auto"/>
        <w:rPr>
          <w:sz w:val="20"/>
          <w:szCs w:val="20"/>
          <w:color w:val="auto"/>
        </w:rPr>
      </w:pPr>
      <w:r>
        <w:rPr>
          <w:rFonts w:ascii="Arial" w:cs="Arial" w:eastAsia="Arial" w:hAnsi="Arial"/>
          <w:sz w:val="18"/>
          <w:szCs w:val="18"/>
          <w:color w:val="auto"/>
        </w:rPr>
        <w:t>Once an NDA is approved, a product will be subject to pervasive and continuing regulation by the FDA, including, among other things, requirements relating to drug listing and registration, recordkeeping, periodic reporting, product sampling and distribution, adverse event reporting and advertising, marketing and promotion. Drugs may be marketed only for the approved indications and in accordance with the provisions of the approved labeling. While physicians may prescribe for off-label uses, manufacturers may only promote for the approved indications and in accordance with the provisions of the approved label. However, companies may share truthful and not misleading information that is otherwise consistent with a product’s FDA approved labeling. The FDA and other agencies actively enforce the laws and regulations prohibiting the promotion of off-label uses, and a company that is found to have improperly promoted off-label uses may be subject to significant liability.</w:t>
      </w:r>
    </w:p>
    <w:p>
      <w:pPr>
        <w:spacing w:after="0" w:line="100"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After approval, most changes to the approved product, such as adding new indications or other labeling claims, are subject to prior FDA review and approval. There also are continuing user fee requirements, under which FDA assesses an annual program fee for each product identified in an approved NDA. In addition, quality-control, drug manufacture, packaging and labeling procedures must continue to conform to cGMPs after approval. Drug manufacturers and certain of their subcontractors are required to register their establishments with the FDA and certain state agencies. Registration with the FDA subjects entities to periodic unannounced and announced inspections by the FDA and these state agencies, during which the agency inspects manufacturing facilities to assess compliance with cGMPs.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106" w:lineRule="exact"/>
        <w:rPr>
          <w:sz w:val="20"/>
          <w:szCs w:val="20"/>
          <w:color w:val="auto"/>
        </w:rPr>
      </w:pPr>
    </w:p>
    <w:p>
      <w:pPr>
        <w:jc w:val="both"/>
        <w:ind w:left="120" w:right="480"/>
        <w:spacing w:after="0" w:line="238" w:lineRule="auto"/>
        <w:rPr>
          <w:sz w:val="20"/>
          <w:szCs w:val="20"/>
          <w:color w:val="auto"/>
        </w:rPr>
      </w:pPr>
      <w:r>
        <w:rPr>
          <w:rFonts w:ascii="Arial" w:cs="Arial" w:eastAsia="Arial" w:hAnsi="Arial"/>
          <w:sz w:val="18"/>
          <w:szCs w:val="18"/>
          <w:color w:val="auto"/>
        </w:rPr>
        <w:t>The FDA may withdraw approval of a product if compliance with regulatory requirements is not maintained or if problems occur after the product reaches the market. Later discovery of previously unknown problems with a product, including adverse events of unanticipated severity or frequency, or with manufacturing processes, or</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113" w:lineRule="exact"/>
        <w:rPr>
          <w:sz w:val="20"/>
          <w:szCs w:val="20"/>
          <w:color w:val="auto"/>
        </w:rPr>
      </w:pPr>
    </w:p>
    <w:p>
      <w:pPr>
        <w:ind w:left="340" w:hanging="224"/>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a product, complete withdrawal of the product from the market or product recalls;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fines, warning or untitled letters or holds on post-approval clinical studies;</w:t>
      </w:r>
    </w:p>
    <w:p>
      <w:pPr>
        <w:spacing w:after="0" w:line="117" w:lineRule="exact"/>
        <w:rPr>
          <w:rFonts w:ascii="Arial" w:cs="Arial" w:eastAsia="Arial" w:hAnsi="Arial"/>
          <w:sz w:val="18"/>
          <w:szCs w:val="18"/>
          <w:color w:val="auto"/>
        </w:rPr>
      </w:pPr>
    </w:p>
    <w:p>
      <w:pPr>
        <w:ind w:left="340" w:right="500" w:hanging="224"/>
        <w:spacing w:after="0" w:line="239" w:lineRule="auto"/>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existing product approvals;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product seizure or detention, or refusal of the FDA to permit the import or export of products; or</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04"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The FDA may also require post-approval studies and clinical trials if the FDA finds that scientific data, including information regarding related drugs, deem it appropriate. The purpose of such studies would be to assess a known serious risk or signals of serious risk related to the drug or to identify an unexpected serious risk when available data indicate the potential for a serious risk. The FDA may also require a labeling change if it becomes aware of new safety information that it believes should be included in the labeling of a drug.</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International regulation</w:t>
      </w:r>
    </w:p>
    <w:p>
      <w:pPr>
        <w:spacing w:after="0" w:line="124"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In addition to regulations in the United States, we could become subject to a variety of foreign regulations regarding development, approval, commercial sales and distribution of our products if we seek to market our product candidates in other jurisdictions. Whether or not we obtain FDA approval for a product, we must obtain the necessary approvals by the comparable regulatory authorities of foreign countries before we can commence clinical trials or marketing of the product in those countries. The approval process varies from country to country and can involve additional product testing and additional review periods, and the time may be longer or shorter than that required to obtain FDA approval. The requirements governing, among other things, the conduct of clinical trials, product licensing, pricing and reimbursement vary greatly from country to country. Regulatory approval in one country does not ensure regulatory approval in another, but a failure or delay in obtaining regulatory approval in one country may negatively impact the regulatory process in others. If we fail to comply with applicable foreign regulatory requirements, we may be subject to fines, suspension or withdrawal of regulatory approvals, product recalls, seizure of products, operating restrictions and criminal prosecution.</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24"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Pharmaceutical companies are subject to additional healthcare regulation and enforcement by the federal government and by authorities in the states and foreign jurisdictions in which they conduct their business. Such laws include, without limitation, U.S. federal and state anti-kickback, fraud and abuse, false claims, consumer fraud, pricing reporting, data privacy and security, and transparency laws and regulations as well as similar foreign laws in jurisdictions outside the U.S.</w:t>
      </w:r>
    </w:p>
    <w:p>
      <w:pPr>
        <w:spacing w:after="0" w:line="100" w:lineRule="exact"/>
        <w:rPr>
          <w:sz w:val="20"/>
          <w:szCs w:val="20"/>
          <w:color w:val="auto"/>
        </w:rPr>
      </w:pPr>
    </w:p>
    <w:p>
      <w:pPr>
        <w:ind w:left="120" w:right="280"/>
        <w:spacing w:after="0" w:line="237" w:lineRule="auto"/>
        <w:rPr>
          <w:sz w:val="20"/>
          <w:szCs w:val="20"/>
          <w:color w:val="auto"/>
        </w:rPr>
      </w:pPr>
      <w:r>
        <w:rPr>
          <w:rFonts w:ascii="Arial" w:cs="Arial" w:eastAsia="Arial" w:hAnsi="Arial"/>
          <w:sz w:val="18"/>
          <w:szCs w:val="18"/>
          <w:color w:val="auto"/>
        </w:rPr>
        <w:t>For example, the federal Anti-Kickback Statute prohibits, among other things, individuals or entities from knowingly and willfully offering, paying, soliciting or receiving remuneration, directly or indirectly, overtly or covertly, in cash or in kind to induce or in return for purchasing, leasing, ordering or arranging for or recommending the purchase, lease or order of any item or service reimbursable under Medicare, Medicaid or</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60"/>
          </w:cols>
          <w:pgMar w:left="320" w:top="459" w:right="51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67" w:lineRule="auto"/>
        <w:rPr>
          <w:sz w:val="20"/>
          <w:szCs w:val="20"/>
          <w:color w:val="auto"/>
        </w:rPr>
      </w:pPr>
      <w:r>
        <w:rPr>
          <w:rFonts w:ascii="Arial" w:cs="Arial" w:eastAsia="Arial" w:hAnsi="Arial"/>
          <w:sz w:val="16"/>
          <w:szCs w:val="16"/>
          <w:color w:val="auto"/>
        </w:rPr>
        <w:t>other federal healthcare programs. A person or entity does not need to have actual knowledge of this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civil False Claims Act and the civil monetary penalties statute. The federal civil and criminal false claims laws, including the civil False Claims Act, prohibit, among other things, any individual or entity from knowingly presenting, or causing to be presented, a false claim for payment to the federal government or knowingly making, using or causing to be made or used a false record or statement material to a false or fraudulent claim to the federal government. The federal Health Insurance Portability and Accountability Act of 1996, or HIPAA, created additional federal civil and criminal statutes that prohibit, among other things, knowingly and willfully executing a scheme to defraud any healthcare benefit program. Similar to the U.S. federal Anti-Kickback Statute, a person or entity does not need to have actual knowledge of the healthcare fraud statute implemented under HIPAA or specific intent to violate it in order to have committed a violation. The federal Physician Payments Sunshine Act requires certain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and teaching hospitals, and applicable manufacturers and applicable group purchasing organizations to report annually to CMS ownership and investment interests held by physicians and their immediate family members.</w:t>
      </w:r>
    </w:p>
    <w:p>
      <w:pPr>
        <w:spacing w:after="0" w:line="282"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or which require tracking gifts and other remuneration and items of value provided to physicians, other healthcare providers and entities; state and local laws that require the registration of pharmaceutical sales representatives; and state and local laws governing the privacy and security of health information in some circumstances, many of which differ from each other in significant ways and often are not preempted by HIPAA, thus complicating compliance efforts. Violation of any of such laws or any other governmental regulations that apply may result in penalties, including, without limitation, civil and criminal penalties, damages, fines, additional reporting obligation, the curtailment or restructuring of operations, exclusion from participation in governmental healthcare programs and individual imprisonment.</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Data privacy and security laws</w:t>
      </w:r>
    </w:p>
    <w:p>
      <w:pPr>
        <w:spacing w:after="0" w:line="124" w:lineRule="exact"/>
        <w:rPr>
          <w:sz w:val="20"/>
          <w:szCs w:val="20"/>
          <w:color w:val="auto"/>
        </w:rPr>
      </w:pPr>
    </w:p>
    <w:p>
      <w:pPr>
        <w:ind w:left="120" w:right="80"/>
        <w:spacing w:after="0" w:line="235" w:lineRule="auto"/>
        <w:rPr>
          <w:sz w:val="20"/>
          <w:szCs w:val="20"/>
          <w:color w:val="auto"/>
        </w:rPr>
      </w:pPr>
      <w:r>
        <w:rPr>
          <w:rFonts w:ascii="Arial" w:cs="Arial" w:eastAsia="Arial" w:hAnsi="Arial"/>
          <w:sz w:val="18"/>
          <w:szCs w:val="18"/>
          <w:color w:val="auto"/>
        </w:rPr>
        <w:t>Pharmaceutical companies may be subject to U.S. federal and state health information privacy, security and data breach notification laws, which may govern the collection, use, disclosure and protection of health-related and other personal information. State laws may be more stringent, broader in scope or offer greater individual rights with respect to protected health information, or PHI, than HIPAA and state laws may differ from each other, which may complicate compliance efforts. Entities that are found to be in violation of HIPAA as the result of a breach of unsecured PHI, a complaint about privacy practices or an audit by the Department of Health and Human Services, or HHS, may be subject to significant civil, criminal and administrative fines and penalties and/or additional reporting and oversight obligations if required to enter into a resolution agreement and corrective action plan with HHS to settle allegations of HIPAA non-compliance. In addition, California enacted the California Consumer Privacy Act, or CCPA, which creates individual privacy rights for California consumers and increases the privacy and security obligations of entities handling certain personal data. The CCPA goes into</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effect on January 1, 2020, and the California Attorney General may bring enforcement actions for violations beginning July 1, 2020. The CCPA has been amended from time to time, and it remains unclear what, if any, further modifications will be made to this legislation or how it will be interpreted.</w:t>
      </w:r>
    </w:p>
    <w:p>
      <w:pPr>
        <w:spacing w:after="0" w:line="100"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European Union member states, the United Kingdom, Switzerland and other jurisdictions have also adopted data protection laws and regulations, which impose significant compliance obligations. In the European Economic Area, or EEA, and the United Kingdom, the collection and use of personal data, including clinical trial data, is governed by the provisions of the General Data Protection Regulation, or GDPR. The GDPR became effective on May 25, 2018, repealing its predecessor directive and increasing responsibility and liability of pharmaceutical companies in relation to the processing of personal data of EU data subjects. The GDPR, together with national legislation, regulations and guidelines of the EU member states and the United Kingdom governing the processing of personal data, impose strict obligations and restrictions on the ability to collect, analyze, store, transfer and otherwise process personal data, including health data from clinical trials and adverse event reporting. In particular, the GDPR includes obligations and restrictions concerning the consent of the individuals to whom the personal data relates, the information provided to such individuals, the transfer of personal data out of the EEA or the United Kingdom, security breach notifications, security and confidentiality of the personal data and imposition of substantial potential fines for breaches of the data protection obligations. European data protection authorities may interpret the GDPR and national laws differently and impose additional requirements, which add to the complexity of processing personal data in or from the EEA or United Kingdom. Guidance on implementation and compliance practices are often updated or otherwise revised.</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Significant uncertainty exists as to the coverage and reimbursement status of any newly approved product. Decisions regarding the extent of coverage and amount of reimbursement to be provided are made on a plan-by-plan basis. One third-party payor’s decision to cover a particular product does not ensure that other payors will also provide coverage for the product. As a result, the coverage determination process can require manufacturers to provide scientific and clinical support for the use of a product to each payor separately and can be a time-consuming process, with no assurance that coverage and adequate reimbursement will be applied consistently or obtained in the first instance.</w:t>
      </w:r>
    </w:p>
    <w:p>
      <w:pPr>
        <w:spacing w:after="0" w:line="100"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In addition, third-party payors are increasingly reducing reimbursements for pharmaceutical products and services. The U.S. government and state legislatures have continued implementing cost-containment programs, including price controls, restrictions on coverage and reimbursement and requirements for substitution of generic products. Third-party payors are more and more challenging the prices charged, examining the medical necessity and reviewing the cost effectiveness of pharmaceutical products, in addition to questioning their safety and efficacy.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w:t>
      </w:r>
    </w:p>
    <w:p>
      <w:pPr>
        <w:spacing w:after="0" w:line="101" w:lineRule="exact"/>
        <w:rPr>
          <w:sz w:val="20"/>
          <w:szCs w:val="20"/>
          <w:color w:val="auto"/>
        </w:rPr>
      </w:pPr>
    </w:p>
    <w:p>
      <w:pPr>
        <w:ind w:left="120" w:right="260"/>
        <w:spacing w:after="0" w:line="237" w:lineRule="auto"/>
        <w:rPr>
          <w:sz w:val="20"/>
          <w:szCs w:val="20"/>
          <w:color w:val="auto"/>
        </w:rPr>
      </w:pPr>
      <w:r>
        <w:rPr>
          <w:rFonts w:ascii="Arial" w:cs="Arial" w:eastAsia="Arial" w:hAnsi="Arial"/>
          <w:sz w:val="18"/>
          <w:szCs w:val="18"/>
          <w:color w:val="auto"/>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 Furthermore, there is no assurance that a product will be considered medically reasonable and necessary for a specific indication, will be considered cost-effective by third-party payors, that an adequate level of reimbursement will be established even if coverage is available or that the third-party payors’ reimbursement policies will not adversely affect the ability for manufacturers to sell products profitably.</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24" w:lineRule="exact"/>
        <w:rPr>
          <w:sz w:val="20"/>
          <w:szCs w:val="20"/>
          <w:color w:val="auto"/>
        </w:rPr>
      </w:pPr>
    </w:p>
    <w:p>
      <w:pPr>
        <w:ind w:left="120" w:right="40"/>
        <w:spacing w:after="0" w:line="267" w:lineRule="auto"/>
        <w:rPr>
          <w:sz w:val="20"/>
          <w:szCs w:val="20"/>
          <w:color w:val="auto"/>
        </w:rPr>
      </w:pPr>
      <w:r>
        <w:rPr>
          <w:rFonts w:ascii="Arial" w:cs="Arial" w:eastAsia="Arial" w:hAnsi="Arial"/>
          <w:sz w:val="16"/>
          <w:szCs w:val="16"/>
          <w:color w:val="auto"/>
        </w:rPr>
        <w:t>In the United States and certain foreign jurisdictions, there have been, and we expect there will continue to be, a number of legislative and regulatory changes to the healthcare system. In March 2010, the Patient Protection and Affordable Care Act, as amended by the Health Care and Education Reconciliation Act, or collectively the ACA, was signed into law, which substantially changed the way healthcare is financed by both governmental and private insurers in the United States. The ACA contains a number of provisions, including those governing enrollment in federal healthcare programs, reimbursement adjustments and fraud and abuse changes. Additionally, the ACA increased the minimum level of Medicaid rebates payable by manufacturers of brand name drugs from 15.1% to 23.1%; required collection of rebates for drugs paid by Medicaid managed care organizations; imposed a non-deductible annual fee on pharmaceutical manufacturers or importers who sell certain “branded prescription drugs” to specified federal government programs; expanded eligibility criteria for Medicaid programs; created a new Patient-Centered Outcomes Research Institute to oversee, identify priorities in, and conduct comparative clinical effectiveness research, along with funding for such research; and established a Center for Medicare Innovation at CMS to test innovative payment and service delivery models to lower Medicare and Medicaid spending, potentially including prescription drug spending.</w:t>
      </w:r>
    </w:p>
    <w:p>
      <w:pPr>
        <w:spacing w:after="0" w:line="289" w:lineRule="exact"/>
        <w:rPr>
          <w:sz w:val="20"/>
          <w:szCs w:val="20"/>
          <w:color w:val="auto"/>
        </w:rPr>
      </w:pPr>
    </w:p>
    <w:p>
      <w:pPr>
        <w:ind w:left="120" w:right="40"/>
        <w:spacing w:after="0" w:line="235" w:lineRule="auto"/>
        <w:rPr>
          <w:sz w:val="20"/>
          <w:szCs w:val="20"/>
          <w:color w:val="auto"/>
        </w:rPr>
      </w:pPr>
      <w:r>
        <w:rPr>
          <w:rFonts w:ascii="Arial" w:cs="Arial" w:eastAsia="Arial" w:hAnsi="Arial"/>
          <w:sz w:val="18"/>
          <w:szCs w:val="18"/>
          <w:color w:val="auto"/>
        </w:rPr>
        <w:t>Since its enactment, there have been judicial and Congressional challenges to certain aspects of the ACA, and we expect there will be additional challenges and amendments to the ACA in the future. For example, in 2017, Congress enacted the Tax Cuts and Jobs Act, which eliminated the tax-based shared responsibility payment imposed by the ACA on certain individuals who fail to maintain qualifying health coverage for all or part of a year that is commonly referred to as the “individual mandate.” On December 14, 2018, a U.S. District Court Judge in the Northern District of Texas, or the Texas District Court Judge, ruled that the individual mandate is a critical and inseverable feature of the ACA, and therefore, because it was repealed as part of the Tax Cuts and Jobs Act, the remaining provisions of the ACA are invalid as well. While the Texas U.S. District Court Judge, as well as the Trump Administration and CMS, have stated that the ruling will have no immediate effect, and on December 30, 2018 the Texas District Court Judge issued an order staying the judgment pending appeal, it is unclear how this decision, subsequent appeals, and other efforts to repeal and replace the ACA will impact the ACA.</w:t>
      </w:r>
    </w:p>
    <w:p>
      <w:pPr>
        <w:spacing w:after="0" w:line="106" w:lineRule="exact"/>
        <w:rPr>
          <w:sz w:val="20"/>
          <w:szCs w:val="20"/>
          <w:color w:val="auto"/>
        </w:rPr>
      </w:pPr>
    </w:p>
    <w:p>
      <w:pPr>
        <w:ind w:left="120" w:right="60"/>
        <w:spacing w:after="0" w:line="269" w:lineRule="auto"/>
        <w:rPr>
          <w:sz w:val="20"/>
          <w:szCs w:val="20"/>
          <w:color w:val="auto"/>
        </w:rPr>
      </w:pPr>
      <w:r>
        <w:rPr>
          <w:rFonts w:ascii="Arial" w:cs="Arial" w:eastAsia="Arial" w:hAnsi="Arial"/>
          <w:sz w:val="16"/>
          <w:szCs w:val="16"/>
          <w:color w:val="auto"/>
        </w:rPr>
        <w:t>Other legislative changes have been proposed and adopted since the ACA was enacted, including aggregate reductions of Medicare payments to providers of 2% per fiscal year and reduced payments to several types of Medicare providers, which will remain in effect through 2027 absent additional congressional action. 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review the relationship between pricing and manufacturer patient programs and reform government program reimbursement methodologies for pharmaceutical products. Individual states in the United States have also become increasingly active in implementing regulations designed to control pharmaceutical product pricing, including price or patient reimbursement constraints, discounts, restrictions on certain product access and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20"/>
        <w:spacing w:after="0" w:line="238" w:lineRule="auto"/>
        <w:rPr>
          <w:sz w:val="20"/>
          <w:szCs w:val="20"/>
          <w:color w:val="auto"/>
        </w:rPr>
      </w:pPr>
      <w:r>
        <w:rPr>
          <w:rFonts w:ascii="Arial" w:cs="Arial" w:eastAsia="Arial" w:hAnsi="Arial"/>
          <w:sz w:val="18"/>
          <w:szCs w:val="18"/>
          <w:color w:val="auto"/>
        </w:rPr>
        <w:t>marketing cost disclosure and transparency measures and, in some cases, mechanisms to encourage importation from other countries and bulk purchasing. Furthermore, there has been increased interest by third party payors and governmental authorities in reference pricing systems and publication of discounts and list prices.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Employees</w:t>
      </w:r>
    </w:p>
    <w:p>
      <w:pPr>
        <w:spacing w:after="0" w:line="134" w:lineRule="exact"/>
        <w:rPr>
          <w:sz w:val="20"/>
          <w:szCs w:val="20"/>
          <w:color w:val="auto"/>
        </w:rPr>
      </w:pPr>
    </w:p>
    <w:p>
      <w:pPr>
        <w:ind w:left="120" w:right="240"/>
        <w:spacing w:after="0" w:line="237" w:lineRule="auto"/>
        <w:rPr>
          <w:sz w:val="20"/>
          <w:szCs w:val="20"/>
          <w:color w:val="auto"/>
        </w:rPr>
      </w:pPr>
      <w:r>
        <w:rPr>
          <w:rFonts w:ascii="Arial" w:cs="Arial" w:eastAsia="Arial" w:hAnsi="Arial"/>
          <w:sz w:val="18"/>
          <w:szCs w:val="18"/>
          <w:color w:val="auto"/>
        </w:rPr>
        <w:t>As of July 31, 2019, we had 87 full-time employees. 48 of our employees have M.D. or Ph.D. degrees. Within our workforce, 71 employees are engaged in research and development and 16 are engaged in business development, finance, legal, and general management and administration. None of our employees are represented by labor unions or covered by collective bargaining agreements. We consider our relationship with our employees to be good.</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Facilities</w:t>
      </w:r>
    </w:p>
    <w:p>
      <w:pPr>
        <w:spacing w:after="0" w:line="134" w:lineRule="exact"/>
        <w:rPr>
          <w:sz w:val="20"/>
          <w:szCs w:val="20"/>
          <w:color w:val="auto"/>
        </w:rPr>
      </w:pPr>
    </w:p>
    <w:p>
      <w:pPr>
        <w:jc w:val="both"/>
        <w:ind w:left="120" w:right="280"/>
        <w:spacing w:after="0" w:line="238" w:lineRule="auto"/>
        <w:rPr>
          <w:sz w:val="20"/>
          <w:szCs w:val="20"/>
          <w:color w:val="auto"/>
        </w:rPr>
      </w:pPr>
      <w:r>
        <w:rPr>
          <w:rFonts w:ascii="Arial" w:cs="Arial" w:eastAsia="Arial" w:hAnsi="Arial"/>
          <w:sz w:val="18"/>
          <w:szCs w:val="18"/>
          <w:color w:val="auto"/>
        </w:rPr>
        <w:t>Our corporate headquarters is located in Redwood City, California, where we lease and occupy approximately 42,000 square feet of office and laboratory space. The current term of our Redwood City lease expires in April 2023, with an option to extend the term through January 2028.</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sublease approximately 3,000 square feet of additional laboratory space in Redwood City, California from OncoMed Pharmaceuticals, Inc.</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current term of this sublease expires in January 2020 and can be extended on a month-to-month basis.</w:t>
      </w:r>
    </w:p>
    <w:p>
      <w:pPr>
        <w:spacing w:after="0" w:line="104" w:lineRule="exact"/>
        <w:rPr>
          <w:sz w:val="20"/>
          <w:szCs w:val="20"/>
          <w:color w:val="auto"/>
        </w:rPr>
      </w:pPr>
    </w:p>
    <w:p>
      <w:pPr>
        <w:ind w:left="120" w:right="160"/>
        <w:spacing w:after="0" w:line="281" w:lineRule="auto"/>
        <w:rPr>
          <w:sz w:val="20"/>
          <w:szCs w:val="20"/>
          <w:color w:val="auto"/>
        </w:rPr>
      </w:pPr>
      <w:r>
        <w:rPr>
          <w:rFonts w:ascii="Arial" w:cs="Arial" w:eastAsia="Arial" w:hAnsi="Arial"/>
          <w:sz w:val="16"/>
          <w:szCs w:val="16"/>
          <w:color w:val="auto"/>
        </w:rPr>
        <w:t>We also lease approximately 22,000 square feet of office and laboratory space in Cambridge, Massachusetts. The current term of our Cambridge lease expires in February 2023, with an option to extend the term through February 2028, subject to certain conditions. We have subleased this office and laboratory space to Casma Therapeutics, Inc. The current term of this sublease expires in February 2023.</w:t>
      </w:r>
    </w:p>
    <w:p>
      <w:pPr>
        <w:spacing w:after="0" w:line="69" w:lineRule="exact"/>
        <w:rPr>
          <w:sz w:val="20"/>
          <w:szCs w:val="20"/>
          <w:color w:val="auto"/>
        </w:rPr>
      </w:pPr>
    </w:p>
    <w:p>
      <w:pPr>
        <w:jc w:val="both"/>
        <w:ind w:left="120" w:right="400"/>
        <w:spacing w:after="0" w:line="238" w:lineRule="auto"/>
        <w:rPr>
          <w:sz w:val="20"/>
          <w:szCs w:val="20"/>
          <w:color w:val="auto"/>
        </w:rPr>
      </w:pPr>
      <w:r>
        <w:rPr>
          <w:rFonts w:ascii="Arial" w:cs="Arial" w:eastAsia="Arial" w:hAnsi="Arial"/>
          <w:sz w:val="18"/>
          <w:szCs w:val="18"/>
          <w:color w:val="auto"/>
        </w:rPr>
        <w:t>We believe our existing facilities are sufficient for our needs for the foreseeable future. To meet the future needs of our business, we may lease additional or alternate space, and we believe suitable additional or alternative space will be available in the future on commercially reasonable terms.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Legal proceedings</w:t>
      </w:r>
    </w:p>
    <w:p>
      <w:pPr>
        <w:spacing w:after="0" w:line="134" w:lineRule="exact"/>
        <w:rPr>
          <w:sz w:val="20"/>
          <w:szCs w:val="20"/>
          <w:color w:val="auto"/>
        </w:rPr>
      </w:pPr>
    </w:p>
    <w:p>
      <w:pPr>
        <w:ind w:left="120" w:right="380"/>
        <w:spacing w:after="0" w:line="237" w:lineRule="auto"/>
        <w:rPr>
          <w:sz w:val="20"/>
          <w:szCs w:val="20"/>
          <w:color w:val="auto"/>
        </w:rPr>
      </w:pPr>
      <w:r>
        <w:rPr>
          <w:rFonts w:ascii="Arial" w:cs="Arial" w:eastAsia="Arial" w:hAnsi="Arial"/>
          <w:sz w:val="18"/>
          <w:szCs w:val="18"/>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Management</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Executive officers and directors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information regarding our executive officers and directors as of July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Age</w:t>
            </w:r>
          </w:p>
        </w:tc>
        <w:tc>
          <w:tcPr>
            <w:tcW w:w="61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Position(s)</w:t>
            </w:r>
          </w:p>
        </w:tc>
      </w:tr>
      <w:tr>
        <w:trPr>
          <w:trHeight w:val="48"/>
        </w:trPr>
        <w:tc>
          <w:tcPr>
            <w:tcW w:w="39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180" w:type="dxa"/>
            <w:vAlign w:val="bottom"/>
          </w:tcPr>
          <w:p>
            <w:pPr>
              <w:spacing w:after="0"/>
              <w:rPr>
                <w:sz w:val="4"/>
                <w:szCs w:val="4"/>
                <w:color w:val="auto"/>
              </w:rPr>
            </w:pPr>
          </w:p>
        </w:tc>
      </w:tr>
      <w:tr>
        <w:trPr>
          <w:trHeight w:val="203"/>
        </w:trPr>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Executive Officers and Employee Director</w:t>
            </w:r>
          </w:p>
        </w:tc>
        <w:tc>
          <w:tcPr>
            <w:tcW w:w="920" w:type="dxa"/>
            <w:vAlign w:val="bottom"/>
            <w:shd w:val="clear" w:color="auto" w:fill="CCEEFF"/>
          </w:tcPr>
          <w:p>
            <w:pPr>
              <w:spacing w:after="0"/>
              <w:rPr>
                <w:sz w:val="17"/>
                <w:szCs w:val="17"/>
                <w:color w:val="auto"/>
              </w:rPr>
            </w:pPr>
          </w:p>
        </w:tc>
        <w:tc>
          <w:tcPr>
            <w:tcW w:w="6180" w:type="dxa"/>
            <w:vAlign w:val="bottom"/>
            <w:shd w:val="clear" w:color="auto" w:fill="CCEEFF"/>
          </w:tcPr>
          <w:p>
            <w:pPr>
              <w:spacing w:after="0"/>
              <w:rPr>
                <w:sz w:val="17"/>
                <w:szCs w:val="17"/>
                <w:color w:val="auto"/>
              </w:rPr>
            </w:pPr>
          </w:p>
        </w:tc>
      </w:tr>
      <w:tr>
        <w:trPr>
          <w:trHeight w:val="268"/>
        </w:trPr>
        <w:tc>
          <w:tcPr>
            <w:tcW w:w="3920" w:type="dxa"/>
            <w:vAlign w:val="bottom"/>
          </w:tcPr>
          <w:p>
            <w:pPr>
              <w:spacing w:after="0"/>
              <w:rPr>
                <w:sz w:val="20"/>
                <w:szCs w:val="20"/>
                <w:color w:val="auto"/>
              </w:rPr>
            </w:pPr>
            <w:r>
              <w:rPr>
                <w:rFonts w:ascii="Arial" w:cs="Arial" w:eastAsia="Arial" w:hAnsi="Arial"/>
                <w:sz w:val="18"/>
                <w:szCs w:val="18"/>
                <w:color w:val="auto"/>
              </w:rPr>
              <w:t>Mark A. Goldsmith, M.D., Ph.D.</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57</w:t>
            </w:r>
          </w:p>
        </w:tc>
        <w:tc>
          <w:tcPr>
            <w:tcW w:w="6180" w:type="dxa"/>
            <w:vAlign w:val="bottom"/>
          </w:tcPr>
          <w:p>
            <w:pPr>
              <w:ind w:left="140"/>
              <w:spacing w:after="0"/>
              <w:rPr>
                <w:sz w:val="20"/>
                <w:szCs w:val="20"/>
                <w:color w:val="auto"/>
              </w:rPr>
            </w:pPr>
            <w:r>
              <w:rPr>
                <w:rFonts w:ascii="Arial" w:cs="Arial" w:eastAsia="Arial" w:hAnsi="Arial"/>
                <w:sz w:val="18"/>
                <w:szCs w:val="18"/>
                <w:color w:val="auto"/>
              </w:rPr>
              <w:t>President, Chief Executive Officer and Director</w:t>
            </w:r>
          </w:p>
        </w:tc>
      </w:tr>
      <w:tr>
        <w:trPr>
          <w:trHeight w:val="43"/>
        </w:trPr>
        <w:tc>
          <w:tcPr>
            <w:tcW w:w="39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180" w:type="dxa"/>
            <w:vAlign w:val="bottom"/>
          </w:tcPr>
          <w:p>
            <w:pPr>
              <w:spacing w:after="0"/>
              <w:rPr>
                <w:sz w:val="3"/>
                <w:szCs w:val="3"/>
                <w:color w:val="auto"/>
              </w:rPr>
            </w:pPr>
          </w:p>
        </w:tc>
      </w:tr>
      <w:tr>
        <w:trPr>
          <w:trHeight w:val="203"/>
        </w:trPr>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Steve Kelsey, M.D., FRCP, FRCPath</w:t>
            </w:r>
          </w:p>
        </w:tc>
        <w:tc>
          <w:tcPr>
            <w:tcW w:w="9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58</w:t>
            </w:r>
          </w:p>
        </w:tc>
        <w:tc>
          <w:tcPr>
            <w:tcW w:w="61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President, Research and Development</w:t>
            </w:r>
          </w:p>
        </w:tc>
      </w:tr>
      <w:tr>
        <w:trPr>
          <w:trHeight w:val="268"/>
        </w:trPr>
        <w:tc>
          <w:tcPr>
            <w:tcW w:w="3920" w:type="dxa"/>
            <w:vAlign w:val="bottom"/>
          </w:tcPr>
          <w:p>
            <w:pPr>
              <w:spacing w:after="0"/>
              <w:rPr>
                <w:sz w:val="20"/>
                <w:szCs w:val="20"/>
                <w:color w:val="auto"/>
              </w:rPr>
            </w:pPr>
            <w:r>
              <w:rPr>
                <w:rFonts w:ascii="Arial" w:cs="Arial" w:eastAsia="Arial" w:hAnsi="Arial"/>
                <w:sz w:val="18"/>
                <w:szCs w:val="18"/>
                <w:color w:val="auto"/>
              </w:rPr>
              <w:t>Margaret Horn, J.D.</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56</w:t>
            </w:r>
          </w:p>
        </w:tc>
        <w:tc>
          <w:tcPr>
            <w:tcW w:w="6180" w:type="dxa"/>
            <w:vAlign w:val="bottom"/>
          </w:tcPr>
          <w:p>
            <w:pPr>
              <w:ind w:left="140"/>
              <w:spacing w:after="0"/>
              <w:rPr>
                <w:sz w:val="20"/>
                <w:szCs w:val="20"/>
                <w:color w:val="auto"/>
              </w:rPr>
            </w:pPr>
            <w:r>
              <w:rPr>
                <w:rFonts w:ascii="Arial" w:cs="Arial" w:eastAsia="Arial" w:hAnsi="Arial"/>
                <w:sz w:val="18"/>
                <w:szCs w:val="18"/>
                <w:color w:val="auto"/>
              </w:rPr>
              <w:t>Chief Operating Officer and General Counsel</w:t>
            </w:r>
          </w:p>
        </w:tc>
      </w:tr>
      <w:tr>
        <w:trPr>
          <w:trHeight w:val="97"/>
        </w:trPr>
        <w:tc>
          <w:tcPr>
            <w:tcW w:w="3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180" w:type="dxa"/>
            <w:vAlign w:val="bottom"/>
          </w:tcPr>
          <w:p>
            <w:pPr>
              <w:spacing w:after="0"/>
              <w:rPr>
                <w:sz w:val="8"/>
                <w:szCs w:val="8"/>
                <w:color w:val="auto"/>
              </w:rPr>
            </w:pPr>
          </w:p>
        </w:tc>
      </w:tr>
      <w:tr>
        <w:trPr>
          <w:trHeight w:val="203"/>
        </w:trPr>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Key Employees</w:t>
            </w:r>
          </w:p>
        </w:tc>
        <w:tc>
          <w:tcPr>
            <w:tcW w:w="920" w:type="dxa"/>
            <w:vAlign w:val="bottom"/>
            <w:shd w:val="clear" w:color="auto" w:fill="CCEEFF"/>
          </w:tcPr>
          <w:p>
            <w:pPr>
              <w:spacing w:after="0"/>
              <w:rPr>
                <w:sz w:val="17"/>
                <w:szCs w:val="17"/>
                <w:color w:val="auto"/>
              </w:rPr>
            </w:pPr>
          </w:p>
        </w:tc>
        <w:tc>
          <w:tcPr>
            <w:tcW w:w="6180" w:type="dxa"/>
            <w:vAlign w:val="bottom"/>
            <w:shd w:val="clear" w:color="auto" w:fill="CCEEFF"/>
          </w:tcPr>
          <w:p>
            <w:pPr>
              <w:spacing w:after="0"/>
              <w:rPr>
                <w:sz w:val="17"/>
                <w:szCs w:val="17"/>
                <w:color w:val="auto"/>
              </w:rPr>
            </w:pPr>
          </w:p>
        </w:tc>
      </w:tr>
      <w:tr>
        <w:trPr>
          <w:trHeight w:val="268"/>
        </w:trPr>
        <w:tc>
          <w:tcPr>
            <w:tcW w:w="3920" w:type="dxa"/>
            <w:vAlign w:val="bottom"/>
          </w:tcPr>
          <w:p>
            <w:pPr>
              <w:spacing w:after="0"/>
              <w:rPr>
                <w:sz w:val="20"/>
                <w:szCs w:val="20"/>
                <w:color w:val="auto"/>
              </w:rPr>
            </w:pPr>
            <w:r>
              <w:rPr>
                <w:rFonts w:ascii="Arial" w:cs="Arial" w:eastAsia="Arial" w:hAnsi="Arial"/>
                <w:sz w:val="18"/>
                <w:szCs w:val="18"/>
                <w:color w:val="auto"/>
              </w:rPr>
              <w:t>Jack Anders</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42</w:t>
            </w:r>
          </w:p>
        </w:tc>
        <w:tc>
          <w:tcPr>
            <w:tcW w:w="6180" w:type="dxa"/>
            <w:vAlign w:val="bottom"/>
          </w:tcPr>
          <w:p>
            <w:pPr>
              <w:ind w:left="140"/>
              <w:spacing w:after="0"/>
              <w:rPr>
                <w:sz w:val="20"/>
                <w:szCs w:val="20"/>
                <w:color w:val="auto"/>
              </w:rPr>
            </w:pPr>
            <w:r>
              <w:rPr>
                <w:rFonts w:ascii="Arial" w:cs="Arial" w:eastAsia="Arial" w:hAnsi="Arial"/>
                <w:sz w:val="18"/>
                <w:szCs w:val="18"/>
                <w:color w:val="auto"/>
              </w:rPr>
              <w:t>Vice President, Finance and Principal Accounting Officer</w:t>
            </w:r>
          </w:p>
        </w:tc>
      </w:tr>
      <w:tr>
        <w:trPr>
          <w:trHeight w:val="97"/>
        </w:trPr>
        <w:tc>
          <w:tcPr>
            <w:tcW w:w="3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180" w:type="dxa"/>
            <w:vAlign w:val="bottom"/>
          </w:tcPr>
          <w:p>
            <w:pPr>
              <w:spacing w:after="0"/>
              <w:rPr>
                <w:sz w:val="8"/>
                <w:szCs w:val="8"/>
                <w:color w:val="auto"/>
              </w:rPr>
            </w:pPr>
          </w:p>
        </w:tc>
      </w:tr>
      <w:tr>
        <w:trPr>
          <w:trHeight w:val="203"/>
        </w:trPr>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Non-Employee Directors</w:t>
            </w:r>
          </w:p>
        </w:tc>
        <w:tc>
          <w:tcPr>
            <w:tcW w:w="920" w:type="dxa"/>
            <w:vAlign w:val="bottom"/>
            <w:shd w:val="clear" w:color="auto" w:fill="CCEEFF"/>
          </w:tcPr>
          <w:p>
            <w:pPr>
              <w:spacing w:after="0"/>
              <w:rPr>
                <w:sz w:val="17"/>
                <w:szCs w:val="17"/>
                <w:color w:val="auto"/>
              </w:rPr>
            </w:pPr>
          </w:p>
        </w:tc>
        <w:tc>
          <w:tcPr>
            <w:tcW w:w="6180" w:type="dxa"/>
            <w:vAlign w:val="bottom"/>
            <w:shd w:val="clear" w:color="auto" w:fill="CCEEFF"/>
          </w:tcPr>
          <w:p>
            <w:pPr>
              <w:spacing w:after="0"/>
              <w:rPr>
                <w:sz w:val="17"/>
                <w:szCs w:val="17"/>
                <w:color w:val="auto"/>
              </w:rPr>
            </w:pPr>
          </w:p>
        </w:tc>
      </w:tr>
      <w:tr>
        <w:trPr>
          <w:trHeight w:val="268"/>
        </w:trPr>
        <w:tc>
          <w:tcPr>
            <w:tcW w:w="3920" w:type="dxa"/>
            <w:vAlign w:val="bottom"/>
          </w:tcPr>
          <w:p>
            <w:pPr>
              <w:spacing w:after="0"/>
              <w:rPr>
                <w:sz w:val="20"/>
                <w:szCs w:val="20"/>
                <w:color w:val="auto"/>
              </w:rPr>
            </w:pPr>
            <w:r>
              <w:rPr>
                <w:rFonts w:ascii="Arial" w:cs="Arial" w:eastAsia="Arial" w:hAnsi="Arial"/>
                <w:sz w:val="18"/>
                <w:szCs w:val="18"/>
                <w:color w:val="auto"/>
              </w:rPr>
              <w:t>Elizabeth McKee Anderson</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61</w:t>
            </w:r>
          </w:p>
        </w:tc>
        <w:tc>
          <w:tcPr>
            <w:tcW w:w="618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43"/>
        </w:trPr>
        <w:tc>
          <w:tcPr>
            <w:tcW w:w="39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180" w:type="dxa"/>
            <w:vAlign w:val="bottom"/>
          </w:tcPr>
          <w:p>
            <w:pPr>
              <w:spacing w:after="0"/>
              <w:rPr>
                <w:sz w:val="3"/>
                <w:szCs w:val="3"/>
                <w:color w:val="auto"/>
              </w:rPr>
            </w:pPr>
          </w:p>
        </w:tc>
      </w:tr>
      <w:tr>
        <w:trPr>
          <w:trHeight w:val="203"/>
        </w:trPr>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Alexis Borisy</w:t>
            </w:r>
          </w:p>
        </w:tc>
        <w:tc>
          <w:tcPr>
            <w:tcW w:w="9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47</w:t>
            </w:r>
          </w:p>
        </w:tc>
        <w:tc>
          <w:tcPr>
            <w:tcW w:w="61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Director</w:t>
            </w:r>
          </w:p>
        </w:tc>
      </w:tr>
      <w:tr>
        <w:trPr>
          <w:trHeight w:val="268"/>
        </w:trPr>
        <w:tc>
          <w:tcPr>
            <w:tcW w:w="3920" w:type="dxa"/>
            <w:vAlign w:val="bottom"/>
          </w:tcPr>
          <w:p>
            <w:pPr>
              <w:spacing w:after="0"/>
              <w:rPr>
                <w:sz w:val="20"/>
                <w:szCs w:val="20"/>
                <w:color w:val="auto"/>
              </w:rPr>
            </w:pPr>
            <w:r>
              <w:rPr>
                <w:rFonts w:ascii="Arial" w:cs="Arial" w:eastAsia="Arial" w:hAnsi="Arial"/>
                <w:sz w:val="18"/>
                <w:szCs w:val="18"/>
                <w:color w:val="auto"/>
              </w:rPr>
              <w:t>Neil Exter</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61</w:t>
            </w:r>
          </w:p>
        </w:tc>
        <w:tc>
          <w:tcPr>
            <w:tcW w:w="618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43"/>
        </w:trPr>
        <w:tc>
          <w:tcPr>
            <w:tcW w:w="39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180" w:type="dxa"/>
            <w:vAlign w:val="bottom"/>
          </w:tcPr>
          <w:p>
            <w:pPr>
              <w:spacing w:after="0"/>
              <w:rPr>
                <w:sz w:val="3"/>
                <w:szCs w:val="3"/>
                <w:color w:val="auto"/>
              </w:rPr>
            </w:pPr>
          </w:p>
        </w:tc>
      </w:tr>
      <w:tr>
        <w:trPr>
          <w:trHeight w:val="203"/>
        </w:trPr>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Larry Lasky, Ph.D.</w:t>
            </w:r>
          </w:p>
        </w:tc>
        <w:tc>
          <w:tcPr>
            <w:tcW w:w="9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68</w:t>
            </w:r>
          </w:p>
        </w:tc>
        <w:tc>
          <w:tcPr>
            <w:tcW w:w="61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Director</w:t>
            </w:r>
          </w:p>
        </w:tc>
      </w:tr>
      <w:tr>
        <w:trPr>
          <w:trHeight w:val="268"/>
        </w:trPr>
        <w:tc>
          <w:tcPr>
            <w:tcW w:w="3920" w:type="dxa"/>
            <w:vAlign w:val="bottom"/>
          </w:tcPr>
          <w:p>
            <w:pPr>
              <w:spacing w:after="0"/>
              <w:rPr>
                <w:sz w:val="20"/>
                <w:szCs w:val="20"/>
                <w:color w:val="auto"/>
              </w:rPr>
            </w:pPr>
            <w:r>
              <w:rPr>
                <w:rFonts w:ascii="Arial" w:cs="Arial" w:eastAsia="Arial" w:hAnsi="Arial"/>
                <w:sz w:val="18"/>
                <w:szCs w:val="18"/>
                <w:color w:val="auto"/>
              </w:rPr>
              <w:t>Vincent A. Miller, M.D.</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57</w:t>
            </w:r>
          </w:p>
        </w:tc>
        <w:tc>
          <w:tcPr>
            <w:tcW w:w="618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43"/>
        </w:trPr>
        <w:tc>
          <w:tcPr>
            <w:tcW w:w="39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180" w:type="dxa"/>
            <w:vAlign w:val="bottom"/>
          </w:tcPr>
          <w:p>
            <w:pPr>
              <w:spacing w:after="0"/>
              <w:rPr>
                <w:sz w:val="3"/>
                <w:szCs w:val="3"/>
                <w:color w:val="auto"/>
              </w:rPr>
            </w:pPr>
          </w:p>
        </w:tc>
      </w:tr>
      <w:tr>
        <w:trPr>
          <w:trHeight w:val="203"/>
        </w:trPr>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Thilo Schroeder, Ph.D.</w:t>
            </w:r>
          </w:p>
        </w:tc>
        <w:tc>
          <w:tcPr>
            <w:tcW w:w="9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38</w:t>
            </w:r>
          </w:p>
        </w:tc>
        <w:tc>
          <w:tcPr>
            <w:tcW w:w="61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Director</w:t>
            </w:r>
          </w:p>
        </w:tc>
      </w:tr>
      <w:tr>
        <w:trPr>
          <w:trHeight w:val="269"/>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Barbara Weber, M.D.</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62</w:t>
            </w:r>
          </w:p>
        </w:tc>
        <w:tc>
          <w:tcPr>
            <w:tcW w:w="61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Director</w:t>
            </w:r>
          </w:p>
        </w:tc>
      </w:tr>
    </w:tbl>
    <w:p>
      <w:pPr>
        <w:spacing w:after="0" w:line="18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Executive officers and employee director</w:t>
      </w:r>
    </w:p>
    <w:p>
      <w:pPr>
        <w:spacing w:after="0" w:line="11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b w:val="1"/>
          <w:bCs w:val="1"/>
          <w:i w:val="1"/>
          <w:iCs w:val="1"/>
          <w:color w:val="auto"/>
        </w:rPr>
        <w:t xml:space="preserve">Mark A. Goldsmith, M.D., Ph.D. </w:t>
      </w:r>
      <w:r>
        <w:rPr>
          <w:rFonts w:ascii="Arial" w:cs="Arial" w:eastAsia="Arial" w:hAnsi="Arial"/>
          <w:sz w:val="18"/>
          <w:szCs w:val="18"/>
          <w:color w:val="auto"/>
        </w:rPr>
        <w:t>has served as a member of our board of directors and as our President and Chief Executive Officer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November 2014. Since 2009, Dr. Goldsmith has served as a member of the board of directors of Constellation Pharmaceuticals, Inc., a biopharmaceutical company, where he also served as President and Chief Executive from 2009 to 2012, as Chairman from 2012 to June 2016, and from March 2017 to present, and as Interim Executive Chairman from June 2016 to March 2017. Dr. Goldsmith was previously a Partner with Third Rock Ventures, a life sciences venture capital firm, from March 2012 until March 2013, and a Venture Partner with Third Rock from March 2015 until March 2018. Dr. Goldsmith served as President and Chief Executive Officer and as a member of the board of directors of Global Blood Therapeutics, a biopharmaceutical company, from 2012 to 2014. Dr. Goldsmith also served as President and Chief Executive Officer of Nurix, Inc., a drug discovery company, from 2012 to 2014. Before entering the private sector, Dr. Goldsmith led a medical research laboratory at the Gladstone Institute of Virology and Immunology, practiced medicine on the faculty of the School of Medicine of the University of California, San Francisco and the San Francisco General Hospital, and was a consultant to leading pharmaceutical and biotechnology companies. Dr. Goldsmith received an A.B. from Princeton University in Biology and an M.D. and Ph.D. in Microbiology and Immunology from the School of Medicine of the University of California, San Francisco. We believe that Dr. Goldsmith’s role as our President and Chief Executive Officer together with his extensive experience as an executive and director of several companies in the biopharmaceutical and biotechnology industry, his extensive knowledge of our company, his experience as a venture capital investor in the life sciences industry and his educational background provide him with the qualifications and skills necessary to serve as a member of our board of directors.</w:t>
      </w:r>
    </w:p>
    <w:p>
      <w:pPr>
        <w:spacing w:after="0" w:line="1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40"/>
          </w:cols>
          <w:pgMar w:left="32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right="320"/>
        <w:spacing w:after="0"/>
        <w:rPr>
          <w:sz w:val="20"/>
          <w:szCs w:val="20"/>
          <w:color w:val="auto"/>
        </w:rPr>
      </w:pPr>
      <w:r>
        <w:rPr>
          <w:rFonts w:ascii="Arial" w:cs="Arial" w:eastAsia="Arial" w:hAnsi="Arial"/>
          <w:sz w:val="18"/>
          <w:szCs w:val="18"/>
          <w:b w:val="1"/>
          <w:bCs w:val="1"/>
          <w:i w:val="1"/>
          <w:iCs w:val="1"/>
          <w:color w:val="auto"/>
        </w:rPr>
        <w:t xml:space="preserve">Steve Kelsey, M.D., FRCP, FRCPath </w:t>
      </w:r>
      <w:r>
        <w:rPr>
          <w:rFonts w:ascii="Arial" w:cs="Arial" w:eastAsia="Arial" w:hAnsi="Arial"/>
          <w:sz w:val="18"/>
          <w:szCs w:val="18"/>
          <w:color w:val="auto"/>
        </w:rPr>
        <w:t>has served as our President, Research and Development since March 2017. Previously, Dr. Kelsey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President of Onkaido Therapeutics, a Moderna venture biopharmaceutical company, from 2014 to March 2017. Dr. Kelsey also served as Senior Vice President, New Projects at Medivation, a biopharmaceutical company, from 2013 to 2014. From 2009 to 2013, Dr. Kelsey served as Executive Vice President, Research and Development, and Chief Medical Officer at Geron Corporation, a biopharmaceutical company. Dr. Kelsey received a B.S.c in Pharmacology, an M.B. Ch.B. in Medicine and an M.D. from the University of Birmingham, U.K.</w:t>
      </w:r>
    </w:p>
    <w:p>
      <w:pPr>
        <w:spacing w:after="0" w:line="81"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b w:val="1"/>
          <w:bCs w:val="1"/>
          <w:i w:val="1"/>
          <w:iCs w:val="1"/>
          <w:color w:val="auto"/>
        </w:rPr>
        <w:t xml:space="preserve">Margaret Horn, J.D. </w:t>
      </w:r>
      <w:r>
        <w:rPr>
          <w:rFonts w:ascii="Arial" w:cs="Arial" w:eastAsia="Arial" w:hAnsi="Arial"/>
          <w:sz w:val="18"/>
          <w:szCs w:val="18"/>
          <w:color w:val="auto"/>
        </w:rPr>
        <w:t>has served as our Chief Operating Officer since October 2018 and our General Counsel since December 2014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previously served as our Executive Vice President from December 2014 to October 2018. Prior to joining us, Ms. Horn served as Chief Operating Officer at ProLynx LLC from 2010 to December 2014. Ms. Horn received a B.S. in Pharmacy from the University of the Sciences in Philadelphia and a J.D. from Villanova University Charles Widger School of Law.</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Key employees</w:t>
      </w:r>
    </w:p>
    <w:p>
      <w:pPr>
        <w:spacing w:after="0" w:line="114" w:lineRule="exact"/>
        <w:rPr>
          <w:sz w:val="20"/>
          <w:szCs w:val="20"/>
          <w:color w:val="auto"/>
        </w:rPr>
      </w:pPr>
    </w:p>
    <w:p>
      <w:pPr>
        <w:ind w:left="120" w:right="160"/>
        <w:spacing w:after="0" w:line="294" w:lineRule="auto"/>
        <w:rPr>
          <w:sz w:val="20"/>
          <w:szCs w:val="20"/>
          <w:color w:val="auto"/>
        </w:rPr>
      </w:pPr>
      <w:r>
        <w:rPr>
          <w:rFonts w:ascii="Arial" w:cs="Arial" w:eastAsia="Arial" w:hAnsi="Arial"/>
          <w:sz w:val="16"/>
          <w:szCs w:val="16"/>
          <w:b w:val="1"/>
          <w:bCs w:val="1"/>
          <w:i w:val="1"/>
          <w:iCs w:val="1"/>
          <w:color w:val="auto"/>
        </w:rPr>
        <w:t xml:space="preserve">Jack Anders </w:t>
      </w:r>
      <w:r>
        <w:rPr>
          <w:rFonts w:ascii="Arial" w:cs="Arial" w:eastAsia="Arial" w:hAnsi="Arial"/>
          <w:sz w:val="16"/>
          <w:szCs w:val="16"/>
          <w:color w:val="auto"/>
        </w:rPr>
        <w:t>has served as our Vice President, Finance since August 2018. Prior to joining us, Mr. Anders served in various roles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Depomed, Inc. from 2006 to July 2018, including most recently as Vice President, Finance from 2013 to 2018. Mr. Anders received a B.A. in Economics with an emphasis in Accounting from the University of California, Los Angeles and is a former certified public accountant.</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Non-employee directors</w:t>
      </w:r>
    </w:p>
    <w:p>
      <w:pPr>
        <w:spacing w:after="0" w:line="114" w:lineRule="exact"/>
        <w:rPr>
          <w:sz w:val="20"/>
          <w:szCs w:val="20"/>
          <w:color w:val="auto"/>
        </w:rPr>
      </w:pPr>
    </w:p>
    <w:p>
      <w:pPr>
        <w:ind w:left="120" w:right="140"/>
        <w:spacing w:after="0" w:line="269" w:lineRule="auto"/>
        <w:rPr>
          <w:sz w:val="20"/>
          <w:szCs w:val="20"/>
          <w:color w:val="auto"/>
        </w:rPr>
      </w:pPr>
      <w:r>
        <w:rPr>
          <w:rFonts w:ascii="Arial" w:cs="Arial" w:eastAsia="Arial" w:hAnsi="Arial"/>
          <w:sz w:val="16"/>
          <w:szCs w:val="16"/>
          <w:b w:val="1"/>
          <w:bCs w:val="1"/>
          <w:i w:val="1"/>
          <w:iCs w:val="1"/>
          <w:color w:val="auto"/>
        </w:rPr>
        <w:t xml:space="preserve">Elizabeth McKee Anderson </w:t>
      </w:r>
      <w:r>
        <w:rPr>
          <w:rFonts w:ascii="Arial" w:cs="Arial" w:eastAsia="Arial" w:hAnsi="Arial"/>
          <w:sz w:val="16"/>
          <w:szCs w:val="16"/>
          <w:color w:val="auto"/>
        </w:rPr>
        <w:t>has served as member of our board of directors since March 2015. Ms. Anderson has served as a member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board of directors of BioMarin Pharmaceutical, a biotechnology company, since July 2019. Since November 2018, Ms. Anderson has served as a member of the board of directors of Insmed Incorporated, a biopharmaceutical company. Ms. Anderson has also served as a member of the board of directors of Huntsworth PLC, a healthcare communications group, since January 2018 and Bavarian Nordic A/S, a biotechnology company, since April 2017. Ms. Anderson previously served in various roles at Janssen Pharmaceuticals, Inc., a Johnson &amp; Johnson company focusing on pharmaceuticals, from 2003 to 2014, most recently as Worldwide Vice President, Commercial Leader, Infectious Diseases and Vaccines, from 2012 to 2014 and Worldwide Vice President, Global Strategic Marketing and Market Access, Vaccines from 2009 to 2012. Prior to that, Ms. Anderson served as Vice President and General Manager for Wyeth Lederle Vaccines, a pharmaceutical company. Ms. Anderson received a B.Eng. in Engineering and Technical Management from Rutgers, The State University of New Jersey-New Brunswick and an M.B.A. in Finance from Loyola University of Maryland. We believe that Ms. Anderson’s extensive experience in biotechnology and pharmaceutical companies and in serving on the boards of directors of biopharmaceutical and life sciences companies provides her with the qualifications and skills necessary to serve as a member of our board of directors.</w:t>
      </w:r>
    </w:p>
    <w:p>
      <w:pPr>
        <w:spacing w:after="0" w:line="270" w:lineRule="exact"/>
        <w:rPr>
          <w:sz w:val="20"/>
          <w:szCs w:val="20"/>
          <w:color w:val="auto"/>
        </w:rPr>
      </w:pPr>
    </w:p>
    <w:p>
      <w:pPr>
        <w:ind w:left="120"/>
        <w:spacing w:after="0" w:line="272" w:lineRule="auto"/>
        <w:rPr>
          <w:sz w:val="20"/>
          <w:szCs w:val="20"/>
          <w:color w:val="auto"/>
        </w:rPr>
      </w:pPr>
      <w:r>
        <w:rPr>
          <w:rFonts w:ascii="Arial" w:cs="Arial" w:eastAsia="Arial" w:hAnsi="Arial"/>
          <w:sz w:val="16"/>
          <w:szCs w:val="16"/>
          <w:b w:val="1"/>
          <w:bCs w:val="1"/>
          <w:i w:val="1"/>
          <w:iCs w:val="1"/>
          <w:color w:val="auto"/>
        </w:rPr>
        <w:t xml:space="preserve">Alexis Borisy </w:t>
      </w:r>
      <w:r>
        <w:rPr>
          <w:rFonts w:ascii="Arial" w:cs="Arial" w:eastAsia="Arial" w:hAnsi="Arial"/>
          <w:sz w:val="16"/>
          <w:szCs w:val="16"/>
          <w:color w:val="auto"/>
        </w:rPr>
        <w:t>has served as a member of our board of directors since November 2014. From 2010 to June 2019, Mr. Borisy was a Partner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Third Rock Ventures. Since June 2015, Mr. Borisy has served as a member of the board of directors of Magenta Therapeutics, Inc., a biopharmaceutical company. Mr. Borisy co-founded Blueprint Medicines Corporation, a biopharmaceutical company, and served as its Interim Chief Executive Officer from 2013 to 2014 and has served as a member of its board of directors since 2011. Mr. Borisy co-founded Foundation Medicine, Inc., or Foundation Medicine, a biotechnology company, where he served as its Interim Chief Executive Officer from 2009 to 2011 and served as a member of its board of directors from 2009 to July 2018, including as Chairman from 2011 to February 2017. Mr. Borisy previously served as a member of the board of directors of Editas Medicine, Inc., a pharmaceutical company, from 2013 to March 2018. Mr. Borisy received an A.B. in Chemistry from the University of Chicago and an A.M. in Chemistry and Chemical</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00"/>
          </w:cols>
          <w:pgMar w:left="320" w:top="459" w:right="47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Biology from Harvard University. We believe Mr. Borisy’s extensive experience as an executive of, and working with and serving on the boards of directors of, multiple biopharmaceutical and life sciences companies, his educational background and his experience working in the venture capital industry provide him with the qualifications and skills necessary to serve as a member of our board of directors.</w:t>
      </w:r>
    </w:p>
    <w:p>
      <w:pPr>
        <w:spacing w:after="0" w:line="80"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b w:val="1"/>
          <w:bCs w:val="1"/>
          <w:i w:val="1"/>
          <w:iCs w:val="1"/>
          <w:color w:val="auto"/>
        </w:rPr>
        <w:t xml:space="preserve">Neil Exter </w:t>
      </w:r>
      <w:r>
        <w:rPr>
          <w:rFonts w:ascii="Arial" w:cs="Arial" w:eastAsia="Arial" w:hAnsi="Arial"/>
          <w:sz w:val="18"/>
          <w:szCs w:val="18"/>
          <w:color w:val="auto"/>
        </w:rPr>
        <w:t>has served as a member of our board of directors during his current term since July 2019. Mr. Exter previously served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 of our board of directors from November 2014 to March 2016. Mr. Exter has been a Partner at Third Rock Ventures since 2007. Prior to joining Third Rock Ventures, Mr. Exter was Chief Business Officer of Alantos Pharmaceuticals from 2006 until its acquisition by Amgen in 2007. Previously, he served as Vice President of Business Development for Millennium Pharmaceuticals from 2002 to 2006. Mr. Exter previously served as a member of the boards of directors of CytomX Therapeutics, a biopharmaceutical company, from December 2010 to December 2017, and Rhythm Pharmaceuticals, a biopharmaceutical company, from 2014 to June 2019. He is a member of the Research Committee of Children’s Hospital Boston, the investment committee of the Innovation Research Fund at Partners Healthcare, and the board of directors of the New England Venture Capital Association. Mr. Exter received a B.S. from Cornell University, an M.S. from Stanford University, and an M.B.A. as a Baker Scholar from Harvard Business School. We believe that Mr. Exter’s extensive experience as a venture capital investor in, and director of, several biotechnology companies, provides him with the qualifications and skills necessary to serve as a member of our board of directors.</w:t>
      </w:r>
    </w:p>
    <w:p>
      <w:pPr>
        <w:spacing w:after="0" w:line="87"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b w:val="1"/>
          <w:bCs w:val="1"/>
          <w:i w:val="1"/>
          <w:iCs w:val="1"/>
          <w:color w:val="auto"/>
        </w:rPr>
        <w:t xml:space="preserve">Larry Lasky, Ph.D. </w:t>
      </w:r>
      <w:r>
        <w:rPr>
          <w:rFonts w:ascii="Arial" w:cs="Arial" w:eastAsia="Arial" w:hAnsi="Arial"/>
          <w:sz w:val="18"/>
          <w:szCs w:val="18"/>
          <w:color w:val="auto"/>
        </w:rPr>
        <w:t>has served as a member of our board of directors since December 2016. Since May 2014, Dr. Lasky has served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 at The Column Group, a healthcare venture capital firm. Dr. Lasky served as a member of the board of directors of OncoMed Pharmaceuticals, Inc., a biopharmaceutical company, from 2004 to June 2018. From 2007 to May 2014, Dr. Lasky was a Partner of U.S. Venture Partners, a venture capital firm, focusing on investments in biotechnology companies. From 2002 to 2007, Dr. Lasky was a General Partner of Latterell Venture Partners, a healthcare venture capital firm that he co-founded. From 1982 to 2002, Dr. Lasky was a leading scientist at Genentech, where he attained the position of Genentech Fellow. Dr. Lasky received a B.A. in Music and Molecular Biology and a Ph.D. in Molecular Biology from the University of California, Los Angeles. We believe that Dr. Lasky’s scientific expertise in biotechnology, and his extensive experience as a venture capital investor in, and director of, biotechnology companies, provide him with the qualifications and skills necessary to serve as a member of our board of directors.</w:t>
      </w:r>
    </w:p>
    <w:p>
      <w:pPr>
        <w:spacing w:after="0" w:line="83"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b w:val="1"/>
          <w:bCs w:val="1"/>
          <w:i w:val="1"/>
          <w:iCs w:val="1"/>
          <w:color w:val="auto"/>
        </w:rPr>
        <w:t xml:space="preserve">Vincent A. Miller, M.D. </w:t>
      </w:r>
      <w:r>
        <w:rPr>
          <w:rFonts w:ascii="Arial" w:cs="Arial" w:eastAsia="Arial" w:hAnsi="Arial"/>
          <w:sz w:val="18"/>
          <w:szCs w:val="18"/>
          <w:color w:val="auto"/>
        </w:rPr>
        <w:t>has served as a member of our board of directors since September 2017. Since April 2019, Dr. Miller has served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 Advisor to Foundation Medicines. Previously, Dr. Miller served as Foundation Medicine’s Senior Vice President, Clinical Development from 2011 to 2013 and served as Foundation Medicine’s Chief Medical Officer from 2013 to April 2019. From 1991 to 2011, Dr. Miller served as an Attending Physician at Memorial Sloan-Kettering Cancer Center. Since 2011, Dr. Miller has served as a Consulting Physician, at Memorial Sloan-Kettering Cancer Center. Dr. Miller received a B.A. from the University of Pennsylvania in Mathematics and an M.D. from the University of Medicine and Dentistry of New Jersey in Newark. We believe that Dr. Miller’s experience in the biotechnology industry, his extensive experience practicing medicine and his educational background provide him with the qualifications and skills necessary to serve as a member of our board of directors.</w:t>
      </w:r>
    </w:p>
    <w:p>
      <w:pPr>
        <w:spacing w:after="0" w:line="86" w:lineRule="exact"/>
        <w:rPr>
          <w:sz w:val="20"/>
          <w:szCs w:val="20"/>
          <w:color w:val="auto"/>
        </w:rPr>
      </w:pPr>
    </w:p>
    <w:p>
      <w:pPr>
        <w:ind w:left="120" w:right="80"/>
        <w:spacing w:after="0"/>
        <w:rPr>
          <w:sz w:val="20"/>
          <w:szCs w:val="20"/>
          <w:color w:val="auto"/>
        </w:rPr>
      </w:pPr>
      <w:r>
        <w:rPr>
          <w:rFonts w:ascii="Arial" w:cs="Arial" w:eastAsia="Arial" w:hAnsi="Arial"/>
          <w:sz w:val="18"/>
          <w:szCs w:val="18"/>
          <w:b w:val="1"/>
          <w:bCs w:val="1"/>
          <w:i w:val="1"/>
          <w:iCs w:val="1"/>
          <w:color w:val="auto"/>
        </w:rPr>
        <w:t xml:space="preserve">Thilo Schroeder, Ph.D. </w:t>
      </w:r>
      <w:r>
        <w:rPr>
          <w:rFonts w:ascii="Arial" w:cs="Arial" w:eastAsia="Arial" w:hAnsi="Arial"/>
          <w:sz w:val="18"/>
          <w:szCs w:val="18"/>
          <w:color w:val="auto"/>
        </w:rPr>
        <w:t>has served as a member of our board of directors since March 2018. Since 2012, Dr. Schroeder has been a Partner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Nextech Invest Ltd., or Nextech, a venture capital fund focused on investing in oncology companies. Since January 2018, Dr. Schroeder has served as a member of the board of directors of IDEAYA Biosciences, Inc., an oncology-focused biotechnology company. He also serves as a member of the board of directors of ImaginAB, Inc., an immune-oncology imaging company. Dr. Schroeder also served as a member of the board of directors of Blueprint Medicines Corp., a biopharmaceutical company, from 2014 to May 2015. Prior to joining Nextech in 2012, Dr. Schroeder worked in research specializing on the development of</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Designed Ankyrin Repeat Proteins (DARPins) as specific protein inhibitors from 2007 to 2012. Dr. Schroeder received a B.S. in Biology from the Technical University of Darmstadt in Germany, an M.S. in Biotechnology from the École de Supérieure de Biotechnologie de Strasbourg in France, and a Ph.D. in Biochemistry from the University of Zurich in Switzerland. We believe that Dr. Schroeder’s educational background, his experience as a board member of biotechnology and pharmaceutical companies, and his experience as an investor in life sciences companies provide him with the qualifications and skills necessary to serve as a member of our board of directors.</w:t>
      </w:r>
    </w:p>
    <w:p>
      <w:pPr>
        <w:spacing w:after="0" w:line="8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b w:val="1"/>
          <w:bCs w:val="1"/>
          <w:i w:val="1"/>
          <w:iCs w:val="1"/>
          <w:color w:val="auto"/>
        </w:rPr>
        <w:t xml:space="preserve">Barbara Weber, M.D. </w:t>
      </w:r>
      <w:r>
        <w:rPr>
          <w:rFonts w:ascii="Arial" w:cs="Arial" w:eastAsia="Arial" w:hAnsi="Arial"/>
          <w:sz w:val="18"/>
          <w:szCs w:val="18"/>
          <w:color w:val="auto"/>
        </w:rPr>
        <w:t>has served as a member of our board of directors since April 2018. Since September 2017, Dr. Weber has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President and Chief Executive Officer of Tango Therapeutics, Inc., a biotechnology company. Dr. Weber has been a Venture Partner at Third Rock Ventures since March 2015 and from April 2015 to September 2017 she served as Interim Chief Executive Officer at Neon Therapeutics, Inc., a biotechnology company. From 2009 to February 2015, Dr. Weber served as Senior Vice President, Oncology Translation Medicine at Novartis. Dr. Weber received a B.S. in Chemistry from the University of Washington and an M.D. from the University of Washington School of Medicine and was a resident in internal medicine at Yale University. We believe that Dr. Weber’s experience as an officer and director of other biotechnology companies and her educational background provide her with the qualifications and skills necessary to serve as a member of our board of directors.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Board composition</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24" w:lineRule="exact"/>
        <w:rPr>
          <w:sz w:val="20"/>
          <w:szCs w:val="20"/>
          <w:color w:val="auto"/>
        </w:rPr>
      </w:pPr>
    </w:p>
    <w:p>
      <w:pPr>
        <w:ind w:left="120" w:right="160"/>
        <w:spacing w:after="0" w:line="235" w:lineRule="auto"/>
        <w:rPr>
          <w:sz w:val="20"/>
          <w:szCs w:val="20"/>
          <w:color w:val="auto"/>
        </w:rPr>
      </w:pPr>
      <w:r>
        <w:rPr>
          <w:rFonts w:ascii="Arial" w:cs="Arial" w:eastAsia="Arial" w:hAnsi="Arial"/>
          <w:sz w:val="18"/>
          <w:szCs w:val="18"/>
          <w:color w:val="auto"/>
        </w:rPr>
        <w:t>Our board of directors currently consists of eight members. Our board of directors has determined that all of our directors, other than Dr. Goldsmith, qualify as “independent” directors in accordance with the Nasdaq Global Market listing requirements. Dr. Goldsmith is not considered independent because he is an employee of Revolution Medicines, Inc. The Nasdaq Global Market’s independence definition includes a series of objective tests, such as that the director is not, and has not been for at least three years, one of our employees and that neither the director nor any of his or her family members has engaged in various types of business dealings with us. In addition, as required by the Nasdaq Global Market rules, our board of directors has made a subjective determination as to each independent director that no relationship exists that,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There are no family relationships among any of our directors or executive officers.</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24"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In accordance with our amended and restated certificate of incorporation to be in effect immediately prior to the consummation of this offering,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Effective upon the consummation of this offering, we expect that our directors will be divided among the three classes as follows:</w:t>
      </w:r>
    </w:p>
    <w:p>
      <w:pPr>
        <w:sectPr>
          <w:pgSz w:w="11900" w:h="16838" w:orient="portrait"/>
          <w:cols w:equalWidth="0" w:num="1">
            <w:col w:w="11100"/>
          </w:cols>
          <w:pgMar w:left="320" w:top="459" w:right="479" w:bottom="1440" w:gutter="0" w:footer="0" w:header="0"/>
        </w:sectPr>
      </w:pPr>
    </w:p>
    <w:p>
      <w:pPr>
        <w:spacing w:after="0" w:line="117" w:lineRule="exact"/>
        <w:rPr>
          <w:sz w:val="20"/>
          <w:szCs w:val="20"/>
          <w:color w:val="auto"/>
        </w:rPr>
      </w:pPr>
    </w:p>
    <w:p>
      <w:pPr>
        <w:ind w:left="120"/>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Class I directors will be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and</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 and their terms will expire at the annual meeting of stockholders to be</w:t>
      </w:r>
    </w:p>
    <w:p>
      <w:pPr>
        <w:spacing w:after="0" w:line="23" w:lineRule="exact"/>
        <w:rPr>
          <w:sz w:val="20"/>
          <w:szCs w:val="20"/>
          <w:color w:val="auto"/>
        </w:rPr>
      </w:pPr>
    </w:p>
    <w:p>
      <w:pPr>
        <w:sectPr>
          <w:pgSz w:w="11900" w:h="16838" w:orient="portrait"/>
          <w:cols w:equalWidth="0" w:num="4">
            <w:col w:w="2520" w:space="720"/>
            <w:col w:w="220" w:space="720"/>
            <w:col w:w="440" w:space="720"/>
            <w:col w:w="5760"/>
          </w:cols>
          <w:pgMar w:left="320" w:top="459" w:right="479" w:bottom="1440" w:gutter="0" w:footer="0" w:header="0"/>
          <w:type w:val="continuous"/>
        </w:sectPr>
      </w:pPr>
    </w:p>
    <w:p>
      <w:pPr>
        <w:ind w:left="340"/>
        <w:spacing w:after="0"/>
        <w:tabs>
          <w:tab w:leader="none" w:pos="1660" w:val="left"/>
        </w:tabs>
        <w:rPr>
          <w:sz w:val="20"/>
          <w:szCs w:val="20"/>
          <w:color w:val="auto"/>
        </w:rPr>
      </w:pPr>
      <w:r>
        <w:rPr>
          <w:rFonts w:ascii="Arial" w:cs="Arial" w:eastAsia="Arial" w:hAnsi="Arial"/>
          <w:sz w:val="18"/>
          <w:szCs w:val="18"/>
          <w:color w:val="auto"/>
        </w:rPr>
        <w:t>held in</w:t>
      </w:r>
      <w:r>
        <w:rPr>
          <w:sz w:val="20"/>
          <w:szCs w:val="20"/>
          <w:color w:val="auto"/>
        </w:rPr>
        <w:tab/>
      </w:r>
      <w:r>
        <w:rPr>
          <w:rFonts w:ascii="Arial" w:cs="Arial" w:eastAsia="Arial" w:hAnsi="Arial"/>
          <w:sz w:val="14"/>
          <w:szCs w:val="14"/>
          <w:color w:val="auto"/>
        </w:rPr>
        <w:t>;</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148</w:t>
      </w:r>
    </w:p>
    <w:p>
      <w:pPr>
        <w:sectPr>
          <w:pgSz w:w="11900" w:h="16838" w:orient="portrait"/>
          <w:cols w:equalWidth="0" w:num="1">
            <w:col w:w="11100"/>
          </w:cols>
          <w:pgMar w:left="320" w:top="459" w:right="479" w:bottom="1440" w:gutter="0" w:footer="0" w:header="0"/>
          <w:type w:val="continuous"/>
        </w:sectPr>
      </w:pPr>
    </w:p>
    <w:bookmarkStart w:id="153" w:name="page154"/>
    <w:bookmarkEnd w:id="15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00"/>
          </w:cols>
          <w:pgMar w:left="320" w:top="459" w:right="479" w:bottom="1440" w:gutter="0" w:footer="0" w:header="0"/>
        </w:sectPr>
      </w:pPr>
    </w:p>
    <w:p>
      <w:pPr>
        <w:spacing w:after="0" w:line="350" w:lineRule="exact"/>
        <w:rPr>
          <w:sz w:val="20"/>
          <w:szCs w:val="20"/>
          <w:color w:val="auto"/>
        </w:rPr>
      </w:pPr>
    </w:p>
    <w:p>
      <w:pPr>
        <w:ind w:left="120"/>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Class II directors will be</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jc w:val="center"/>
        <w:ind w:right="16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and</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color w:val="auto"/>
        </w:rPr>
        <w:t>, and their terms will expire at the annual meeting of stockholders to be</w:t>
      </w:r>
    </w:p>
    <w:p>
      <w:pPr>
        <w:spacing w:after="0" w:line="23" w:lineRule="exact"/>
        <w:rPr>
          <w:sz w:val="20"/>
          <w:szCs w:val="20"/>
          <w:color w:val="auto"/>
        </w:rPr>
      </w:pPr>
    </w:p>
    <w:p>
      <w:pPr>
        <w:sectPr>
          <w:pgSz w:w="11900" w:h="16838" w:orient="portrait"/>
          <w:cols w:equalWidth="0" w:num="4">
            <w:col w:w="2580" w:space="720"/>
            <w:col w:w="200" w:space="720"/>
            <w:col w:w="460" w:space="720"/>
            <w:col w:w="5700"/>
          </w:cols>
          <w:pgMar w:left="320" w:top="459" w:right="479" w:bottom="1440" w:gutter="0" w:footer="0" w:header="0"/>
          <w:type w:val="continuous"/>
        </w:sectPr>
      </w:pPr>
    </w:p>
    <w:p>
      <w:pPr>
        <w:ind w:left="340"/>
        <w:spacing w:after="0"/>
        <w:tabs>
          <w:tab w:leader="none" w:pos="1600" w:val="left"/>
        </w:tabs>
        <w:rPr>
          <w:sz w:val="20"/>
          <w:szCs w:val="20"/>
          <w:color w:val="auto"/>
        </w:rPr>
      </w:pPr>
      <w:r>
        <w:rPr>
          <w:rFonts w:ascii="Arial" w:cs="Arial" w:eastAsia="Arial" w:hAnsi="Arial"/>
          <w:sz w:val="18"/>
          <w:szCs w:val="18"/>
          <w:color w:val="auto"/>
        </w:rPr>
        <w:t>held in</w:t>
      </w:r>
      <w:r>
        <w:rPr>
          <w:sz w:val="20"/>
          <w:szCs w:val="20"/>
          <w:color w:val="auto"/>
        </w:rPr>
        <w:tab/>
      </w:r>
      <w:r>
        <w:rPr>
          <w:rFonts w:ascii="Arial" w:cs="Arial" w:eastAsia="Arial" w:hAnsi="Arial"/>
          <w:sz w:val="16"/>
          <w:szCs w:val="16"/>
          <w:color w:val="auto"/>
        </w:rPr>
        <w:t>; and</w:t>
      </w:r>
    </w:p>
    <w:p>
      <w:pPr>
        <w:sectPr>
          <w:pgSz w:w="11900" w:h="16838" w:orient="portrait"/>
          <w:cols w:equalWidth="0" w:num="1">
            <w:col w:w="11100"/>
          </w:cols>
          <w:pgMar w:left="320" w:top="459" w:right="479" w:bottom="1440" w:gutter="0" w:footer="0" w:header="0"/>
          <w:type w:val="continuous"/>
        </w:sectPr>
      </w:pPr>
    </w:p>
    <w:p>
      <w:pPr>
        <w:spacing w:after="0" w:line="113" w:lineRule="exact"/>
        <w:rPr>
          <w:sz w:val="20"/>
          <w:szCs w:val="20"/>
          <w:color w:val="auto"/>
        </w:rPr>
      </w:pPr>
    </w:p>
    <w:p>
      <w:pPr>
        <w:ind w:left="120"/>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Class III directors will be</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and</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 and their terms will expire at the annual meeting of stockholders to be</w:t>
      </w:r>
    </w:p>
    <w:p>
      <w:pPr>
        <w:spacing w:after="0" w:line="23" w:lineRule="exact"/>
        <w:rPr>
          <w:sz w:val="20"/>
          <w:szCs w:val="20"/>
          <w:color w:val="auto"/>
        </w:rPr>
      </w:pPr>
    </w:p>
    <w:p>
      <w:pPr>
        <w:sectPr>
          <w:pgSz w:w="11900" w:h="16838" w:orient="portrait"/>
          <w:cols w:equalWidth="0" w:num="4">
            <w:col w:w="2620" w:space="720"/>
            <w:col w:w="220" w:space="720"/>
            <w:col w:w="440" w:space="720"/>
            <w:col w:w="5660"/>
          </w:cols>
          <w:pgMar w:left="320" w:top="459" w:right="479" w:bottom="1440" w:gutter="0" w:footer="0" w:header="0"/>
          <w:type w:val="continuous"/>
        </w:sectPr>
      </w:pPr>
    </w:p>
    <w:p>
      <w:pPr>
        <w:ind w:left="340"/>
        <w:spacing w:after="0"/>
        <w:tabs>
          <w:tab w:leader="none" w:pos="1660" w:val="left"/>
        </w:tabs>
        <w:rPr>
          <w:sz w:val="20"/>
          <w:szCs w:val="20"/>
          <w:color w:val="auto"/>
        </w:rPr>
      </w:pPr>
      <w:r>
        <w:rPr>
          <w:rFonts w:ascii="Arial" w:cs="Arial" w:eastAsia="Arial" w:hAnsi="Arial"/>
          <w:sz w:val="18"/>
          <w:szCs w:val="18"/>
          <w:color w:val="auto"/>
        </w:rPr>
        <w:t>held in</w:t>
      </w:r>
      <w:r>
        <w:rPr>
          <w:sz w:val="20"/>
          <w:szCs w:val="20"/>
          <w:color w:val="auto"/>
        </w:rPr>
        <w:tab/>
      </w:r>
      <w:r>
        <w:rPr>
          <w:rFonts w:ascii="Arial" w:cs="Arial" w:eastAsia="Arial" w:hAnsi="Arial"/>
          <w:sz w:val="16"/>
          <w:szCs w:val="16"/>
          <w:color w:val="auto"/>
        </w:rPr>
        <w:t>..</w:t>
      </w:r>
    </w:p>
    <w:p>
      <w:pPr>
        <w:sectPr>
          <w:pgSz w:w="11900" w:h="16838" w:orient="portrait"/>
          <w:cols w:equalWidth="0" w:num="1">
            <w:col w:w="11100"/>
          </w:cols>
          <w:pgMar w:left="320" w:top="459" w:right="479" w:bottom="1440" w:gutter="0" w:footer="0" w:header="0"/>
          <w:type w:val="continuous"/>
        </w:sectPr>
      </w:pPr>
    </w:p>
    <w:p>
      <w:pPr>
        <w:spacing w:after="0" w:line="99" w:lineRule="exact"/>
        <w:rPr>
          <w:sz w:val="20"/>
          <w:szCs w:val="20"/>
          <w:color w:val="auto"/>
        </w:rPr>
      </w:pPr>
    </w:p>
    <w:p>
      <w:pPr>
        <w:ind w:left="120" w:right="60"/>
        <w:spacing w:after="0" w:line="275" w:lineRule="auto"/>
        <w:rPr>
          <w:sz w:val="20"/>
          <w:szCs w:val="20"/>
          <w:color w:val="auto"/>
        </w:rPr>
      </w:pPr>
      <w:r>
        <w:rPr>
          <w:rFonts w:ascii="Arial" w:cs="Arial" w:eastAsia="Arial" w:hAnsi="Arial"/>
          <w:sz w:val="16"/>
          <w:szCs w:val="16"/>
          <w:color w:val="auto"/>
        </w:rPr>
        <w:t>Our amended and restated certificate of incorporation will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arrangements</w:t>
      </w:r>
    </w:p>
    <w:p>
      <w:pPr>
        <w:spacing w:after="0" w:line="124" w:lineRule="exact"/>
        <w:rPr>
          <w:sz w:val="20"/>
          <w:szCs w:val="20"/>
          <w:color w:val="auto"/>
        </w:rPr>
      </w:pPr>
    </w:p>
    <w:p>
      <w:pPr>
        <w:ind w:left="120" w:right="440"/>
        <w:spacing w:after="0" w:line="239" w:lineRule="auto"/>
        <w:rPr>
          <w:sz w:val="20"/>
          <w:szCs w:val="20"/>
          <w:color w:val="auto"/>
        </w:rPr>
      </w:pPr>
      <w:r>
        <w:rPr>
          <w:rFonts w:ascii="Arial" w:cs="Arial" w:eastAsia="Arial" w:hAnsi="Arial"/>
          <w:sz w:val="18"/>
          <w:szCs w:val="18"/>
          <w:color w:val="auto"/>
        </w:rPr>
        <w:t>In June 2019, we entered into an Amended and Restated Voting Agreement, or the Voting Agreement, with certain holders of our capital stock, including certain members of, and affiliates of, our board of directors and certain of our executive officers.</w:t>
      </w:r>
    </w:p>
    <w:p>
      <w:pPr>
        <w:spacing w:after="0" w:line="101" w:lineRule="exact"/>
        <w:rPr>
          <w:sz w:val="20"/>
          <w:szCs w:val="20"/>
          <w:color w:val="auto"/>
        </w:rPr>
      </w:pPr>
    </w:p>
    <w:p>
      <w:pPr>
        <w:ind w:left="120" w:right="140"/>
        <w:spacing w:after="0" w:line="237" w:lineRule="auto"/>
        <w:rPr>
          <w:sz w:val="20"/>
          <w:szCs w:val="20"/>
          <w:color w:val="auto"/>
        </w:rPr>
      </w:pPr>
      <w:r>
        <w:rPr>
          <w:rFonts w:ascii="Arial" w:cs="Arial" w:eastAsia="Arial" w:hAnsi="Arial"/>
          <w:sz w:val="18"/>
          <w:szCs w:val="18"/>
          <w:color w:val="auto"/>
        </w:rPr>
        <w:t>Pursuant to the Voting Agreement, each of Third Rock Ventures, The Column Group and Nextech has the right to designate one member to be elected to our board of directors. The Voting Agreement will terminate by its terms in connection with the closing of this offering and none of our stockholders will have any continuing rights regarding the election or designation of members of our board of directors following this offering.</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Leadership structure of the board</w:t>
      </w:r>
    </w:p>
    <w:p>
      <w:pPr>
        <w:spacing w:after="0" w:line="134" w:lineRule="exact"/>
        <w:rPr>
          <w:sz w:val="20"/>
          <w:szCs w:val="20"/>
          <w:color w:val="auto"/>
        </w:rPr>
      </w:pPr>
    </w:p>
    <w:p>
      <w:pPr>
        <w:jc w:val="both"/>
        <w:ind w:left="120"/>
        <w:spacing w:after="0" w:line="264" w:lineRule="auto"/>
        <w:rPr>
          <w:sz w:val="20"/>
          <w:szCs w:val="20"/>
          <w:color w:val="auto"/>
        </w:rPr>
      </w:pPr>
      <w:r>
        <w:rPr>
          <w:rFonts w:ascii="Arial" w:cs="Arial" w:eastAsia="Arial" w:hAnsi="Arial"/>
          <w:sz w:val="16"/>
          <w:szCs w:val="16"/>
          <w:color w:val="auto"/>
        </w:rPr>
        <w:t>Our amended and restated bylaws and corporate governance guidelines to be in place immediately prior to the consummation of this offering provide our board of directors with flexibility to combine or separate the positions of Chair of the board of directors and Chief Executive Officer and to implement a lead director in accordance with its determination that utilizing one or the other structure would be in the best interests of</w:t>
      </w:r>
    </w:p>
    <w:p>
      <w:pPr>
        <w:ind w:left="120" w:right="320"/>
        <w:spacing w:after="0" w:line="239" w:lineRule="auto"/>
        <w:rPr>
          <w:sz w:val="20"/>
          <w:szCs w:val="20"/>
          <w:color w:val="auto"/>
        </w:rPr>
      </w:pPr>
      <w:r>
        <w:rPr>
          <w:rFonts w:ascii="Arial" w:cs="Arial" w:eastAsia="Arial" w:hAnsi="Arial"/>
          <w:sz w:val="18"/>
          <w:szCs w:val="18"/>
          <w:color w:val="auto"/>
        </w:rPr>
        <w:t>our company. presides over the executive sessions of the board of directors and acts as a liaison between management and the board of directors.</w:t>
      </w:r>
    </w:p>
    <w:p>
      <w:pPr>
        <w:spacing w:after="0" w:line="101" w:lineRule="exact"/>
        <w:rPr>
          <w:sz w:val="20"/>
          <w:szCs w:val="20"/>
          <w:color w:val="auto"/>
        </w:rPr>
      </w:pPr>
    </w:p>
    <w:p>
      <w:pPr>
        <w:ind w:left="120" w:right="420"/>
        <w:spacing w:after="0" w:line="239" w:lineRule="auto"/>
        <w:rPr>
          <w:sz w:val="20"/>
          <w:szCs w:val="20"/>
          <w:color w:val="auto"/>
        </w:rPr>
      </w:pPr>
      <w:r>
        <w:rPr>
          <w:rFonts w:ascii="Arial" w:cs="Arial" w:eastAsia="Arial" w:hAnsi="Arial"/>
          <w:sz w:val="18"/>
          <w:szCs w:val="18"/>
          <w:color w:val="auto"/>
        </w:rPr>
        <w:t>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Role of board in risk oversight process</w:t>
      </w:r>
    </w:p>
    <w:p>
      <w:pPr>
        <w:spacing w:after="0" w:line="134" w:lineRule="exact"/>
        <w:rPr>
          <w:sz w:val="20"/>
          <w:szCs w:val="20"/>
          <w:color w:val="auto"/>
        </w:rPr>
      </w:pPr>
    </w:p>
    <w:p>
      <w:pPr>
        <w:ind w:left="120" w:right="40"/>
        <w:spacing w:after="0" w:line="271" w:lineRule="auto"/>
        <w:rPr>
          <w:sz w:val="20"/>
          <w:szCs w:val="20"/>
          <w:color w:val="auto"/>
        </w:rPr>
      </w:pPr>
      <w:r>
        <w:rPr>
          <w:rFonts w:ascii="Arial" w:cs="Arial" w:eastAsia="Arial" w:hAnsi="Arial"/>
          <w:sz w:val="16"/>
          <w:szCs w:val="16"/>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w:t>
      </w:r>
    </w:p>
    <w:p>
      <w:pPr>
        <w:spacing w:after="0" w:line="76"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While</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00"/>
          </w:cols>
          <w:pgMar w:left="320" w:top="459" w:right="479" w:bottom="1440" w:gutter="0" w:footer="0" w:header="0"/>
          <w:type w:val="continuous"/>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our board of directors is responsible for monitoring and assessing strategic risk exposure, our audit committee is responsible for overseeing our major financial risk exposures and the steps our management has taken to monitor and control these exposures. The audit committee also monitors compliance with legal and regulatory requirements and considers and approves or disapproves any related person transactions. Our nominating and corporate governance committee monitors the effectiveness of our corporate governance guidelines. Our compensation committee assesses and monitors whether any of our compensation policies and programs has the potential to encourage excessive risk-taking.</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Board committees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audit committee oversees our corporate accounting and financial reporting process. Among other matters, the audit committee:</w:t>
      </w:r>
    </w:p>
    <w:p>
      <w:pPr>
        <w:spacing w:after="0" w:line="117" w:lineRule="exact"/>
        <w:rPr>
          <w:sz w:val="20"/>
          <w:szCs w:val="20"/>
          <w:color w:val="auto"/>
        </w:rPr>
      </w:pPr>
    </w:p>
    <w:p>
      <w:pPr>
        <w:ind w:left="340" w:hanging="224"/>
        <w:spacing w:after="0"/>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appoints our independent registered public accounting firm;</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evaluates the independent registered public accounting firm’s qualifications, independence and performance;</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determines the terms of engagement of the independent registered public accounting firm;</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reviews and approves the scope of the annual audit and the audit fee;</w:t>
      </w:r>
    </w:p>
    <w:p>
      <w:pPr>
        <w:spacing w:after="0" w:line="117" w:lineRule="exact"/>
        <w:rPr>
          <w:rFonts w:ascii="Arial" w:cs="Arial" w:eastAsia="Arial" w:hAnsi="Arial"/>
          <w:sz w:val="18"/>
          <w:szCs w:val="18"/>
          <w:color w:val="auto"/>
        </w:rPr>
      </w:pPr>
    </w:p>
    <w:p>
      <w:pPr>
        <w:ind w:left="340" w:right="320" w:hanging="224"/>
        <w:spacing w:after="0" w:line="239" w:lineRule="auto"/>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discusses with management and the independent registered public accounting firm the results of the annual audit and the review of our quarterly financial statements;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approves the retention of the independent registered public accounting firm to perform any proposed permissible non-audit services;</w:t>
      </w:r>
    </w:p>
    <w:p>
      <w:pPr>
        <w:spacing w:after="0" w:line="117" w:lineRule="exact"/>
        <w:rPr>
          <w:rFonts w:ascii="Arial" w:cs="Arial" w:eastAsia="Arial" w:hAnsi="Arial"/>
          <w:sz w:val="18"/>
          <w:szCs w:val="18"/>
          <w:color w:val="auto"/>
        </w:rPr>
      </w:pPr>
    </w:p>
    <w:p>
      <w:pPr>
        <w:ind w:left="340" w:right="720" w:hanging="224"/>
        <w:spacing w:after="0" w:line="239" w:lineRule="auto"/>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monitors the rotation of partners of the independent registered public accounting firm on our engagement team in accordance with requirements established by the SEC;</w:t>
      </w:r>
    </w:p>
    <w:p>
      <w:pPr>
        <w:spacing w:after="0" w:line="114" w:lineRule="exact"/>
        <w:rPr>
          <w:rFonts w:ascii="Arial" w:cs="Arial" w:eastAsia="Arial" w:hAnsi="Arial"/>
          <w:sz w:val="18"/>
          <w:szCs w:val="18"/>
          <w:color w:val="auto"/>
        </w:rPr>
      </w:pPr>
    </w:p>
    <w:p>
      <w:pPr>
        <w:ind w:left="340" w:right="480" w:hanging="224"/>
        <w:spacing w:after="0" w:line="239" w:lineRule="auto"/>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is responsible for reviewing our audited consolidated financial statements and our management’s discussion and analysis of financial condition and results of operations to be included in our annual and quarterly reports to be filed with the SEC;</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reviews our critical accounting policies and estimates;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reviews all related party transactions on an ongoing basis;</w:t>
      </w:r>
    </w:p>
    <w:p>
      <w:pPr>
        <w:spacing w:after="0" w:line="117" w:lineRule="exact"/>
        <w:rPr>
          <w:rFonts w:ascii="Arial" w:cs="Arial" w:eastAsia="Arial" w:hAnsi="Arial"/>
          <w:sz w:val="18"/>
          <w:szCs w:val="18"/>
          <w:color w:val="auto"/>
        </w:rPr>
      </w:pPr>
    </w:p>
    <w:p>
      <w:pPr>
        <w:ind w:left="340" w:right="460" w:hanging="224"/>
        <w:spacing w:after="0" w:line="239" w:lineRule="auto"/>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establishes procedures for the receipt, retention and treatment of complaints received by us regarding accounting, internal controls or auditing matters;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annually reviews and assesses treasury functions including cash management process;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discusses on a periodic basis, or as appropriate, with management, our policies and procedures with respect to risk assessment; and</w:t>
      </w:r>
    </w:p>
    <w:p>
      <w:pPr>
        <w:spacing w:after="0" w:line="117" w:lineRule="exact"/>
        <w:rPr>
          <w:rFonts w:ascii="Arial" w:cs="Arial" w:eastAsia="Arial" w:hAnsi="Arial"/>
          <w:sz w:val="18"/>
          <w:szCs w:val="18"/>
          <w:color w:val="auto"/>
        </w:rPr>
      </w:pPr>
    </w:p>
    <w:p>
      <w:pPr>
        <w:ind w:left="340" w:right="840" w:hanging="224"/>
        <w:spacing w:after="0" w:line="239" w:lineRule="auto"/>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investigates any matters received, and reports to the Board periodically, with respect to ethics issues, complaints and associated investigations; and</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reviews the audit committee charter and the committee’s performance at least annually.</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4" w:lineRule="auto"/>
        <w:rPr>
          <w:sz w:val="20"/>
          <w:szCs w:val="20"/>
          <w:color w:val="auto"/>
        </w:rPr>
      </w:pPr>
      <w:r>
        <w:rPr>
          <w:rFonts w:ascii="Arial" w:cs="Arial" w:eastAsia="Arial" w:hAnsi="Arial"/>
          <w:sz w:val="18"/>
          <w:szCs w:val="18"/>
          <w:color w:val="auto"/>
        </w:rPr>
        <w:t>The current members of our audit committee are , and . serves as the chairperson of the committee. All members of our audit committee meet the requirements for financial literacy under the applicable rules and regulations of the SEC and the</w:t>
      </w:r>
    </w:p>
    <w:p>
      <w:pPr>
        <w:spacing w:after="0" w:line="1"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Nasdaq Global Market. Our board of directors has determined that is an audit committee financial expert as defined under the applicable rules of the SEC and has the requisite financial sophistication as defined under the applicable rules and regulations of the Nasdaq Global Market. Under the rules of the SEC, members of the audit committee must also meet heightened independence standards. Our board of directors has determined that each of the members of our audit committee are independent under the applicable rules of the SEC and the Nasdaq Global Market. The audit committee operates under a written charter that satisfies the applicable standards of the SEC and the Nasdaq Global Market.</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24"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Our compensation committee oversees policies relating to compensation and benefits of our officers and employees. Among other things, the compensation committee:</w:t>
      </w:r>
    </w:p>
    <w:p>
      <w:pPr>
        <w:spacing w:after="0" w:line="114" w:lineRule="exact"/>
        <w:rPr>
          <w:sz w:val="20"/>
          <w:szCs w:val="20"/>
          <w:color w:val="auto"/>
        </w:rPr>
      </w:pPr>
    </w:p>
    <w:p>
      <w:pPr>
        <w:ind w:left="340" w:right="240" w:hanging="224"/>
        <w:spacing w:after="0" w:line="239" w:lineRule="auto"/>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reviews and approves or recommends corporate goals and objectives relevant to compensation of our executive officers, other than our Chief Executive Officer;</w:t>
      </w:r>
    </w:p>
    <w:p>
      <w:pPr>
        <w:spacing w:after="0" w:line="114" w:lineRule="exact"/>
        <w:rPr>
          <w:rFonts w:ascii="Arial" w:cs="Arial" w:eastAsia="Arial" w:hAnsi="Arial"/>
          <w:sz w:val="18"/>
          <w:szCs w:val="18"/>
          <w:color w:val="auto"/>
        </w:rPr>
      </w:pPr>
    </w:p>
    <w:p>
      <w:pPr>
        <w:ind w:left="340" w:right="80" w:hanging="224"/>
        <w:spacing w:after="0" w:line="239" w:lineRule="auto"/>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evaluates the performance of our executive officers in light of those goals and objectives and approves the compensation of these officers based on such evaluations;</w:t>
      </w:r>
    </w:p>
    <w:p>
      <w:pPr>
        <w:spacing w:after="0" w:line="114" w:lineRule="exact"/>
        <w:rPr>
          <w:rFonts w:ascii="Arial" w:cs="Arial" w:eastAsia="Arial" w:hAnsi="Arial"/>
          <w:sz w:val="18"/>
          <w:szCs w:val="18"/>
          <w:color w:val="auto"/>
        </w:rPr>
      </w:pPr>
    </w:p>
    <w:p>
      <w:pPr>
        <w:ind w:left="340" w:right="420" w:hanging="224"/>
        <w:spacing w:after="0" w:line="239" w:lineRule="auto"/>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reviews and approves or makes recommendations to our board of directors regarding the issuance of stock options and other awards under our stock plans to our executive officers, other than our Chief Executive Officer;</w:t>
      </w:r>
    </w:p>
    <w:p>
      <w:pPr>
        <w:spacing w:after="0" w:line="114" w:lineRule="exact"/>
        <w:rPr>
          <w:rFonts w:ascii="Arial" w:cs="Arial" w:eastAsia="Arial" w:hAnsi="Arial"/>
          <w:sz w:val="18"/>
          <w:szCs w:val="18"/>
          <w:color w:val="auto"/>
        </w:rPr>
      </w:pPr>
    </w:p>
    <w:p>
      <w:pPr>
        <w:ind w:left="340" w:right="420" w:hanging="224"/>
        <w:spacing w:after="0" w:line="299" w:lineRule="auto"/>
        <w:tabs>
          <w:tab w:leader="none" w:pos="3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reviews the performance of our Chief Executive Officer and makes recommendations to our board of directors with respect to his compensation and our board of directors retains the authority to make compensation decisions relative to our Chief Executive Officer;</w:t>
      </w:r>
    </w:p>
    <w:p>
      <w:pPr>
        <w:spacing w:after="0" w:line="68" w:lineRule="exact"/>
        <w:rPr>
          <w:rFonts w:ascii="Arial" w:cs="Arial" w:eastAsia="Arial" w:hAnsi="Arial"/>
          <w:sz w:val="16"/>
          <w:szCs w:val="16"/>
          <w:color w:val="auto"/>
        </w:rPr>
      </w:pPr>
    </w:p>
    <w:p>
      <w:pPr>
        <w:ind w:left="340" w:hanging="224"/>
        <w:spacing w:after="0"/>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evaluates compliance with applicable compensation rules, regulations and guidelines and other law, as applicable; and</w:t>
      </w:r>
    </w:p>
    <w:p>
      <w:pPr>
        <w:spacing w:after="0" w:line="117" w:lineRule="exact"/>
        <w:rPr>
          <w:rFonts w:ascii="Arial" w:cs="Arial" w:eastAsia="Arial" w:hAnsi="Arial"/>
          <w:sz w:val="18"/>
          <w:szCs w:val="18"/>
          <w:color w:val="auto"/>
        </w:rPr>
      </w:pPr>
    </w:p>
    <w:p>
      <w:pPr>
        <w:ind w:left="340" w:right="120" w:hanging="224"/>
        <w:spacing w:after="0" w:line="239" w:lineRule="auto"/>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reviews the performance of the compensation committee and its members, including compliance by the compensation committee at least annually.</w:t>
      </w:r>
    </w:p>
    <w:p>
      <w:pPr>
        <w:spacing w:after="0" w:line="101"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The current members of our compensation committee are , and . serves as the chair of the committee. Each of the members of our compensation committee is independent under the applicable rules and regulations of the Nasdaq Global Market and is a “non-employee director” as defined in Rule 16b-3 promulgated under the Exchange Act. The compensation committee operates under a written charter that satisfies the applicable standards of the SEC and the Nasdaq Global Market.</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24" w:lineRule="exact"/>
        <w:rPr>
          <w:sz w:val="20"/>
          <w:szCs w:val="20"/>
          <w:color w:val="auto"/>
        </w:rPr>
      </w:pPr>
    </w:p>
    <w:p>
      <w:pPr>
        <w:ind w:left="120" w:right="340"/>
        <w:spacing w:after="0" w:line="264" w:lineRule="auto"/>
        <w:rPr>
          <w:sz w:val="20"/>
          <w:szCs w:val="20"/>
          <w:color w:val="auto"/>
        </w:rPr>
      </w:pPr>
      <w:r>
        <w:rPr>
          <w:rFonts w:ascii="Arial" w:cs="Arial" w:eastAsia="Arial" w:hAnsi="Arial"/>
          <w:sz w:val="16"/>
          <w:szCs w:val="16"/>
          <w:color w:val="auto"/>
        </w:rPr>
        <w:t>The nominating and corporate governance committee is responsible for making recommendations to our board of directors regarding candidates for directorships and the size and composition of our board of directors. In addition, the nominating and corporate governance committee is responsible for overseeing our corporate governance policies and reporting and making recommendations to our board of directors concerning governance matters. The current members of our nominating and corporate governance committee</w:t>
      </w:r>
    </w:p>
    <w:p>
      <w:pPr>
        <w:ind w:left="120" w:right="620"/>
        <w:spacing w:after="0" w:line="239" w:lineRule="auto"/>
        <w:rPr>
          <w:sz w:val="20"/>
          <w:szCs w:val="20"/>
          <w:color w:val="auto"/>
        </w:rPr>
      </w:pPr>
      <w:r>
        <w:rPr>
          <w:rFonts w:ascii="Arial" w:cs="Arial" w:eastAsia="Arial" w:hAnsi="Arial"/>
          <w:sz w:val="18"/>
          <w:szCs w:val="18"/>
          <w:color w:val="auto"/>
        </w:rPr>
        <w:t>are , and . serves as the chair of the committee. Each of the members of our nominating and corporate governance committee is an independent director under the applicable rules and</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080"/>
          </w:cols>
          <w:pgMar w:left="320" w:top="459" w:right="49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regulations of the Nasdaq Global Market relating to nominating and corporate governance committee independence. The nominating and corporate governance committee operates under a written charter that satisfies the applicable standards of the SEC and the Nasdaq Global Market.</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13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During the year ended December 31, 2018, our compensation committee consisted of Ms. Anderson, Mr. Borisy and Dr. Miller. None of the members of our compensation committee during 2018 nor any of the current members of our compensation committee has at any time been one of our officers or employees. None of our executive officers currently serves, or in the past fiscal year has served, as a member of the board of directors or compensation committee of any entity that has one or more executive officers on our board of directors or compensation committee. For a description of transactions between us and members of our compensation committee and affiliates of such members, please see “Certain relationships and related party transactions.”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Board diversity</w:t>
      </w:r>
    </w:p>
    <w:p>
      <w:pPr>
        <w:spacing w:after="0" w:line="134" w:lineRule="exact"/>
        <w:rPr>
          <w:sz w:val="20"/>
          <w:szCs w:val="20"/>
          <w:color w:val="auto"/>
        </w:rPr>
      </w:pPr>
    </w:p>
    <w:p>
      <w:pPr>
        <w:ind w:left="120" w:right="160"/>
        <w:spacing w:after="0" w:line="272" w:lineRule="auto"/>
        <w:rPr>
          <w:sz w:val="20"/>
          <w:szCs w:val="20"/>
          <w:color w:val="auto"/>
        </w:rPr>
      </w:pPr>
      <w:r>
        <w:rPr>
          <w:rFonts w:ascii="Arial" w:cs="Arial" w:eastAsia="Arial" w:hAnsi="Arial"/>
          <w:sz w:val="16"/>
          <w:szCs w:val="16"/>
          <w:color w:val="auto"/>
        </w:rPr>
        <w:t>Upon consummation of this offering, our nominating and corporate governance committee will be responsible for reviewing with the board of directors, on an annual basis, the appropriate characteristics, skills and experience required for the board of directors as a whole and its individual members. In evaluating the suitability of individual candidates (both new candidates and current members), the nominating and corporate governance committee, in recommending candidates for election, and the board of directors, in approving (and, in the case of vacancies, appointing) such candidates, may take into account many factors, including but not limited to the following:</w:t>
      </w:r>
    </w:p>
    <w:p>
      <w:pPr>
        <w:spacing w:after="0" w:line="91" w:lineRule="exact"/>
        <w:rPr>
          <w:sz w:val="20"/>
          <w:szCs w:val="20"/>
          <w:color w:val="auto"/>
        </w:rPr>
      </w:pPr>
    </w:p>
    <w:p>
      <w:pPr>
        <w:ind w:left="340" w:hanging="224"/>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personal and professional integrity;</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ethics and values;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experience in corporate management, such as serving as an officer or former officer of a publicly held company;</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experience in the life sciences industry;</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experience as a board member or executive officer of another publicly held company;</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diversity of expertise and experience in substantive matters pertaining to our business relative to other board members;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conflicts of interest;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business judgment.</w:t>
      </w:r>
    </w:p>
    <w:p>
      <w:pPr>
        <w:spacing w:after="0" w:line="104"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Currently, our board of directors evaluates, and following the consummation of this offering will evaluate, each individual in the context of the board of directors as a whole, with the objective of assembling a group that can best exercise oversight of management and the business and effectively represent stockholder interests through the exercise of sound business judgment using its diversity and depth of experience in these various areas.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Code of business conduct and ethics</w:t>
      </w:r>
    </w:p>
    <w:p>
      <w:pPr>
        <w:spacing w:after="0" w:line="134" w:lineRule="exact"/>
        <w:rPr>
          <w:sz w:val="20"/>
          <w:szCs w:val="20"/>
          <w:color w:val="auto"/>
        </w:rPr>
      </w:pPr>
    </w:p>
    <w:p>
      <w:pPr>
        <w:ind w:left="120" w:right="220"/>
        <w:spacing w:after="0" w:line="239" w:lineRule="auto"/>
        <w:rPr>
          <w:sz w:val="20"/>
          <w:szCs w:val="20"/>
          <w:color w:val="auto"/>
        </w:rPr>
      </w:pPr>
      <w:r>
        <w:rPr>
          <w:rFonts w:ascii="Arial" w:cs="Arial" w:eastAsia="Arial" w:hAnsi="Arial"/>
          <w:sz w:val="18"/>
          <w:szCs w:val="18"/>
          <w:color w:val="auto"/>
        </w:rPr>
        <w:t>Prior to the consummation of this offering, our board of directors will adopt a code of business conduct and ethics that will apply to all of our employees, officers and directors, including those officers responsible for</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00"/>
        <w:spacing w:after="0" w:line="239" w:lineRule="auto"/>
        <w:rPr>
          <w:sz w:val="20"/>
          <w:szCs w:val="20"/>
          <w:color w:val="auto"/>
        </w:rPr>
      </w:pPr>
      <w:r>
        <w:rPr>
          <w:rFonts w:ascii="Arial" w:cs="Arial" w:eastAsia="Arial" w:hAnsi="Arial"/>
          <w:sz w:val="18"/>
          <w:szCs w:val="18"/>
          <w:color w:val="auto"/>
        </w:rPr>
        <w:t>financial reporting. Following the consummation of this offering, the code of business conduct and ethics will be available on our website. We expect that any amendments to the code, or any waivers of its requirements, will be disclosed on our website or in public filings.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Limitation of liability and indemnification matters</w:t>
      </w:r>
    </w:p>
    <w:p>
      <w:pPr>
        <w:spacing w:after="0" w:line="134"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Our amended and restated certificate of incorporation, which will become effective immediately prior to the consummation of this offering, will contain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w:t>
      </w:r>
    </w:p>
    <w:p>
      <w:pPr>
        <w:spacing w:after="0" w:line="114" w:lineRule="exact"/>
        <w:rPr>
          <w:sz w:val="20"/>
          <w:szCs w:val="20"/>
          <w:color w:val="auto"/>
        </w:rPr>
      </w:pPr>
    </w:p>
    <w:p>
      <w:pPr>
        <w:ind w:left="340" w:hanging="224"/>
        <w:spacing w:after="0"/>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17" w:lineRule="exact"/>
        <w:rPr>
          <w:rFonts w:ascii="Arial" w:cs="Arial" w:eastAsia="Arial" w:hAnsi="Arial"/>
          <w:sz w:val="18"/>
          <w:szCs w:val="18"/>
          <w:color w:val="auto"/>
        </w:rPr>
      </w:pPr>
    </w:p>
    <w:p>
      <w:pPr>
        <w:ind w:left="340" w:right="700" w:hanging="224"/>
        <w:spacing w:after="0" w:line="239" w:lineRule="auto"/>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04" w:lineRule="exact"/>
        <w:rPr>
          <w:sz w:val="20"/>
          <w:szCs w:val="20"/>
          <w:color w:val="auto"/>
        </w:rPr>
      </w:pPr>
    </w:p>
    <w:p>
      <w:pPr>
        <w:ind w:left="120" w:right="140"/>
        <w:spacing w:after="0" w:line="268" w:lineRule="auto"/>
        <w:rPr>
          <w:sz w:val="20"/>
          <w:szCs w:val="20"/>
          <w:color w:val="auto"/>
        </w:rPr>
      </w:pPr>
      <w:r>
        <w:rPr>
          <w:rFonts w:ascii="Arial" w:cs="Arial" w:eastAsia="Arial" w:hAnsi="Arial"/>
          <w:sz w:val="16"/>
          <w:szCs w:val="16"/>
          <w:color w:val="auto"/>
        </w:rPr>
        <w:t>Each of our amended and restated certificate of incorporation and amended and restated bylaws, which will become effective immediately prior to the consummation of this offering, will provide that we are required to indemnify our directors and officers, in each case to the fullest extent permitted by Delaware law. Our amended and restated bylaws will also obligate us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 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and officers. We also maintain directors’ and officers’ liability insurance.</w:t>
      </w:r>
    </w:p>
    <w:p>
      <w:pPr>
        <w:spacing w:after="0" w:line="78"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limitation of liability and indemnification provisions that will be included in our amended and restated certificate of incorporation and amended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our stockholders. Further, a stockholder’s investment may be adversely affected to the extent that we pay the costs of settlement and damage.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Executive and director compensation</w:t>
      </w:r>
    </w:p>
    <w:p>
      <w:pPr>
        <w:spacing w:after="0" w:line="157" w:lineRule="exact"/>
        <w:rPr>
          <w:sz w:val="20"/>
          <w:szCs w:val="20"/>
          <w:color w:val="auto"/>
        </w:rPr>
      </w:pPr>
    </w:p>
    <w:p>
      <w:pPr>
        <w:ind w:left="120" w:right="480"/>
        <w:spacing w:after="0" w:line="239" w:lineRule="auto"/>
        <w:rPr>
          <w:sz w:val="20"/>
          <w:szCs w:val="20"/>
          <w:color w:val="auto"/>
        </w:rPr>
      </w:pPr>
      <w:r>
        <w:rPr>
          <w:rFonts w:ascii="Arial" w:cs="Arial" w:eastAsia="Arial" w:hAnsi="Arial"/>
          <w:sz w:val="18"/>
          <w:szCs w:val="18"/>
          <w:color w:val="auto"/>
        </w:rPr>
        <w:t>This section discusses the material components of the executive compensation program for our executive officers who are named in the “2018 summary compensation table” below. In 2018, our “named executive officers” and their positions were as follows:</w:t>
      </w:r>
    </w:p>
    <w:p>
      <w:pPr>
        <w:spacing w:after="0" w:line="110" w:lineRule="exact"/>
        <w:rPr>
          <w:sz w:val="20"/>
          <w:szCs w:val="20"/>
          <w:color w:val="auto"/>
        </w:rPr>
      </w:pPr>
    </w:p>
    <w:p>
      <w:pPr>
        <w:ind w:left="340" w:hanging="224"/>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Mark A. Goldsmith, M.D., Ph.D., our President and Chief Executive Officer;</w:t>
      </w:r>
    </w:p>
    <w:p>
      <w:pPr>
        <w:ind w:left="340" w:hanging="224"/>
        <w:spacing w:after="0" w:line="234"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Steve Kelsey, M.D., our President, Research and Development; and</w:t>
      </w:r>
    </w:p>
    <w:p>
      <w:pPr>
        <w:ind w:left="340" w:hanging="224"/>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Margaret Horn, J.D., our Chief Operating Officer and General Counsel.</w:t>
      </w:r>
    </w:p>
    <w:p>
      <w:pPr>
        <w:spacing w:after="0" w:line="104"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This discussion may contain forward-looking statements that are based on our current plans, considerations, expectations and determinations regarding future compensation programs. Actual compensation programs that we adopt following the completion of this offering may differ materially from the currently planned programs summarized in this discussion. 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2018 summary compensation table</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all of the compensation awarded to or earned by or paid to our named executive officers during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right"/>
              <w:ind w:right="412"/>
              <w:spacing w:after="0"/>
              <w:rPr>
                <w:sz w:val="20"/>
                <w:szCs w:val="20"/>
                <w:color w:val="auto"/>
              </w:rPr>
            </w:pPr>
            <w:r>
              <w:rPr>
                <w:rFonts w:ascii="Arial" w:cs="Arial" w:eastAsia="Arial" w:hAnsi="Arial"/>
                <w:sz w:val="18"/>
                <w:szCs w:val="18"/>
                <w:b w:val="1"/>
                <w:bCs w:val="1"/>
                <w:color w:val="auto"/>
              </w:rPr>
              <w:t>Non-equity</w:t>
            </w:r>
          </w:p>
        </w:tc>
        <w:tc>
          <w:tcPr>
            <w:tcW w:w="1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jc w:val="right"/>
              <w:ind w:right="152"/>
              <w:spacing w:after="0" w:line="202" w:lineRule="exact"/>
              <w:rPr>
                <w:sz w:val="20"/>
                <w:szCs w:val="20"/>
                <w:color w:val="auto"/>
              </w:rPr>
            </w:pPr>
            <w:r>
              <w:rPr>
                <w:rFonts w:ascii="Arial" w:cs="Arial" w:eastAsia="Arial" w:hAnsi="Arial"/>
                <w:sz w:val="18"/>
                <w:szCs w:val="18"/>
                <w:b w:val="1"/>
                <w:bCs w:val="1"/>
                <w:color w:val="auto"/>
              </w:rPr>
              <w:t>Option</w:t>
            </w:r>
          </w:p>
        </w:tc>
        <w:tc>
          <w:tcPr>
            <w:tcW w:w="220" w:type="dxa"/>
            <w:vAlign w:val="bottom"/>
          </w:tcPr>
          <w:p>
            <w:pPr>
              <w:spacing w:after="0"/>
              <w:rPr>
                <w:sz w:val="17"/>
                <w:szCs w:val="17"/>
                <w:color w:val="auto"/>
              </w:rPr>
            </w:pPr>
          </w:p>
        </w:tc>
        <w:tc>
          <w:tcPr>
            <w:tcW w:w="1560" w:type="dxa"/>
            <w:vAlign w:val="bottom"/>
          </w:tcPr>
          <w:p>
            <w:pPr>
              <w:jc w:val="right"/>
              <w:ind w:right="272"/>
              <w:spacing w:after="0" w:line="202" w:lineRule="exact"/>
              <w:rPr>
                <w:sz w:val="20"/>
                <w:szCs w:val="20"/>
                <w:color w:val="auto"/>
              </w:rPr>
            </w:pPr>
            <w:r>
              <w:rPr>
                <w:rFonts w:ascii="Arial" w:cs="Arial" w:eastAsia="Arial" w:hAnsi="Arial"/>
                <w:sz w:val="18"/>
                <w:szCs w:val="18"/>
                <w:b w:val="1"/>
                <w:bCs w:val="1"/>
                <w:color w:val="auto"/>
                <w:w w:val="98"/>
              </w:rPr>
              <w:t>incentive plan</w:t>
            </w:r>
          </w:p>
        </w:tc>
        <w:tc>
          <w:tcPr>
            <w:tcW w:w="1560" w:type="dxa"/>
            <w:vAlign w:val="bottom"/>
          </w:tcPr>
          <w:p>
            <w:pPr>
              <w:jc w:val="right"/>
              <w:ind w:right="292"/>
              <w:spacing w:after="0" w:line="202" w:lineRule="exact"/>
              <w:rPr>
                <w:sz w:val="20"/>
                <w:szCs w:val="20"/>
                <w:color w:val="auto"/>
              </w:rPr>
            </w:pPr>
            <w:r>
              <w:rPr>
                <w:rFonts w:ascii="Arial" w:cs="Arial" w:eastAsia="Arial" w:hAnsi="Arial"/>
                <w:sz w:val="18"/>
                <w:szCs w:val="18"/>
                <w:b w:val="1"/>
                <w:bCs w:val="1"/>
                <w:color w:val="auto"/>
              </w:rPr>
              <w:t>All other</w:t>
            </w: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1"/>
        </w:trPr>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and principal position</w:t>
            </w:r>
          </w:p>
        </w:tc>
        <w:tc>
          <w:tcPr>
            <w:tcW w:w="7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Year</w:t>
            </w:r>
          </w:p>
        </w:tc>
        <w:tc>
          <w:tcPr>
            <w:tcW w:w="10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Salary</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Bonus</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awards(1)</w:t>
            </w:r>
          </w:p>
        </w:tc>
        <w:tc>
          <w:tcPr>
            <w:tcW w:w="178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8"/>
                <w:szCs w:val="18"/>
                <w:b w:val="1"/>
                <w:bCs w:val="1"/>
                <w:color w:val="auto"/>
              </w:rPr>
              <w:t>compensation(2)</w:t>
            </w:r>
          </w:p>
        </w:tc>
        <w:tc>
          <w:tcPr>
            <w:tcW w:w="15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compensation</w:t>
            </w:r>
          </w:p>
        </w:tc>
        <w:tc>
          <w:tcPr>
            <w:tcW w:w="108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b w:val="1"/>
                <w:bCs w:val="1"/>
                <w:color w:val="auto"/>
              </w:rPr>
              <w:t>Total</w:t>
            </w:r>
          </w:p>
        </w:tc>
      </w:tr>
      <w:tr>
        <w:trPr>
          <w:trHeight w:val="196"/>
        </w:trPr>
        <w:tc>
          <w:tcPr>
            <w:tcW w:w="3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Mark A. Goldsmith, M.D., Ph.D.</w:t>
            </w:r>
          </w:p>
        </w:tc>
        <w:tc>
          <w:tcPr>
            <w:tcW w:w="780" w:type="dxa"/>
            <w:vAlign w:val="bottom"/>
            <w:shd w:val="clear" w:color="auto" w:fill="CCEEFF"/>
          </w:tcPr>
          <w:p>
            <w:pPr>
              <w:ind w:left="260"/>
              <w:spacing w:after="0" w:line="196" w:lineRule="exact"/>
              <w:rPr>
                <w:sz w:val="20"/>
                <w:szCs w:val="20"/>
                <w:color w:val="auto"/>
              </w:rPr>
            </w:pPr>
            <w:r>
              <w:rPr>
                <w:rFonts w:ascii="Arial" w:cs="Arial" w:eastAsia="Arial" w:hAnsi="Arial"/>
                <w:sz w:val="18"/>
                <w:szCs w:val="18"/>
                <w:color w:val="auto"/>
              </w:rPr>
              <w:t>2018</w:t>
            </w:r>
          </w:p>
        </w:tc>
        <w:tc>
          <w:tcPr>
            <w:tcW w:w="1000" w:type="dxa"/>
            <w:vAlign w:val="bottom"/>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$489,567</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$ 582,915</w:t>
            </w:r>
          </w:p>
        </w:tc>
        <w:tc>
          <w:tcPr>
            <w:tcW w:w="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52"/>
              <w:spacing w:after="0" w:line="196" w:lineRule="exact"/>
              <w:rPr>
                <w:sz w:val="20"/>
                <w:szCs w:val="20"/>
                <w:color w:val="auto"/>
              </w:rPr>
            </w:pPr>
            <w:r>
              <w:rPr>
                <w:rFonts w:ascii="Arial" w:cs="Arial" w:eastAsia="Arial" w:hAnsi="Arial"/>
                <w:sz w:val="18"/>
                <w:szCs w:val="18"/>
                <w:color w:val="auto"/>
              </w:rPr>
              <w:t>232,500</w:t>
            </w:r>
          </w:p>
        </w:tc>
        <w:tc>
          <w:tcPr>
            <w:tcW w:w="156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$1,304,982</w:t>
            </w:r>
          </w:p>
        </w:tc>
      </w:tr>
      <w:tr>
        <w:trPr>
          <w:trHeight w:val="188"/>
        </w:trPr>
        <w:tc>
          <w:tcPr>
            <w:tcW w:w="3080" w:type="dxa"/>
            <w:vAlign w:val="bottom"/>
            <w:shd w:val="clear" w:color="auto" w:fill="CCEEFF"/>
          </w:tcPr>
          <w:p>
            <w:pPr>
              <w:ind w:left="220"/>
              <w:spacing w:after="0" w:line="188" w:lineRule="exact"/>
              <w:rPr>
                <w:sz w:val="20"/>
                <w:szCs w:val="20"/>
                <w:color w:val="auto"/>
              </w:rPr>
            </w:pPr>
            <w:r>
              <w:rPr>
                <w:rFonts w:ascii="Arial" w:cs="Arial" w:eastAsia="Arial" w:hAnsi="Arial"/>
                <w:sz w:val="18"/>
                <w:szCs w:val="18"/>
                <w:i w:val="1"/>
                <w:iCs w:val="1"/>
                <w:color w:val="auto"/>
              </w:rPr>
              <w:t>President and Chief Executive</w:t>
            </w:r>
          </w:p>
        </w:tc>
        <w:tc>
          <w:tcPr>
            <w:tcW w:w="7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7"/>
        </w:trPr>
        <w:tc>
          <w:tcPr>
            <w:tcW w:w="308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Officer</w:t>
            </w: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55"/>
        </w:trPr>
        <w:tc>
          <w:tcPr>
            <w:tcW w:w="3080" w:type="dxa"/>
            <w:vAlign w:val="bottom"/>
          </w:tcPr>
          <w:p>
            <w:pPr>
              <w:spacing w:after="0"/>
              <w:rPr>
                <w:sz w:val="20"/>
                <w:szCs w:val="20"/>
                <w:color w:val="auto"/>
              </w:rPr>
            </w:pPr>
            <w:r>
              <w:rPr>
                <w:rFonts w:ascii="Arial" w:cs="Arial" w:eastAsia="Arial" w:hAnsi="Arial"/>
                <w:sz w:val="18"/>
                <w:szCs w:val="18"/>
                <w:color w:val="auto"/>
              </w:rPr>
              <w:t>Steve Kelsey, M.D.</w:t>
            </w:r>
          </w:p>
        </w:tc>
        <w:tc>
          <w:tcPr>
            <w:tcW w:w="780" w:type="dxa"/>
            <w:vAlign w:val="bottom"/>
          </w:tcPr>
          <w:p>
            <w:pPr>
              <w:ind w:left="260"/>
              <w:spacing w:after="0"/>
              <w:rPr>
                <w:sz w:val="20"/>
                <w:szCs w:val="20"/>
                <w:color w:val="auto"/>
              </w:rPr>
            </w:pPr>
            <w:r>
              <w:rPr>
                <w:rFonts w:ascii="Arial" w:cs="Arial" w:eastAsia="Arial" w:hAnsi="Arial"/>
                <w:sz w:val="18"/>
                <w:szCs w:val="18"/>
                <w:color w:val="auto"/>
              </w:rPr>
              <w:t>2018</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405,000</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81,934</w:t>
            </w:r>
          </w:p>
        </w:tc>
        <w:tc>
          <w:tcPr>
            <w:tcW w:w="220" w:type="dxa"/>
            <w:vAlign w:val="bottom"/>
          </w:tcPr>
          <w:p>
            <w:pPr>
              <w:spacing w:after="0"/>
              <w:rPr>
                <w:sz w:val="22"/>
                <w:szCs w:val="22"/>
                <w:color w:val="auto"/>
              </w:rPr>
            </w:pP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152,150</w:t>
            </w: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639,084</w:t>
            </w:r>
          </w:p>
        </w:tc>
      </w:tr>
      <w:tr>
        <w:trPr>
          <w:trHeight w:val="203"/>
        </w:trPr>
        <w:tc>
          <w:tcPr>
            <w:tcW w:w="3080" w:type="dxa"/>
            <w:vAlign w:val="bottom"/>
          </w:tcPr>
          <w:p>
            <w:pPr>
              <w:ind w:left="220"/>
              <w:spacing w:after="0" w:line="202" w:lineRule="exact"/>
              <w:rPr>
                <w:sz w:val="20"/>
                <w:szCs w:val="20"/>
                <w:color w:val="auto"/>
              </w:rPr>
            </w:pPr>
            <w:r>
              <w:rPr>
                <w:rFonts w:ascii="Arial" w:cs="Arial" w:eastAsia="Arial" w:hAnsi="Arial"/>
                <w:sz w:val="18"/>
                <w:szCs w:val="18"/>
                <w:i w:val="1"/>
                <w:iCs w:val="1"/>
                <w:color w:val="auto"/>
              </w:rPr>
              <w:t>President, Research and</w:t>
            </w: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9"/>
        </w:trPr>
        <w:tc>
          <w:tcPr>
            <w:tcW w:w="3080" w:type="dxa"/>
            <w:vAlign w:val="bottom"/>
          </w:tcPr>
          <w:p>
            <w:pPr>
              <w:ind w:left="220"/>
              <w:spacing w:after="0"/>
              <w:rPr>
                <w:sz w:val="20"/>
                <w:szCs w:val="20"/>
                <w:color w:val="auto"/>
              </w:rPr>
            </w:pPr>
            <w:r>
              <w:rPr>
                <w:rFonts w:ascii="Arial" w:cs="Arial" w:eastAsia="Arial" w:hAnsi="Arial"/>
                <w:sz w:val="18"/>
                <w:szCs w:val="18"/>
                <w:i w:val="1"/>
                <w:iCs w:val="1"/>
                <w:color w:val="auto"/>
              </w:rPr>
              <w:t>Development</w:t>
            </w:r>
          </w:p>
        </w:tc>
        <w:tc>
          <w:tcPr>
            <w:tcW w:w="7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56"/>
        </w:trPr>
        <w:tc>
          <w:tcPr>
            <w:tcW w:w="3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3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Margaret Horn, J.D.</w:t>
            </w:r>
          </w:p>
        </w:tc>
        <w:tc>
          <w:tcPr>
            <w:tcW w:w="78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2018</w:t>
            </w:r>
          </w:p>
        </w:tc>
        <w:tc>
          <w:tcPr>
            <w:tcW w:w="10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347,500</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31,323</w:t>
            </w: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140,000</w:t>
            </w:r>
          </w:p>
        </w:tc>
        <w:tc>
          <w:tcPr>
            <w:tcW w:w="15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518,823</w:t>
            </w:r>
          </w:p>
        </w:tc>
      </w:tr>
      <w:tr>
        <w:trPr>
          <w:trHeight w:val="188"/>
        </w:trPr>
        <w:tc>
          <w:tcPr>
            <w:tcW w:w="3080" w:type="dxa"/>
            <w:vAlign w:val="bottom"/>
            <w:shd w:val="clear" w:color="auto" w:fill="CCEEFF"/>
          </w:tcPr>
          <w:p>
            <w:pPr>
              <w:ind w:left="220"/>
              <w:spacing w:after="0" w:line="188" w:lineRule="exact"/>
              <w:rPr>
                <w:sz w:val="20"/>
                <w:szCs w:val="20"/>
                <w:color w:val="auto"/>
              </w:rPr>
            </w:pPr>
            <w:r>
              <w:rPr>
                <w:rFonts w:ascii="Arial" w:cs="Arial" w:eastAsia="Arial" w:hAnsi="Arial"/>
                <w:sz w:val="18"/>
                <w:szCs w:val="18"/>
                <w:i w:val="1"/>
                <w:iCs w:val="1"/>
                <w:color w:val="auto"/>
                <w:w w:val="98"/>
              </w:rPr>
              <w:t>Chief Operating Officer and General</w:t>
            </w:r>
          </w:p>
        </w:tc>
        <w:tc>
          <w:tcPr>
            <w:tcW w:w="7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7"/>
        </w:trPr>
        <w:tc>
          <w:tcPr>
            <w:tcW w:w="308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Counsel</w:t>
            </w: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
        </w:trPr>
        <w:tc>
          <w:tcPr>
            <w:tcW w:w="30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7" w:lineRule="exact"/>
        <w:rPr>
          <w:sz w:val="20"/>
          <w:szCs w:val="20"/>
          <w:color w:val="auto"/>
        </w:rPr>
      </w:pPr>
    </w:p>
    <w:p>
      <w:pPr>
        <w:ind w:left="440" w:right="180" w:hanging="324"/>
        <w:spacing w:after="0" w:line="248" w:lineRule="auto"/>
        <w:tabs>
          <w:tab w:leader="none" w:pos="440" w:val="left"/>
        </w:tabs>
        <w:numPr>
          <w:ilvl w:val="0"/>
          <w:numId w:val="91"/>
        </w:numPr>
        <w:rPr>
          <w:rFonts w:ascii="Arial" w:cs="Arial" w:eastAsia="Arial" w:hAnsi="Arial"/>
          <w:sz w:val="13"/>
          <w:szCs w:val="13"/>
          <w:color w:val="auto"/>
        </w:rPr>
      </w:pPr>
      <w:r>
        <w:rPr>
          <w:rFonts w:ascii="Arial" w:cs="Arial" w:eastAsia="Arial" w:hAnsi="Arial"/>
          <w:sz w:val="13"/>
          <w:szCs w:val="13"/>
          <w:color w:val="auto"/>
        </w:rPr>
        <w:t>Amounts reported represent the aggregate grant date fair value of stock options granted to our named executive officers computed in accordance with FASB ASC Topic 718. Assumptions used in the calculation of these amounts are included in Note 10 to our consolidated financial statements included in this prospectus. Our named executive officers will only realize compensation to the extent the trading price of our common stock is greater than the exercise price of such stock options.</w:t>
      </w:r>
    </w:p>
    <w:p>
      <w:pPr>
        <w:spacing w:after="0" w:line="49" w:lineRule="exact"/>
        <w:rPr>
          <w:rFonts w:ascii="Arial" w:cs="Arial" w:eastAsia="Arial" w:hAnsi="Arial"/>
          <w:sz w:val="13"/>
          <w:szCs w:val="13"/>
          <w:color w:val="auto"/>
        </w:rPr>
      </w:pPr>
    </w:p>
    <w:p>
      <w:pPr>
        <w:ind w:left="440" w:right="340" w:hanging="324"/>
        <w:spacing w:after="0" w:line="248" w:lineRule="auto"/>
        <w:tabs>
          <w:tab w:leader="none" w:pos="440" w:val="left"/>
        </w:tabs>
        <w:numPr>
          <w:ilvl w:val="0"/>
          <w:numId w:val="91"/>
        </w:numPr>
        <w:rPr>
          <w:rFonts w:ascii="Arial" w:cs="Arial" w:eastAsia="Arial" w:hAnsi="Arial"/>
          <w:sz w:val="13"/>
          <w:szCs w:val="13"/>
          <w:color w:val="auto"/>
        </w:rPr>
      </w:pPr>
      <w:r>
        <w:rPr>
          <w:rFonts w:ascii="Arial" w:cs="Arial" w:eastAsia="Arial" w:hAnsi="Arial"/>
          <w:sz w:val="13"/>
          <w:szCs w:val="13"/>
          <w:color w:val="auto"/>
        </w:rPr>
        <w:t>Represents payments made to our named executive officers upon the achievement of certain company performance objectives approved by our board of directors. Payments related to 2018 performance were paid in early 2019. A description of the annual performance bonuses paid to our named executive officers is set forth below under “2018 bonuses” below.</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Narrative to the summary compensation table</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2018 salaries</w:t>
      </w:r>
    </w:p>
    <w:p>
      <w:pPr>
        <w:spacing w:after="0" w:line="124"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Our named executive officers each receive a base salary to compensate them for services rendered to our company. The base salary payable to each named executive officer is intended to provide a fixed component of compensation reflecting the executive’s skill set, experience, role and responsibilities.</w:t>
      </w:r>
    </w:p>
    <w:p>
      <w:pPr>
        <w:spacing w:after="0" w:line="100" w:lineRule="exact"/>
        <w:rPr>
          <w:sz w:val="20"/>
          <w:szCs w:val="20"/>
          <w:color w:val="auto"/>
        </w:rPr>
      </w:pPr>
    </w:p>
    <w:p>
      <w:pPr>
        <w:ind w:left="120" w:right="320"/>
        <w:spacing w:after="0" w:line="238" w:lineRule="auto"/>
        <w:rPr>
          <w:sz w:val="20"/>
          <w:szCs w:val="20"/>
          <w:color w:val="auto"/>
        </w:rPr>
      </w:pPr>
      <w:r>
        <w:rPr>
          <w:rFonts w:ascii="Arial" w:cs="Arial" w:eastAsia="Arial" w:hAnsi="Arial"/>
          <w:sz w:val="18"/>
          <w:szCs w:val="18"/>
          <w:color w:val="auto"/>
        </w:rPr>
        <w:t>For fiscal year 2018, Dr. Goldsmith’s annual base salary was $492,000, Dr. Kelsey’s annual base salary was $414,000, and Ms. Horn’s annual base salary was $375,000. The annual base salaries of Dr. Goldsmith, Dr. Kelsey and Ms. Horn were increased approximately 3%, 15% and 9% from their respective levels in 2017, effective March 1, 2018.</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40"/>
          </w:cols>
          <w:pgMar w:left="320" w:top="459"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2018 bonuses</w:t>
      </w:r>
    </w:p>
    <w:p>
      <w:pPr>
        <w:spacing w:after="0" w:line="124" w:lineRule="exact"/>
        <w:rPr>
          <w:sz w:val="20"/>
          <w:szCs w:val="20"/>
          <w:color w:val="auto"/>
        </w:rPr>
      </w:pPr>
    </w:p>
    <w:p>
      <w:pPr>
        <w:jc w:val="both"/>
        <w:ind w:left="120" w:right="320"/>
        <w:spacing w:after="0" w:line="237" w:lineRule="auto"/>
        <w:rPr>
          <w:sz w:val="20"/>
          <w:szCs w:val="20"/>
          <w:color w:val="auto"/>
        </w:rPr>
      </w:pPr>
      <w:r>
        <w:rPr>
          <w:rFonts w:ascii="Arial" w:cs="Arial" w:eastAsia="Arial" w:hAnsi="Arial"/>
          <w:sz w:val="18"/>
          <w:szCs w:val="18"/>
          <w:color w:val="auto"/>
        </w:rPr>
        <w:t>We maintain an annual performance-based cash bonus program in which each of our named executive officers participated in 2018. Each named executive officer’s target bonus is expressed as a percentage of base salary which can be achieved by meeting corporate goals at target level. The 2018 annual bonuses for Dr. Goldsmith, Dr. Kelsey and Ms. Horn were targeted at 45%, 35% and 35% of their respective base salaries, increased from 40%, 30% and 30% of base salary, respectively, for 2017.</w:t>
      </w:r>
    </w:p>
    <w:p>
      <w:pPr>
        <w:spacing w:after="0" w:line="100"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For 2018, our named executive officers were eligible to earn annual cash bonuses based on the achievement of certain corporate performance objectives approved by the compensation committee and the board of directors as well as individual achievement, with corporate achievement weighted 90% and the individual achievement weighted 10%.</w:t>
      </w:r>
    </w:p>
    <w:p>
      <w:pPr>
        <w:spacing w:after="0" w:line="100"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In early 2019, following review of our the achievement levels above, the board of directors approved overall achievement of our 2018 corporate goals at 105% and individual achievement at 105%, 105% and 120%, for Dr. Goldsmith, Dr. Kelsey and Ms. Horn, respectively. Based on these levels of achievement, Dr. Goldsmith, Dr. Kelsey and Ms. Horn were paid annual bonuses at 105%, 105% and 106% of their targeted amounts, respectively. The actual annual cash bonuses awarded to each named executive officer for 2018 performance are set forth above in the Summary compensation table in the column titled “Non-Equity Incentive Plan Compensation.”</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24" w:lineRule="exact"/>
        <w:rPr>
          <w:sz w:val="20"/>
          <w:szCs w:val="20"/>
          <w:color w:val="auto"/>
        </w:rPr>
      </w:pPr>
    </w:p>
    <w:p>
      <w:pPr>
        <w:ind w:left="120" w:right="300"/>
        <w:spacing w:after="0" w:line="264" w:lineRule="auto"/>
        <w:rPr>
          <w:sz w:val="20"/>
          <w:szCs w:val="20"/>
          <w:color w:val="auto"/>
        </w:rPr>
      </w:pPr>
      <w:r>
        <w:rPr>
          <w:rFonts w:ascii="Arial" w:cs="Arial" w:eastAsia="Arial" w:hAnsi="Arial"/>
          <w:sz w:val="16"/>
          <w:szCs w:val="16"/>
          <w:color w:val="auto"/>
        </w:rPr>
        <w:t>We currently maintain the 2014 Equity Incentive Plan, pursuant to which we may grant equity awards to certain of our service providers. In February 2018, we granted to Dr. Goldsmith, Dr. Kelsey and Ms. Horn options to purchase 1,087,560, 304,160 and 116,280 shares of our common stock, respectively, each of which vests with respect to 1/48</w:t>
      </w:r>
      <w:r>
        <w:rPr>
          <w:rFonts w:ascii="Arial" w:cs="Arial" w:eastAsia="Arial" w:hAnsi="Arial"/>
          <w:sz w:val="10"/>
          <w:szCs w:val="10"/>
          <w:color w:val="auto"/>
        </w:rPr>
        <w:t>th</w:t>
      </w:r>
      <w:r>
        <w:rPr>
          <w:rFonts w:ascii="Arial" w:cs="Arial" w:eastAsia="Arial" w:hAnsi="Arial"/>
          <w:sz w:val="16"/>
          <w:szCs w:val="16"/>
          <w:color w:val="auto"/>
        </w:rPr>
        <w:t xml:space="preserve"> of the shares subject to the option on each monthly anniversary of March 1, 2018, subject to the executive’s continued service on each applicable vesting date. In addition, in April 2018, we granted to</w:t>
      </w:r>
    </w:p>
    <w:p>
      <w:pPr>
        <w:ind w:left="120" w:right="40"/>
        <w:spacing w:after="0" w:line="236" w:lineRule="auto"/>
        <w:rPr>
          <w:sz w:val="20"/>
          <w:szCs w:val="20"/>
          <w:color w:val="auto"/>
        </w:rPr>
      </w:pPr>
      <w:r>
        <w:rPr>
          <w:rFonts w:ascii="Arial" w:cs="Arial" w:eastAsia="Arial" w:hAnsi="Arial"/>
          <w:sz w:val="18"/>
          <w:szCs w:val="18"/>
          <w:color w:val="auto"/>
        </w:rPr>
        <w:t>Dr. Goldsmith an option to purchase 750,000 shares of our common stock, which vests with respect to 1/48</w:t>
      </w:r>
      <w:r>
        <w:rPr>
          <w:rFonts w:ascii="Arial" w:cs="Arial" w:eastAsia="Arial" w:hAnsi="Arial"/>
          <w:sz w:val="11"/>
          <w:szCs w:val="11"/>
          <w:color w:val="auto"/>
        </w:rPr>
        <w:t>th</w:t>
      </w:r>
      <w:r>
        <w:rPr>
          <w:rFonts w:ascii="Arial" w:cs="Arial" w:eastAsia="Arial" w:hAnsi="Arial"/>
          <w:sz w:val="18"/>
          <w:szCs w:val="18"/>
          <w:color w:val="auto"/>
        </w:rPr>
        <w:t xml:space="preserve"> of the shares subject to the option on each monthly anniversary of March 29, 2018, subject to Dr. Goldsmith’s continued service on each applicable vesting date. In October 2018, in connection with Ms. Horn’s promotion from Executive Vice President and General Counsel to Chief Operating Officer and General Counsel, our board approved, effective as of the board’s subsequent determination of the fair market value of our common stock, the grant of an option to purchase 500,000 shares of our common stock, which vests as to 1/48</w:t>
      </w:r>
      <w:r>
        <w:rPr>
          <w:rFonts w:ascii="Arial" w:cs="Arial" w:eastAsia="Arial" w:hAnsi="Arial"/>
          <w:sz w:val="11"/>
          <w:szCs w:val="11"/>
          <w:color w:val="auto"/>
        </w:rPr>
        <w:t>th</w:t>
      </w:r>
      <w:r>
        <w:rPr>
          <w:rFonts w:ascii="Arial" w:cs="Arial" w:eastAsia="Arial" w:hAnsi="Arial"/>
          <w:sz w:val="18"/>
          <w:szCs w:val="18"/>
          <w:color w:val="auto"/>
        </w:rPr>
        <w:t xml:space="preserve"> of the shares subject to the option on each monthly anniversary of January 1, 2018, subject to Ms. Horn’s continued service on each applicable vesting date. Such grant was made effective on March 13, 2019. Each option is exercisable immediately, in whole or in part, provided that shares acquired upon exercise of any unvested portion are subject to a right of repurchase by the Company.</w:t>
      </w:r>
    </w:p>
    <w:p>
      <w:pPr>
        <w:spacing w:after="0" w:line="100" w:lineRule="exact"/>
        <w:rPr>
          <w:sz w:val="20"/>
          <w:szCs w:val="20"/>
          <w:color w:val="auto"/>
        </w:rPr>
      </w:pPr>
    </w:p>
    <w:p>
      <w:pPr>
        <w:ind w:left="120" w:right="160"/>
        <w:spacing w:after="0" w:line="269" w:lineRule="auto"/>
        <w:rPr>
          <w:sz w:val="20"/>
          <w:szCs w:val="20"/>
          <w:color w:val="auto"/>
        </w:rPr>
      </w:pPr>
      <w:r>
        <w:rPr>
          <w:rFonts w:ascii="Arial" w:cs="Arial" w:eastAsia="Arial" w:hAnsi="Arial"/>
          <w:sz w:val="16"/>
          <w:szCs w:val="16"/>
          <w:color w:val="auto"/>
        </w:rPr>
        <w:t>In March 2019, we granted to Dr. Goldsmith, Dr. Kelsey and Ms. Horn options to purchase 1,936,538, 600,000 and 600,000 shares of our common stock, respectively, each of which vests with respect to 1/48</w:t>
      </w:r>
      <w:r>
        <w:rPr>
          <w:rFonts w:ascii="Arial" w:cs="Arial" w:eastAsia="Arial" w:hAnsi="Arial"/>
          <w:sz w:val="10"/>
          <w:szCs w:val="10"/>
          <w:color w:val="auto"/>
        </w:rPr>
        <w:t>th</w:t>
      </w:r>
      <w:r>
        <w:rPr>
          <w:rFonts w:ascii="Arial" w:cs="Arial" w:eastAsia="Arial" w:hAnsi="Arial"/>
          <w:sz w:val="16"/>
          <w:szCs w:val="16"/>
          <w:color w:val="auto"/>
        </w:rPr>
        <w:t xml:space="preserve"> of the shares subject to the option on each monthly anniversary of March 13, 2019, subject to the executive’s continued service on each applicable vesting date. In addition, in August 2019, we granted to Dr. Goldsmith, Dr. Kelsey and Ms. Horn options to purchase 2,839,200, 1,006,020 and 1,093,900 shares of our common stock, respectively, each of which vests with respect to 1/48</w:t>
      </w:r>
      <w:r>
        <w:rPr>
          <w:rFonts w:ascii="Arial" w:cs="Arial" w:eastAsia="Arial" w:hAnsi="Arial"/>
          <w:sz w:val="10"/>
          <w:szCs w:val="10"/>
          <w:color w:val="auto"/>
        </w:rPr>
        <w:t>th</w:t>
      </w:r>
      <w:r>
        <w:rPr>
          <w:rFonts w:ascii="Arial" w:cs="Arial" w:eastAsia="Arial" w:hAnsi="Arial"/>
          <w:sz w:val="16"/>
          <w:szCs w:val="16"/>
          <w:color w:val="auto"/>
        </w:rPr>
        <w:t xml:space="preserve"> of the shares subject to the option on each monthly anniversary of August 9, 2019, subject to the executive’s continued service to the Company on each applicable vesting date. Each option is exercisable immediately, in whole or in part, provided that shares acquired upon exercise of any unvested portion are subject to a right of repurchase by the Company.</w:t>
      </w:r>
    </w:p>
    <w:p>
      <w:pPr>
        <w:spacing w:after="0" w:line="82" w:lineRule="exact"/>
        <w:rPr>
          <w:sz w:val="20"/>
          <w:szCs w:val="20"/>
          <w:color w:val="auto"/>
        </w:rPr>
      </w:pPr>
    </w:p>
    <w:p>
      <w:pPr>
        <w:ind w:left="120" w:right="280"/>
        <w:spacing w:after="0" w:line="239" w:lineRule="auto"/>
        <w:rPr>
          <w:sz w:val="20"/>
          <w:szCs w:val="20"/>
          <w:color w:val="auto"/>
        </w:rPr>
      </w:pPr>
      <w:r>
        <w:rPr>
          <w:rFonts w:ascii="Arial" w:cs="Arial" w:eastAsia="Arial" w:hAnsi="Arial"/>
          <w:sz w:val="18"/>
          <w:szCs w:val="18"/>
          <w:color w:val="auto"/>
        </w:rPr>
        <w:t>We intend to adopt a 20 Incentive Award Plan, or the 20 Plan, in order to facilitate the grant of cash and equity incentives to directors, employees (including our named executive officers) and consultants of our</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company and certain of its affiliates and to enable us to obtain and retain services of these individuals, which is essential to our long-term success. The 20 Plan will be effective on the day prior to the date the registration statement relating to this offering becomes effective. For additional information about the 20 Plan, please see the section titled “Equity compensation plans” below</w:t>
      </w:r>
      <w:r>
        <w:rPr>
          <w:rFonts w:ascii="Arial" w:cs="Arial" w:eastAsia="Arial" w:hAnsi="Arial"/>
          <w:sz w:val="18"/>
          <w:szCs w:val="18"/>
          <w:i w:val="1"/>
          <w:iCs w:val="1"/>
          <w:color w:val="auto"/>
        </w:rPr>
        <w:t>.</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Other elements of compensation</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Retirement plans</w:t>
      </w:r>
    </w:p>
    <w:p>
      <w:pPr>
        <w:spacing w:after="0" w:line="124"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We maintain a 401(k) retirement savings plan for our employees, including our named executive officers, who satisfy certain eligibility requirements. Our named executive officers are eligible to participate in the 401(k) plan on the same terms as other full-time employees. We introduced a discretionary company contribution match for 2019 equal to 50% of participant contributions, subject to a maximum company match of $2,000. We did not match contributions made by participants prior to 2019. We believe that providing a vehicle for tax-deferred retirement savings though our 401(k) plan adds to the overall desirability of our executive compensation package and further incentivizes our employees, including our named executive officers, in accordance with our compensation policies.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benefits and perquisites</w:t>
      </w:r>
    </w:p>
    <w:p>
      <w:pPr>
        <w:spacing w:after="0" w:line="124"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All of our full-time employees, including our named executive officers, are eligible to participate in our health and welfare plans, including medical, dental and vision benefits, a cafeteria plan, short-term and long-term disability insurance, life insurance and pre-tax transit spending accounts. We do not currently provide any perquisites or other personal benefits to our named executive officers.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Outstanding equity awards as of December 31, 2018</w:t>
      </w:r>
    </w:p>
    <w:p>
      <w:pPr>
        <w:spacing w:after="0" w:line="134" w:lineRule="exact"/>
        <w:rPr>
          <w:sz w:val="20"/>
          <w:szCs w:val="20"/>
          <w:color w:val="auto"/>
        </w:rPr>
      </w:pPr>
    </w:p>
    <w:p>
      <w:pPr>
        <w:ind w:left="120" w:right="480"/>
        <w:spacing w:after="0" w:line="239" w:lineRule="auto"/>
        <w:rPr>
          <w:sz w:val="20"/>
          <w:szCs w:val="20"/>
          <w:color w:val="auto"/>
        </w:rPr>
      </w:pPr>
      <w:r>
        <w:rPr>
          <w:rFonts w:ascii="Arial" w:cs="Arial" w:eastAsia="Arial" w:hAnsi="Arial"/>
          <w:sz w:val="18"/>
          <w:szCs w:val="18"/>
          <w:color w:val="auto"/>
        </w:rPr>
        <w:t>The following table provides information about outstanding equity awards held by each of our named executive officers at December 31, 2018. All awards were granted under our 2014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65"/>
        </w:trPr>
        <w:tc>
          <w:tcPr>
            <w:tcW w:w="3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20" w:type="dxa"/>
            <w:vAlign w:val="bottom"/>
            <w:gridSpan w:val="2"/>
          </w:tcPr>
          <w:p>
            <w:pPr>
              <w:jc w:val="right"/>
              <w:ind w:right="593"/>
              <w:spacing w:after="0"/>
              <w:rPr>
                <w:sz w:val="20"/>
                <w:szCs w:val="20"/>
                <w:color w:val="auto"/>
              </w:rPr>
            </w:pPr>
            <w:r>
              <w:rPr>
                <w:rFonts w:ascii="Arial" w:cs="Arial" w:eastAsia="Arial" w:hAnsi="Arial"/>
                <w:sz w:val="13"/>
                <w:szCs w:val="13"/>
                <w:b w:val="1"/>
                <w:bCs w:val="1"/>
                <w:color w:val="auto"/>
              </w:rPr>
              <w:t>Option awards</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3"/>
          </w:tcPr>
          <w:p>
            <w:pPr>
              <w:ind w:left="220"/>
              <w:spacing w:after="0"/>
              <w:rPr>
                <w:sz w:val="20"/>
                <w:szCs w:val="20"/>
                <w:color w:val="auto"/>
              </w:rPr>
            </w:pPr>
            <w:r>
              <w:rPr>
                <w:rFonts w:ascii="Arial" w:cs="Arial" w:eastAsia="Arial" w:hAnsi="Arial"/>
                <w:sz w:val="13"/>
                <w:szCs w:val="13"/>
                <w:b w:val="1"/>
                <w:bCs w:val="1"/>
                <w:color w:val="auto"/>
              </w:rPr>
              <w:t>Stock awards</w:t>
            </w:r>
          </w:p>
        </w:tc>
      </w:tr>
      <w:tr>
        <w:trPr>
          <w:trHeight w:val="125"/>
        </w:trPr>
        <w:tc>
          <w:tcPr>
            <w:tcW w:w="3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ind w:left="53"/>
              <w:spacing w:after="0" w:line="126" w:lineRule="exact"/>
              <w:rPr>
                <w:sz w:val="20"/>
                <w:szCs w:val="20"/>
                <w:color w:val="auto"/>
              </w:rPr>
            </w:pPr>
            <w:r>
              <w:rPr>
                <w:rFonts w:ascii="Arial" w:cs="Arial" w:eastAsia="Arial" w:hAnsi="Arial"/>
                <w:sz w:val="13"/>
                <w:szCs w:val="13"/>
                <w:b w:val="1"/>
                <w:bCs w:val="1"/>
                <w:color w:val="auto"/>
              </w:rPr>
              <w:t>Market</w:t>
            </w:r>
          </w:p>
        </w:tc>
        <w:tc>
          <w:tcPr>
            <w:tcW w:w="40" w:type="dxa"/>
            <w:vAlign w:val="bottom"/>
          </w:tcPr>
          <w:p>
            <w:pPr>
              <w:spacing w:after="0"/>
              <w:rPr>
                <w:sz w:val="10"/>
                <w:szCs w:val="10"/>
                <w:color w:val="auto"/>
              </w:rPr>
            </w:pPr>
          </w:p>
        </w:tc>
      </w:tr>
      <w:tr>
        <w:trPr>
          <w:trHeight w:val="148"/>
        </w:trPr>
        <w:tc>
          <w:tcPr>
            <w:tcW w:w="3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center"/>
              <w:ind w:right="53"/>
              <w:spacing w:after="0"/>
              <w:rPr>
                <w:sz w:val="20"/>
                <w:szCs w:val="20"/>
                <w:color w:val="auto"/>
              </w:rPr>
            </w:pPr>
            <w:r>
              <w:rPr>
                <w:rFonts w:ascii="Arial" w:cs="Arial" w:eastAsia="Arial" w:hAnsi="Arial"/>
                <w:sz w:val="13"/>
                <w:szCs w:val="13"/>
                <w:b w:val="1"/>
                <w:bCs w:val="1"/>
                <w:color w:val="auto"/>
              </w:rPr>
              <w:t>Number</w:t>
            </w:r>
          </w:p>
        </w:tc>
        <w:tc>
          <w:tcPr>
            <w:tcW w:w="720" w:type="dxa"/>
            <w:vAlign w:val="bottom"/>
            <w:gridSpan w:val="2"/>
          </w:tcPr>
          <w:p>
            <w:pPr>
              <w:jc w:val="center"/>
              <w:ind w:left="13"/>
              <w:spacing w:after="0"/>
              <w:rPr>
                <w:sz w:val="20"/>
                <w:szCs w:val="20"/>
                <w:color w:val="auto"/>
              </w:rPr>
            </w:pPr>
            <w:r>
              <w:rPr>
                <w:rFonts w:ascii="Arial" w:cs="Arial" w:eastAsia="Arial" w:hAnsi="Arial"/>
                <w:sz w:val="13"/>
                <w:szCs w:val="13"/>
                <w:b w:val="1"/>
                <w:bCs w:val="1"/>
                <w:color w:val="auto"/>
              </w:rPr>
              <w:t>value of</w:t>
            </w:r>
          </w:p>
        </w:tc>
      </w:tr>
      <w:tr>
        <w:trPr>
          <w:trHeight w:val="148"/>
        </w:trPr>
        <w:tc>
          <w:tcPr>
            <w:tcW w:w="3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center"/>
              <w:ind w:right="73"/>
              <w:spacing w:after="0"/>
              <w:rPr>
                <w:sz w:val="20"/>
                <w:szCs w:val="20"/>
                <w:color w:val="auto"/>
              </w:rPr>
            </w:pPr>
            <w:r>
              <w:rPr>
                <w:rFonts w:ascii="Arial" w:cs="Arial" w:eastAsia="Arial" w:hAnsi="Arial"/>
                <w:sz w:val="13"/>
                <w:szCs w:val="13"/>
                <w:b w:val="1"/>
                <w:bCs w:val="1"/>
                <w:color w:val="auto"/>
                <w:w w:val="97"/>
              </w:rPr>
              <w:t>of</w:t>
            </w:r>
          </w:p>
        </w:tc>
        <w:tc>
          <w:tcPr>
            <w:tcW w:w="720" w:type="dxa"/>
            <w:vAlign w:val="bottom"/>
            <w:gridSpan w:val="2"/>
          </w:tcPr>
          <w:p>
            <w:pPr>
              <w:jc w:val="center"/>
              <w:ind w:left="13"/>
              <w:spacing w:after="0"/>
              <w:rPr>
                <w:sz w:val="20"/>
                <w:szCs w:val="20"/>
                <w:color w:val="auto"/>
              </w:rPr>
            </w:pPr>
            <w:r>
              <w:rPr>
                <w:rFonts w:ascii="Arial" w:cs="Arial" w:eastAsia="Arial" w:hAnsi="Arial"/>
                <w:sz w:val="13"/>
                <w:szCs w:val="13"/>
                <w:b w:val="1"/>
                <w:bCs w:val="1"/>
                <w:color w:val="auto"/>
              </w:rPr>
              <w:t>shares</w:t>
            </w:r>
          </w:p>
        </w:tc>
      </w:tr>
      <w:tr>
        <w:trPr>
          <w:trHeight w:val="149"/>
        </w:trPr>
        <w:tc>
          <w:tcPr>
            <w:tcW w:w="3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center"/>
              <w:ind w:right="73"/>
              <w:spacing w:after="0"/>
              <w:rPr>
                <w:sz w:val="20"/>
                <w:szCs w:val="20"/>
                <w:color w:val="auto"/>
              </w:rPr>
            </w:pPr>
            <w:r>
              <w:rPr>
                <w:rFonts w:ascii="Arial" w:cs="Arial" w:eastAsia="Arial" w:hAnsi="Arial"/>
                <w:sz w:val="13"/>
                <w:szCs w:val="13"/>
                <w:b w:val="1"/>
                <w:bCs w:val="1"/>
                <w:color w:val="auto"/>
              </w:rPr>
              <w:t>shares</w:t>
            </w:r>
          </w:p>
        </w:tc>
        <w:tc>
          <w:tcPr>
            <w:tcW w:w="720" w:type="dxa"/>
            <w:vAlign w:val="bottom"/>
            <w:gridSpan w:val="2"/>
          </w:tcPr>
          <w:p>
            <w:pPr>
              <w:jc w:val="center"/>
              <w:ind w:left="13"/>
              <w:spacing w:after="0"/>
              <w:rPr>
                <w:sz w:val="20"/>
                <w:szCs w:val="20"/>
                <w:color w:val="auto"/>
              </w:rPr>
            </w:pPr>
            <w:r>
              <w:rPr>
                <w:rFonts w:ascii="Arial" w:cs="Arial" w:eastAsia="Arial" w:hAnsi="Arial"/>
                <w:sz w:val="13"/>
                <w:szCs w:val="13"/>
                <w:b w:val="1"/>
                <w:bCs w:val="1"/>
                <w:color w:val="auto"/>
              </w:rPr>
              <w:t>or units</w:t>
            </w:r>
          </w:p>
        </w:tc>
      </w:tr>
      <w:tr>
        <w:trPr>
          <w:trHeight w:val="148"/>
        </w:trPr>
        <w:tc>
          <w:tcPr>
            <w:tcW w:w="3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center"/>
              <w:ind w:right="53"/>
              <w:spacing w:after="0"/>
              <w:rPr>
                <w:sz w:val="20"/>
                <w:szCs w:val="20"/>
                <w:color w:val="auto"/>
              </w:rPr>
            </w:pPr>
            <w:r>
              <w:rPr>
                <w:rFonts w:ascii="Arial" w:cs="Arial" w:eastAsia="Arial" w:hAnsi="Arial"/>
                <w:sz w:val="13"/>
                <w:szCs w:val="13"/>
                <w:b w:val="1"/>
                <w:bCs w:val="1"/>
                <w:color w:val="auto"/>
              </w:rPr>
              <w:t>or units</w:t>
            </w:r>
          </w:p>
        </w:tc>
        <w:tc>
          <w:tcPr>
            <w:tcW w:w="720" w:type="dxa"/>
            <w:vAlign w:val="bottom"/>
            <w:gridSpan w:val="2"/>
          </w:tcPr>
          <w:p>
            <w:pPr>
              <w:jc w:val="center"/>
              <w:ind w:left="13"/>
              <w:spacing w:after="0"/>
              <w:rPr>
                <w:sz w:val="20"/>
                <w:szCs w:val="20"/>
                <w:color w:val="auto"/>
              </w:rPr>
            </w:pPr>
            <w:r>
              <w:rPr>
                <w:rFonts w:ascii="Arial" w:cs="Arial" w:eastAsia="Arial" w:hAnsi="Arial"/>
                <w:sz w:val="13"/>
                <w:szCs w:val="13"/>
                <w:b w:val="1"/>
                <w:bCs w:val="1"/>
                <w:color w:val="auto"/>
              </w:rPr>
              <w:t>of stock</w:t>
            </w:r>
          </w:p>
        </w:tc>
      </w:tr>
      <w:tr>
        <w:trPr>
          <w:trHeight w:val="149"/>
        </w:trPr>
        <w:tc>
          <w:tcPr>
            <w:tcW w:w="3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20" w:type="dxa"/>
            <w:vAlign w:val="bottom"/>
          </w:tcPr>
          <w:p>
            <w:pPr>
              <w:jc w:val="center"/>
              <w:ind w:right="113"/>
              <w:spacing w:after="0"/>
              <w:rPr>
                <w:sz w:val="20"/>
                <w:szCs w:val="20"/>
                <w:color w:val="auto"/>
              </w:rPr>
            </w:pPr>
            <w:r>
              <w:rPr>
                <w:rFonts w:ascii="Arial" w:cs="Arial" w:eastAsia="Arial" w:hAnsi="Arial"/>
                <w:sz w:val="13"/>
                <w:szCs w:val="13"/>
                <w:b w:val="1"/>
                <w:bCs w:val="1"/>
                <w:color w:val="auto"/>
              </w:rPr>
              <w:t>Number of</w:t>
            </w: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rPr>
              <w:t>Number</w:t>
            </w: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center"/>
              <w:ind w:right="73"/>
              <w:spacing w:after="0"/>
              <w:rPr>
                <w:sz w:val="20"/>
                <w:szCs w:val="20"/>
                <w:color w:val="auto"/>
              </w:rPr>
            </w:pPr>
            <w:r>
              <w:rPr>
                <w:rFonts w:ascii="Arial" w:cs="Arial" w:eastAsia="Arial" w:hAnsi="Arial"/>
                <w:sz w:val="13"/>
                <w:szCs w:val="13"/>
                <w:b w:val="1"/>
                <w:bCs w:val="1"/>
                <w:color w:val="auto"/>
              </w:rPr>
              <w:t>of stock</w:t>
            </w:r>
          </w:p>
        </w:tc>
        <w:tc>
          <w:tcPr>
            <w:tcW w:w="720" w:type="dxa"/>
            <w:vAlign w:val="bottom"/>
            <w:gridSpan w:val="2"/>
          </w:tcPr>
          <w:p>
            <w:pPr>
              <w:jc w:val="center"/>
              <w:ind w:left="13"/>
              <w:spacing w:after="0"/>
              <w:rPr>
                <w:sz w:val="20"/>
                <w:szCs w:val="20"/>
                <w:color w:val="auto"/>
              </w:rPr>
            </w:pPr>
            <w:r>
              <w:rPr>
                <w:rFonts w:ascii="Arial" w:cs="Arial" w:eastAsia="Arial" w:hAnsi="Arial"/>
                <w:sz w:val="13"/>
                <w:szCs w:val="13"/>
                <w:b w:val="1"/>
                <w:bCs w:val="1"/>
                <w:color w:val="auto"/>
              </w:rPr>
              <w:t>that</w:t>
            </w:r>
          </w:p>
        </w:tc>
      </w:tr>
      <w:tr>
        <w:trPr>
          <w:trHeight w:val="148"/>
        </w:trPr>
        <w:tc>
          <w:tcPr>
            <w:tcW w:w="3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20" w:type="dxa"/>
            <w:vAlign w:val="bottom"/>
          </w:tcPr>
          <w:p>
            <w:pPr>
              <w:jc w:val="center"/>
              <w:ind w:right="113"/>
              <w:spacing w:after="0"/>
              <w:rPr>
                <w:sz w:val="20"/>
                <w:szCs w:val="20"/>
                <w:color w:val="auto"/>
              </w:rPr>
            </w:pPr>
            <w:r>
              <w:rPr>
                <w:rFonts w:ascii="Arial" w:cs="Arial" w:eastAsia="Arial" w:hAnsi="Arial"/>
                <w:sz w:val="13"/>
                <w:szCs w:val="13"/>
                <w:b w:val="1"/>
                <w:bCs w:val="1"/>
                <w:color w:val="auto"/>
              </w:rPr>
              <w:t>securities</w:t>
            </w: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rPr>
              <w:t>of securities</w:t>
            </w: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center"/>
              <w:ind w:right="73"/>
              <w:spacing w:after="0"/>
              <w:rPr>
                <w:sz w:val="20"/>
                <w:szCs w:val="20"/>
                <w:color w:val="auto"/>
              </w:rPr>
            </w:pPr>
            <w:r>
              <w:rPr>
                <w:rFonts w:ascii="Arial" w:cs="Arial" w:eastAsia="Arial" w:hAnsi="Arial"/>
                <w:sz w:val="13"/>
                <w:szCs w:val="13"/>
                <w:b w:val="1"/>
                <w:bCs w:val="1"/>
                <w:color w:val="auto"/>
              </w:rPr>
              <w:t>that</w:t>
            </w:r>
          </w:p>
        </w:tc>
        <w:tc>
          <w:tcPr>
            <w:tcW w:w="720" w:type="dxa"/>
            <w:vAlign w:val="bottom"/>
            <w:gridSpan w:val="2"/>
          </w:tcPr>
          <w:p>
            <w:pPr>
              <w:jc w:val="center"/>
              <w:ind w:left="13"/>
              <w:spacing w:after="0"/>
              <w:rPr>
                <w:sz w:val="20"/>
                <w:szCs w:val="20"/>
                <w:color w:val="auto"/>
              </w:rPr>
            </w:pPr>
            <w:r>
              <w:rPr>
                <w:rFonts w:ascii="Arial" w:cs="Arial" w:eastAsia="Arial" w:hAnsi="Arial"/>
                <w:sz w:val="13"/>
                <w:szCs w:val="13"/>
                <w:b w:val="1"/>
                <w:bCs w:val="1"/>
                <w:color w:val="auto"/>
              </w:rPr>
              <w:t>have</w:t>
            </w:r>
          </w:p>
        </w:tc>
      </w:tr>
      <w:tr>
        <w:trPr>
          <w:trHeight w:val="148"/>
        </w:trPr>
        <w:tc>
          <w:tcPr>
            <w:tcW w:w="3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80" w:type="dxa"/>
            <w:vAlign w:val="bottom"/>
          </w:tcPr>
          <w:p>
            <w:pPr>
              <w:jc w:val="center"/>
              <w:ind w:right="133"/>
              <w:spacing w:after="0"/>
              <w:rPr>
                <w:sz w:val="20"/>
                <w:szCs w:val="20"/>
                <w:color w:val="auto"/>
              </w:rPr>
            </w:pPr>
            <w:r>
              <w:rPr>
                <w:rFonts w:ascii="Arial" w:cs="Arial" w:eastAsia="Arial" w:hAnsi="Arial"/>
                <w:sz w:val="13"/>
                <w:szCs w:val="13"/>
                <w:b w:val="1"/>
                <w:bCs w:val="1"/>
                <w:color w:val="auto"/>
              </w:rPr>
              <w:t>Vesting</w:t>
            </w:r>
          </w:p>
        </w:tc>
        <w:tc>
          <w:tcPr>
            <w:tcW w:w="920" w:type="dxa"/>
            <w:vAlign w:val="bottom"/>
          </w:tcPr>
          <w:p>
            <w:pPr>
              <w:jc w:val="center"/>
              <w:ind w:right="113"/>
              <w:spacing w:after="0"/>
              <w:rPr>
                <w:sz w:val="20"/>
                <w:szCs w:val="20"/>
                <w:color w:val="auto"/>
              </w:rPr>
            </w:pPr>
            <w:r>
              <w:rPr>
                <w:rFonts w:ascii="Arial" w:cs="Arial" w:eastAsia="Arial" w:hAnsi="Arial"/>
                <w:sz w:val="13"/>
                <w:szCs w:val="13"/>
                <w:b w:val="1"/>
                <w:bCs w:val="1"/>
                <w:color w:val="auto"/>
              </w:rPr>
              <w:t>underlying</w:t>
            </w: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rPr>
              <w:t>underlying</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rPr>
              <w:t>Option</w:t>
            </w: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Option</w:t>
            </w:r>
          </w:p>
        </w:tc>
        <w:tc>
          <w:tcPr>
            <w:tcW w:w="660" w:type="dxa"/>
            <w:vAlign w:val="bottom"/>
          </w:tcPr>
          <w:p>
            <w:pPr>
              <w:jc w:val="center"/>
              <w:ind w:right="53"/>
              <w:spacing w:after="0"/>
              <w:rPr>
                <w:sz w:val="20"/>
                <w:szCs w:val="20"/>
                <w:color w:val="auto"/>
              </w:rPr>
            </w:pPr>
            <w:r>
              <w:rPr>
                <w:rFonts w:ascii="Arial" w:cs="Arial" w:eastAsia="Arial" w:hAnsi="Arial"/>
                <w:sz w:val="13"/>
                <w:szCs w:val="13"/>
                <w:b w:val="1"/>
                <w:bCs w:val="1"/>
                <w:color w:val="auto"/>
              </w:rPr>
              <w:t>have</w:t>
            </w:r>
          </w:p>
        </w:tc>
        <w:tc>
          <w:tcPr>
            <w:tcW w:w="720" w:type="dxa"/>
            <w:vAlign w:val="bottom"/>
            <w:gridSpan w:val="2"/>
          </w:tcPr>
          <w:p>
            <w:pPr>
              <w:jc w:val="center"/>
              <w:ind w:left="13"/>
              <w:spacing w:after="0"/>
              <w:rPr>
                <w:sz w:val="20"/>
                <w:szCs w:val="20"/>
                <w:color w:val="auto"/>
              </w:rPr>
            </w:pPr>
            <w:r>
              <w:rPr>
                <w:rFonts w:ascii="Arial" w:cs="Arial" w:eastAsia="Arial" w:hAnsi="Arial"/>
                <w:sz w:val="13"/>
                <w:szCs w:val="13"/>
                <w:b w:val="1"/>
                <w:bCs w:val="1"/>
                <w:color w:val="auto"/>
                <w:w w:val="98"/>
              </w:rPr>
              <w:t>not</w:t>
            </w:r>
          </w:p>
        </w:tc>
      </w:tr>
      <w:tr>
        <w:trPr>
          <w:trHeight w:val="149"/>
        </w:trPr>
        <w:tc>
          <w:tcPr>
            <w:tcW w:w="3040" w:type="dxa"/>
            <w:vAlign w:val="bottom"/>
          </w:tcPr>
          <w:p>
            <w:pPr>
              <w:spacing w:after="0"/>
              <w:rPr>
                <w:sz w:val="20"/>
                <w:szCs w:val="20"/>
                <w:color w:val="auto"/>
              </w:rPr>
            </w:pPr>
            <w:r>
              <w:rPr>
                <w:rFonts w:ascii="Arial" w:cs="Arial" w:eastAsia="Arial" w:hAnsi="Arial"/>
                <w:sz w:val="13"/>
                <w:szCs w:val="13"/>
                <w:b w:val="1"/>
                <w:bCs w:val="1"/>
                <w:color w:val="auto"/>
              </w:rPr>
              <w:t>Name and principal</w:t>
            </w:r>
          </w:p>
        </w:tc>
        <w:tc>
          <w:tcPr>
            <w:tcW w:w="1040" w:type="dxa"/>
            <w:vAlign w:val="bottom"/>
          </w:tcPr>
          <w:p>
            <w:pPr>
              <w:spacing w:after="0"/>
              <w:rPr>
                <w:sz w:val="12"/>
                <w:szCs w:val="12"/>
                <w:color w:val="auto"/>
              </w:rPr>
            </w:pPr>
          </w:p>
        </w:tc>
        <w:tc>
          <w:tcPr>
            <w:tcW w:w="1480" w:type="dxa"/>
            <w:vAlign w:val="bottom"/>
          </w:tcPr>
          <w:p>
            <w:pPr>
              <w:jc w:val="center"/>
              <w:ind w:right="113"/>
              <w:spacing w:after="0"/>
              <w:rPr>
                <w:sz w:val="20"/>
                <w:szCs w:val="20"/>
                <w:color w:val="auto"/>
              </w:rPr>
            </w:pPr>
            <w:r>
              <w:rPr>
                <w:rFonts w:ascii="Arial" w:cs="Arial" w:eastAsia="Arial" w:hAnsi="Arial"/>
                <w:sz w:val="13"/>
                <w:szCs w:val="13"/>
                <w:b w:val="1"/>
                <w:bCs w:val="1"/>
                <w:color w:val="auto"/>
              </w:rPr>
              <w:t>commencement</w:t>
            </w:r>
          </w:p>
        </w:tc>
        <w:tc>
          <w:tcPr>
            <w:tcW w:w="920" w:type="dxa"/>
            <w:vAlign w:val="bottom"/>
          </w:tcPr>
          <w:p>
            <w:pPr>
              <w:jc w:val="center"/>
              <w:ind w:right="113"/>
              <w:spacing w:after="0"/>
              <w:rPr>
                <w:sz w:val="20"/>
                <w:szCs w:val="20"/>
                <w:color w:val="auto"/>
              </w:rPr>
            </w:pPr>
            <w:r>
              <w:rPr>
                <w:rFonts w:ascii="Arial" w:cs="Arial" w:eastAsia="Arial" w:hAnsi="Arial"/>
                <w:sz w:val="13"/>
                <w:szCs w:val="13"/>
                <w:b w:val="1"/>
                <w:bCs w:val="1"/>
                <w:color w:val="auto"/>
              </w:rPr>
              <w:t>exercisable</w:t>
            </w: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rPr>
              <w:t>unexercisable</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rPr>
              <w:t>exercise</w:t>
            </w: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expiration</w:t>
            </w:r>
          </w:p>
        </w:tc>
        <w:tc>
          <w:tcPr>
            <w:tcW w:w="660" w:type="dxa"/>
            <w:vAlign w:val="bottom"/>
          </w:tcPr>
          <w:p>
            <w:pPr>
              <w:jc w:val="center"/>
              <w:ind w:right="73"/>
              <w:spacing w:after="0"/>
              <w:rPr>
                <w:sz w:val="20"/>
                <w:szCs w:val="20"/>
                <w:color w:val="auto"/>
              </w:rPr>
            </w:pPr>
            <w:r>
              <w:rPr>
                <w:rFonts w:ascii="Arial" w:cs="Arial" w:eastAsia="Arial" w:hAnsi="Arial"/>
                <w:sz w:val="13"/>
                <w:szCs w:val="13"/>
                <w:b w:val="1"/>
                <w:bCs w:val="1"/>
                <w:color w:val="auto"/>
                <w:w w:val="98"/>
              </w:rPr>
              <w:t>not</w:t>
            </w:r>
          </w:p>
        </w:tc>
        <w:tc>
          <w:tcPr>
            <w:tcW w:w="720" w:type="dxa"/>
            <w:vAlign w:val="bottom"/>
            <w:gridSpan w:val="2"/>
          </w:tcPr>
          <w:p>
            <w:pPr>
              <w:jc w:val="center"/>
              <w:ind w:left="13"/>
              <w:spacing w:after="0"/>
              <w:rPr>
                <w:sz w:val="20"/>
                <w:szCs w:val="20"/>
                <w:color w:val="auto"/>
              </w:rPr>
            </w:pPr>
            <w:r>
              <w:rPr>
                <w:rFonts w:ascii="Arial" w:cs="Arial" w:eastAsia="Arial" w:hAnsi="Arial"/>
                <w:sz w:val="13"/>
                <w:szCs w:val="13"/>
                <w:b w:val="1"/>
                <w:bCs w:val="1"/>
                <w:color w:val="auto"/>
              </w:rPr>
              <w:t>vested</w:t>
            </w:r>
          </w:p>
        </w:tc>
      </w:tr>
      <w:tr>
        <w:trPr>
          <w:trHeight w:val="165"/>
        </w:trPr>
        <w:tc>
          <w:tcPr>
            <w:tcW w:w="30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position</w:t>
            </w:r>
          </w:p>
        </w:tc>
        <w:tc>
          <w:tcPr>
            <w:tcW w:w="10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Grant date</w:t>
            </w:r>
          </w:p>
        </w:tc>
        <w:tc>
          <w:tcPr>
            <w:tcW w:w="1480" w:type="dxa"/>
            <w:vAlign w:val="bottom"/>
            <w:tcBorders>
              <w:bottom w:val="single" w:sz="8" w:color="auto"/>
            </w:tcBorders>
          </w:tcPr>
          <w:p>
            <w:pPr>
              <w:jc w:val="center"/>
              <w:ind w:right="133"/>
              <w:spacing w:after="0"/>
              <w:rPr>
                <w:sz w:val="20"/>
                <w:szCs w:val="20"/>
                <w:color w:val="auto"/>
              </w:rPr>
            </w:pPr>
            <w:r>
              <w:rPr>
                <w:rFonts w:ascii="Arial" w:cs="Arial" w:eastAsia="Arial" w:hAnsi="Arial"/>
                <w:sz w:val="13"/>
                <w:szCs w:val="13"/>
                <w:b w:val="1"/>
                <w:bCs w:val="1"/>
                <w:color w:val="auto"/>
              </w:rPr>
              <w:t>date</w:t>
            </w:r>
          </w:p>
        </w:tc>
        <w:tc>
          <w:tcPr>
            <w:tcW w:w="920" w:type="dxa"/>
            <w:vAlign w:val="bottom"/>
            <w:tcBorders>
              <w:bottom w:val="single" w:sz="8" w:color="auto"/>
            </w:tcBorders>
          </w:tcPr>
          <w:p>
            <w:pPr>
              <w:jc w:val="center"/>
              <w:ind w:right="113"/>
              <w:spacing w:after="0"/>
              <w:rPr>
                <w:sz w:val="20"/>
                <w:szCs w:val="20"/>
                <w:color w:val="auto"/>
              </w:rPr>
            </w:pPr>
            <w:r>
              <w:rPr>
                <w:rFonts w:ascii="Arial" w:cs="Arial" w:eastAsia="Arial" w:hAnsi="Arial"/>
                <w:sz w:val="13"/>
                <w:szCs w:val="13"/>
                <w:b w:val="1"/>
                <w:bCs w:val="1"/>
                <w:color w:val="auto"/>
              </w:rPr>
              <w:t>options(1)</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options(1)</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price ($)</w:t>
            </w:r>
          </w:p>
        </w:tc>
        <w:tc>
          <w:tcPr>
            <w:tcW w:w="10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b w:val="1"/>
                <w:bCs w:val="1"/>
                <w:color w:val="auto"/>
              </w:rPr>
              <w:t>date</w:t>
            </w:r>
          </w:p>
        </w:tc>
        <w:tc>
          <w:tcPr>
            <w:tcW w:w="66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b w:val="1"/>
                <w:bCs w:val="1"/>
                <w:color w:val="auto"/>
              </w:rPr>
              <w:t>vested</w:t>
            </w:r>
          </w:p>
        </w:tc>
        <w:tc>
          <w:tcPr>
            <w:tcW w:w="680" w:type="dxa"/>
            <w:vAlign w:val="bottom"/>
            <w:tcBorders>
              <w:bottom w:val="single" w:sz="8" w:color="auto"/>
            </w:tcBorders>
          </w:tcPr>
          <w:p>
            <w:pPr>
              <w:jc w:val="center"/>
              <w:ind w:left="53"/>
              <w:spacing w:after="0"/>
              <w:rPr>
                <w:sz w:val="20"/>
                <w:szCs w:val="20"/>
                <w:color w:val="auto"/>
              </w:rPr>
            </w:pPr>
            <w:r>
              <w:rPr>
                <w:rFonts w:ascii="Arial" w:cs="Arial" w:eastAsia="Arial" w:hAnsi="Arial"/>
                <w:sz w:val="13"/>
                <w:szCs w:val="13"/>
                <w:b w:val="1"/>
                <w:bCs w:val="1"/>
                <w:color w:val="auto"/>
              </w:rPr>
              <w:t>($)(2)</w:t>
            </w:r>
          </w:p>
        </w:tc>
        <w:tc>
          <w:tcPr>
            <w:tcW w:w="40" w:type="dxa"/>
            <w:vAlign w:val="bottom"/>
            <w:tcBorders>
              <w:bottom w:val="single" w:sz="8" w:color="auto"/>
            </w:tcBorders>
          </w:tcPr>
          <w:p>
            <w:pPr>
              <w:spacing w:after="0"/>
              <w:rPr>
                <w:sz w:val="14"/>
                <w:szCs w:val="14"/>
                <w:color w:val="auto"/>
              </w:rPr>
            </w:pPr>
          </w:p>
        </w:tc>
      </w:tr>
      <w:tr>
        <w:trPr>
          <w:trHeight w:val="141"/>
        </w:trPr>
        <w:tc>
          <w:tcPr>
            <w:tcW w:w="304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Mark A. Goldsmith, M.D., Ph.D</w:t>
            </w:r>
          </w:p>
        </w:tc>
        <w:tc>
          <w:tcPr>
            <w:tcW w:w="1040" w:type="dxa"/>
            <w:vAlign w:val="bottom"/>
            <w:shd w:val="clear" w:color="auto" w:fill="CCEEFF"/>
          </w:tcPr>
          <w:p>
            <w:pPr>
              <w:jc w:val="right"/>
              <w:ind w:right="53"/>
              <w:spacing w:after="0" w:line="141" w:lineRule="exact"/>
              <w:rPr>
                <w:sz w:val="20"/>
                <w:szCs w:val="20"/>
                <w:color w:val="auto"/>
              </w:rPr>
            </w:pPr>
            <w:r>
              <w:rPr>
                <w:rFonts w:ascii="Arial" w:cs="Arial" w:eastAsia="Arial" w:hAnsi="Arial"/>
                <w:sz w:val="13"/>
                <w:szCs w:val="13"/>
                <w:color w:val="auto"/>
              </w:rPr>
              <w:t>3/21/2017</w:t>
            </w:r>
          </w:p>
        </w:tc>
        <w:tc>
          <w:tcPr>
            <w:tcW w:w="1480" w:type="dxa"/>
            <w:vAlign w:val="bottom"/>
            <w:shd w:val="clear" w:color="auto" w:fill="CCEEFF"/>
          </w:tcPr>
          <w:p>
            <w:pPr>
              <w:jc w:val="right"/>
              <w:ind w:right="193"/>
              <w:spacing w:after="0" w:line="141" w:lineRule="exact"/>
              <w:rPr>
                <w:sz w:val="20"/>
                <w:szCs w:val="20"/>
                <w:color w:val="auto"/>
              </w:rPr>
            </w:pPr>
            <w:r>
              <w:rPr>
                <w:rFonts w:ascii="Arial" w:cs="Arial" w:eastAsia="Arial" w:hAnsi="Arial"/>
                <w:sz w:val="13"/>
                <w:szCs w:val="13"/>
                <w:color w:val="auto"/>
              </w:rPr>
              <w:t>12/1/2016(3)</w:t>
            </w:r>
          </w:p>
        </w:tc>
        <w:tc>
          <w:tcPr>
            <w:tcW w:w="920" w:type="dxa"/>
            <w:vAlign w:val="bottom"/>
            <w:shd w:val="clear" w:color="auto" w:fill="CCEEFF"/>
          </w:tcPr>
          <w:p>
            <w:pPr>
              <w:jc w:val="right"/>
              <w:ind w:right="113"/>
              <w:spacing w:after="0" w:line="141" w:lineRule="exact"/>
              <w:rPr>
                <w:sz w:val="20"/>
                <w:szCs w:val="20"/>
                <w:color w:val="auto"/>
              </w:rPr>
            </w:pPr>
            <w:r>
              <w:rPr>
                <w:rFonts w:ascii="Arial" w:cs="Arial" w:eastAsia="Arial" w:hAnsi="Arial"/>
                <w:sz w:val="13"/>
                <w:szCs w:val="13"/>
                <w:color w:val="auto"/>
              </w:rPr>
              <w:t>500,000</w:t>
            </w:r>
          </w:p>
        </w:tc>
        <w:tc>
          <w:tcPr>
            <w:tcW w:w="1260" w:type="dxa"/>
            <w:vAlign w:val="bottom"/>
            <w:shd w:val="clear" w:color="auto" w:fill="CCEEFF"/>
          </w:tcPr>
          <w:p>
            <w:pPr>
              <w:jc w:val="right"/>
              <w:ind w:right="113"/>
              <w:spacing w:after="0" w:line="141" w:lineRule="exact"/>
              <w:rPr>
                <w:sz w:val="20"/>
                <w:szCs w:val="20"/>
                <w:color w:val="auto"/>
              </w:rPr>
            </w:pPr>
            <w:r>
              <w:rPr>
                <w:rFonts w:ascii="Arial" w:cs="Arial" w:eastAsia="Arial" w:hAnsi="Arial"/>
                <w:sz w:val="13"/>
                <w:szCs w:val="13"/>
                <w:color w:val="auto"/>
              </w:rPr>
              <w:t>500,000</w:t>
            </w:r>
          </w:p>
        </w:tc>
        <w:tc>
          <w:tcPr>
            <w:tcW w:w="860" w:type="dxa"/>
            <w:vAlign w:val="bottom"/>
            <w:shd w:val="clear" w:color="auto" w:fill="CCEEFF"/>
          </w:tcPr>
          <w:p>
            <w:pPr>
              <w:jc w:val="right"/>
              <w:ind w:right="53"/>
              <w:spacing w:after="0" w:line="141" w:lineRule="exact"/>
              <w:rPr>
                <w:sz w:val="20"/>
                <w:szCs w:val="20"/>
                <w:color w:val="auto"/>
              </w:rPr>
            </w:pPr>
            <w:r>
              <w:rPr>
                <w:rFonts w:ascii="Arial" w:cs="Arial" w:eastAsia="Arial" w:hAnsi="Arial"/>
                <w:sz w:val="13"/>
                <w:szCs w:val="13"/>
                <w:color w:val="auto"/>
              </w:rPr>
              <w:t>0.10</w:t>
            </w:r>
          </w:p>
        </w:tc>
        <w:tc>
          <w:tcPr>
            <w:tcW w:w="7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3/20/2027</w:t>
            </w: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3"/>
              <w:spacing w:after="0" w:line="141"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w:t>
            </w:r>
          </w:p>
        </w:tc>
      </w:tr>
      <w:tr>
        <w:trPr>
          <w:trHeight w:val="148"/>
        </w:trPr>
        <w:tc>
          <w:tcPr>
            <w:tcW w:w="30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President and Chief Executive Officer</w:t>
            </w: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2/12/2018</w:t>
            </w:r>
          </w:p>
        </w:tc>
        <w:tc>
          <w:tcPr>
            <w:tcW w:w="148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3/1/2018(3)</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203,917</w:t>
            </w:r>
          </w:p>
        </w:tc>
        <w:tc>
          <w:tcPr>
            <w:tcW w:w="126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883,643</w:t>
            </w: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0.11</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2/11/2028</w:t>
            </w: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r>
      <w:tr>
        <w:trPr>
          <w:trHeight w:val="149"/>
        </w:trPr>
        <w:tc>
          <w:tcPr>
            <w:tcW w:w="304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4/20/2018</w:t>
            </w:r>
          </w:p>
        </w:tc>
        <w:tc>
          <w:tcPr>
            <w:tcW w:w="148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3/29/2018(3)</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140,625</w:t>
            </w:r>
          </w:p>
        </w:tc>
        <w:tc>
          <w:tcPr>
            <w:tcW w:w="126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609,375</w:t>
            </w: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0.23</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4/19/2028</w:t>
            </w: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r>
      <w:tr>
        <w:trPr>
          <w:trHeight w:val="215"/>
        </w:trPr>
        <w:tc>
          <w:tcPr>
            <w:tcW w:w="3040" w:type="dxa"/>
            <w:vAlign w:val="bottom"/>
          </w:tcPr>
          <w:p>
            <w:pPr>
              <w:spacing w:after="0"/>
              <w:rPr>
                <w:sz w:val="20"/>
                <w:szCs w:val="20"/>
                <w:color w:val="auto"/>
              </w:rPr>
            </w:pPr>
            <w:r>
              <w:rPr>
                <w:rFonts w:ascii="Arial" w:cs="Arial" w:eastAsia="Arial" w:hAnsi="Arial"/>
                <w:sz w:val="13"/>
                <w:szCs w:val="13"/>
                <w:color w:val="auto"/>
              </w:rPr>
              <w:t>Steve Kelsey, M.D.</w:t>
            </w:r>
          </w:p>
        </w:tc>
        <w:tc>
          <w:tcPr>
            <w:tcW w:w="1040" w:type="dxa"/>
            <w:vAlign w:val="bottom"/>
          </w:tcPr>
          <w:p>
            <w:pPr>
              <w:jc w:val="right"/>
              <w:ind w:right="53"/>
              <w:spacing w:after="0"/>
              <w:rPr>
                <w:sz w:val="20"/>
                <w:szCs w:val="20"/>
                <w:color w:val="auto"/>
              </w:rPr>
            </w:pPr>
            <w:r>
              <w:rPr>
                <w:rFonts w:ascii="Arial" w:cs="Arial" w:eastAsia="Arial" w:hAnsi="Arial"/>
                <w:sz w:val="13"/>
                <w:szCs w:val="13"/>
                <w:color w:val="auto"/>
              </w:rPr>
              <w:t>3/21/2017</w:t>
            </w:r>
          </w:p>
        </w:tc>
        <w:tc>
          <w:tcPr>
            <w:tcW w:w="1480" w:type="dxa"/>
            <w:vAlign w:val="bottom"/>
          </w:tcPr>
          <w:p>
            <w:pPr>
              <w:jc w:val="right"/>
              <w:ind w:right="193"/>
              <w:spacing w:after="0"/>
              <w:rPr>
                <w:sz w:val="20"/>
                <w:szCs w:val="20"/>
                <w:color w:val="auto"/>
              </w:rPr>
            </w:pPr>
            <w:r>
              <w:rPr>
                <w:rFonts w:ascii="Arial" w:cs="Arial" w:eastAsia="Arial" w:hAnsi="Arial"/>
                <w:sz w:val="13"/>
                <w:szCs w:val="13"/>
                <w:color w:val="auto"/>
              </w:rPr>
              <w:t>3/20/2017(4)</w:t>
            </w:r>
          </w:p>
        </w:tc>
        <w:tc>
          <w:tcPr>
            <w:tcW w:w="92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3"/>
              <w:spacing w:after="0"/>
              <w:rPr>
                <w:sz w:val="20"/>
                <w:szCs w:val="20"/>
                <w:color w:val="auto"/>
              </w:rPr>
            </w:pPr>
            <w:r>
              <w:rPr>
                <w:rFonts w:ascii="Arial" w:cs="Arial" w:eastAsia="Arial" w:hAnsi="Arial"/>
                <w:sz w:val="13"/>
                <w:szCs w:val="13"/>
                <w:color w:val="auto"/>
              </w:rPr>
              <w:t>562,500</w:t>
            </w:r>
          </w:p>
        </w:tc>
        <w:tc>
          <w:tcPr>
            <w:tcW w:w="680" w:type="dxa"/>
            <w:vAlign w:val="bottom"/>
          </w:tcPr>
          <w:p>
            <w:pPr>
              <w:jc w:val="right"/>
              <w:spacing w:after="0"/>
              <w:rPr>
                <w:sz w:val="20"/>
                <w:szCs w:val="20"/>
                <w:color w:val="auto"/>
              </w:rPr>
            </w:pPr>
            <w:r>
              <w:rPr>
                <w:rFonts w:ascii="Arial" w:cs="Arial" w:eastAsia="Arial" w:hAnsi="Arial"/>
                <w:sz w:val="13"/>
                <w:szCs w:val="13"/>
                <w:color w:val="auto"/>
              </w:rPr>
              <w:t>472,500</w:t>
            </w:r>
          </w:p>
        </w:tc>
        <w:tc>
          <w:tcPr>
            <w:tcW w:w="40" w:type="dxa"/>
            <w:vAlign w:val="bottom"/>
          </w:tcPr>
          <w:p>
            <w:pPr>
              <w:spacing w:after="0"/>
              <w:rPr>
                <w:sz w:val="18"/>
                <w:szCs w:val="18"/>
                <w:color w:val="auto"/>
              </w:rPr>
            </w:pPr>
          </w:p>
        </w:tc>
      </w:tr>
      <w:tr>
        <w:trPr>
          <w:trHeight w:val="162"/>
        </w:trPr>
        <w:tc>
          <w:tcPr>
            <w:tcW w:w="3040" w:type="dxa"/>
            <w:vAlign w:val="bottom"/>
          </w:tcPr>
          <w:p>
            <w:pPr>
              <w:ind w:left="220"/>
              <w:spacing w:after="0"/>
              <w:rPr>
                <w:sz w:val="20"/>
                <w:szCs w:val="20"/>
                <w:color w:val="auto"/>
              </w:rPr>
            </w:pPr>
            <w:r>
              <w:rPr>
                <w:rFonts w:ascii="Arial" w:cs="Arial" w:eastAsia="Arial" w:hAnsi="Arial"/>
                <w:sz w:val="13"/>
                <w:szCs w:val="13"/>
                <w:color w:val="auto"/>
              </w:rPr>
              <w:t>President, Research and Development</w:t>
            </w:r>
          </w:p>
        </w:tc>
        <w:tc>
          <w:tcPr>
            <w:tcW w:w="1040" w:type="dxa"/>
            <w:vAlign w:val="bottom"/>
          </w:tcPr>
          <w:p>
            <w:pPr>
              <w:jc w:val="right"/>
              <w:ind w:right="53"/>
              <w:spacing w:after="0"/>
              <w:rPr>
                <w:sz w:val="20"/>
                <w:szCs w:val="20"/>
                <w:color w:val="auto"/>
              </w:rPr>
            </w:pPr>
            <w:r>
              <w:rPr>
                <w:rFonts w:ascii="Arial" w:cs="Arial" w:eastAsia="Arial" w:hAnsi="Arial"/>
                <w:sz w:val="13"/>
                <w:szCs w:val="13"/>
                <w:color w:val="auto"/>
              </w:rPr>
              <w:t>2/12/2018</w:t>
            </w:r>
          </w:p>
        </w:tc>
        <w:tc>
          <w:tcPr>
            <w:tcW w:w="1480" w:type="dxa"/>
            <w:vAlign w:val="bottom"/>
          </w:tcPr>
          <w:p>
            <w:pPr>
              <w:jc w:val="right"/>
              <w:ind w:right="193"/>
              <w:spacing w:after="0"/>
              <w:rPr>
                <w:sz w:val="20"/>
                <w:szCs w:val="20"/>
                <w:color w:val="auto"/>
              </w:rPr>
            </w:pPr>
            <w:r>
              <w:rPr>
                <w:rFonts w:ascii="Arial" w:cs="Arial" w:eastAsia="Arial" w:hAnsi="Arial"/>
                <w:sz w:val="13"/>
                <w:szCs w:val="13"/>
                <w:color w:val="auto"/>
              </w:rPr>
              <w:t>3/1/2018(4)</w:t>
            </w:r>
          </w:p>
        </w:tc>
        <w:tc>
          <w:tcPr>
            <w:tcW w:w="92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3"/>
              <w:spacing w:after="0"/>
              <w:rPr>
                <w:sz w:val="20"/>
                <w:szCs w:val="20"/>
                <w:color w:val="auto"/>
              </w:rPr>
            </w:pPr>
            <w:r>
              <w:rPr>
                <w:rFonts w:ascii="Arial" w:cs="Arial" w:eastAsia="Arial" w:hAnsi="Arial"/>
                <w:sz w:val="13"/>
                <w:szCs w:val="13"/>
                <w:color w:val="auto"/>
              </w:rPr>
              <w:t>247,130</w:t>
            </w:r>
          </w:p>
        </w:tc>
        <w:tc>
          <w:tcPr>
            <w:tcW w:w="680" w:type="dxa"/>
            <w:vAlign w:val="bottom"/>
          </w:tcPr>
          <w:p>
            <w:pPr>
              <w:jc w:val="right"/>
              <w:spacing w:after="0"/>
              <w:rPr>
                <w:sz w:val="20"/>
                <w:szCs w:val="20"/>
                <w:color w:val="auto"/>
              </w:rPr>
            </w:pPr>
            <w:r>
              <w:rPr>
                <w:rFonts w:ascii="Arial" w:cs="Arial" w:eastAsia="Arial" w:hAnsi="Arial"/>
                <w:sz w:val="13"/>
                <w:szCs w:val="13"/>
                <w:color w:val="auto"/>
              </w:rPr>
              <w:t>207,589</w:t>
            </w:r>
          </w:p>
        </w:tc>
        <w:tc>
          <w:tcPr>
            <w:tcW w:w="40" w:type="dxa"/>
            <w:vAlign w:val="bottom"/>
          </w:tcPr>
          <w:p>
            <w:pPr>
              <w:spacing w:after="0"/>
              <w:rPr>
                <w:sz w:val="14"/>
                <w:szCs w:val="14"/>
                <w:color w:val="auto"/>
              </w:rPr>
            </w:pPr>
          </w:p>
        </w:tc>
      </w:tr>
      <w:tr>
        <w:trPr>
          <w:trHeight w:val="203"/>
        </w:trPr>
        <w:tc>
          <w:tcPr>
            <w:tcW w:w="3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48"/>
        </w:trPr>
        <w:tc>
          <w:tcPr>
            <w:tcW w:w="30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Margaret Horn, J.D.</w:t>
            </w:r>
          </w:p>
        </w:tc>
        <w:tc>
          <w:tcPr>
            <w:tcW w:w="1040" w:type="dxa"/>
            <w:vAlign w:val="bottom"/>
            <w:shd w:val="clear" w:color="auto" w:fill="CCEEFF"/>
          </w:tcPr>
          <w:p>
            <w:pPr>
              <w:jc w:val="right"/>
              <w:ind w:right="53"/>
              <w:spacing w:after="0" w:line="148" w:lineRule="exact"/>
              <w:rPr>
                <w:sz w:val="20"/>
                <w:szCs w:val="20"/>
                <w:color w:val="auto"/>
              </w:rPr>
            </w:pPr>
            <w:r>
              <w:rPr>
                <w:rFonts w:ascii="Arial" w:cs="Arial" w:eastAsia="Arial" w:hAnsi="Arial"/>
                <w:sz w:val="13"/>
                <w:szCs w:val="13"/>
                <w:color w:val="auto"/>
              </w:rPr>
              <w:t>3/21/2017</w:t>
            </w:r>
          </w:p>
        </w:tc>
        <w:tc>
          <w:tcPr>
            <w:tcW w:w="1480" w:type="dxa"/>
            <w:vAlign w:val="bottom"/>
            <w:shd w:val="clear" w:color="auto" w:fill="CCEEFF"/>
          </w:tcPr>
          <w:p>
            <w:pPr>
              <w:jc w:val="right"/>
              <w:ind w:right="193"/>
              <w:spacing w:after="0" w:line="148" w:lineRule="exact"/>
              <w:rPr>
                <w:sz w:val="20"/>
                <w:szCs w:val="20"/>
                <w:color w:val="auto"/>
              </w:rPr>
            </w:pPr>
            <w:r>
              <w:rPr>
                <w:rFonts w:ascii="Arial" w:cs="Arial" w:eastAsia="Arial" w:hAnsi="Arial"/>
                <w:sz w:val="13"/>
                <w:szCs w:val="13"/>
                <w:color w:val="auto"/>
              </w:rPr>
              <w:t>3/20/2017(4)</w:t>
            </w:r>
          </w:p>
        </w:tc>
        <w:tc>
          <w:tcPr>
            <w:tcW w:w="920" w:type="dxa"/>
            <w:vAlign w:val="bottom"/>
            <w:shd w:val="clear" w:color="auto" w:fill="CCEEFF"/>
          </w:tcPr>
          <w:p>
            <w:pPr>
              <w:jc w:val="right"/>
              <w:ind w:right="113"/>
              <w:spacing w:after="0" w:line="148" w:lineRule="exact"/>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113"/>
              <w:spacing w:after="0" w:line="148"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3"/>
              <w:spacing w:after="0" w:line="148"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53"/>
              <w:spacing w:after="0" w:line="148" w:lineRule="exact"/>
              <w:rPr>
                <w:sz w:val="20"/>
                <w:szCs w:val="20"/>
                <w:color w:val="auto"/>
              </w:rPr>
            </w:pPr>
            <w:r>
              <w:rPr>
                <w:rFonts w:ascii="Arial" w:cs="Arial" w:eastAsia="Arial" w:hAnsi="Arial"/>
                <w:sz w:val="13"/>
                <w:szCs w:val="13"/>
                <w:color w:val="auto"/>
              </w:rPr>
              <w:t>50,000</w:t>
            </w:r>
          </w:p>
        </w:tc>
        <w:tc>
          <w:tcPr>
            <w:tcW w:w="72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42,000</w:t>
            </w:r>
          </w:p>
        </w:tc>
      </w:tr>
      <w:tr>
        <w:trPr>
          <w:trHeight w:val="148"/>
        </w:trPr>
        <w:tc>
          <w:tcPr>
            <w:tcW w:w="30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Chief Operating Officer and General Counsel</w:t>
            </w: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6/7/2017</w:t>
            </w:r>
          </w:p>
        </w:tc>
        <w:tc>
          <w:tcPr>
            <w:tcW w:w="148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6/7/2017(4)</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93,750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78,750</w:t>
            </w:r>
          </w:p>
        </w:tc>
      </w:tr>
      <w:tr>
        <w:trPr>
          <w:trHeight w:val="149"/>
        </w:trPr>
        <w:tc>
          <w:tcPr>
            <w:tcW w:w="304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2/12/2018</w:t>
            </w:r>
          </w:p>
        </w:tc>
        <w:tc>
          <w:tcPr>
            <w:tcW w:w="148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3/1/2018(3)</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21,802</w:t>
            </w:r>
          </w:p>
        </w:tc>
        <w:tc>
          <w:tcPr>
            <w:tcW w:w="126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94,478</w:t>
            </w: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0.11</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2/11/2028</w:t>
            </w: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r>
      <w:tr>
        <w:trPr>
          <w:trHeight w:val="20"/>
        </w:trPr>
        <w:tc>
          <w:tcPr>
            <w:tcW w:w="30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7" w:lineRule="exact"/>
        <w:rPr>
          <w:sz w:val="20"/>
          <w:szCs w:val="20"/>
          <w:color w:val="auto"/>
        </w:rPr>
      </w:pPr>
    </w:p>
    <w:p>
      <w:pPr>
        <w:ind w:left="440" w:right="140" w:hanging="324"/>
        <w:spacing w:after="0" w:line="258" w:lineRule="auto"/>
        <w:tabs>
          <w:tab w:leader="none" w:pos="440" w:val="left"/>
        </w:tabs>
        <w:numPr>
          <w:ilvl w:val="0"/>
          <w:numId w:val="92"/>
        </w:numPr>
        <w:rPr>
          <w:rFonts w:ascii="Arial" w:cs="Arial" w:eastAsia="Arial" w:hAnsi="Arial"/>
          <w:sz w:val="13"/>
          <w:szCs w:val="13"/>
          <w:color w:val="auto"/>
        </w:rPr>
      </w:pPr>
      <w:r>
        <w:rPr>
          <w:rFonts w:ascii="Arial" w:cs="Arial" w:eastAsia="Arial" w:hAnsi="Arial"/>
          <w:sz w:val="13"/>
          <w:szCs w:val="13"/>
          <w:color w:val="auto"/>
        </w:rPr>
        <w:t>Each stock option permits early exercise of the unvested portion of the award in exchange for restricted stock and was, therefore, fully exercisable as of December 31, 2018. The number of shares shown as exercisable and unexercisable reflect the number of shares vested and unvested, respectively, as of December 31, 2018.</w:t>
      </w:r>
    </w:p>
    <w:p>
      <w:pPr>
        <w:spacing w:after="0" w:line="43" w:lineRule="exact"/>
        <w:rPr>
          <w:rFonts w:ascii="Arial" w:cs="Arial" w:eastAsia="Arial" w:hAnsi="Arial"/>
          <w:sz w:val="13"/>
          <w:szCs w:val="13"/>
          <w:color w:val="auto"/>
        </w:rPr>
      </w:pPr>
    </w:p>
    <w:p>
      <w:pPr>
        <w:ind w:left="440" w:hanging="324"/>
        <w:spacing w:after="0"/>
        <w:tabs>
          <w:tab w:leader="none" w:pos="440" w:val="left"/>
        </w:tabs>
        <w:numPr>
          <w:ilvl w:val="0"/>
          <w:numId w:val="92"/>
        </w:numPr>
        <w:rPr>
          <w:rFonts w:ascii="Arial" w:cs="Arial" w:eastAsia="Arial" w:hAnsi="Arial"/>
          <w:sz w:val="13"/>
          <w:szCs w:val="13"/>
          <w:color w:val="auto"/>
        </w:rPr>
      </w:pPr>
      <w:r>
        <w:rPr>
          <w:rFonts w:ascii="Arial" w:cs="Arial" w:eastAsia="Arial" w:hAnsi="Arial"/>
          <w:sz w:val="13"/>
          <w:szCs w:val="13"/>
          <w:color w:val="auto"/>
        </w:rPr>
        <w:t>Amounts are calculated by multiplying the number of shares shown in the table by $0.84, the estimated fair value of our common stock as of December 31, 2018.</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40"/>
          </w:cols>
          <w:pgMar w:left="320" w:top="459"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ind w:left="440" w:hanging="324"/>
        <w:spacing w:after="0"/>
        <w:tabs>
          <w:tab w:leader="none" w:pos="440" w:val="left"/>
        </w:tabs>
        <w:numPr>
          <w:ilvl w:val="0"/>
          <w:numId w:val="93"/>
        </w:numPr>
        <w:rPr>
          <w:rFonts w:ascii="Arial" w:cs="Arial" w:eastAsia="Arial" w:hAnsi="Arial"/>
          <w:sz w:val="13"/>
          <w:szCs w:val="13"/>
          <w:color w:val="auto"/>
        </w:rPr>
      </w:pPr>
      <w:r>
        <w:rPr>
          <w:rFonts w:ascii="Arial" w:cs="Arial" w:eastAsia="Arial" w:hAnsi="Arial"/>
          <w:sz w:val="13"/>
          <w:szCs w:val="13"/>
          <w:color w:val="auto"/>
        </w:rPr>
        <w:t>1/48</w:t>
      </w:r>
      <w:r>
        <w:rPr>
          <w:rFonts w:ascii="Arial" w:cs="Arial" w:eastAsia="Arial" w:hAnsi="Arial"/>
          <w:sz w:val="22"/>
          <w:szCs w:val="22"/>
          <w:color w:val="auto"/>
          <w:vertAlign w:val="superscript"/>
        </w:rPr>
        <w:t>th</w:t>
      </w:r>
      <w:r>
        <w:rPr>
          <w:rFonts w:ascii="Arial" w:cs="Arial" w:eastAsia="Arial" w:hAnsi="Arial"/>
          <w:sz w:val="13"/>
          <w:szCs w:val="13"/>
          <w:color w:val="auto"/>
        </w:rPr>
        <w:t xml:space="preserve"> of the shares subject to the option vest monthly measured from the vesting commencement date, subject to continued service on the applicable vesting date.</w:t>
      </w:r>
    </w:p>
    <w:p>
      <w:pPr>
        <w:ind w:left="440" w:right="80" w:hanging="324"/>
        <w:spacing w:after="0" w:line="248" w:lineRule="auto"/>
        <w:tabs>
          <w:tab w:leader="none" w:pos="440" w:val="left"/>
        </w:tabs>
        <w:numPr>
          <w:ilvl w:val="0"/>
          <w:numId w:val="93"/>
        </w:numPr>
        <w:rPr>
          <w:rFonts w:ascii="Arial" w:cs="Arial" w:eastAsia="Arial" w:hAnsi="Arial"/>
          <w:sz w:val="13"/>
          <w:szCs w:val="13"/>
          <w:color w:val="auto"/>
        </w:rPr>
      </w:pPr>
      <w:r>
        <w:rPr>
          <w:rFonts w:ascii="Arial" w:cs="Arial" w:eastAsia="Arial" w:hAnsi="Arial"/>
          <w:sz w:val="13"/>
          <w:szCs w:val="13"/>
          <w:color w:val="auto"/>
        </w:rPr>
        <w:t>Represents shares of restricted stock acquired upon exercise of an option prior to vesting. The shares of restricted stock are subject to repurchase by us at the original exercise price upon a termination of service prior to vesting. The unvested shares reported vest in equal monthly installments through the fourth anniversary of the vesting commencement date subject to continued service through each applicable vesting date.</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Executive compensation arrangements</w:t>
      </w:r>
    </w:p>
    <w:p>
      <w:pPr>
        <w:spacing w:after="0" w:line="116" w:lineRule="exact"/>
        <w:rPr>
          <w:sz w:val="20"/>
          <w:szCs w:val="20"/>
          <w:color w:val="auto"/>
        </w:rPr>
      </w:pPr>
    </w:p>
    <w:p>
      <w:pPr>
        <w:ind w:left="120" w:right="300"/>
        <w:spacing w:after="0" w:line="247" w:lineRule="auto"/>
        <w:rPr>
          <w:sz w:val="20"/>
          <w:szCs w:val="20"/>
          <w:color w:val="auto"/>
        </w:rPr>
      </w:pPr>
      <w:r>
        <w:rPr>
          <w:rFonts w:ascii="Arial" w:cs="Arial" w:eastAsia="Arial" w:hAnsi="Arial"/>
          <w:sz w:val="18"/>
          <w:szCs w:val="18"/>
          <w:i w:val="1"/>
          <w:iCs w:val="1"/>
          <w:color w:val="auto"/>
        </w:rPr>
        <w:t xml:space="preserve">Offer letters. </w:t>
      </w:r>
      <w:r>
        <w:rPr>
          <w:rFonts w:ascii="Arial" w:cs="Arial" w:eastAsia="Arial" w:hAnsi="Arial"/>
          <w:sz w:val="18"/>
          <w:szCs w:val="18"/>
          <w:color w:val="auto"/>
        </w:rPr>
        <w:t>We have entered into offer letter agreements with each of our named executive officers in connection with his or her</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with us. These agreements set forth the terms and conditions of employment of each named executive officer, including initial base salary, target bonus opportunity and equity grants and employee benefits eligibility.</w:t>
      </w:r>
    </w:p>
    <w:p>
      <w:pPr>
        <w:spacing w:after="0" w:line="76" w:lineRule="exact"/>
        <w:rPr>
          <w:sz w:val="20"/>
          <w:szCs w:val="20"/>
          <w:color w:val="auto"/>
        </w:rPr>
      </w:pPr>
    </w:p>
    <w:p>
      <w:pPr>
        <w:ind w:left="120"/>
        <w:spacing w:after="0" w:line="270" w:lineRule="auto"/>
        <w:rPr>
          <w:sz w:val="20"/>
          <w:szCs w:val="20"/>
          <w:color w:val="auto"/>
        </w:rPr>
      </w:pPr>
      <w:r>
        <w:rPr>
          <w:rFonts w:ascii="Arial" w:cs="Arial" w:eastAsia="Arial" w:hAnsi="Arial"/>
          <w:sz w:val="16"/>
          <w:szCs w:val="16"/>
          <w:i w:val="1"/>
          <w:iCs w:val="1"/>
          <w:color w:val="auto"/>
        </w:rPr>
        <w:t>Change in control separation benefits plan</w:t>
      </w:r>
      <w:r>
        <w:rPr>
          <w:rFonts w:ascii="Arial" w:cs="Arial" w:eastAsia="Arial" w:hAnsi="Arial"/>
          <w:sz w:val="16"/>
          <w:szCs w:val="16"/>
          <w:color w:val="auto"/>
        </w:rPr>
        <w:t>. In September 2017, our board of directors adopted a Change in Control Separation Benefits</w:t>
      </w:r>
      <w:r>
        <w:rPr>
          <w:rFonts w:ascii="Arial" w:cs="Arial" w:eastAsia="Arial" w:hAnsi="Arial"/>
          <w:sz w:val="16"/>
          <w:szCs w:val="16"/>
          <w:i w:val="1"/>
          <w:iCs w:val="1"/>
          <w:color w:val="auto"/>
        </w:rPr>
        <w:t xml:space="preserve"> </w:t>
      </w:r>
      <w:r>
        <w:rPr>
          <w:rFonts w:ascii="Arial" w:cs="Arial" w:eastAsia="Arial" w:hAnsi="Arial"/>
          <w:sz w:val="16"/>
          <w:szCs w:val="16"/>
          <w:color w:val="auto"/>
        </w:rPr>
        <w:t>Plan that provides severance benefits to employees of the Company, including our named executive officers, in the event of a termination by the Company without “cause” or a resignation for “good reason” (each as defined in the plan), in each case, within the period commencing three months prior to and ending 12 months following a change in control of the Company (such termination, a “qualifying termination”). In the event of a qualifying termination, our named executive officers would be eligible to receive (i) a cash lump sum payment equal to (A) 0.75x (or 1x, in the case of our Chief Executive Officer) his or her annual base salary plus (B) his or her annual target bonus, in each case, at the greater of the rate immediately in effect as of the qualifying termination or the change in control; (ii) payment or reimbursement of continued healthcare premiums pursuant to COBRA for up to the end of the ninth month (or the twelfth month, in the case of our Chief Executive Officer) following termination; and (iii) full accelerated vesting of any equity awards outstanding as of the date of the qualifying termination. All such severance benefits are subject to the participant signing a general release of all claims against the Company and its affiliates that becomes effective and irrevocable within 60 days after the termination of employment in a form reasonably acceptable to the Company.</w:t>
      </w:r>
    </w:p>
    <w:p>
      <w:pPr>
        <w:spacing w:after="0" w:line="284"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In connection with this offering, we intend to enter into new employment arrangements with our currently employed named executive officers, which will supersede in their entirety their current offer letters and the terms of the Change in Control Separation Benefits Plan.</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Equity compensation plans</w:t>
      </w:r>
    </w:p>
    <w:p>
      <w:pPr>
        <w:spacing w:after="0" w:line="134"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The following summarizes the material terms of the 20 Plan, in which our named executive officers will be eligible to participate following the consummation of this offering, our 2014 Equity Incentive Plan, or the 2014 Plan, under which we have previously made periodic grants of equity and equity-based awards to our named executive officers and other key employees and the employee stock purchase plan that we intend to adopt in connection with the consummation of this offering.</w:t>
      </w:r>
    </w:p>
    <w:p>
      <w:pPr>
        <w:spacing w:after="0" w:line="188" w:lineRule="exact"/>
        <w:rPr>
          <w:sz w:val="20"/>
          <w:szCs w:val="20"/>
          <w:color w:val="auto"/>
        </w:rPr>
      </w:pPr>
    </w:p>
    <w:p>
      <w:pPr>
        <w:ind w:left="120"/>
        <w:spacing w:after="0"/>
        <w:tabs>
          <w:tab w:leader="none" w:pos="540" w:val="left"/>
        </w:tabs>
        <w:rPr>
          <w:sz w:val="20"/>
          <w:szCs w:val="20"/>
          <w:color w:val="auto"/>
        </w:rPr>
      </w:pPr>
      <w:r>
        <w:rPr>
          <w:rFonts w:ascii="Arial" w:cs="Arial" w:eastAsia="Arial" w:hAnsi="Arial"/>
          <w:sz w:val="18"/>
          <w:szCs w:val="18"/>
          <w:b w:val="1"/>
          <w:bCs w:val="1"/>
          <w:i w:val="1"/>
          <w:iCs w:val="1"/>
          <w:color w:val="auto"/>
        </w:rPr>
        <w:t>20</w:t>
        <w:tab/>
        <w:t>Incentive Award Plan</w:t>
      </w:r>
    </w:p>
    <w:p>
      <w:pPr>
        <w:spacing w:after="0" w:line="124" w:lineRule="exact"/>
        <w:rPr>
          <w:sz w:val="20"/>
          <w:szCs w:val="20"/>
          <w:color w:val="auto"/>
        </w:rPr>
      </w:pPr>
    </w:p>
    <w:p>
      <w:pPr>
        <w:ind w:left="120" w:right="240"/>
        <w:spacing w:after="0" w:line="237" w:lineRule="auto"/>
        <w:rPr>
          <w:sz w:val="20"/>
          <w:szCs w:val="20"/>
          <w:color w:val="auto"/>
        </w:rPr>
      </w:pPr>
      <w:r>
        <w:rPr>
          <w:rFonts w:ascii="Arial" w:cs="Arial" w:eastAsia="Arial" w:hAnsi="Arial"/>
          <w:sz w:val="18"/>
          <w:szCs w:val="18"/>
          <w:color w:val="auto"/>
        </w:rPr>
        <w:t>We intend to adopt the 20 Plan, which will be effective on the day prior to the date the Company’s registration statement relating to this offering becomes effective. The principal purpose of the 20 Plan is to attract, retain and motivate selected employees, consultants and directors through the granting of stock-based compensation awards and cash-based performance bonus awards. The material terms of the 20 Plan, as it is currently contemplated, are summarized below.</w:t>
      </w:r>
    </w:p>
    <w:p>
      <w:pPr>
        <w:spacing w:after="0" w:line="82" w:lineRule="exact"/>
        <w:rPr>
          <w:sz w:val="20"/>
          <w:szCs w:val="20"/>
          <w:color w:val="auto"/>
        </w:rPr>
      </w:pPr>
    </w:p>
    <w:p>
      <w:pPr>
        <w:ind w:left="120" w:right="320"/>
        <w:spacing w:after="0" w:line="260" w:lineRule="auto"/>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Under the 20 Plan, shares of our common stock will be initially reserved for issuance pursuant to a variety of stock-based compensation awards, including stock options, stock appreciation rights,</w:t>
      </w:r>
    </w:p>
    <w:p>
      <w:pPr>
        <w:spacing w:after="0" w:line="1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0"/>
        <w:spacing w:after="0" w:line="264" w:lineRule="auto"/>
        <w:rPr>
          <w:sz w:val="20"/>
          <w:szCs w:val="20"/>
          <w:color w:val="auto"/>
        </w:rPr>
      </w:pPr>
      <w:r>
        <w:rPr>
          <w:rFonts w:ascii="Arial" w:cs="Arial" w:eastAsia="Arial" w:hAnsi="Arial"/>
          <w:sz w:val="16"/>
          <w:szCs w:val="16"/>
          <w:color w:val="auto"/>
        </w:rPr>
        <w:t>or SARs, restricted stock awards, restricted stock unit awards, performance bonus awards, performance stock unit awards, dividend equivalents, or other stock or cash based awards. The number of shares initially reserved for issuance or transfer pursuant to awards under the 20 Plan will be increased by (i) the number of shares represented by awards outstanding under our 2014 Plan (“2014 Plan Awards”) that become available for issuance under the counting provisions described below following the effective date and (ii) an annual increase on the first day of each fiscal year beginning in 2020 and ending in 2029, equal to the lesser of (A) % of the shares of stock outstanding (on an as converted basis) on the last day of the immediately preceding fiscal year and (B) such smaller number of shares of stock as determined by</w:t>
      </w:r>
    </w:p>
    <w:p>
      <w:pPr>
        <w:spacing w:after="0" w:line="1" w:lineRule="exact"/>
        <w:rPr>
          <w:sz w:val="20"/>
          <w:szCs w:val="20"/>
          <w:color w:val="auto"/>
        </w:rPr>
      </w:pPr>
    </w:p>
    <w:p>
      <w:pPr>
        <w:ind w:left="120" w:right="540"/>
        <w:spacing w:after="0" w:line="239" w:lineRule="auto"/>
        <w:rPr>
          <w:sz w:val="20"/>
          <w:szCs w:val="20"/>
          <w:color w:val="auto"/>
        </w:rPr>
      </w:pPr>
      <w:r>
        <w:rPr>
          <w:rFonts w:ascii="Arial" w:cs="Arial" w:eastAsia="Arial" w:hAnsi="Arial"/>
          <w:sz w:val="18"/>
          <w:szCs w:val="18"/>
          <w:color w:val="auto"/>
        </w:rPr>
        <w:t>our board of directors; provided, however, that no more than shares of stock may be issued upon the exercise of incentive stock options.</w:t>
      </w:r>
    </w:p>
    <w:p>
      <w:pPr>
        <w:spacing w:after="0" w:line="101" w:lineRule="exact"/>
        <w:rPr>
          <w:sz w:val="20"/>
          <w:szCs w:val="20"/>
          <w:color w:val="auto"/>
        </w:rPr>
      </w:pPr>
    </w:p>
    <w:p>
      <w:pPr>
        <w:ind w:left="120"/>
        <w:spacing w:after="0"/>
        <w:tabs>
          <w:tab w:leader="none" w:pos="6820" w:val="left"/>
        </w:tabs>
        <w:rPr>
          <w:sz w:val="20"/>
          <w:szCs w:val="20"/>
          <w:color w:val="auto"/>
        </w:rPr>
      </w:pPr>
      <w:r>
        <w:rPr>
          <w:rFonts w:ascii="Arial" w:cs="Arial" w:eastAsia="Arial" w:hAnsi="Arial"/>
          <w:sz w:val="18"/>
          <w:szCs w:val="18"/>
          <w:color w:val="auto"/>
        </w:rPr>
        <w:t>The following counting provisions will be in effect for the share reserve under the 20</w:t>
      </w:r>
      <w:r>
        <w:rPr>
          <w:sz w:val="20"/>
          <w:szCs w:val="20"/>
          <w:color w:val="auto"/>
        </w:rPr>
        <w:tab/>
      </w:r>
      <w:r>
        <w:rPr>
          <w:rFonts w:ascii="Arial" w:cs="Arial" w:eastAsia="Arial" w:hAnsi="Arial"/>
          <w:sz w:val="16"/>
          <w:szCs w:val="16"/>
          <w:color w:val="auto"/>
        </w:rPr>
        <w:t>Plan:</w:t>
      </w:r>
    </w:p>
    <w:p>
      <w:pPr>
        <w:spacing w:after="0" w:line="117" w:lineRule="exact"/>
        <w:rPr>
          <w:sz w:val="20"/>
          <w:szCs w:val="20"/>
          <w:color w:val="auto"/>
        </w:rPr>
      </w:pPr>
    </w:p>
    <w:p>
      <w:pPr>
        <w:jc w:val="both"/>
        <w:ind w:left="340" w:right="80" w:hanging="224"/>
        <w:spacing w:after="0" w:line="264" w:lineRule="auto"/>
        <w:tabs>
          <w:tab w:leader="none" w:pos="3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to the extent that an award (including a 2014 Plan Award) expires, lapses or is terminated, converted into an award in respect of shares of another entity in connection with a spin-off or other similar event, exchanged for cash, surrendered, repurchased, canceled, in any case, in a manner that results in the Company acquiring the underlying shares at a price not greater than the price paid by the participant or not</w:t>
      </w:r>
    </w:p>
    <w:p>
      <w:pPr>
        <w:ind w:left="340"/>
        <w:spacing w:after="0"/>
        <w:tabs>
          <w:tab w:leader="none" w:pos="10720" w:val="left"/>
        </w:tabs>
        <w:rPr>
          <w:sz w:val="20"/>
          <w:szCs w:val="20"/>
          <w:color w:val="auto"/>
        </w:rPr>
      </w:pPr>
      <w:r>
        <w:rPr>
          <w:rFonts w:ascii="Arial" w:cs="Arial" w:eastAsia="Arial" w:hAnsi="Arial"/>
          <w:sz w:val="18"/>
          <w:szCs w:val="18"/>
          <w:color w:val="auto"/>
        </w:rPr>
        <w:t>issuing the underlying shares, such unused shares subject to the award at such time will be available for future grants under the 20</w:t>
      </w:r>
      <w:r>
        <w:rPr>
          <w:sz w:val="20"/>
          <w:szCs w:val="20"/>
          <w:color w:val="auto"/>
        </w:rPr>
        <w:tab/>
      </w:r>
      <w:r>
        <w:rPr>
          <w:rFonts w:ascii="Arial" w:cs="Arial" w:eastAsia="Arial" w:hAnsi="Arial"/>
          <w:sz w:val="16"/>
          <w:szCs w:val="16"/>
          <w:color w:val="auto"/>
        </w:rPr>
        <w:t>Plan;</w:t>
      </w:r>
    </w:p>
    <w:p>
      <w:pPr>
        <w:spacing w:after="0" w:line="117" w:lineRule="exact"/>
        <w:rPr>
          <w:sz w:val="20"/>
          <w:szCs w:val="20"/>
          <w:color w:val="auto"/>
        </w:rPr>
      </w:pPr>
    </w:p>
    <w:p>
      <w:pPr>
        <w:ind w:left="340" w:right="400" w:hanging="219"/>
        <w:spacing w:after="0" w:line="299" w:lineRule="auto"/>
        <w:tabs>
          <w:tab w:leader="none" w:pos="320" w:val="left"/>
        </w:tabs>
        <w:rPr>
          <w:sz w:val="20"/>
          <w:szCs w:val="20"/>
          <w:color w:val="auto"/>
        </w:rPr>
      </w:pPr>
      <w:r>
        <w:rPr>
          <w:rFonts w:ascii="Arial" w:cs="Arial" w:eastAsia="Arial" w:hAnsi="Arial"/>
          <w:sz w:val="16"/>
          <w:szCs w:val="16"/>
          <w:color w:val="auto"/>
        </w:rPr>
        <w:t>•</w:t>
        <w:tab/>
        <w:t>to the extent shares are tendered or withheld to satisfy the grant, exercise price or tax withholding obligation with respect to any award under the 20 Plan or 2014 Plan Award, such tendered or withheld shares will be available for future grants under the 20 Plan;</w:t>
      </w:r>
    </w:p>
    <w:p>
      <w:pPr>
        <w:spacing w:after="0" w:line="68" w:lineRule="exact"/>
        <w:rPr>
          <w:sz w:val="20"/>
          <w:szCs w:val="20"/>
          <w:color w:val="auto"/>
        </w:rPr>
      </w:pPr>
    </w:p>
    <w:p>
      <w:pPr>
        <w:ind w:left="340" w:right="180" w:hanging="219"/>
        <w:spacing w:after="0" w:line="239" w:lineRule="auto"/>
        <w:tabs>
          <w:tab w:leader="none" w:pos="320" w:val="left"/>
        </w:tabs>
        <w:rPr>
          <w:sz w:val="20"/>
          <w:szCs w:val="20"/>
          <w:color w:val="auto"/>
        </w:rPr>
      </w:pPr>
      <w:r>
        <w:rPr>
          <w:rFonts w:ascii="Arial" w:cs="Arial" w:eastAsia="Arial" w:hAnsi="Arial"/>
          <w:sz w:val="18"/>
          <w:szCs w:val="18"/>
          <w:color w:val="auto"/>
        </w:rPr>
        <w:t>•</w:t>
        <w:tab/>
        <w:t>to the extent shares subject to stock appreciation rights are not issued in connection with the stock settlement of stock appreciation rights on exercise thereof, such shares will be available for future grants under the 20 Plan;</w:t>
      </w:r>
    </w:p>
    <w:p>
      <w:pPr>
        <w:spacing w:after="0" w:line="114" w:lineRule="exact"/>
        <w:rPr>
          <w:sz w:val="20"/>
          <w:szCs w:val="20"/>
          <w:color w:val="auto"/>
        </w:rPr>
      </w:pPr>
    </w:p>
    <w:p>
      <w:pPr>
        <w:ind w:left="340" w:right="220" w:hanging="219"/>
        <w:spacing w:after="0" w:line="239" w:lineRule="auto"/>
        <w:tabs>
          <w:tab w:leader="none" w:pos="320" w:val="left"/>
        </w:tabs>
        <w:rPr>
          <w:sz w:val="20"/>
          <w:szCs w:val="20"/>
          <w:color w:val="auto"/>
        </w:rPr>
      </w:pPr>
      <w:r>
        <w:rPr>
          <w:rFonts w:ascii="Arial" w:cs="Arial" w:eastAsia="Arial" w:hAnsi="Arial"/>
          <w:sz w:val="18"/>
          <w:szCs w:val="18"/>
          <w:color w:val="auto"/>
        </w:rPr>
        <w:t>•</w:t>
        <w:tab/>
        <w:t>the payment of dividend equivalents in cash in conjunction with any outstanding awards or 2014 Plan Awards will not be counted against the shares available for issuance under the 20 Plan; and</w:t>
      </w:r>
    </w:p>
    <w:p>
      <w:pPr>
        <w:spacing w:after="0" w:line="114" w:lineRule="exact"/>
        <w:rPr>
          <w:sz w:val="20"/>
          <w:szCs w:val="20"/>
          <w:color w:val="auto"/>
        </w:rPr>
      </w:pPr>
    </w:p>
    <w:p>
      <w:pPr>
        <w:ind w:left="340" w:right="340" w:hanging="219"/>
        <w:spacing w:after="0" w:line="239" w:lineRule="auto"/>
        <w:tabs>
          <w:tab w:leader="none" w:pos="320" w:val="left"/>
        </w:tabs>
        <w:rPr>
          <w:sz w:val="20"/>
          <w:szCs w:val="20"/>
          <w:color w:val="auto"/>
        </w:rPr>
      </w:pPr>
      <w:r>
        <w:rPr>
          <w:rFonts w:ascii="Arial" w:cs="Arial" w:eastAsia="Arial" w:hAnsi="Arial"/>
          <w:sz w:val="18"/>
          <w:szCs w:val="18"/>
          <w:color w:val="auto"/>
        </w:rPr>
        <w:t>•</w:t>
        <w:tab/>
        <w:t>shares issued in assumption of, or in substitution for, any outstanding awards of any entity acquired in any form of combination by us or any of our subsidiaries will not be counted against the shares available for issuance under the 20 Plan.</w:t>
      </w:r>
    </w:p>
    <w:p>
      <w:pPr>
        <w:spacing w:after="0" w:line="83" w:lineRule="exact"/>
        <w:rPr>
          <w:sz w:val="20"/>
          <w:szCs w:val="20"/>
          <w:color w:val="auto"/>
        </w:rPr>
      </w:pPr>
    </w:p>
    <w:p>
      <w:pPr>
        <w:ind w:left="120" w:right="60"/>
        <w:spacing w:after="0" w:line="241"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compensation committee of our board of directors is expected to administer the 20 Plan unless our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assumes authority for administration. The board of directors may delegate its powers to a committee, which, to the extent required to comply with Rule 16b-3, is intended to comprise “non-employee directors” for purposes of Rule 16b-3 under the Exchange Act. The 20 Plan provides that the board or compensation committee may delegate its authority to grant awards other than to individuals subject to Section 16 of the Exchange Act or officers or directors to whom authority to grant awards has been delegated.</w:t>
      </w:r>
    </w:p>
    <w:p>
      <w:pPr>
        <w:spacing w:after="0" w:line="99" w:lineRule="exact"/>
        <w:rPr>
          <w:sz w:val="20"/>
          <w:szCs w:val="20"/>
          <w:color w:val="auto"/>
        </w:rPr>
      </w:pPr>
    </w:p>
    <w:p>
      <w:pPr>
        <w:ind w:left="120" w:right="340"/>
        <w:spacing w:after="0" w:line="236" w:lineRule="auto"/>
        <w:rPr>
          <w:sz w:val="20"/>
          <w:szCs w:val="20"/>
          <w:color w:val="auto"/>
        </w:rPr>
      </w:pPr>
      <w:r>
        <w:rPr>
          <w:rFonts w:ascii="Arial" w:cs="Arial" w:eastAsia="Arial" w:hAnsi="Arial"/>
          <w:sz w:val="18"/>
          <w:szCs w:val="18"/>
          <w:color w:val="auto"/>
        </w:rPr>
        <w:t>Subject to the terms and conditions of the 20 Plan, the administrator has the authority to select the persons to whom awards are to be made, to determine the number of shares to be subject to awards and the terms and conditions of awards, and to make all other determinations and to take all other actions necessary or advisable for the administration of the 20 Plan. The administrator is also authorized to adopt, amend or rescind rules relating to administration of the 20 Plan. Our board of directors may at any time remove the compensation committee as the administrator and revest in itself the authority to administer the 20 Plan. The full board of directors will administer the 20 Plan with respect to awards to non-employee directors.</w:t>
      </w:r>
    </w:p>
    <w:p>
      <w:pPr>
        <w:spacing w:after="0" w:line="84" w:lineRule="exact"/>
        <w:rPr>
          <w:sz w:val="20"/>
          <w:szCs w:val="20"/>
          <w:color w:val="auto"/>
        </w:rPr>
      </w:pPr>
    </w:p>
    <w:p>
      <w:pPr>
        <w:ind w:left="120" w:right="40"/>
        <w:spacing w:after="0" w:line="260"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Awards under the 20 Plan may be granted to individuals who are then our officers, employees or consultants or are the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or consultants of certain of our subsidiaries. Such awards also may</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40"/>
          </w:cols>
          <w:pgMar w:left="320" w:top="459"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be granted to our directors. However, only employees of our company or certain of our subsidiaries may be granted incentive stock options, or ISOs.</w:t>
      </w:r>
    </w:p>
    <w:p>
      <w:pPr>
        <w:spacing w:after="0" w:line="83" w:lineRule="exact"/>
        <w:rPr>
          <w:sz w:val="20"/>
          <w:szCs w:val="20"/>
          <w:color w:val="auto"/>
        </w:rPr>
      </w:pPr>
    </w:p>
    <w:p>
      <w:pPr>
        <w:ind w:left="120" w:right="500"/>
        <w:spacing w:after="0" w:line="243" w:lineRule="auto"/>
        <w:rPr>
          <w:sz w:val="20"/>
          <w:szCs w:val="20"/>
          <w:color w:val="auto"/>
        </w:rPr>
      </w:pPr>
      <w:r>
        <w:rPr>
          <w:rFonts w:ascii="Arial" w:cs="Arial" w:eastAsia="Arial" w:hAnsi="Arial"/>
          <w:sz w:val="18"/>
          <w:szCs w:val="18"/>
          <w:i w:val="1"/>
          <w:iCs w:val="1"/>
          <w:color w:val="auto"/>
        </w:rPr>
        <w:t>Awards</w:t>
      </w:r>
      <w:r>
        <w:rPr>
          <w:rFonts w:ascii="Arial" w:cs="Arial" w:eastAsia="Arial" w:hAnsi="Arial"/>
          <w:sz w:val="18"/>
          <w:szCs w:val="18"/>
          <w:color w:val="auto"/>
        </w:rPr>
        <w:t>. The 20 Plan provides that the administrator may grant or issue stock options, SARs, restricted stock, restricted stock units,</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bonus awards, performance stock units, other stock- or cash-based awards and dividend equivalents, or any combination thereof. Each award will be set forth in a separate agreement with the person receiving the award and will indicate the type, terms and conditions of the award.</w:t>
      </w:r>
    </w:p>
    <w:p>
      <w:pPr>
        <w:spacing w:after="0" w:line="93" w:lineRule="exact"/>
        <w:rPr>
          <w:sz w:val="20"/>
          <w:szCs w:val="20"/>
          <w:color w:val="auto"/>
        </w:rPr>
      </w:pPr>
    </w:p>
    <w:p>
      <w:pPr>
        <w:ind w:left="340" w:right="80" w:hanging="224"/>
        <w:spacing w:after="0" w:line="241" w:lineRule="auto"/>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Nonstatutory Stock Options</w:t>
      </w:r>
      <w:r>
        <w:rPr>
          <w:rFonts w:ascii="Arial" w:cs="Arial" w:eastAsia="Arial" w:hAnsi="Arial"/>
          <w:sz w:val="18"/>
          <w:szCs w:val="18"/>
          <w:color w:val="auto"/>
        </w:rPr>
        <w:t>, or NSOs, will provide for the right to purchase shares of our common stock at a specified price which may not</w:t>
      </w:r>
      <w:r>
        <w:rPr>
          <w:rFonts w:ascii="Arial" w:cs="Arial" w:eastAsia="Arial" w:hAnsi="Arial"/>
          <w:sz w:val="18"/>
          <w:szCs w:val="18"/>
          <w:i w:val="1"/>
          <w:iCs w:val="1"/>
          <w:color w:val="auto"/>
        </w:rPr>
        <w:t xml:space="preserve"> </w:t>
      </w:r>
      <w:r>
        <w:rPr>
          <w:rFonts w:ascii="Arial" w:cs="Arial" w:eastAsia="Arial" w:hAnsi="Arial"/>
          <w:sz w:val="18"/>
          <w:szCs w:val="18"/>
          <w:color w:val="auto"/>
        </w:rPr>
        <w:t>be less than fair market value on the date of grant, and usually will become exercisable (at the discretion of the administrator) in one or more installments after the grant date, subject to the participant’s continued employment or service with us and/or subject to the satisfaction of corporate performance targets and individual performance targets established by the administrator. NSOs may be granted for any term specified by the administrator that does not exceed ten years.</w:t>
      </w:r>
    </w:p>
    <w:p>
      <w:pPr>
        <w:spacing w:after="0" w:line="94" w:lineRule="exact"/>
        <w:rPr>
          <w:rFonts w:ascii="Arial" w:cs="Arial" w:eastAsia="Arial" w:hAnsi="Arial"/>
          <w:sz w:val="18"/>
          <w:szCs w:val="18"/>
          <w:color w:val="auto"/>
        </w:rPr>
      </w:pPr>
    </w:p>
    <w:p>
      <w:pPr>
        <w:ind w:left="340" w:right="100" w:hanging="224"/>
        <w:spacing w:after="0" w:line="270" w:lineRule="auto"/>
        <w:tabs>
          <w:tab w:leader="none" w:pos="340" w:val="left"/>
        </w:tabs>
        <w:numPr>
          <w:ilvl w:val="0"/>
          <w:numId w:val="95"/>
        </w:numPr>
        <w:rPr>
          <w:rFonts w:ascii="Arial" w:cs="Arial" w:eastAsia="Arial" w:hAnsi="Arial"/>
          <w:sz w:val="16"/>
          <w:szCs w:val="16"/>
          <w:color w:val="auto"/>
        </w:rPr>
      </w:pPr>
      <w:r>
        <w:rPr>
          <w:rFonts w:ascii="Arial" w:cs="Arial" w:eastAsia="Arial" w:hAnsi="Arial"/>
          <w:sz w:val="16"/>
          <w:szCs w:val="16"/>
          <w:i w:val="1"/>
          <w:iCs w:val="1"/>
          <w:color w:val="auto"/>
        </w:rPr>
        <w:t>Incentive Stock Options</w:t>
      </w:r>
      <w:r>
        <w:rPr>
          <w:rFonts w:ascii="Arial" w:cs="Arial" w:eastAsia="Arial" w:hAnsi="Arial"/>
          <w:sz w:val="16"/>
          <w:szCs w:val="16"/>
          <w:color w:val="auto"/>
        </w:rPr>
        <w:t>, or ISOs, will be designed in a manner intended to comply with the provisions of Section 422 of the Code and will</w:t>
      </w:r>
      <w:r>
        <w:rPr>
          <w:rFonts w:ascii="Arial" w:cs="Arial" w:eastAsia="Arial" w:hAnsi="Arial"/>
          <w:sz w:val="16"/>
          <w:szCs w:val="16"/>
          <w:i w:val="1"/>
          <w:iCs w:val="1"/>
          <w:color w:val="auto"/>
        </w:rPr>
        <w:t xml:space="preserve"> </w:t>
      </w:r>
      <w:r>
        <w:rPr>
          <w:rFonts w:ascii="Arial" w:cs="Arial" w:eastAsia="Arial" w:hAnsi="Arial"/>
          <w:sz w:val="16"/>
          <w:szCs w:val="16"/>
          <w:color w:val="auto"/>
        </w:rPr>
        <w:t>be subject to specified restrictions contained in the Code. Among such restrictions, ISOs must have an exercise price of not less than the fair market value of a share of common stock on the date of grant, may only be granted to employees, and must not be exercisable after a period of ten years measured from the date of grant. In the case of an ISO granted to an individual who owns (or is deemed to own) at</w:t>
      </w:r>
    </w:p>
    <w:p>
      <w:pPr>
        <w:jc w:val="both"/>
        <w:ind w:left="340" w:right="140"/>
        <w:spacing w:after="0" w:line="238" w:lineRule="auto"/>
        <w:rPr>
          <w:sz w:val="20"/>
          <w:szCs w:val="20"/>
          <w:color w:val="auto"/>
        </w:rPr>
      </w:pPr>
      <w:r>
        <w:rPr>
          <w:rFonts w:ascii="Arial" w:cs="Arial" w:eastAsia="Arial" w:hAnsi="Arial"/>
          <w:sz w:val="18"/>
          <w:szCs w:val="18"/>
          <w:color w:val="auto"/>
        </w:rPr>
        <w:t>least 10% of the total combined voting power of all classes of our capital stock, the 20 Plan provides that the exercise price must be at least 110% of the fair market value of a share of common stock on the date of grant and the ISO must not be exercisable after a period of five years measured from the date of grant.</w:t>
      </w:r>
    </w:p>
    <w:p>
      <w:pPr>
        <w:spacing w:after="0" w:line="95" w:lineRule="exact"/>
        <w:rPr>
          <w:sz w:val="20"/>
          <w:szCs w:val="20"/>
          <w:color w:val="auto"/>
        </w:rPr>
      </w:pPr>
    </w:p>
    <w:p>
      <w:pPr>
        <w:ind w:left="340" w:right="100" w:hanging="224"/>
        <w:spacing w:after="0" w:line="239" w:lineRule="auto"/>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may be granted to any eligible individual and made subject to such restrictions as may be determined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Restricted stock, typically, may be forfeited for no consideration or repurchased by us at the original purchase price if the conditions or restrictions on vesting are not met. In general, restricted stock may not be sold or otherwise transferred until restrictions are removed or expire. Purchasers of restricted stock, unlike recipients of options, will have voting rights and will have the right to receive dividends, if any, prior to the time when the restrictions lapse, however, extraordinary dividends will generally be placed in escrow, and will not be released until restrictions are removed or expire.</w:t>
      </w:r>
    </w:p>
    <w:p>
      <w:pPr>
        <w:spacing w:after="0" w:line="99" w:lineRule="exact"/>
        <w:rPr>
          <w:rFonts w:ascii="Arial" w:cs="Arial" w:eastAsia="Arial" w:hAnsi="Arial"/>
          <w:sz w:val="18"/>
          <w:szCs w:val="18"/>
          <w:color w:val="auto"/>
        </w:rPr>
      </w:pPr>
    </w:p>
    <w:p>
      <w:pPr>
        <w:ind w:left="340" w:right="340" w:hanging="224"/>
        <w:spacing w:after="0" w:line="278" w:lineRule="auto"/>
        <w:tabs>
          <w:tab w:leader="none" w:pos="340" w:val="left"/>
        </w:tabs>
        <w:numPr>
          <w:ilvl w:val="0"/>
          <w:numId w:val="96"/>
        </w:numPr>
        <w:rPr>
          <w:rFonts w:ascii="Arial" w:cs="Arial" w:eastAsia="Arial" w:hAnsi="Arial"/>
          <w:sz w:val="16"/>
          <w:szCs w:val="16"/>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may be awarded to any eligible individual, typically without payment of consideration, but subject to vesting</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based on continued employment or service or on performance criteria established by the administrator. Like restricted stock, restricted stock units may not be sold, or otherwise transferred or hypothecated, until vesting conditions are removed or expire. Unlike restricted stock, stock underlying restricted stock units will not be issued until the restricted stock units have vested, and recipients of restricted stock units generally will have no voting or dividend rights prior to the time when vesting conditions are satisfied.</w:t>
      </w:r>
    </w:p>
    <w:p>
      <w:pPr>
        <w:spacing w:after="0" w:line="68" w:lineRule="exact"/>
        <w:rPr>
          <w:rFonts w:ascii="Arial" w:cs="Arial" w:eastAsia="Arial" w:hAnsi="Arial"/>
          <w:sz w:val="16"/>
          <w:szCs w:val="16"/>
          <w:color w:val="auto"/>
        </w:rPr>
      </w:pPr>
    </w:p>
    <w:p>
      <w:pPr>
        <w:jc w:val="both"/>
        <w:ind w:left="340" w:right="380" w:hanging="224"/>
        <w:spacing w:after="0" w:line="275" w:lineRule="auto"/>
        <w:tabs>
          <w:tab w:leader="none" w:pos="340" w:val="left"/>
        </w:tabs>
        <w:numPr>
          <w:ilvl w:val="0"/>
          <w:numId w:val="96"/>
        </w:numPr>
        <w:rPr>
          <w:rFonts w:ascii="Arial" w:cs="Arial" w:eastAsia="Arial" w:hAnsi="Arial"/>
          <w:sz w:val="16"/>
          <w:szCs w:val="16"/>
          <w:color w:val="auto"/>
        </w:rPr>
      </w:pPr>
      <w:r>
        <w:rPr>
          <w:rFonts w:ascii="Arial" w:cs="Arial" w:eastAsia="Arial" w:hAnsi="Arial"/>
          <w:sz w:val="16"/>
          <w:szCs w:val="16"/>
          <w:i w:val="1"/>
          <w:iCs w:val="1"/>
          <w:color w:val="auto"/>
        </w:rPr>
        <w:t>Stock Appreciation Rights</w:t>
      </w:r>
      <w:r>
        <w:rPr>
          <w:rFonts w:ascii="Arial" w:cs="Arial" w:eastAsia="Arial" w:hAnsi="Arial"/>
          <w:sz w:val="16"/>
          <w:szCs w:val="16"/>
          <w:color w:val="auto"/>
        </w:rPr>
        <w:t>, or SARs, may be granted in connection with stock options or other awards, or separately. SARs granted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stock options or other awards typically will provide for payments to the holder based upon increases in the price of our</w:t>
      </w:r>
    </w:p>
    <w:p>
      <w:pPr>
        <w:spacing w:after="0" w:line="1" w:lineRule="exact"/>
        <w:rPr>
          <w:sz w:val="20"/>
          <w:szCs w:val="20"/>
          <w:color w:val="auto"/>
        </w:rPr>
      </w:pPr>
    </w:p>
    <w:p>
      <w:pPr>
        <w:ind w:left="340" w:right="400"/>
        <w:spacing w:after="0" w:line="238" w:lineRule="auto"/>
        <w:rPr>
          <w:sz w:val="20"/>
          <w:szCs w:val="20"/>
          <w:color w:val="auto"/>
        </w:rPr>
      </w:pPr>
      <w:r>
        <w:rPr>
          <w:rFonts w:ascii="Arial" w:cs="Arial" w:eastAsia="Arial" w:hAnsi="Arial"/>
          <w:sz w:val="18"/>
          <w:szCs w:val="18"/>
          <w:color w:val="auto"/>
        </w:rPr>
        <w:t>common stock over a set exercise price. The exercise price of any SAR granted under the 20 Plan must be at least 100% of the fair market value of a share of our common stock on the date of grant. SARs under the 20 Plan will be settled in cash or shares of our common stock, or in a combination of both, at the election of the administrator.</w:t>
      </w:r>
    </w:p>
    <w:p>
      <w:pPr>
        <w:spacing w:after="0" w:line="95" w:lineRule="exact"/>
        <w:rPr>
          <w:sz w:val="20"/>
          <w:szCs w:val="20"/>
          <w:color w:val="auto"/>
        </w:rPr>
      </w:pPr>
    </w:p>
    <w:p>
      <w:pPr>
        <w:ind w:left="340" w:right="220" w:hanging="224"/>
        <w:spacing w:after="0" w:line="260" w:lineRule="auto"/>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 xml:space="preserve">Performance Bonus Awards and Performance Stock Units </w:t>
      </w:r>
      <w:r>
        <w:rPr>
          <w:rFonts w:ascii="Arial" w:cs="Arial" w:eastAsia="Arial" w:hAnsi="Arial"/>
          <w:sz w:val="18"/>
          <w:szCs w:val="18"/>
          <w:color w:val="auto"/>
        </w:rPr>
        <w:t>are denominated in cash or shares/unit equivalents, respectively, and may be</w:t>
      </w:r>
      <w:r>
        <w:rPr>
          <w:rFonts w:ascii="Arial" w:cs="Arial" w:eastAsia="Arial" w:hAnsi="Arial"/>
          <w:sz w:val="18"/>
          <w:szCs w:val="18"/>
          <w:i w:val="1"/>
          <w:iCs w:val="1"/>
          <w:color w:val="auto"/>
        </w:rPr>
        <w:t xml:space="preserve"> </w:t>
      </w:r>
      <w:r>
        <w:rPr>
          <w:rFonts w:ascii="Arial" w:cs="Arial" w:eastAsia="Arial" w:hAnsi="Arial"/>
          <w:sz w:val="18"/>
          <w:szCs w:val="18"/>
          <w:color w:val="auto"/>
        </w:rPr>
        <w:t>linked to one or more performance or other criteria as determined by the administrator.</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20"/>
          </w:cols>
          <w:pgMar w:left="320" w:top="459"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right="100" w:hanging="224"/>
        <w:spacing w:after="0" w:line="239" w:lineRule="auto"/>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Other Stock or Cash Based Awards </w:t>
      </w:r>
      <w:r>
        <w:rPr>
          <w:rFonts w:ascii="Arial" w:cs="Arial" w:eastAsia="Arial" w:hAnsi="Arial"/>
          <w:sz w:val="18"/>
          <w:szCs w:val="18"/>
          <w:color w:val="auto"/>
        </w:rPr>
        <w:t>are awards of cash, fully vested shares of our common stock and other awards valued wholly or</w:t>
      </w:r>
      <w:r>
        <w:rPr>
          <w:rFonts w:ascii="Arial" w:cs="Arial" w:eastAsia="Arial" w:hAnsi="Arial"/>
          <w:sz w:val="18"/>
          <w:szCs w:val="18"/>
          <w:i w:val="1"/>
          <w:iCs w:val="1"/>
          <w:color w:val="auto"/>
        </w:rPr>
        <w:t xml:space="preserve"> </w:t>
      </w:r>
      <w:r>
        <w:rPr>
          <w:rFonts w:ascii="Arial" w:cs="Arial" w:eastAsia="Arial" w:hAnsi="Arial"/>
          <w:sz w:val="18"/>
          <w:szCs w:val="18"/>
          <w:color w:val="auto"/>
        </w:rPr>
        <w:t>partially by referring to, or otherwise based on, shares of our common stock. Other stock or cash 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 The administrator will determine the terms and conditions of other stock or cash based awards, which may include vesting conditions based on continued service, performance and/or other conditions.</w:t>
      </w:r>
    </w:p>
    <w:p>
      <w:pPr>
        <w:spacing w:after="0" w:line="99" w:lineRule="exact"/>
        <w:rPr>
          <w:rFonts w:ascii="Arial" w:cs="Arial" w:eastAsia="Arial" w:hAnsi="Arial"/>
          <w:sz w:val="18"/>
          <w:szCs w:val="18"/>
          <w:color w:val="auto"/>
        </w:rPr>
      </w:pPr>
    </w:p>
    <w:p>
      <w:pPr>
        <w:ind w:left="340" w:hanging="224"/>
        <w:spacing w:after="0" w:line="241" w:lineRule="auto"/>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represent the right to receive the equivalent value of dividends paid on shares of our common stock and may be</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alone or in tandem with awards other than stock options or SARs. Dividend equivalents are converted to cash or shares by such formula and such time as determined by the administrator. In addition, dividend equivalents with respect to an awards subject to vesting will either (i) to the extent permitted by applicable law, not be paid or credited or (ii) be accumulated and subject to vesting to the same extent as the related award.</w:t>
      </w:r>
    </w:p>
    <w:p>
      <w:pPr>
        <w:spacing w:after="0" w:line="99" w:lineRule="exact"/>
        <w:rPr>
          <w:sz w:val="20"/>
          <w:szCs w:val="20"/>
          <w:color w:val="auto"/>
        </w:rPr>
      </w:pPr>
    </w:p>
    <w:p>
      <w:pPr>
        <w:ind w:left="120" w:right="780"/>
        <w:spacing w:after="0" w:line="239" w:lineRule="auto"/>
        <w:rPr>
          <w:sz w:val="20"/>
          <w:szCs w:val="20"/>
          <w:color w:val="auto"/>
        </w:rPr>
      </w:pPr>
      <w:r>
        <w:rPr>
          <w:rFonts w:ascii="Arial" w:cs="Arial" w:eastAsia="Arial" w:hAnsi="Arial"/>
          <w:sz w:val="18"/>
          <w:szCs w:val="18"/>
          <w:color w:val="auto"/>
        </w:rPr>
        <w:t>Any award may be granted as a performance award, meaning that the award will be subject to vesting and/or payment based on the attainment of specified performance goals.</w:t>
      </w:r>
    </w:p>
    <w:p>
      <w:pPr>
        <w:spacing w:after="0" w:line="83" w:lineRule="exact"/>
        <w:rPr>
          <w:sz w:val="20"/>
          <w:szCs w:val="20"/>
          <w:color w:val="auto"/>
        </w:rPr>
      </w:pPr>
    </w:p>
    <w:p>
      <w:pPr>
        <w:ind w:left="120" w:right="140"/>
        <w:spacing w:after="0" w:line="272" w:lineRule="auto"/>
        <w:rPr>
          <w:sz w:val="20"/>
          <w:szCs w:val="20"/>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 In the event of a change in control, unless the administrator elects to terminate an award in exchange for cash, rights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property, or cause an award to accelerate in full prior to the change in control, such award will continue in effect or be assumed or substituted by the acquirer, provided that any performance-based portion of the award will be subject to the terms and conditions of the applicable award agreement. In the event the acquirer refuses to assume or replace awards granted, prior to the consummation of such transaction, awards issued under the 20 Plan (other than any portion subject to performance-based vesting) will be subject to accelerated vesting such that 100% of such awards will become vested and exercisable or payable, as applicable. The administrator may also make appropriate adjustments to awards under the 20 Plan and is authorized to provide for the acceleration, cash-out, termination, assumption, substitution or conversion of such awards in the event of a change in control or certain other unusual or nonrecurring events or transactions.</w:t>
      </w:r>
    </w:p>
    <w:p>
      <w:pPr>
        <w:spacing w:after="0" w:line="60" w:lineRule="exact"/>
        <w:rPr>
          <w:sz w:val="20"/>
          <w:szCs w:val="20"/>
          <w:color w:val="auto"/>
        </w:rPr>
      </w:pPr>
    </w:p>
    <w:p>
      <w:pPr>
        <w:ind w:left="120" w:right="80"/>
        <w:spacing w:after="0" w:line="278" w:lineRule="auto"/>
        <w:rPr>
          <w:sz w:val="20"/>
          <w:szCs w:val="20"/>
          <w:color w:val="auto"/>
        </w:rPr>
      </w:pPr>
      <w:r>
        <w:rPr>
          <w:rFonts w:ascii="Arial" w:cs="Arial" w:eastAsia="Arial" w:hAnsi="Arial"/>
          <w:sz w:val="16"/>
          <w:szCs w:val="16"/>
          <w:i w:val="1"/>
          <w:iCs w:val="1"/>
          <w:color w:val="auto"/>
        </w:rPr>
        <w:t>Adjustments of awards</w:t>
      </w:r>
      <w:r>
        <w:rPr>
          <w:rFonts w:ascii="Arial" w:cs="Arial" w:eastAsia="Arial" w:hAnsi="Arial"/>
          <w:sz w:val="16"/>
          <w:szCs w:val="16"/>
          <w:color w:val="auto"/>
        </w:rPr>
        <w:t>. The administrator has broad discretion to take action under the 20 Plan, as well as make adjustments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terms and conditions of existing and future awards, to prevent the dilution or enlargement of intended benefits and facilitate necessary or desirable changes in the event of certain transactions and events affecting our common stock, such as stock dividends, stock splits, mergers, acquisitions, consolidations and other corporate transactions. In addition, in the event of certain non-reciprocal transactions with our stockholders known as “equity restructurings,” the administrator will make equitable adjustments to the 20 Plan and outstanding awards.</w:t>
      </w:r>
    </w:p>
    <w:p>
      <w:pPr>
        <w:spacing w:after="0" w:line="55" w:lineRule="exact"/>
        <w:rPr>
          <w:sz w:val="20"/>
          <w:szCs w:val="20"/>
          <w:color w:val="auto"/>
        </w:rPr>
      </w:pPr>
    </w:p>
    <w:p>
      <w:pPr>
        <w:ind w:left="120" w:right="160"/>
        <w:spacing w:after="0" w:line="239" w:lineRule="auto"/>
        <w:rPr>
          <w:sz w:val="20"/>
          <w:szCs w:val="20"/>
          <w:color w:val="auto"/>
        </w:rPr>
      </w:pPr>
      <w:r>
        <w:rPr>
          <w:rFonts w:ascii="Arial" w:cs="Arial" w:eastAsia="Arial" w:hAnsi="Arial"/>
          <w:sz w:val="18"/>
          <w:szCs w:val="18"/>
          <w:i w:val="1"/>
          <w:iCs w:val="1"/>
          <w:color w:val="auto"/>
        </w:rPr>
        <w:t xml:space="preserve">Amendment and termination </w:t>
      </w:r>
      <w:r>
        <w:rPr>
          <w:rFonts w:ascii="Arial" w:cs="Arial" w:eastAsia="Arial" w:hAnsi="Arial"/>
          <w:sz w:val="18"/>
          <w:szCs w:val="18"/>
          <w:color w:val="auto"/>
        </w:rPr>
        <w:t>. The administrator may terminate, amend or modify the 20 Plan at any time and from time to time.</w:t>
      </w:r>
      <w:r>
        <w:rPr>
          <w:rFonts w:ascii="Arial" w:cs="Arial" w:eastAsia="Arial" w:hAnsi="Arial"/>
          <w:sz w:val="18"/>
          <w:szCs w:val="18"/>
          <w:i w:val="1"/>
          <w:iCs w:val="1"/>
          <w:color w:val="auto"/>
        </w:rPr>
        <w:t xml:space="preserve"> </w:t>
      </w:r>
      <w:r>
        <w:rPr>
          <w:rFonts w:ascii="Arial" w:cs="Arial" w:eastAsia="Arial" w:hAnsi="Arial"/>
          <w:sz w:val="18"/>
          <w:szCs w:val="18"/>
          <w:color w:val="auto"/>
        </w:rPr>
        <w:t>However, we must generally obtain stockholder approval to the extent required by applicable law, rule or regulation (including any applicable stock exchange rule), and generally no amendment may materially and adversely affect any outstanding award without the affected participant’s consent. Notwithstanding the foregoing, an option may be amended to reduce the per share exercise price below the per share exercise price of such option on the grant date and options may be granted in exchange for, or in connection with, the cancellation or surrender of options having a higher per share exercise price without receiving additional stockholder approval.</w:t>
      </w:r>
    </w:p>
    <w:p>
      <w:pPr>
        <w:spacing w:after="0" w:line="104"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No incentive stock options may be granted pursuant to the 20 Plan after the tenth anniversary of the effective date of the 20 Plan, and no additional annual share increases to the 20 Plan’s aggregate share limit will occur from and after such anniversary. Any award that is outstanding on the termination date of the 20 Plan will remain in force according to the terms of the 20 Plan and the applicable award agreement.</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40"/>
          </w:cols>
          <w:pgMar w:left="32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2014 Equity Incentive Plan</w:t>
      </w:r>
    </w:p>
    <w:p>
      <w:pPr>
        <w:spacing w:after="0" w:line="124" w:lineRule="exact"/>
        <w:rPr>
          <w:sz w:val="20"/>
          <w:szCs w:val="20"/>
          <w:color w:val="auto"/>
        </w:rPr>
      </w:pPr>
    </w:p>
    <w:p>
      <w:pPr>
        <w:ind w:left="120" w:right="340"/>
        <w:spacing w:after="0" w:line="264" w:lineRule="auto"/>
        <w:rPr>
          <w:sz w:val="20"/>
          <w:szCs w:val="20"/>
          <w:color w:val="auto"/>
        </w:rPr>
      </w:pPr>
      <w:r>
        <w:rPr>
          <w:rFonts w:ascii="Arial" w:cs="Arial" w:eastAsia="Arial" w:hAnsi="Arial"/>
          <w:sz w:val="16"/>
          <w:szCs w:val="16"/>
          <w:color w:val="auto"/>
        </w:rPr>
        <w:t>Our board of directors adopted, and our stockholders approved, the 2014 Plan effective as of December 4, 2014. The 2014 Plan has subsequently been amended on multiple occasions to increase the number of shares issuable thereunder. The 2014 Plan provides for the</w:t>
      </w:r>
    </w:p>
    <w:p>
      <w:pPr>
        <w:ind w:left="120" w:right="60"/>
        <w:spacing w:after="0" w:line="234" w:lineRule="auto"/>
        <w:rPr>
          <w:sz w:val="20"/>
          <w:szCs w:val="20"/>
          <w:color w:val="auto"/>
        </w:rPr>
      </w:pPr>
      <w:r>
        <w:rPr>
          <w:rFonts w:ascii="Arial" w:cs="Arial" w:eastAsia="Arial" w:hAnsi="Arial"/>
          <w:sz w:val="18"/>
          <w:szCs w:val="18"/>
          <w:color w:val="auto"/>
        </w:rPr>
        <w:t>grant of ISOs, NSOs, SARs, restricted stock, and restricted stock units. As of September 30, 2019, options to purchase shares of our common stock at a weighted-average exercise price per share of $ and shares of our common stock subject to restricted</w:t>
      </w:r>
    </w:p>
    <w:p>
      <w:pPr>
        <w:spacing w:after="0" w:line="1" w:lineRule="exact"/>
        <w:rPr>
          <w:sz w:val="20"/>
          <w:szCs w:val="20"/>
          <w:color w:val="auto"/>
        </w:rPr>
      </w:pPr>
    </w:p>
    <w:p>
      <w:pPr>
        <w:ind w:left="120" w:right="540"/>
        <w:spacing w:after="0" w:line="238" w:lineRule="auto"/>
        <w:rPr>
          <w:sz w:val="20"/>
          <w:szCs w:val="20"/>
          <w:color w:val="auto"/>
        </w:rPr>
      </w:pPr>
      <w:r>
        <w:rPr>
          <w:rFonts w:ascii="Arial" w:cs="Arial" w:eastAsia="Arial" w:hAnsi="Arial"/>
          <w:sz w:val="18"/>
          <w:szCs w:val="18"/>
          <w:color w:val="auto"/>
        </w:rPr>
        <w:t>stock or restricted stock purchase awards remained outstanding under the 2014 Plan. Following this offering and in connection with the effectiveness of our 20 Plan, the 2014 Plan will terminate and no further awards will be granted under the 2014 Plan. However, all outstanding awards will continue to be governed by their existing terms.</w:t>
      </w:r>
    </w:p>
    <w:p>
      <w:pPr>
        <w:spacing w:after="0" w:line="82" w:lineRule="exact"/>
        <w:rPr>
          <w:sz w:val="20"/>
          <w:szCs w:val="20"/>
          <w:color w:val="auto"/>
        </w:rPr>
      </w:pPr>
    </w:p>
    <w:p>
      <w:pPr>
        <w:ind w:left="120" w:right="120"/>
        <w:spacing w:after="0" w:line="241"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board of directors or a committee thereof appointed by our board of directors, has the authority to administer the 2014</w:t>
      </w:r>
      <w:r>
        <w:rPr>
          <w:rFonts w:ascii="Arial" w:cs="Arial" w:eastAsia="Arial" w:hAnsi="Arial"/>
          <w:sz w:val="18"/>
          <w:szCs w:val="18"/>
          <w:i w:val="1"/>
          <w:iCs w:val="1"/>
          <w:color w:val="auto"/>
        </w:rPr>
        <w:t xml:space="preserve"> </w:t>
      </w:r>
      <w:r>
        <w:rPr>
          <w:rFonts w:ascii="Arial" w:cs="Arial" w:eastAsia="Arial" w:hAnsi="Arial"/>
          <w:sz w:val="18"/>
          <w:szCs w:val="18"/>
          <w:color w:val="auto"/>
        </w:rPr>
        <w:t>Plan and the awards granted under it. The administrator’s authority includes the authority to select the service providers to whom awards will be granted under the 2014 Plan, the number of shares to be subject to those awards under the 2014 Plan, and the terms and conditions of the awards granted. In addition, the administrator has the authority to construe and interpret the 2014 Plan and to adopt rules for the administration, interpretation and application of the 2014 Plan that are consistent with the terms of the 2014 Plan.</w:t>
      </w:r>
    </w:p>
    <w:p>
      <w:pPr>
        <w:spacing w:after="0" w:line="81" w:lineRule="exact"/>
        <w:rPr>
          <w:sz w:val="20"/>
          <w:szCs w:val="20"/>
          <w:color w:val="auto"/>
        </w:rPr>
      </w:pPr>
    </w:p>
    <w:p>
      <w:pPr>
        <w:ind w:left="120" w:right="20"/>
        <w:spacing w:after="0" w:line="322" w:lineRule="auto"/>
        <w:rPr>
          <w:sz w:val="20"/>
          <w:szCs w:val="20"/>
          <w:color w:val="auto"/>
        </w:rPr>
      </w:pPr>
      <w:r>
        <w:rPr>
          <w:rFonts w:ascii="Arial" w:cs="Arial" w:eastAsia="Arial" w:hAnsi="Arial"/>
          <w:sz w:val="16"/>
          <w:szCs w:val="16"/>
          <w:i w:val="1"/>
          <w:iCs w:val="1"/>
          <w:color w:val="auto"/>
        </w:rPr>
        <w:t>Awards</w:t>
      </w:r>
      <w:r>
        <w:rPr>
          <w:rFonts w:ascii="Arial" w:cs="Arial" w:eastAsia="Arial" w:hAnsi="Arial"/>
          <w:sz w:val="16"/>
          <w:szCs w:val="16"/>
          <w:color w:val="auto"/>
        </w:rPr>
        <w:t>. The 2014 Plan provides that the administrator may, subject to certain conditions, grant or issue options, including ISOs and NSOs,</w:t>
      </w:r>
      <w:r>
        <w:rPr>
          <w:rFonts w:ascii="Arial" w:cs="Arial" w:eastAsia="Arial" w:hAnsi="Arial"/>
          <w:sz w:val="16"/>
          <w:szCs w:val="16"/>
          <w:i w:val="1"/>
          <w:iCs w:val="1"/>
          <w:color w:val="auto"/>
        </w:rPr>
        <w:t xml:space="preserve"> </w:t>
      </w:r>
      <w:r>
        <w:rPr>
          <w:rFonts w:ascii="Arial" w:cs="Arial" w:eastAsia="Arial" w:hAnsi="Arial"/>
          <w:sz w:val="16"/>
          <w:szCs w:val="16"/>
          <w:color w:val="auto"/>
        </w:rPr>
        <w:t>SARs, restricted stock and restricted stock units to employees, consultants and directors; provided that only employees may be granted ISOs.</w:t>
      </w:r>
    </w:p>
    <w:p>
      <w:pPr>
        <w:spacing w:after="0" w:line="33" w:lineRule="exact"/>
        <w:rPr>
          <w:sz w:val="20"/>
          <w:szCs w:val="20"/>
          <w:color w:val="auto"/>
        </w:rPr>
      </w:pPr>
    </w:p>
    <w:p>
      <w:pPr>
        <w:ind w:left="340" w:right="40" w:hanging="224"/>
        <w:spacing w:after="0" w:line="239" w:lineRule="auto"/>
        <w:tabs>
          <w:tab w:leader="none" w:pos="340"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The 2014 Plan provides for the grant of ISOs or NSOs. ISOs may be granted only to employees. NSOs may be granted to</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directors or consultants. The exercise price of ISOs granted to employees who at the time of grant own stock representing more than 10% of the voting power of all classes of our common stock may not be less than 110% of the fair market value per share of our common stock on the date of grant, and the exercise price of ISOs granted to any other employees may not be less than 100% of the fair market value per share of our common stock on the date of grant. The exercise price of NSOs to employees, directors or consultants may not be less than 100% of the fair market value per share of our common stock on the date of grant.</w:t>
      </w:r>
    </w:p>
    <w:p>
      <w:pPr>
        <w:spacing w:after="0" w:line="99" w:lineRule="exact"/>
        <w:rPr>
          <w:rFonts w:ascii="Arial" w:cs="Arial" w:eastAsia="Arial" w:hAnsi="Arial"/>
          <w:sz w:val="18"/>
          <w:szCs w:val="18"/>
          <w:color w:val="auto"/>
        </w:rPr>
      </w:pPr>
    </w:p>
    <w:p>
      <w:pPr>
        <w:ind w:left="340" w:right="140" w:hanging="224"/>
        <w:spacing w:after="0" w:line="247" w:lineRule="auto"/>
        <w:tabs>
          <w:tab w:leader="none" w:pos="340"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The 2014 Plan provides for the grant of SARs. Each SAR will be governed by a stock appreciation right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The exercise price of SARs may not be less than 100% of the fair market value per share of our common stock on the date of grant.</w:t>
      </w:r>
    </w:p>
    <w:p>
      <w:pPr>
        <w:spacing w:after="0" w:line="89" w:lineRule="exact"/>
        <w:rPr>
          <w:rFonts w:ascii="Arial" w:cs="Arial" w:eastAsia="Arial" w:hAnsi="Arial"/>
          <w:sz w:val="18"/>
          <w:szCs w:val="18"/>
          <w:color w:val="auto"/>
        </w:rPr>
      </w:pPr>
    </w:p>
    <w:p>
      <w:pPr>
        <w:ind w:left="340" w:hanging="224"/>
        <w:spacing w:after="0" w:line="239" w:lineRule="auto"/>
        <w:tabs>
          <w:tab w:leader="none" w:pos="340"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Restricted stock awards</w:t>
      </w:r>
      <w:r>
        <w:rPr>
          <w:rFonts w:ascii="Arial" w:cs="Arial" w:eastAsia="Arial" w:hAnsi="Arial"/>
          <w:sz w:val="18"/>
          <w:szCs w:val="18"/>
          <w:color w:val="auto"/>
        </w:rPr>
        <w:t>. The 2014 Plan provides for the grant of restricted stock awards. Each restricted stock award will be governed by</w:t>
      </w:r>
      <w:r>
        <w:rPr>
          <w:rFonts w:ascii="Arial" w:cs="Arial" w:eastAsia="Arial" w:hAnsi="Arial"/>
          <w:sz w:val="18"/>
          <w:szCs w:val="18"/>
          <w:i w:val="1"/>
          <w:iCs w:val="1"/>
          <w:color w:val="auto"/>
        </w:rPr>
        <w:t xml:space="preserve"> </w:t>
      </w:r>
      <w:r>
        <w:rPr>
          <w:rFonts w:ascii="Arial" w:cs="Arial" w:eastAsia="Arial" w:hAnsi="Arial"/>
          <w:sz w:val="18"/>
          <w:szCs w:val="18"/>
          <w:color w:val="auto"/>
        </w:rPr>
        <w:t>a restricted stock award agreement, which will detail the restrictions on transferability, risk of forfeiture and other restrictions the administrator approves. In general, restricted stock may not be sold, transferred, pledged, hypothecated, margined or otherwise encumbered, whether voluntarily or by operation of law, until restrictions are removed or expire. Holders of restricted stock, unlike recipients of other equity awards, will have voting rights and will have the right to receive dividends, if any, prior to the time when the restrictions lapse.</w:t>
      </w:r>
    </w:p>
    <w:p>
      <w:pPr>
        <w:spacing w:after="0" w:line="99" w:lineRule="exact"/>
        <w:rPr>
          <w:rFonts w:ascii="Arial" w:cs="Arial" w:eastAsia="Arial" w:hAnsi="Arial"/>
          <w:sz w:val="18"/>
          <w:szCs w:val="18"/>
          <w:color w:val="auto"/>
        </w:rPr>
      </w:pPr>
    </w:p>
    <w:p>
      <w:pPr>
        <w:ind w:left="340" w:right="60" w:hanging="224"/>
        <w:spacing w:after="0" w:line="243" w:lineRule="auto"/>
        <w:tabs>
          <w:tab w:leader="none" w:pos="340"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The 2014 Plan provides that we may issue restricted stock unit awards which may be settled in either cash,</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or a combination of both. Each restricted stock unit award will be governed by a restricted stock unit award agreement that will set forth any vesting conditions based on continued employment or service or on performance criteria established by the administrator. Unlike restricted stock, stock underlying restricted stock units will not be issued until the restricted stock units have</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20"/>
          </w:cols>
          <w:pgMar w:left="320" w:top="459"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200"/>
        <w:spacing w:after="0" w:line="239" w:lineRule="auto"/>
        <w:rPr>
          <w:sz w:val="20"/>
          <w:szCs w:val="20"/>
          <w:color w:val="auto"/>
        </w:rPr>
      </w:pPr>
      <w:r>
        <w:rPr>
          <w:rFonts w:ascii="Arial" w:cs="Arial" w:eastAsia="Arial" w:hAnsi="Arial"/>
          <w:sz w:val="18"/>
          <w:szCs w:val="18"/>
          <w:color w:val="auto"/>
        </w:rPr>
        <w:t>vested, and recipients of restricted stock units generally will have no rights as a stockholder prior to the time when vesting conditions are satisfied.</w:t>
      </w:r>
    </w:p>
    <w:p>
      <w:pPr>
        <w:spacing w:after="0" w:line="83" w:lineRule="exact"/>
        <w:rPr>
          <w:sz w:val="20"/>
          <w:szCs w:val="20"/>
          <w:color w:val="auto"/>
        </w:rPr>
      </w:pPr>
    </w:p>
    <w:p>
      <w:pPr>
        <w:ind w:left="120" w:right="260"/>
        <w:spacing w:after="0" w:line="243" w:lineRule="auto"/>
        <w:rPr>
          <w:sz w:val="20"/>
          <w:szCs w:val="20"/>
          <w:color w:val="auto"/>
        </w:rPr>
      </w:pPr>
      <w:r>
        <w:rPr>
          <w:rFonts w:ascii="Arial" w:cs="Arial" w:eastAsia="Arial" w:hAnsi="Arial"/>
          <w:sz w:val="18"/>
          <w:szCs w:val="18"/>
          <w:i w:val="1"/>
          <w:iCs w:val="1"/>
          <w:color w:val="auto"/>
        </w:rPr>
        <w:t>Adjustments of awards</w:t>
      </w:r>
      <w:r>
        <w:rPr>
          <w:rFonts w:ascii="Arial" w:cs="Arial" w:eastAsia="Arial" w:hAnsi="Arial"/>
          <w:sz w:val="18"/>
          <w:szCs w:val="18"/>
          <w:color w:val="auto"/>
        </w:rPr>
        <w:t>. In the event of any change in or other event that occurs with respect to the common stock without receipt of</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by the Company (through merger, consolidation, reorganization, recapitalization, stock dividends, stock splits or other similar transactions), the administrator will make adjustments to the number and class of shares available for issuance under the 2014 Plan, the number and class of shares issuable pursuant to ISOs, and the number, class and price per share of outstanding awards.</w:t>
      </w:r>
    </w:p>
    <w:p>
      <w:pPr>
        <w:spacing w:after="0" w:line="80" w:lineRule="exact"/>
        <w:rPr>
          <w:sz w:val="20"/>
          <w:szCs w:val="20"/>
          <w:color w:val="auto"/>
        </w:rPr>
      </w:pPr>
    </w:p>
    <w:p>
      <w:pPr>
        <w:ind w:left="120" w:right="140"/>
        <w:spacing w:after="0" w:line="239"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of certain corporate transactions, including the sale of substantially all of the Company’s assets, a sale or</w:t>
      </w:r>
      <w:r>
        <w:rPr>
          <w:rFonts w:ascii="Arial" w:cs="Arial" w:eastAsia="Arial" w:hAnsi="Arial"/>
          <w:sz w:val="18"/>
          <w:szCs w:val="18"/>
          <w:i w:val="1"/>
          <w:iCs w:val="1"/>
          <w:color w:val="auto"/>
        </w:rPr>
        <w:t xml:space="preserve"> </w:t>
      </w:r>
      <w:r>
        <w:rPr>
          <w:rFonts w:ascii="Arial" w:cs="Arial" w:eastAsia="Arial" w:hAnsi="Arial"/>
          <w:sz w:val="18"/>
          <w:szCs w:val="18"/>
          <w:color w:val="auto"/>
        </w:rPr>
        <w:t>disposition of 90% of the outstanding securities of the Company, and certain mergers, consolidations and similar transactions, unless otherwise stated in an award agreement, the administrator will provide for one or more of the following actions: assumption or substitution of outstanding awards; assignment of reacquisition or repurchase rights held by the Company; or acceleration, cancellation or cash-out of outstanding awards. Awards may also be subject to additional acceleration in connection with a change in control pursuant to an award agreement or other written agreement with the Company.</w:t>
      </w:r>
    </w:p>
    <w:p>
      <w:pPr>
        <w:spacing w:after="0" w:line="86" w:lineRule="exact"/>
        <w:rPr>
          <w:sz w:val="20"/>
          <w:szCs w:val="20"/>
          <w:color w:val="auto"/>
        </w:rPr>
      </w:pPr>
    </w:p>
    <w:p>
      <w:pPr>
        <w:jc w:val="both"/>
        <w:ind w:left="120" w:right="220"/>
        <w:spacing w:after="0" w:line="241"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Our board of directors may amend, suspend or terminate the 2014 Plan at any time, but no amendment will</w:t>
      </w:r>
      <w:r>
        <w:rPr>
          <w:rFonts w:ascii="Arial" w:cs="Arial" w:eastAsia="Arial" w:hAnsi="Arial"/>
          <w:sz w:val="18"/>
          <w:szCs w:val="18"/>
          <w:i w:val="1"/>
          <w:iCs w:val="1"/>
          <w:color w:val="auto"/>
        </w:rPr>
        <w:t xml:space="preserve"> </w:t>
      </w:r>
      <w:r>
        <w:rPr>
          <w:rFonts w:ascii="Arial" w:cs="Arial" w:eastAsia="Arial" w:hAnsi="Arial"/>
          <w:sz w:val="18"/>
          <w:szCs w:val="18"/>
          <w:color w:val="auto"/>
        </w:rPr>
        <w:t>impair the rights of a holder of an outstanding award without the holder’s consent. Except with respect to certain capitalization adjustments, an amendment of the 2014 Plan shall be subject to the approval of our stockholders to the extent required by applicable law. Following this offering and in connection with the effectiveness of our 20 Plan, the 2014 Plan will terminate and no further awards will be granted under the 2014 Plan.</w:t>
      </w:r>
    </w:p>
    <w:p>
      <w:pPr>
        <w:spacing w:after="0" w:line="187" w:lineRule="exact"/>
        <w:rPr>
          <w:sz w:val="20"/>
          <w:szCs w:val="20"/>
          <w:color w:val="auto"/>
        </w:rPr>
      </w:pPr>
    </w:p>
    <w:p>
      <w:pPr>
        <w:ind w:left="120"/>
        <w:spacing w:after="0"/>
        <w:tabs>
          <w:tab w:leader="none" w:pos="480" w:val="left"/>
        </w:tabs>
        <w:rPr>
          <w:sz w:val="20"/>
          <w:szCs w:val="20"/>
          <w:color w:val="auto"/>
        </w:rPr>
      </w:pPr>
      <w:r>
        <w:rPr>
          <w:rFonts w:ascii="Arial" w:cs="Arial" w:eastAsia="Arial" w:hAnsi="Arial"/>
          <w:sz w:val="18"/>
          <w:szCs w:val="18"/>
          <w:b w:val="1"/>
          <w:bCs w:val="1"/>
          <w:i w:val="1"/>
          <w:iCs w:val="1"/>
          <w:color w:val="auto"/>
        </w:rPr>
        <w:t>20</w:t>
        <w:tab/>
        <w:t>Employee Stock Purchase Plan</w:t>
      </w:r>
    </w:p>
    <w:p>
      <w:pPr>
        <w:spacing w:after="0" w:line="124"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We intend to adopt the 20 Employee Stock Purchase Plan, which we refer to as our ESPP, which will be effective on the day prior to the date the registration statement relating to this offering becomes effective. The ESPP is designed to allow our eligible employees to purchase shares of our common stock, at periodic intervals, with their accumulated payroll deductions. The ESPP is intended to qualify under Section 423 of the Code. The material terms of the ESPP, as it is currently contemplated, are summarized below.</w:t>
      </w:r>
    </w:p>
    <w:p>
      <w:pPr>
        <w:spacing w:after="0" w:line="82" w:lineRule="exact"/>
        <w:rPr>
          <w:sz w:val="20"/>
          <w:szCs w:val="20"/>
          <w:color w:val="auto"/>
        </w:rPr>
      </w:pPr>
    </w:p>
    <w:p>
      <w:pPr>
        <w:ind w:left="120"/>
        <w:spacing w:after="0" w:line="241"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Subject to the terms and conditions of the ESPP, our compensation committee will administer the ESPP. Our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can delegate administrative tasks under the ESPP to the services of an agent and/or employees to assist in the administration of the ESPP. The administrator will have the discretionary authority to administer and interpret the ESPP. Interpretations and constructions of the administrator of any provision of the ESPP or of any rights thereunder will be conclusive and binding on all persons. We will bear all expenses and liabilities incurred by the ESPP administrator.</w:t>
      </w:r>
    </w:p>
    <w:p>
      <w:pPr>
        <w:spacing w:after="0" w:line="81" w:lineRule="exact"/>
        <w:rPr>
          <w:sz w:val="20"/>
          <w:szCs w:val="20"/>
          <w:color w:val="auto"/>
        </w:rPr>
      </w:pPr>
    </w:p>
    <w:p>
      <w:pPr>
        <w:ind w:left="120"/>
        <w:spacing w:after="0"/>
        <w:tabs>
          <w:tab w:leader="none" w:pos="1440" w:val="left"/>
        </w:tabs>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maximum number of our shares of our common stock which will be authorized for sale under the ESPP is equal to the</w:t>
      </w:r>
    </w:p>
    <w:p>
      <w:pPr>
        <w:spacing w:after="0" w:line="14" w:lineRule="exact"/>
        <w:rPr>
          <w:sz w:val="20"/>
          <w:szCs w:val="20"/>
          <w:color w:val="auto"/>
        </w:rPr>
      </w:pPr>
    </w:p>
    <w:p>
      <w:pPr>
        <w:ind w:left="120" w:right="200"/>
        <w:spacing w:after="0" w:line="234" w:lineRule="auto"/>
        <w:rPr>
          <w:sz w:val="20"/>
          <w:szCs w:val="20"/>
          <w:color w:val="auto"/>
        </w:rPr>
      </w:pPr>
      <w:r>
        <w:rPr>
          <w:rFonts w:ascii="Arial" w:cs="Arial" w:eastAsia="Arial" w:hAnsi="Arial"/>
          <w:sz w:val="18"/>
          <w:szCs w:val="18"/>
          <w:color w:val="auto"/>
        </w:rPr>
        <w:t>sum of (a) shares of common stock and (b) an annual increase on the first day of each year beginning in 20 and ending in 20 , equal to the lesser of (i) % of the shares of common stock outstanding (on an as converted basis) on the last day of the immediately preceding fiscal year and (ii) such number of shares of common stock as determined by our board of directors; provided, however, no more</w:t>
      </w:r>
    </w:p>
    <w:p>
      <w:pPr>
        <w:spacing w:after="0" w:line="2" w:lineRule="exact"/>
        <w:rPr>
          <w:sz w:val="20"/>
          <w:szCs w:val="20"/>
          <w:color w:val="auto"/>
        </w:rPr>
      </w:pPr>
    </w:p>
    <w:p>
      <w:pPr>
        <w:ind w:left="120" w:right="660"/>
        <w:spacing w:after="0" w:line="239" w:lineRule="auto"/>
        <w:rPr>
          <w:sz w:val="20"/>
          <w:szCs w:val="20"/>
          <w:color w:val="auto"/>
        </w:rPr>
      </w:pPr>
      <w:r>
        <w:rPr>
          <w:rFonts w:ascii="Arial" w:cs="Arial" w:eastAsia="Arial" w:hAnsi="Arial"/>
          <w:sz w:val="18"/>
          <w:szCs w:val="18"/>
          <w:color w:val="auto"/>
        </w:rPr>
        <w:t>than shares of our common stock may be issued under the ESPP. The shares reserved for issuance under the ESPP may be authorized but unissued shares or reacquired shares.</w:t>
      </w:r>
    </w:p>
    <w:p>
      <w:pPr>
        <w:spacing w:after="0" w:line="83" w:lineRule="exact"/>
        <w:rPr>
          <w:sz w:val="20"/>
          <w:szCs w:val="20"/>
          <w:color w:val="auto"/>
        </w:rPr>
      </w:pPr>
    </w:p>
    <w:p>
      <w:pPr>
        <w:jc w:val="both"/>
        <w:ind w:left="120" w:right="80"/>
        <w:spacing w:after="0" w:line="247"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Employees eligible to participate in the ESPP for a given offering period generally include employees who are employed by us or</w:t>
      </w:r>
      <w:r>
        <w:rPr>
          <w:rFonts w:ascii="Arial" w:cs="Arial" w:eastAsia="Arial" w:hAnsi="Arial"/>
          <w:sz w:val="18"/>
          <w:szCs w:val="18"/>
          <w:i w:val="1"/>
          <w:iCs w:val="1"/>
          <w:color w:val="auto"/>
        </w:rPr>
        <w:t xml:space="preserve"> </w:t>
      </w:r>
      <w:r>
        <w:rPr>
          <w:rFonts w:ascii="Arial" w:cs="Arial" w:eastAsia="Arial" w:hAnsi="Arial"/>
          <w:sz w:val="18"/>
          <w:szCs w:val="18"/>
          <w:color w:val="auto"/>
        </w:rPr>
        <w:t>one of our subsidiaries on the first day of the offering period, or the enrollment date. Our employees (and, if applicable, any employees of our subsidiaries) who customarily work</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00"/>
          </w:cols>
          <w:pgMar w:left="320" w:top="459" w:right="47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120" w:right="100"/>
        <w:spacing w:after="0" w:line="238" w:lineRule="auto"/>
        <w:rPr>
          <w:sz w:val="20"/>
          <w:szCs w:val="20"/>
          <w:color w:val="auto"/>
        </w:rPr>
      </w:pPr>
      <w:r>
        <w:rPr>
          <w:rFonts w:ascii="Arial" w:cs="Arial" w:eastAsia="Arial" w:hAnsi="Arial"/>
          <w:sz w:val="18"/>
          <w:szCs w:val="18"/>
          <w:color w:val="auto"/>
        </w:rPr>
        <w:t>less than five months in a calendar year or are customarily scheduled to work less than 20 hours per week will not be eligible to participate in the ESPP. Finally, an employee who owns (or is deemed to own through attribution) 5% or more of the combined voting power or value of all our classes of stock or of one of our subsidiaries will not be allowed to participate in the ESPP.</w:t>
      </w:r>
    </w:p>
    <w:p>
      <w:pPr>
        <w:spacing w:after="0" w:line="82" w:lineRule="exact"/>
        <w:rPr>
          <w:sz w:val="20"/>
          <w:szCs w:val="20"/>
          <w:color w:val="auto"/>
        </w:rPr>
      </w:pPr>
    </w:p>
    <w:p>
      <w:pPr>
        <w:ind w:left="120" w:right="80"/>
        <w:spacing w:after="0" w:line="271" w:lineRule="auto"/>
        <w:rPr>
          <w:sz w:val="20"/>
          <w:szCs w:val="20"/>
          <w:color w:val="auto"/>
        </w:rPr>
      </w:pPr>
      <w:r>
        <w:rPr>
          <w:rFonts w:ascii="Arial" w:cs="Arial" w:eastAsia="Arial" w:hAnsi="Arial"/>
          <w:sz w:val="16"/>
          <w:szCs w:val="16"/>
          <w:i w:val="1"/>
          <w:iCs w:val="1"/>
          <w:color w:val="auto"/>
        </w:rPr>
        <w:t>Participation</w:t>
      </w:r>
      <w:r>
        <w:rPr>
          <w:rFonts w:ascii="Arial" w:cs="Arial" w:eastAsia="Arial" w:hAnsi="Arial"/>
          <w:sz w:val="16"/>
          <w:szCs w:val="16"/>
          <w:color w:val="auto"/>
        </w:rPr>
        <w:t>. Employees will enroll under the ESPP by completing a payroll deduction form permitting the deduction from their</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of at least 1% of their compensation but not more than % of their compensation. Such payroll deductions may be expressed as either a whole number percentage or a fixed dollar amount, and the accumulated deductions will be applied to the purchase of shares on</w:t>
      </w:r>
    </w:p>
    <w:p>
      <w:pPr>
        <w:spacing w:after="0" w:line="2"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each purchase date. However, a participant may not purchase more than shares in each offering period and may not accrue the right to purchase shares of common stock at a rate that exceeds $25,000 in fair market value of shares of our common stock (determined at the time the option is granted) for each calendar year the option is outstanding (as determined in accordance with Section 423 of the Code). The ESPP administrator has the authority to change these limitations for any subsequent offering period.</w:t>
      </w:r>
    </w:p>
    <w:p>
      <w:pPr>
        <w:spacing w:after="0" w:line="82" w:lineRule="exact"/>
        <w:rPr>
          <w:sz w:val="20"/>
          <w:szCs w:val="20"/>
          <w:color w:val="auto"/>
        </w:rPr>
      </w:pPr>
    </w:p>
    <w:p>
      <w:pPr>
        <w:ind w:left="120" w:right="400"/>
        <w:spacing w:after="0" w:line="247" w:lineRule="auto"/>
        <w:rPr>
          <w:sz w:val="20"/>
          <w:szCs w:val="20"/>
          <w:color w:val="auto"/>
        </w:rPr>
      </w:pPr>
      <w:r>
        <w:rPr>
          <w:rFonts w:ascii="Arial" w:cs="Arial" w:eastAsia="Arial" w:hAnsi="Arial"/>
          <w:sz w:val="18"/>
          <w:szCs w:val="18"/>
          <w:i w:val="1"/>
          <w:iCs w:val="1"/>
          <w:color w:val="auto"/>
        </w:rPr>
        <w:t>Offering</w:t>
      </w:r>
      <w:r>
        <w:rPr>
          <w:rFonts w:ascii="Arial" w:cs="Arial" w:eastAsia="Arial" w:hAnsi="Arial"/>
          <w:sz w:val="18"/>
          <w:szCs w:val="18"/>
          <w:color w:val="auto"/>
        </w:rPr>
        <w:t>. Under the ESPP, participants are offered the option to purchase shares of our common stock at a discount during a series of</w:t>
      </w:r>
      <w:r>
        <w:rPr>
          <w:rFonts w:ascii="Arial" w:cs="Arial" w:eastAsia="Arial" w:hAnsi="Arial"/>
          <w:sz w:val="18"/>
          <w:szCs w:val="18"/>
          <w:i w:val="1"/>
          <w:iCs w:val="1"/>
          <w:color w:val="auto"/>
        </w:rPr>
        <w:t xml:space="preserve"> </w:t>
      </w:r>
      <w:r>
        <w:rPr>
          <w:rFonts w:ascii="Arial" w:cs="Arial" w:eastAsia="Arial" w:hAnsi="Arial"/>
          <w:sz w:val="18"/>
          <w:szCs w:val="18"/>
          <w:color w:val="auto"/>
        </w:rPr>
        <w:t>successive offering periods, the duration and timing of which will be determined by the ESPP administrator. However, in no event may an offering period be longer than 27 months in length.</w:t>
      </w:r>
    </w:p>
    <w:p>
      <w:pPr>
        <w:spacing w:after="0" w:line="94" w:lineRule="exact"/>
        <w:rPr>
          <w:sz w:val="20"/>
          <w:szCs w:val="20"/>
          <w:color w:val="auto"/>
        </w:rPr>
      </w:pPr>
    </w:p>
    <w:p>
      <w:pPr>
        <w:jc w:val="both"/>
        <w:ind w:left="120" w:right="240"/>
        <w:spacing w:after="0" w:line="238" w:lineRule="auto"/>
        <w:rPr>
          <w:sz w:val="20"/>
          <w:szCs w:val="20"/>
          <w:color w:val="auto"/>
        </w:rPr>
      </w:pPr>
      <w:r>
        <w:rPr>
          <w:rFonts w:ascii="Arial" w:cs="Arial" w:eastAsia="Arial" w:hAnsi="Arial"/>
          <w:sz w:val="18"/>
          <w:szCs w:val="18"/>
          <w:color w:val="auto"/>
        </w:rPr>
        <w:t>The option purchase price will be the lower of 85% of the closing trading price per share of our common stock on the first trading date of an offering period in which a participant is enrolled or 85% of the closing trading price per share on the purchase date, which will occur on the last trading day of each offering period.</w:t>
      </w:r>
    </w:p>
    <w:p>
      <w:pPr>
        <w:spacing w:after="0" w:line="100" w:lineRule="exact"/>
        <w:rPr>
          <w:sz w:val="20"/>
          <w:szCs w:val="20"/>
          <w:color w:val="auto"/>
        </w:rPr>
      </w:pPr>
    </w:p>
    <w:p>
      <w:pPr>
        <w:ind w:left="120"/>
        <w:spacing w:after="0" w:line="281" w:lineRule="auto"/>
        <w:rPr>
          <w:sz w:val="20"/>
          <w:szCs w:val="20"/>
          <w:color w:val="auto"/>
        </w:rPr>
      </w:pPr>
      <w:r>
        <w:rPr>
          <w:rFonts w:ascii="Arial" w:cs="Arial" w:eastAsia="Arial" w:hAnsi="Arial"/>
          <w:sz w:val="16"/>
          <w:szCs w:val="16"/>
          <w:color w:val="auto"/>
        </w:rPr>
        <w:t>Unless a participant has previously canceled his or her participation in the ESPP before the purchase date, the participant will be deemed to have exercised his or her option in full as of each purchase date. Upon exercise, the participant will purchase the number of whole shares that his or her accumulated payroll deductions will buy at the option purchase price, subject to the participation limitations listed above.</w:t>
      </w:r>
    </w:p>
    <w:p>
      <w:pPr>
        <w:spacing w:after="0" w:line="69"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A participant may cancel his or her payroll deduction authorization at any time prior to the end of the offering period. Upon cancellation, the participant will have the option to either (i) receive a refund of the participant’s account balance in cash without interest or (ii) exercise the participant’s option for the current offering period for the maximum number of shares of common stock on the applicable purchase date, with the remaining account balance refunded in cash without interest. Following at least one payroll deduction, a participant may also decrease (but not increase) his or her payroll deduction authorization once during any offering period. If a participant wants to increase or decrease the rate of payroll withholding, he or she may do so effective for the next offering period by submitting a new form before the offering period for which such change is to be effective.</w:t>
      </w:r>
    </w:p>
    <w:p>
      <w:pPr>
        <w:spacing w:after="0" w:line="101" w:lineRule="exact"/>
        <w:rPr>
          <w:sz w:val="20"/>
          <w:szCs w:val="20"/>
          <w:color w:val="auto"/>
        </w:rPr>
      </w:pPr>
    </w:p>
    <w:p>
      <w:pPr>
        <w:ind w:left="120" w:right="220"/>
        <w:spacing w:after="0" w:line="237" w:lineRule="auto"/>
        <w:rPr>
          <w:sz w:val="20"/>
          <w:szCs w:val="20"/>
          <w:color w:val="auto"/>
        </w:rPr>
      </w:pPr>
      <w:r>
        <w:rPr>
          <w:rFonts w:ascii="Arial" w:cs="Arial" w:eastAsia="Arial" w:hAnsi="Arial"/>
          <w:sz w:val="18"/>
          <w:szCs w:val="18"/>
          <w:color w:val="auto"/>
        </w:rPr>
        <w:t>A participant may not assign, transfer, pledge or otherwise dispose of (other than by will or the laws of descent and distribution) payroll deductions credited to a participant’s account or any rights to exercise an option or to receive shares of our common stock under the ESPP, and during a participant’s lifetime, options in the ESPP shall be exercisable only by such participant. Any such attempt at assignment, transfer, pledge or other disposition will not be given effect.</w:t>
      </w:r>
    </w:p>
    <w:p>
      <w:pPr>
        <w:spacing w:after="0" w:line="82"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i w:val="1"/>
          <w:iCs w:val="1"/>
          <w:color w:val="auto"/>
        </w:rPr>
        <w:t>Adjustments upon changes in recapitalization, dissolution, liquidation, merger or asset sale</w:t>
      </w:r>
      <w:r>
        <w:rPr>
          <w:rFonts w:ascii="Arial" w:cs="Arial" w:eastAsia="Arial" w:hAnsi="Arial"/>
          <w:sz w:val="18"/>
          <w:szCs w:val="18"/>
          <w:color w:val="auto"/>
        </w:rPr>
        <w:t>. In the event of any increase or decrease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issued shares of our common stock resulting from a stock split, reverse stock split, stock dividend, combination or reclassification of the common stock, or any other increase or decrease in the number of shares of common stock effected without receipt of consideration by us, we will proportionately adjust the aggregate number of shares of our common stock offered under the ESPP, the number and price of shares which any participant has elected to purchase under the ESPP and the maximum number of shares which a participant may elect to purchase in any single offering period. If there is a proposal</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20"/>
          </w:cols>
          <w:pgMar w:left="320" w:top="459"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to dissolve or liquidate us, then the ESPP will terminate immediately prior to the consummation of such proposed dissolution or liquidation, and any offering period then in progress will be shortened by setting a new purchase date to take place before the date of our dissolution or liquidation. We will notify each participant of such change in writing at least 10 business days prior to the new exercise date. If we undergo a merger with or into another corporation or sell all or substantially all of our assets, each outstanding option will be assumed or an equivalent option substituted by the successor corporation or the parent or subsidiary of the successor corporation. If the successor corporation refuses to assume the outstanding options or substitute equivalent options, then any offering period then in progress will be shortened by setting a new purchase date to take place before the date of our proposed sale or merger. We will notify each participant of such change in writing at least 10 business days prior to the new exercise date.</w:t>
      </w:r>
    </w:p>
    <w:p>
      <w:pPr>
        <w:spacing w:after="0" w:line="82" w:lineRule="exact"/>
        <w:rPr>
          <w:sz w:val="20"/>
          <w:szCs w:val="20"/>
          <w:color w:val="auto"/>
        </w:rPr>
      </w:pPr>
    </w:p>
    <w:p>
      <w:pPr>
        <w:ind w:left="120" w:right="260"/>
        <w:spacing w:after="0" w:line="247"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Our board of directors may amend, suspend or terminate the ESPP at any time. However,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may not amend the ESPP without obtaining stockholder approval within 12 months before or after such amendment to the extent required by applicable laws.</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Director compensation</w:t>
      </w:r>
    </w:p>
    <w:p>
      <w:pPr>
        <w:spacing w:after="0" w:line="134" w:lineRule="exact"/>
        <w:rPr>
          <w:sz w:val="20"/>
          <w:szCs w:val="20"/>
          <w:color w:val="auto"/>
        </w:rPr>
      </w:pPr>
    </w:p>
    <w:p>
      <w:pPr>
        <w:ind w:left="120" w:right="420"/>
        <w:spacing w:after="0" w:line="238" w:lineRule="auto"/>
        <w:rPr>
          <w:sz w:val="20"/>
          <w:szCs w:val="20"/>
          <w:color w:val="auto"/>
        </w:rPr>
      </w:pPr>
      <w:r>
        <w:rPr>
          <w:rFonts w:ascii="Arial" w:cs="Arial" w:eastAsia="Arial" w:hAnsi="Arial"/>
          <w:sz w:val="18"/>
          <w:szCs w:val="18"/>
          <w:color w:val="auto"/>
        </w:rPr>
        <w:t>We have entered into board member letters with each of Ms. Anderson, Dr. Miller and Dr. Weber, who were during 2018 non-employee directors not affiliated of one of our principal investors, whom we refer to as our non-employee, non-investor directors. Pursuant to these letters, each of Ms. Anderson, Dr. Miller and Dr. Weber were eligible to receive:</w:t>
      </w:r>
    </w:p>
    <w:p>
      <w:pPr>
        <w:spacing w:after="0" w:line="113" w:lineRule="exact"/>
        <w:rPr>
          <w:sz w:val="20"/>
          <w:szCs w:val="20"/>
          <w:color w:val="auto"/>
        </w:rPr>
      </w:pPr>
    </w:p>
    <w:p>
      <w:pPr>
        <w:ind w:left="340" w:hanging="224"/>
        <w:spacing w:after="0"/>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 annual board retainer of $30,000;</w:t>
      </w:r>
    </w:p>
    <w:p>
      <w:pPr>
        <w:spacing w:after="0" w:line="117" w:lineRule="exact"/>
        <w:rPr>
          <w:rFonts w:ascii="Arial" w:cs="Arial" w:eastAsia="Arial" w:hAnsi="Arial"/>
          <w:sz w:val="18"/>
          <w:szCs w:val="18"/>
          <w:color w:val="auto"/>
        </w:rPr>
      </w:pPr>
    </w:p>
    <w:p>
      <w:pPr>
        <w:ind w:left="340" w:hanging="224"/>
        <w:spacing w:after="0" w:line="238" w:lineRule="auto"/>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connection with his or her initial appointment to our board of directors, an option to purchase 150,000 shares of our common stock, which vests as to 25% of the shares subject to the option on the first anniversary of the grant date and as to 6.25% of the shares subject to the option on each quarterly anniversary thereafter, subject to continued service; and</w:t>
      </w:r>
    </w:p>
    <w:p>
      <w:pPr>
        <w:spacing w:after="0" w:line="113" w:lineRule="exact"/>
        <w:rPr>
          <w:rFonts w:ascii="Arial" w:cs="Arial" w:eastAsia="Arial" w:hAnsi="Arial"/>
          <w:sz w:val="18"/>
          <w:szCs w:val="18"/>
          <w:color w:val="auto"/>
        </w:rPr>
      </w:pPr>
    </w:p>
    <w:p>
      <w:pPr>
        <w:ind w:left="340" w:right="280" w:hanging="224"/>
        <w:spacing w:after="0" w:line="238" w:lineRule="auto"/>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following the second anniversary of service, in the discretion of the board of directors, additional annual grants of an option to purchase 30,000 shares of our common stock, which vests as to 1/12</w:t>
      </w:r>
      <w:r>
        <w:rPr>
          <w:rFonts w:ascii="Arial" w:cs="Arial" w:eastAsia="Arial" w:hAnsi="Arial"/>
          <w:sz w:val="11"/>
          <w:szCs w:val="11"/>
          <w:color w:val="auto"/>
        </w:rPr>
        <w:t>th</w:t>
      </w:r>
      <w:r>
        <w:rPr>
          <w:rFonts w:ascii="Arial" w:cs="Arial" w:eastAsia="Arial" w:hAnsi="Arial"/>
          <w:sz w:val="18"/>
          <w:szCs w:val="18"/>
          <w:color w:val="auto"/>
        </w:rPr>
        <w:t xml:space="preserve"> of the shares on each monthly anniversary of the grant date, subject to continued service.</w:t>
      </w:r>
    </w:p>
    <w:p>
      <w:pPr>
        <w:spacing w:after="0" w:line="100" w:lineRule="exact"/>
        <w:rPr>
          <w:sz w:val="20"/>
          <w:szCs w:val="20"/>
          <w:color w:val="auto"/>
        </w:rPr>
      </w:pPr>
    </w:p>
    <w:p>
      <w:pPr>
        <w:ind w:left="120" w:right="380"/>
        <w:spacing w:after="0" w:line="237" w:lineRule="auto"/>
        <w:rPr>
          <w:sz w:val="20"/>
          <w:szCs w:val="20"/>
          <w:color w:val="auto"/>
        </w:rPr>
      </w:pPr>
      <w:r>
        <w:rPr>
          <w:rFonts w:ascii="Arial" w:cs="Arial" w:eastAsia="Arial" w:hAnsi="Arial"/>
          <w:sz w:val="18"/>
          <w:szCs w:val="18"/>
          <w:color w:val="auto"/>
        </w:rPr>
        <w:t>Our directors who are either our employees, including Dr. Goldsmith, or are affiliated with one of our principal investors do not currently receive any compensation for their service as directors. However, we reimburse our non-employee directors for reasonable out of pocket travel or other expenses for Company business as approved by the Company. Dr. Goldsmith’s compensation as our President and Chief Executive Officer is set forth in the summary compensation table above.</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080"/>
          </w:cols>
          <w:pgMar w:left="320" w:top="459" w:right="49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2018 director compensation table</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all of the compensation awarded to or earned by or paid to non-employee directors during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820" w:type="dxa"/>
            <w:vAlign w:val="bottom"/>
          </w:tcPr>
          <w:p>
            <w:pPr>
              <w:spacing w:after="0"/>
              <w:rPr>
                <w:sz w:val="17"/>
                <w:szCs w:val="17"/>
                <w:color w:val="auto"/>
              </w:rPr>
            </w:pPr>
          </w:p>
        </w:tc>
        <w:tc>
          <w:tcPr>
            <w:tcW w:w="3920" w:type="dxa"/>
            <w:vAlign w:val="bottom"/>
            <w:gridSpan w:val="2"/>
          </w:tcPr>
          <w:p>
            <w:pPr>
              <w:jc w:val="center"/>
              <w:ind w:left="2432"/>
              <w:spacing w:after="0"/>
              <w:rPr>
                <w:sz w:val="20"/>
                <w:szCs w:val="20"/>
                <w:color w:val="auto"/>
              </w:rPr>
            </w:pPr>
            <w:r>
              <w:rPr>
                <w:rFonts w:ascii="Arial" w:cs="Arial" w:eastAsia="Arial" w:hAnsi="Arial"/>
                <w:sz w:val="18"/>
                <w:szCs w:val="18"/>
                <w:b w:val="1"/>
                <w:bCs w:val="1"/>
                <w:color w:val="auto"/>
                <w:w w:val="98"/>
              </w:rPr>
              <w:t>Fees earned</w:t>
            </w:r>
          </w:p>
        </w:tc>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8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060" w:type="dxa"/>
            <w:vAlign w:val="bottom"/>
          </w:tcPr>
          <w:p>
            <w:pPr>
              <w:jc w:val="center"/>
              <w:ind w:right="252"/>
              <w:spacing w:after="0" w:line="202" w:lineRule="exact"/>
              <w:rPr>
                <w:sz w:val="20"/>
                <w:szCs w:val="20"/>
                <w:color w:val="auto"/>
              </w:rPr>
            </w:pPr>
            <w:r>
              <w:rPr>
                <w:rFonts w:ascii="Arial" w:cs="Arial" w:eastAsia="Arial" w:hAnsi="Arial"/>
                <w:sz w:val="18"/>
                <w:szCs w:val="18"/>
                <w:b w:val="1"/>
                <w:bCs w:val="1"/>
                <w:color w:val="auto"/>
                <w:w w:val="99"/>
              </w:rPr>
              <w:t>or paid</w:t>
            </w:r>
          </w:p>
        </w:tc>
        <w:tc>
          <w:tcPr>
            <w:tcW w:w="1280" w:type="dxa"/>
            <w:vAlign w:val="bottom"/>
          </w:tcPr>
          <w:p>
            <w:pPr>
              <w:jc w:val="right"/>
              <w:ind w:right="312"/>
              <w:spacing w:after="0" w:line="202" w:lineRule="exact"/>
              <w:rPr>
                <w:sz w:val="20"/>
                <w:szCs w:val="20"/>
                <w:color w:val="auto"/>
              </w:rPr>
            </w:pPr>
            <w:r>
              <w:rPr>
                <w:rFonts w:ascii="Arial" w:cs="Arial" w:eastAsia="Arial" w:hAnsi="Arial"/>
                <w:sz w:val="18"/>
                <w:szCs w:val="18"/>
                <w:b w:val="1"/>
                <w:bCs w:val="1"/>
                <w:color w:val="auto"/>
              </w:rPr>
              <w:t>Option</w:t>
            </w: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1"/>
        </w:trPr>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8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252"/>
              <w:spacing w:after="0"/>
              <w:rPr>
                <w:sz w:val="20"/>
                <w:szCs w:val="20"/>
                <w:color w:val="auto"/>
              </w:rPr>
            </w:pPr>
            <w:r>
              <w:rPr>
                <w:rFonts w:ascii="Arial" w:cs="Arial" w:eastAsia="Arial" w:hAnsi="Arial"/>
                <w:sz w:val="18"/>
                <w:szCs w:val="18"/>
                <w:b w:val="1"/>
                <w:bCs w:val="1"/>
                <w:color w:val="auto"/>
                <w:w w:val="96"/>
              </w:rPr>
              <w:t>in cash</w:t>
            </w:r>
          </w:p>
        </w:tc>
        <w:tc>
          <w:tcPr>
            <w:tcW w:w="12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awards(1)</w:t>
            </w:r>
          </w:p>
        </w:tc>
        <w:tc>
          <w:tcPr>
            <w:tcW w:w="100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Total</w:t>
            </w:r>
          </w:p>
        </w:tc>
      </w:tr>
      <w:tr>
        <w:trPr>
          <w:trHeight w:val="196"/>
        </w:trPr>
        <w:tc>
          <w:tcPr>
            <w:tcW w:w="4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Elizabeth McKee Anderson</w:t>
            </w:r>
          </w:p>
        </w:tc>
        <w:tc>
          <w:tcPr>
            <w:tcW w:w="2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rPr>
              <w:t>30,000</w:t>
            </w:r>
          </w:p>
        </w:tc>
        <w:tc>
          <w:tcPr>
            <w:tcW w:w="1280" w:type="dxa"/>
            <w:vAlign w:val="bottom"/>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  11,276</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$41,276</w:t>
            </w:r>
          </w:p>
        </w:tc>
        <w:tc>
          <w:tcPr>
            <w:tcW w:w="60" w:type="dxa"/>
            <w:vAlign w:val="bottom"/>
            <w:shd w:val="clear" w:color="auto" w:fill="CCEEFF"/>
          </w:tcPr>
          <w:p>
            <w:pPr>
              <w:spacing w:after="0"/>
              <w:rPr>
                <w:sz w:val="17"/>
                <w:szCs w:val="17"/>
                <w:color w:val="auto"/>
              </w:rPr>
            </w:pP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Alexis Borisy</w:t>
            </w:r>
          </w:p>
        </w:tc>
        <w:tc>
          <w:tcPr>
            <w:tcW w:w="2860" w:type="dxa"/>
            <w:vAlign w:val="bottom"/>
          </w:tcPr>
          <w:p>
            <w:pPr>
              <w:spacing w:after="0"/>
              <w:rPr>
                <w:sz w:val="17"/>
                <w:szCs w:val="17"/>
                <w:color w:val="auto"/>
              </w:rPr>
            </w:pPr>
          </w:p>
        </w:tc>
        <w:tc>
          <w:tcPr>
            <w:tcW w:w="10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Laurence Lasky, Ph.D.</w:t>
            </w:r>
          </w:p>
        </w:tc>
        <w:tc>
          <w:tcPr>
            <w:tcW w:w="28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Vincent Miller, M.D.</w:t>
            </w:r>
          </w:p>
        </w:tc>
        <w:tc>
          <w:tcPr>
            <w:tcW w:w="2860" w:type="dxa"/>
            <w:vAlign w:val="bottom"/>
          </w:tcPr>
          <w:p>
            <w:pPr>
              <w:spacing w:after="0"/>
              <w:rPr>
                <w:sz w:val="17"/>
                <w:szCs w:val="17"/>
                <w:color w:val="auto"/>
              </w:rPr>
            </w:pPr>
          </w:p>
        </w:tc>
        <w:tc>
          <w:tcPr>
            <w:tcW w:w="10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30,000</w:t>
            </w:r>
          </w:p>
        </w:tc>
        <w:tc>
          <w:tcPr>
            <w:tcW w:w="128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30,000</w:t>
            </w:r>
          </w:p>
        </w:tc>
        <w:tc>
          <w:tcPr>
            <w:tcW w:w="60" w:type="dxa"/>
            <w:vAlign w:val="bottom"/>
          </w:tcPr>
          <w:p>
            <w:pPr>
              <w:spacing w:after="0"/>
              <w:rPr>
                <w:sz w:val="17"/>
                <w:szCs w:val="17"/>
                <w:color w:val="auto"/>
              </w:rPr>
            </w:pP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Thilo Schroeder, Ph.D.</w:t>
            </w:r>
          </w:p>
        </w:tc>
        <w:tc>
          <w:tcPr>
            <w:tcW w:w="28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15"/>
        </w:trPr>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Barbara Weber, M.D.(2)</w:t>
            </w:r>
          </w:p>
        </w:tc>
        <w:tc>
          <w:tcPr>
            <w:tcW w:w="28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22,500</w:t>
            </w:r>
          </w:p>
        </w:tc>
        <w:tc>
          <w:tcPr>
            <w:tcW w:w="12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58,208</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80,708</w:t>
            </w:r>
          </w:p>
        </w:tc>
        <w:tc>
          <w:tcPr>
            <w:tcW w:w="60" w:type="dxa"/>
            <w:vAlign w:val="bottom"/>
          </w:tcPr>
          <w:p>
            <w:pPr>
              <w:spacing w:after="0"/>
              <w:rPr>
                <w:sz w:val="18"/>
                <w:szCs w:val="18"/>
                <w:color w:val="auto"/>
              </w:rPr>
            </w:pPr>
          </w:p>
        </w:tc>
      </w:tr>
    </w:tbl>
    <w:p>
      <w:pPr>
        <w:spacing w:after="0" w:line="67" w:lineRule="exact"/>
        <w:rPr>
          <w:sz w:val="20"/>
          <w:szCs w:val="20"/>
          <w:color w:val="auto"/>
        </w:rPr>
      </w:pPr>
    </w:p>
    <w:p>
      <w:pPr>
        <w:ind w:left="440" w:right="200" w:hanging="324"/>
        <w:spacing w:after="0" w:line="245" w:lineRule="auto"/>
        <w:tabs>
          <w:tab w:leader="none" w:pos="44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Amounts reported represent the aggregate grant date fair value of stock options granted to our non-employee directors during 2018 under our 2014 Equity Incentive Plan, computed in accordance with ASC Topic 718. Assumptions used in the calculation of these amounts are included in Note 10 to our consolidated financial statements included in this prospectus. As of December 31, 2018, Ms. Anderson held an outstanding option to purchase 30,000 shares and Dr. Weber held an outstanding option to purchase 150,000 shares of common stock. No other non-employee directors held stock options or other equity awards as of December 31, 2018.</w:t>
      </w:r>
    </w:p>
    <w:p>
      <w:pPr>
        <w:spacing w:after="0" w:line="51" w:lineRule="exact"/>
        <w:rPr>
          <w:rFonts w:ascii="Arial" w:cs="Arial" w:eastAsia="Arial" w:hAnsi="Arial"/>
          <w:sz w:val="13"/>
          <w:szCs w:val="13"/>
          <w:color w:val="auto"/>
        </w:rPr>
      </w:pPr>
    </w:p>
    <w:p>
      <w:pPr>
        <w:ind w:left="440" w:hanging="324"/>
        <w:spacing w:after="0"/>
        <w:tabs>
          <w:tab w:leader="none" w:pos="44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Dr. Weber joined the board of directors in April 2018.</w:t>
      </w:r>
    </w:p>
    <w:p>
      <w:pPr>
        <w:spacing w:after="0" w:line="111"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In March 2019, our board granted to Ms. Anderson an option to purchase 30,000 shares, which vests as to 1/12th of the shares subject to the option on each monthly anniversary thereafter, subject to continued service to the Company.</w:t>
      </w:r>
    </w:p>
    <w:p>
      <w:pPr>
        <w:spacing w:after="0" w:line="101"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In June 2019, following a market assessment of the compensation paid to our non-employee, non-investor directors, our board approved increasing the initial option grant to 266,000 shares and the annual option grant to 70,000 shares, with the initial option grant vesting as to 25% of the shares subject to the option on the first anniversary of the grant date and as to 1/48th of the shares subject to the option on each monthly anniversary thereafter, subject to continued service to the Company, and the annual option grant continuing to vest as to 1/12th of the shares on each monthly anniversary of the grant date, subject to continued service to the Company.</w:t>
      </w:r>
    </w:p>
    <w:p>
      <w:pPr>
        <w:spacing w:after="0" w:line="103"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In July 2019, in connection with his change in status to a non-employee, non-investor director, our board granted to Mr. Borisy an initial option grant to purchase 266,000 shares and an annual option grant to purchase 70,000 shares, which vest as described above.</w:t>
      </w:r>
    </w:p>
    <w:p>
      <w:pPr>
        <w:spacing w:after="0" w:line="101" w:lineRule="exact"/>
        <w:rPr>
          <w:sz w:val="20"/>
          <w:szCs w:val="20"/>
          <w:color w:val="auto"/>
        </w:rPr>
      </w:pPr>
    </w:p>
    <w:p>
      <w:pPr>
        <w:ind w:left="120" w:right="80"/>
        <w:spacing w:after="0" w:line="235" w:lineRule="auto"/>
        <w:rPr>
          <w:sz w:val="20"/>
          <w:szCs w:val="20"/>
          <w:color w:val="auto"/>
        </w:rPr>
      </w:pPr>
      <w:r>
        <w:rPr>
          <w:rFonts w:ascii="Arial" w:cs="Arial" w:eastAsia="Arial" w:hAnsi="Arial"/>
          <w:sz w:val="18"/>
          <w:szCs w:val="18"/>
          <w:color w:val="auto"/>
        </w:rPr>
        <w:t>In August 2019, our board granted additional options to each of our non-employee, non-investor directors. Drs. Miller and Weber each received an option to purchase 70,000 shares of common stock, which vest as to 1/12th of the shares on each monthly anniversary of September 27, 2019 and April 12, 2020, respectively, subject to continued service to the Company. In addition, Ms. Anderson was granted an option to purchase 91,240 shares of our common stock, Mr. Borisy was granted an option to purchase 18,900 shares of our common stock, and each of Drs. Miller and Weber were granted an additional option to purchase 87,580 shares of common stock, each of which were intended to position the director’s compensation closer to market. Ms. Anderson’s option vests as to 1/12th of the shares subject to the option on each monthly anniversary of the grant date, Mr. Borisy’s option vests as to 1/48th of the shares subject to the option on each monthly anniversary of the grant date, Dr. Miller’s option for 87,580 shares vests as to 1/24th of the shares on each monthly anniversary of the grant date, and Dr. Weber’s option for 87,580 shares vests as to 1/30th of the shares on each monthly anniversary of the grant date, in each case, subject to continued service.</w:t>
      </w:r>
    </w:p>
    <w:p>
      <w:pPr>
        <w:spacing w:after="0" w:line="106" w:lineRule="exact"/>
        <w:rPr>
          <w:sz w:val="20"/>
          <w:szCs w:val="20"/>
          <w:color w:val="auto"/>
        </w:rPr>
      </w:pPr>
    </w:p>
    <w:p>
      <w:pPr>
        <w:ind w:left="120" w:right="260"/>
        <w:spacing w:after="0" w:line="239" w:lineRule="auto"/>
        <w:rPr>
          <w:sz w:val="20"/>
          <w:szCs w:val="20"/>
          <w:color w:val="auto"/>
        </w:rPr>
      </w:pPr>
      <w:r>
        <w:rPr>
          <w:rFonts w:ascii="Arial" w:cs="Arial" w:eastAsia="Arial" w:hAnsi="Arial"/>
          <w:sz w:val="18"/>
          <w:szCs w:val="18"/>
          <w:color w:val="auto"/>
        </w:rPr>
        <w:t>Each of the options we have granted to our non-employee, non-investor directors are exercisable immediately, in whole or in part, provided that shares acquired upon exercise of any unvested portion are subject to a right of repurchase by the Company.</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40"/>
          </w:cols>
          <w:pgMar w:left="32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We intend to approve and implement a compensation program for our non-employee directors to be effective in connection with the consummation of this offering, which will supersede the current arrangements with our non-employee, non-investor directors and apply broadly to all of our non-employee directors.</w:t>
      </w:r>
    </w:p>
    <w:p>
      <w:pPr>
        <w:spacing w:after="0" w:line="14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0560"/>
          </w:cols>
          <w:pgMar w:left="320" w:top="459" w:right="101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Certain relationships and related party transactions</w:t>
      </w:r>
    </w:p>
    <w:p>
      <w:pPr>
        <w:spacing w:after="0" w:line="157" w:lineRule="exact"/>
        <w:rPr>
          <w:sz w:val="20"/>
          <w:szCs w:val="20"/>
          <w:color w:val="auto"/>
        </w:rPr>
      </w:pPr>
    </w:p>
    <w:p>
      <w:pPr>
        <w:ind w:left="120" w:right="220"/>
        <w:spacing w:after="0" w:line="238" w:lineRule="auto"/>
        <w:rPr>
          <w:sz w:val="20"/>
          <w:szCs w:val="20"/>
          <w:color w:val="auto"/>
        </w:rPr>
      </w:pPr>
      <w:r>
        <w:rPr>
          <w:rFonts w:ascii="Arial" w:cs="Arial" w:eastAsia="Arial" w:hAnsi="Arial"/>
          <w:sz w:val="18"/>
          <w:szCs w:val="18"/>
          <w:color w:val="auto"/>
        </w:rPr>
        <w:t>In addition to the compensation arrangements, including employment, termination of employment and change in control arrangements, with our directors and executive officers, including those discussed in the sections titled “Management” and “Executive and director compensation,” the following is a description of each transaction since January 1, 2016 in which:</w:t>
      </w:r>
    </w:p>
    <w:p>
      <w:pPr>
        <w:spacing w:after="0" w:line="113" w:lineRule="exact"/>
        <w:rPr>
          <w:sz w:val="20"/>
          <w:szCs w:val="20"/>
          <w:color w:val="auto"/>
        </w:rPr>
      </w:pPr>
    </w:p>
    <w:p>
      <w:pPr>
        <w:ind w:left="340" w:hanging="224"/>
        <w:spacing w:after="0"/>
        <w:tabs>
          <w:tab w:leader="none" w:pos="3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17" w:lineRule="exact"/>
        <w:rPr>
          <w:rFonts w:ascii="Arial" w:cs="Arial" w:eastAsia="Arial" w:hAnsi="Arial"/>
          <w:sz w:val="18"/>
          <w:szCs w:val="18"/>
          <w:color w:val="auto"/>
        </w:rPr>
      </w:pPr>
    </w:p>
    <w:p>
      <w:pPr>
        <w:ind w:left="340" w:right="180" w:hanging="224"/>
        <w:spacing w:after="0" w:line="239" w:lineRule="auto"/>
        <w:tabs>
          <w:tab w:leader="none" w:pos="3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capital stock, or an affiliate or immediate family member thereof, had or will have a direct or indirect material interest.</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Sales and purchases of securities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A preferred stock financing extension</w:t>
      </w:r>
    </w:p>
    <w:p>
      <w:pPr>
        <w:spacing w:after="0" w:line="124" w:lineRule="exact"/>
        <w:rPr>
          <w:sz w:val="20"/>
          <w:szCs w:val="20"/>
          <w:color w:val="auto"/>
        </w:rPr>
      </w:pPr>
    </w:p>
    <w:p>
      <w:pPr>
        <w:ind w:left="120" w:right="140"/>
        <w:spacing w:after="0" w:line="237" w:lineRule="auto"/>
        <w:rPr>
          <w:sz w:val="20"/>
          <w:szCs w:val="20"/>
          <w:color w:val="auto"/>
        </w:rPr>
      </w:pPr>
      <w:r>
        <w:rPr>
          <w:rFonts w:ascii="Arial" w:cs="Arial" w:eastAsia="Arial" w:hAnsi="Arial"/>
          <w:sz w:val="18"/>
          <w:szCs w:val="18"/>
          <w:color w:val="auto"/>
        </w:rPr>
        <w:t>In February, July, October and December 2016 and April and May 2017, we issued an aggregate of 50,194,267 shares of our Series A Preferred Stock at a price per share of $1.00 for aggregate proceeds to us of $50,194,267.00. The table below sets forth the number of shares of Series A Preferred Stock sold in 2016 and 2017 to our directors, executive officers or beneficial owners of more than 5% of a class of our capital stock, or an affiliate or immediate family member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360" w:type="dxa"/>
            <w:vAlign w:val="bottom"/>
          </w:tcPr>
          <w:p>
            <w:pPr>
              <w:spacing w:after="0"/>
              <w:rPr>
                <w:sz w:val="17"/>
                <w:szCs w:val="17"/>
                <w:color w:val="auto"/>
              </w:rPr>
            </w:pPr>
          </w:p>
        </w:tc>
        <w:tc>
          <w:tcPr>
            <w:tcW w:w="3760" w:type="dxa"/>
            <w:vAlign w:val="bottom"/>
          </w:tcPr>
          <w:p>
            <w:pPr>
              <w:jc w:val="right"/>
              <w:ind w:right="232"/>
              <w:spacing w:after="0"/>
              <w:rPr>
                <w:sz w:val="20"/>
                <w:szCs w:val="20"/>
                <w:color w:val="auto"/>
              </w:rPr>
            </w:pPr>
            <w:r>
              <w:rPr>
                <w:rFonts w:ascii="Arial" w:cs="Arial" w:eastAsia="Arial" w:hAnsi="Arial"/>
                <w:sz w:val="18"/>
                <w:szCs w:val="18"/>
                <w:b w:val="1"/>
                <w:bCs w:val="1"/>
                <w:color w:val="auto"/>
              </w:rPr>
              <w:t>Number of shares of</w:t>
            </w:r>
          </w:p>
        </w:tc>
        <w:tc>
          <w:tcPr>
            <w:tcW w:w="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1"/>
        </w:trPr>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37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Series A preferred stock</w:t>
            </w:r>
          </w:p>
        </w:tc>
        <w:tc>
          <w:tcPr>
            <w:tcW w:w="1900" w:type="dxa"/>
            <w:vAlign w:val="bottom"/>
            <w:tcBorders>
              <w:bottom w:val="single" w:sz="8" w:color="auto"/>
            </w:tcBorders>
            <w:gridSpan w:val="3"/>
          </w:tcPr>
          <w:p>
            <w:pPr>
              <w:ind w:left="320"/>
              <w:spacing w:after="0"/>
              <w:rPr>
                <w:sz w:val="20"/>
                <w:szCs w:val="20"/>
                <w:color w:val="auto"/>
              </w:rPr>
            </w:pPr>
            <w:r>
              <w:rPr>
                <w:rFonts w:ascii="Arial" w:cs="Arial" w:eastAsia="Arial" w:hAnsi="Arial"/>
                <w:sz w:val="18"/>
                <w:szCs w:val="18"/>
                <w:b w:val="1"/>
                <w:bCs w:val="1"/>
                <w:color w:val="auto"/>
                <w:w w:val="99"/>
              </w:rPr>
              <w:t>Purchase price ($)</w:t>
            </w:r>
          </w:p>
        </w:tc>
      </w:tr>
      <w:tr>
        <w:trPr>
          <w:trHeight w:val="196"/>
        </w:trPr>
        <w:tc>
          <w:tcPr>
            <w:tcW w:w="5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Entities Affiliated with Third Rock Ventures(1)(2)(3)</w:t>
            </w:r>
          </w:p>
        </w:tc>
        <w:tc>
          <w:tcPr>
            <w:tcW w:w="3760" w:type="dxa"/>
            <w:vAlign w:val="bottom"/>
            <w:shd w:val="clear" w:color="auto" w:fill="CCEEFF"/>
          </w:tcPr>
          <w:p>
            <w:pPr>
              <w:jc w:val="right"/>
              <w:ind w:right="232"/>
              <w:spacing w:after="0" w:line="196" w:lineRule="exact"/>
              <w:rPr>
                <w:sz w:val="20"/>
                <w:szCs w:val="20"/>
                <w:color w:val="auto"/>
              </w:rPr>
            </w:pPr>
            <w:r>
              <w:rPr>
                <w:rFonts w:ascii="Arial" w:cs="Arial" w:eastAsia="Arial" w:hAnsi="Arial"/>
                <w:sz w:val="18"/>
                <w:szCs w:val="18"/>
                <w:color w:val="auto"/>
              </w:rPr>
              <w:t>25,000,000</w:t>
            </w:r>
          </w:p>
        </w:tc>
        <w:tc>
          <w:tcPr>
            <w:tcW w:w="56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25,000,000.00</w:t>
            </w:r>
          </w:p>
        </w:tc>
        <w:tc>
          <w:tcPr>
            <w:tcW w:w="60" w:type="dxa"/>
            <w:vAlign w:val="bottom"/>
            <w:shd w:val="clear" w:color="auto" w:fill="CCEEFF"/>
          </w:tcPr>
          <w:p>
            <w:pPr>
              <w:spacing w:after="0"/>
              <w:rPr>
                <w:sz w:val="17"/>
                <w:szCs w:val="17"/>
                <w:color w:val="auto"/>
              </w:rPr>
            </w:pPr>
          </w:p>
        </w:tc>
      </w:tr>
      <w:tr>
        <w:trPr>
          <w:trHeight w:val="215"/>
        </w:trPr>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Entities Affiliated with The Column Group(4)(5)</w:t>
            </w:r>
          </w:p>
        </w:tc>
        <w:tc>
          <w:tcPr>
            <w:tcW w:w="37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25,000,000</w:t>
            </w:r>
          </w:p>
        </w:tc>
        <w:tc>
          <w:tcPr>
            <w:tcW w:w="5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25,000,000.00</w:t>
            </w:r>
          </w:p>
        </w:tc>
        <w:tc>
          <w:tcPr>
            <w:tcW w:w="60" w:type="dxa"/>
            <w:vAlign w:val="bottom"/>
          </w:tcPr>
          <w:p>
            <w:pPr>
              <w:spacing w:after="0"/>
              <w:rPr>
                <w:sz w:val="18"/>
                <w:szCs w:val="18"/>
                <w:color w:val="auto"/>
              </w:rPr>
            </w:pPr>
          </w:p>
        </w:tc>
      </w:tr>
    </w:tbl>
    <w:p>
      <w:pPr>
        <w:spacing w:after="0" w:line="67" w:lineRule="exact"/>
        <w:rPr>
          <w:sz w:val="20"/>
          <w:szCs w:val="20"/>
          <w:color w:val="auto"/>
        </w:rPr>
      </w:pPr>
    </w:p>
    <w:p>
      <w:pPr>
        <w:ind w:left="440" w:right="220" w:hanging="324"/>
        <w:spacing w:after="0" w:line="248" w:lineRule="auto"/>
        <w:tabs>
          <w:tab w:leader="none" w:pos="44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(i) Third Rock Ventures III, L.P. purchased 20,000,000 shares of Series A Preferred Stock for a total purchase price of $20,000,000.00 and (ii) Third Rock Ventures IV, L.P. purchased 5,000,000 shares of Series A Preferred Stock for a total purchase price of $5,000,000.00. Entities affiliated with Third Rock Ventures became beneficial owners of (in the aggregate) more than 5% of our capital stock upon the initial closing of the Series A Preferred Stock financing.</w:t>
      </w:r>
    </w:p>
    <w:p>
      <w:pPr>
        <w:spacing w:after="0" w:line="49" w:lineRule="exact"/>
        <w:rPr>
          <w:rFonts w:ascii="Arial" w:cs="Arial" w:eastAsia="Arial" w:hAnsi="Arial"/>
          <w:sz w:val="13"/>
          <w:szCs w:val="13"/>
          <w:color w:val="auto"/>
        </w:rPr>
      </w:pPr>
    </w:p>
    <w:p>
      <w:pPr>
        <w:ind w:left="440" w:right="200" w:hanging="324"/>
        <w:spacing w:after="0" w:line="258" w:lineRule="auto"/>
        <w:tabs>
          <w:tab w:leader="none" w:pos="44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Alexis Borisy, who is currently a member of our board of directors and was a member of our board of directors at the time of the Series A Preferred Stock financing, was then an affiliate of Third Rock Ventures.</w:t>
      </w:r>
    </w:p>
    <w:p>
      <w:pPr>
        <w:spacing w:after="0" w:line="43" w:lineRule="exact"/>
        <w:rPr>
          <w:rFonts w:ascii="Arial" w:cs="Arial" w:eastAsia="Arial" w:hAnsi="Arial"/>
          <w:sz w:val="13"/>
          <w:szCs w:val="13"/>
          <w:color w:val="auto"/>
        </w:rPr>
      </w:pPr>
    </w:p>
    <w:p>
      <w:pPr>
        <w:ind w:left="440" w:hanging="324"/>
        <w:spacing w:after="0"/>
        <w:tabs>
          <w:tab w:leader="none" w:pos="44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Michael Bonney, who was a member of our board of directors at the time of the Series A Preferred Stock financing, was then a partner of Third Rock Ventures.</w:t>
      </w:r>
    </w:p>
    <w:p>
      <w:pPr>
        <w:spacing w:after="0" w:line="66" w:lineRule="exact"/>
        <w:rPr>
          <w:rFonts w:ascii="Arial" w:cs="Arial" w:eastAsia="Arial" w:hAnsi="Arial"/>
          <w:sz w:val="13"/>
          <w:szCs w:val="13"/>
          <w:color w:val="auto"/>
        </w:rPr>
      </w:pPr>
    </w:p>
    <w:p>
      <w:pPr>
        <w:ind w:left="440" w:right="40" w:hanging="324"/>
        <w:spacing w:after="0" w:line="248" w:lineRule="auto"/>
        <w:tabs>
          <w:tab w:leader="none" w:pos="44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(i) The Column Group III, LP purchased 11,740,876 shares of Series A Preferred Stock for a total purchase price of $11,740,876.00 and (ii) The Column Group III-A, LP purchased 13,259,124 shares of Series A Preferred Stock for a total purchase price of $13,259,124.00. Entities affiliated with The Column Group became beneficial owners of (in the aggregate) more than 5% of our capital stock during the course of the Series A Preferred Stock financing.</w:t>
      </w:r>
    </w:p>
    <w:p>
      <w:pPr>
        <w:spacing w:after="0" w:line="49" w:lineRule="exact"/>
        <w:rPr>
          <w:rFonts w:ascii="Arial" w:cs="Arial" w:eastAsia="Arial" w:hAnsi="Arial"/>
          <w:sz w:val="13"/>
          <w:szCs w:val="13"/>
          <w:color w:val="auto"/>
        </w:rPr>
      </w:pPr>
    </w:p>
    <w:p>
      <w:pPr>
        <w:ind w:left="440" w:right="240" w:hanging="324"/>
        <w:spacing w:after="0" w:line="258" w:lineRule="auto"/>
        <w:tabs>
          <w:tab w:leader="none" w:pos="44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Laurence Lasky, Ph.D., who is currently a member of our board of directors and was a member of our board of directors at the time of the Series A Preferred Stock financing, is and was then an affiliate of The Column Group.</w:t>
      </w:r>
    </w:p>
    <w:p>
      <w:pPr>
        <w:spacing w:after="0" w:line="1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40"/>
          </w:cols>
          <w:pgMar w:left="32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B preferred stock financing</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March, June and November 2018, we issued an aggregate of 39,740,031 shares of our Series B Preferred Stock at a price per share of</w:t>
      </w:r>
    </w:p>
    <w:p>
      <w:pPr>
        <w:ind w:left="120" w:right="80"/>
        <w:spacing w:after="0" w:line="238" w:lineRule="auto"/>
        <w:rPr>
          <w:sz w:val="20"/>
          <w:szCs w:val="20"/>
          <w:color w:val="auto"/>
        </w:rPr>
      </w:pPr>
      <w:r>
        <w:rPr>
          <w:rFonts w:ascii="Arial" w:cs="Arial" w:eastAsia="Arial" w:hAnsi="Arial"/>
          <w:sz w:val="18"/>
          <w:szCs w:val="18"/>
          <w:color w:val="auto"/>
        </w:rPr>
        <w:t>$1.50 for those shares issued in March and June 2018 and $2.06 for those shares issued in November 2018, for aggregate proceeds to us of $60,796,920.58. The table below sets forth the number of shares of Series B Preferred Stock sold to our directors, executive officers or beneficial owners of more than 5% of a class of our capital stock, or an affiliate or immediate family member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240" w:type="dxa"/>
            <w:vAlign w:val="bottom"/>
          </w:tcPr>
          <w:p>
            <w:pPr>
              <w:spacing w:after="0"/>
              <w:rPr>
                <w:sz w:val="17"/>
                <w:szCs w:val="17"/>
                <w:color w:val="auto"/>
              </w:rPr>
            </w:pPr>
          </w:p>
        </w:tc>
        <w:tc>
          <w:tcPr>
            <w:tcW w:w="3880" w:type="dxa"/>
            <w:vAlign w:val="bottom"/>
          </w:tcPr>
          <w:p>
            <w:pPr>
              <w:jc w:val="right"/>
              <w:ind w:right="232"/>
              <w:spacing w:after="0"/>
              <w:rPr>
                <w:sz w:val="20"/>
                <w:szCs w:val="20"/>
                <w:color w:val="auto"/>
              </w:rPr>
            </w:pPr>
            <w:r>
              <w:rPr>
                <w:rFonts w:ascii="Arial" w:cs="Arial" w:eastAsia="Arial" w:hAnsi="Arial"/>
                <w:sz w:val="18"/>
                <w:szCs w:val="18"/>
                <w:b w:val="1"/>
                <w:bCs w:val="1"/>
                <w:color w:val="auto"/>
              </w:rPr>
              <w:t>Number of shares of</w:t>
            </w:r>
          </w:p>
        </w:tc>
        <w:tc>
          <w:tcPr>
            <w:tcW w:w="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1"/>
        </w:trPr>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38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Series B preferred stock</w:t>
            </w:r>
          </w:p>
        </w:tc>
        <w:tc>
          <w:tcPr>
            <w:tcW w:w="1900" w:type="dxa"/>
            <w:vAlign w:val="bottom"/>
            <w:tcBorders>
              <w:bottom w:val="single" w:sz="8" w:color="auto"/>
            </w:tcBorders>
            <w:gridSpan w:val="3"/>
          </w:tcPr>
          <w:p>
            <w:pPr>
              <w:ind w:left="320"/>
              <w:spacing w:after="0"/>
              <w:rPr>
                <w:sz w:val="20"/>
                <w:szCs w:val="20"/>
                <w:color w:val="auto"/>
              </w:rPr>
            </w:pPr>
            <w:r>
              <w:rPr>
                <w:rFonts w:ascii="Arial" w:cs="Arial" w:eastAsia="Arial" w:hAnsi="Arial"/>
                <w:sz w:val="18"/>
                <w:szCs w:val="18"/>
                <w:b w:val="1"/>
                <w:bCs w:val="1"/>
                <w:color w:val="auto"/>
                <w:w w:val="99"/>
              </w:rPr>
              <w:t>Purchase price ($)</w:t>
            </w:r>
          </w:p>
        </w:tc>
      </w:tr>
      <w:tr>
        <w:trPr>
          <w:trHeight w:val="196"/>
        </w:trPr>
        <w:tc>
          <w:tcPr>
            <w:tcW w:w="5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Entities Affiliated with Third Rock Ventures(1)(2)</w:t>
            </w:r>
          </w:p>
        </w:tc>
        <w:tc>
          <w:tcPr>
            <w:tcW w:w="3880" w:type="dxa"/>
            <w:vAlign w:val="bottom"/>
            <w:shd w:val="clear" w:color="auto" w:fill="CCEEFF"/>
          </w:tcPr>
          <w:p>
            <w:pPr>
              <w:jc w:val="right"/>
              <w:ind w:right="232"/>
              <w:spacing w:after="0" w:line="196" w:lineRule="exact"/>
              <w:rPr>
                <w:sz w:val="20"/>
                <w:szCs w:val="20"/>
                <w:color w:val="auto"/>
              </w:rPr>
            </w:pPr>
            <w:r>
              <w:rPr>
                <w:rFonts w:ascii="Arial" w:cs="Arial" w:eastAsia="Arial" w:hAnsi="Arial"/>
                <w:sz w:val="18"/>
                <w:szCs w:val="18"/>
                <w:color w:val="auto"/>
              </w:rPr>
              <w:t>3,333,333</w:t>
            </w:r>
          </w:p>
        </w:tc>
        <w:tc>
          <w:tcPr>
            <w:tcW w:w="56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4,999,999.50</w:t>
            </w: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Entities Affiliated with The Column Group(3)(4)</w:t>
            </w:r>
          </w:p>
        </w:tc>
        <w:tc>
          <w:tcPr>
            <w:tcW w:w="388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13,333,332</w:t>
            </w:r>
          </w:p>
        </w:tc>
        <w:tc>
          <w:tcPr>
            <w:tcW w:w="56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19,999,998.00</w:t>
            </w:r>
          </w:p>
        </w:tc>
      </w:tr>
      <w:tr>
        <w:trPr>
          <w:trHeight w:val="203"/>
        </w:trPr>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Nextech V Oncology S.C.S., SICAV-SIF(5)(6)</w:t>
            </w:r>
          </w:p>
        </w:tc>
        <w:tc>
          <w:tcPr>
            <w:tcW w:w="388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7,637,540</w:t>
            </w:r>
          </w:p>
        </w:tc>
        <w:tc>
          <w:tcPr>
            <w:tcW w:w="5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11,999,999.44</w:t>
            </w:r>
          </w:p>
        </w:tc>
      </w:tr>
      <w:tr>
        <w:trPr>
          <w:trHeight w:val="20"/>
        </w:trPr>
        <w:tc>
          <w:tcPr>
            <w:tcW w:w="524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7" w:lineRule="exact"/>
        <w:rPr>
          <w:sz w:val="20"/>
          <w:szCs w:val="20"/>
          <w:color w:val="auto"/>
        </w:rPr>
      </w:pPr>
    </w:p>
    <w:p>
      <w:pPr>
        <w:ind w:left="440" w:right="40" w:hanging="324"/>
        <w:spacing w:after="0" w:line="248" w:lineRule="auto"/>
        <w:tabs>
          <w:tab w:leader="none" w:pos="44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(i) Third Rock Ventures III, L.P. purchased 1,666,666 shares of Series B Preferred Stock for a total purchase price of $2,499,999.00 and (ii) Third Rock Ventures IV, L.P. purchased 1,666,667 shares of Series B Preferred Stock for a total purchase price of $2,500,000.50. Entities affiliated with Third Rock Ventures were beneficial owners of (in the aggregate) more than 5% of our capital stock at the time of the Series B Preferred Stock financing.</w:t>
      </w:r>
    </w:p>
    <w:p>
      <w:pPr>
        <w:spacing w:after="0" w:line="49" w:lineRule="exact"/>
        <w:rPr>
          <w:rFonts w:ascii="Arial" w:cs="Arial" w:eastAsia="Arial" w:hAnsi="Arial"/>
          <w:sz w:val="13"/>
          <w:szCs w:val="13"/>
          <w:color w:val="auto"/>
        </w:rPr>
      </w:pPr>
    </w:p>
    <w:p>
      <w:pPr>
        <w:ind w:left="440" w:right="200" w:hanging="324"/>
        <w:spacing w:after="0" w:line="258" w:lineRule="auto"/>
        <w:tabs>
          <w:tab w:leader="none" w:pos="44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Alexis Borisy, who is currently a member of our board of directors and was a member of our board of directors at the time of the Series B Preferred Stock financing, was then an affiliate of Third Rock Ventures.</w:t>
      </w:r>
    </w:p>
    <w:p>
      <w:pPr>
        <w:spacing w:after="0" w:line="43" w:lineRule="exact"/>
        <w:rPr>
          <w:rFonts w:ascii="Arial" w:cs="Arial" w:eastAsia="Arial" w:hAnsi="Arial"/>
          <w:sz w:val="13"/>
          <w:szCs w:val="13"/>
          <w:color w:val="auto"/>
        </w:rPr>
      </w:pPr>
    </w:p>
    <w:p>
      <w:pPr>
        <w:ind w:left="440" w:right="40" w:hanging="324"/>
        <w:spacing w:after="0" w:line="245" w:lineRule="auto"/>
        <w:tabs>
          <w:tab w:leader="none" w:pos="44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(i) The Column Group III, LP purchased 3,130,900 shares of Series B Preferred Stock for a total purchase price of $4,696,350.00, (ii) The Column Group III-A, LP purchased 3,535,766 shares of Series B Preferred Stock for a total purchase price of $5,303,649.00, (iii) Ponoi Capital, LP purchased 3,333,333 shares of Series B Preferred Stock for a total purchase price of $4,999,999.50 and (iv) Ponoi Capital II, LP purchased 3,333,333 shares of Series B Preferred Stock for a total purchase price of $4,999,999.50. Entities affiliated with The Column Group were beneficial owners of (in the aggregate) more than 5% of our capital stock at the time of the Series B Preferred Stock financing.</w:t>
      </w:r>
    </w:p>
    <w:p>
      <w:pPr>
        <w:spacing w:after="0" w:line="51" w:lineRule="exact"/>
        <w:rPr>
          <w:rFonts w:ascii="Arial" w:cs="Arial" w:eastAsia="Arial" w:hAnsi="Arial"/>
          <w:sz w:val="13"/>
          <w:szCs w:val="13"/>
          <w:color w:val="auto"/>
        </w:rPr>
      </w:pPr>
    </w:p>
    <w:p>
      <w:pPr>
        <w:ind w:left="440" w:right="200" w:hanging="324"/>
        <w:spacing w:after="0" w:line="258" w:lineRule="auto"/>
        <w:tabs>
          <w:tab w:leader="none" w:pos="44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Laurence Lasky, Ph.D., who is currently a member of our board of directors and was a member of our board of directors at the time of the Series B Preferred Stock financing, is, and was then, an affiliate of The Column Group.</w:t>
      </w:r>
    </w:p>
    <w:p>
      <w:pPr>
        <w:spacing w:after="0" w:line="43" w:lineRule="exact"/>
        <w:rPr>
          <w:rFonts w:ascii="Arial" w:cs="Arial" w:eastAsia="Arial" w:hAnsi="Arial"/>
          <w:sz w:val="13"/>
          <w:szCs w:val="13"/>
          <w:color w:val="auto"/>
        </w:rPr>
      </w:pPr>
    </w:p>
    <w:p>
      <w:pPr>
        <w:ind w:left="440" w:right="200" w:hanging="324"/>
        <w:spacing w:after="0" w:line="258" w:lineRule="auto"/>
        <w:tabs>
          <w:tab w:leader="none" w:pos="44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Thilo Schroeder, Ph.D., who is currently a member of our board of directors and was a member of our board of directors at the time of the Series B Preferred Stock financing, is, and was then, an affiliate of Nextech V Oncology S.C.S., SICAV-SIF.</w:t>
      </w:r>
    </w:p>
    <w:p>
      <w:pPr>
        <w:spacing w:after="0" w:line="43" w:lineRule="exact"/>
        <w:rPr>
          <w:rFonts w:ascii="Arial" w:cs="Arial" w:eastAsia="Arial" w:hAnsi="Arial"/>
          <w:sz w:val="13"/>
          <w:szCs w:val="13"/>
          <w:color w:val="auto"/>
        </w:rPr>
      </w:pPr>
    </w:p>
    <w:p>
      <w:pPr>
        <w:ind w:left="440" w:right="400" w:hanging="324"/>
        <w:spacing w:after="0" w:line="258" w:lineRule="auto"/>
        <w:tabs>
          <w:tab w:leader="none" w:pos="44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Nextech V Oncology S.C.S., SICAV-SIF became a beneficial owner of (in the aggregate) more than 5% of our capital stock during the course of the Series B Preferred Stock financing.</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C preferred stock financing</w:t>
      </w:r>
    </w:p>
    <w:p>
      <w:pPr>
        <w:spacing w:after="0" w:line="124" w:lineRule="exact"/>
        <w:rPr>
          <w:sz w:val="20"/>
          <w:szCs w:val="20"/>
          <w:color w:val="auto"/>
        </w:rPr>
      </w:pPr>
    </w:p>
    <w:p>
      <w:pPr>
        <w:ind w:left="120" w:right="260"/>
        <w:spacing w:after="0" w:line="281" w:lineRule="auto"/>
        <w:rPr>
          <w:sz w:val="20"/>
          <w:szCs w:val="20"/>
          <w:color w:val="auto"/>
        </w:rPr>
      </w:pPr>
      <w:r>
        <w:rPr>
          <w:rFonts w:ascii="Arial" w:cs="Arial" w:eastAsia="Arial" w:hAnsi="Arial"/>
          <w:sz w:val="16"/>
          <w:szCs w:val="16"/>
          <w:color w:val="auto"/>
        </w:rPr>
        <w:t>In June and July 2019, we issued an aggregate of 48,683,038 shares of our Series C Preferred Stock at a price per share of $2.06 for aggregate proceeds of $100,287,058.28. The table below sets forth the number of shares of Series C Preferred Stock sold to our directors, executive officers or beneficial owners of more than 5% of a class of our capital stock, or an affiliate or immediate family member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50800</wp:posOffset>
            </wp:positionV>
            <wp:extent cx="699516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0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220" w:type="dxa"/>
            <w:vAlign w:val="bottom"/>
          </w:tcPr>
          <w:p>
            <w:pPr>
              <w:spacing w:after="0"/>
              <w:rPr>
                <w:sz w:val="18"/>
                <w:szCs w:val="18"/>
                <w:color w:val="auto"/>
              </w:rPr>
            </w:pPr>
          </w:p>
        </w:tc>
        <w:tc>
          <w:tcPr>
            <w:tcW w:w="3860" w:type="dxa"/>
            <w:vAlign w:val="bottom"/>
          </w:tcPr>
          <w:p>
            <w:pPr>
              <w:jc w:val="right"/>
              <w:ind w:right="252"/>
              <w:spacing w:after="0"/>
              <w:rPr>
                <w:sz w:val="20"/>
                <w:szCs w:val="20"/>
                <w:color w:val="auto"/>
              </w:rPr>
            </w:pPr>
            <w:r>
              <w:rPr>
                <w:rFonts w:ascii="Arial" w:cs="Arial" w:eastAsia="Arial" w:hAnsi="Arial"/>
                <w:sz w:val="18"/>
                <w:szCs w:val="18"/>
                <w:b w:val="1"/>
                <w:bCs w:val="1"/>
                <w:color w:val="auto"/>
              </w:rPr>
              <w:t>Number of shares of</w:t>
            </w: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1"/>
        </w:trPr>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3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Series C preferred stock</w:t>
            </w:r>
          </w:p>
        </w:tc>
        <w:tc>
          <w:tcPr>
            <w:tcW w:w="1940" w:type="dxa"/>
            <w:vAlign w:val="bottom"/>
            <w:tcBorders>
              <w:bottom w:val="single" w:sz="8" w:color="auto"/>
            </w:tcBorders>
            <w:gridSpan w:val="3"/>
          </w:tcPr>
          <w:p>
            <w:pPr>
              <w:ind w:left="360"/>
              <w:spacing w:after="0"/>
              <w:rPr>
                <w:sz w:val="20"/>
                <w:szCs w:val="20"/>
                <w:color w:val="auto"/>
              </w:rPr>
            </w:pPr>
            <w:r>
              <w:rPr>
                <w:rFonts w:ascii="Arial" w:cs="Arial" w:eastAsia="Arial" w:hAnsi="Arial"/>
                <w:sz w:val="18"/>
                <w:szCs w:val="18"/>
                <w:b w:val="1"/>
                <w:bCs w:val="1"/>
                <w:color w:val="auto"/>
                <w:w w:val="99"/>
              </w:rPr>
              <w:t>Purchase price ($)</w:t>
            </w: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Entities Affiliated with Third Rock Ventures(1)(2)</w:t>
            </w:r>
          </w:p>
        </w:tc>
        <w:tc>
          <w:tcPr>
            <w:tcW w:w="3860" w:type="dxa"/>
            <w:vAlign w:val="bottom"/>
            <w:shd w:val="clear" w:color="auto" w:fill="CCEEFF"/>
          </w:tcPr>
          <w:p>
            <w:pPr>
              <w:jc w:val="right"/>
              <w:ind w:right="252"/>
              <w:spacing w:after="0" w:line="196" w:lineRule="exact"/>
              <w:rPr>
                <w:sz w:val="20"/>
                <w:szCs w:val="20"/>
                <w:color w:val="auto"/>
              </w:rPr>
            </w:pPr>
            <w:r>
              <w:rPr>
                <w:rFonts w:ascii="Arial" w:cs="Arial" w:eastAsia="Arial" w:hAnsi="Arial"/>
                <w:sz w:val="18"/>
                <w:szCs w:val="18"/>
                <w:color w:val="auto"/>
              </w:rPr>
              <w:t>485,437</w:t>
            </w:r>
          </w:p>
        </w:tc>
        <w:tc>
          <w:tcPr>
            <w:tcW w:w="66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1,000,000.22</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Entities Affiliated with The Column Group(3)(4)</w:t>
            </w:r>
          </w:p>
        </w:tc>
        <w:tc>
          <w:tcPr>
            <w:tcW w:w="386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485,437</w:t>
            </w:r>
          </w:p>
        </w:tc>
        <w:tc>
          <w:tcPr>
            <w:tcW w:w="660" w:type="dxa"/>
            <w:vAlign w:val="bottom"/>
          </w:tcPr>
          <w:p>
            <w:pPr>
              <w:ind w:left="36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1,000,000.22</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Nextech V Oncology S.C.S., SICAV-SIF(5)(6)</w:t>
            </w:r>
          </w:p>
        </w:tc>
        <w:tc>
          <w:tcPr>
            <w:tcW w:w="386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2,669,903</w:t>
            </w:r>
          </w:p>
        </w:tc>
        <w:tc>
          <w:tcPr>
            <w:tcW w:w="6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5,500,000.18</w:t>
            </w: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7" w:lineRule="exact"/>
        <w:rPr>
          <w:sz w:val="20"/>
          <w:szCs w:val="20"/>
          <w:color w:val="auto"/>
        </w:rPr>
      </w:pPr>
    </w:p>
    <w:p>
      <w:pPr>
        <w:ind w:left="440" w:right="20" w:hanging="324"/>
        <w:spacing w:after="0" w:line="248" w:lineRule="auto"/>
        <w:tabs>
          <w:tab w:leader="none" w:pos="44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(i) Third Rock Ventures III, L.P. purchased 242,719 shares of Series C Preferred Stock for a total purchase price of $500,001.14 and (ii) Third Rock Ventures IV, L.P. purchased 242,718 shares of Series C Preferred Stock for a total purchase price of $499,999.08. Entities affiliated with Third Rock Ventures were beneficial owners of (in the aggregate) more than 5% of our capital stock at the time of the Series C Preferred Stock financing.</w:t>
      </w:r>
    </w:p>
    <w:p>
      <w:pPr>
        <w:spacing w:after="0" w:line="49" w:lineRule="exact"/>
        <w:rPr>
          <w:rFonts w:ascii="Arial" w:cs="Arial" w:eastAsia="Arial" w:hAnsi="Arial"/>
          <w:sz w:val="13"/>
          <w:szCs w:val="13"/>
          <w:color w:val="auto"/>
        </w:rPr>
      </w:pPr>
    </w:p>
    <w:p>
      <w:pPr>
        <w:ind w:left="440" w:right="200" w:hanging="324"/>
        <w:spacing w:after="0" w:line="258" w:lineRule="auto"/>
        <w:tabs>
          <w:tab w:leader="none" w:pos="44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Alexis Borisy, who is currently a member of our board of directors and was a member of our board of directors at the time of the Series C Preferred Stock financing, was then an affiliate of Third Rock Ventures.</w:t>
      </w:r>
    </w:p>
    <w:p>
      <w:pPr>
        <w:spacing w:after="0" w:line="43" w:lineRule="exact"/>
        <w:rPr>
          <w:rFonts w:ascii="Arial" w:cs="Arial" w:eastAsia="Arial" w:hAnsi="Arial"/>
          <w:sz w:val="13"/>
          <w:szCs w:val="13"/>
          <w:color w:val="auto"/>
        </w:rPr>
      </w:pPr>
    </w:p>
    <w:p>
      <w:pPr>
        <w:ind w:left="440" w:right="100" w:hanging="324"/>
        <w:spacing w:after="0" w:line="248" w:lineRule="auto"/>
        <w:tabs>
          <w:tab w:leader="none" w:pos="44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(i) The Column Group III, LP purchased 227,978 shares of Series C Preferred Stock for a total purchase price of $469,634.68 and (ii) The Column Group III-A, LP purchased 257,459 shares of Series C Preferred Stock for a total purchase price of $530,365.54. Entities affiliated with The Column Group were beneficial owners of (in the aggregate) more than 5% of our capital stock at the time of the Series C Preferred Stock financing.</w:t>
      </w:r>
    </w:p>
    <w:p>
      <w:pPr>
        <w:spacing w:after="0" w:line="49" w:lineRule="exact"/>
        <w:rPr>
          <w:rFonts w:ascii="Arial" w:cs="Arial" w:eastAsia="Arial" w:hAnsi="Arial"/>
          <w:sz w:val="13"/>
          <w:szCs w:val="13"/>
          <w:color w:val="auto"/>
        </w:rPr>
      </w:pPr>
    </w:p>
    <w:p>
      <w:pPr>
        <w:ind w:left="440" w:right="200" w:hanging="324"/>
        <w:spacing w:after="0" w:line="258" w:lineRule="auto"/>
        <w:tabs>
          <w:tab w:leader="none" w:pos="44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Laurence Lasky, Ph.D., who is currently a member of our board of directors and was a member of our board of directors at the time of the Series C Preferred Stock financing, is, and was then, an affiliate of The Column Group.</w:t>
      </w:r>
    </w:p>
    <w:p>
      <w:pPr>
        <w:spacing w:after="0" w:line="1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40"/>
          </w:cols>
          <w:pgMar w:left="320" w:top="459"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40" w:right="140" w:hanging="324"/>
        <w:spacing w:after="0" w:line="258" w:lineRule="auto"/>
        <w:tabs>
          <w:tab w:leader="none" w:pos="44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Thilo Schroeder, Ph.D., who is currently a member of our board of directors and was a member of our board of directors at the time of the Series C Preferred Stock financing, is, and was then, an affiliate of Nextech V Oncology S.C.S., SICAV-SIF.</w:t>
      </w:r>
    </w:p>
    <w:p>
      <w:pPr>
        <w:spacing w:after="0" w:line="43" w:lineRule="exact"/>
        <w:rPr>
          <w:rFonts w:ascii="Arial" w:cs="Arial" w:eastAsia="Arial" w:hAnsi="Arial"/>
          <w:sz w:val="13"/>
          <w:szCs w:val="13"/>
          <w:color w:val="auto"/>
        </w:rPr>
      </w:pPr>
    </w:p>
    <w:p>
      <w:pPr>
        <w:ind w:left="440" w:hanging="324"/>
        <w:spacing w:after="0"/>
        <w:tabs>
          <w:tab w:leader="none" w:pos="44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Prior to the Series C Preferred Stock financing, Nextech V Oncology S.C.S., SICAV-SIF was a beneficial owner of more than 5% of our capital stock.</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Director and executive officer compensation</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Please see “Executive and director compensation” for information regarding the compensation of our directors and executive officers.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Employment agreements</w:t>
      </w:r>
    </w:p>
    <w:p>
      <w:pPr>
        <w:spacing w:after="0" w:line="134"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We have entered into employment agreements with our executive officers. For more information regarding these agreements, see “Executive and director compensation—Narrative to the summary compensation table” and “Executive and director compensation—Outstanding equity awards as of December 31, 2018.”</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Indemnification agreements and directors’ and officers’ liability insurance</w:t>
      </w:r>
    </w:p>
    <w:p>
      <w:pPr>
        <w:spacing w:after="0" w:line="134" w:lineRule="exact"/>
        <w:rPr>
          <w:sz w:val="20"/>
          <w:szCs w:val="20"/>
          <w:color w:val="auto"/>
        </w:rPr>
      </w:pPr>
    </w:p>
    <w:p>
      <w:pPr>
        <w:ind w:left="120" w:right="20"/>
        <w:spacing w:after="0" w:line="271" w:lineRule="auto"/>
        <w:rPr>
          <w:sz w:val="20"/>
          <w:szCs w:val="20"/>
          <w:color w:val="auto"/>
        </w:rPr>
      </w:pPr>
      <w:r>
        <w:rPr>
          <w:rFonts w:ascii="Arial" w:cs="Arial" w:eastAsia="Arial" w:hAnsi="Arial"/>
          <w:sz w:val="16"/>
          <w:szCs w:val="16"/>
          <w:color w:val="auto"/>
        </w:rPr>
        <w:t>We have entered into or intend to enter into indemnification agreements with each of our directors and executive officers. These agreements will require us to, among other things, indemnify each director and executive officer to the fullest extent permitted by Delaware law, including indemnification of expenses such as attorneys’ fees, judgments, penalties, fines and settlement amounts incurred by the director or executive officer in any action or proceeding, including any action or proceeding by or in right of us, arising out of the person’s services as a director or executive officer. We have obtained an insurance policy that insures our directors and officers against certain liabilities, including liabilities arising under applicable securities laws. For additional information see “Management—Limitation of liability and indemnification matters.”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Investors’ rights agreement</w:t>
      </w:r>
    </w:p>
    <w:p>
      <w:pPr>
        <w:spacing w:after="0" w:line="134"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We entered into an amended and restated investors’ rights agreement with the purchasers of our outstanding preferred stock, including entities with which certain of our directors are affiliated. Following the consummation of this offering, the holders of approximately 193 million shares of our common stock, including the shares of common stock issuable upon the conversion of our preferred stock, will be entitled to rights with respect to the registration of their shares under the Securities Act. For a more detailed description of these registration rights, see “Description of capital stock—Registration rights.” The amended and restated investors’ rights agreement also provides for a right of first refusal in favor of certain holders of preferred stock with regard to certain issuances of our capital stock. The rights of first refusal will not apply to, and will terminate upon the consummation of, this offering.</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Voting agreement</w:t>
      </w:r>
    </w:p>
    <w:p>
      <w:pPr>
        <w:spacing w:after="0" w:line="134" w:lineRule="exact"/>
        <w:rPr>
          <w:sz w:val="20"/>
          <w:szCs w:val="20"/>
          <w:color w:val="auto"/>
        </w:rPr>
      </w:pPr>
    </w:p>
    <w:p>
      <w:pPr>
        <w:ind w:left="120" w:right="360"/>
        <w:spacing w:after="0" w:line="238" w:lineRule="auto"/>
        <w:rPr>
          <w:sz w:val="20"/>
          <w:szCs w:val="20"/>
          <w:color w:val="auto"/>
        </w:rPr>
      </w:pPr>
      <w:r>
        <w:rPr>
          <w:rFonts w:ascii="Arial" w:cs="Arial" w:eastAsia="Arial" w:hAnsi="Arial"/>
          <w:sz w:val="18"/>
          <w:szCs w:val="18"/>
          <w:color w:val="auto"/>
        </w:rPr>
        <w:t>We entered into an amended and restated voting agreement with certain holders of our common stock and preferred stock. Upon the consummation of this offering, the amended and restated voting agreement will terminate. For a description of the amended and restated voting agreement, see “Management—Board composition—Voting arrangements.”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Right of first refusal and co-sale agreement</w:t>
      </w:r>
    </w:p>
    <w:p>
      <w:pPr>
        <w:spacing w:after="0" w:line="134" w:lineRule="exact"/>
        <w:rPr>
          <w:sz w:val="20"/>
          <w:szCs w:val="20"/>
          <w:color w:val="auto"/>
        </w:rPr>
      </w:pPr>
    </w:p>
    <w:p>
      <w:pPr>
        <w:ind w:left="120"/>
        <w:spacing w:after="0" w:line="281" w:lineRule="auto"/>
        <w:rPr>
          <w:sz w:val="20"/>
          <w:szCs w:val="20"/>
          <w:color w:val="auto"/>
        </w:rPr>
      </w:pPr>
      <w:r>
        <w:rPr>
          <w:rFonts w:ascii="Arial" w:cs="Arial" w:eastAsia="Arial" w:hAnsi="Arial"/>
          <w:sz w:val="16"/>
          <w:szCs w:val="16"/>
          <w:color w:val="auto"/>
        </w:rPr>
        <w:t>We entered into an amended and restated right of first refusal and co-sale agreement with certain holders of our common stock and preferred stock. This agreement provides for rights of first refusal and co-sale relating to the shares of our common stock held by the parties to the agreement. Upon the consummation of this offering, the amended and restated right of first refusal and co-sale agreement will terminate.</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080"/>
          </w:cols>
          <w:pgMar w:left="320" w:top="459" w:right="49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Acquisition of Warp Drive</w:t>
      </w:r>
    </w:p>
    <w:p>
      <w:pPr>
        <w:spacing w:after="0" w:line="134" w:lineRule="exact"/>
        <w:rPr>
          <w:sz w:val="20"/>
          <w:szCs w:val="20"/>
          <w:color w:val="auto"/>
        </w:rPr>
      </w:pPr>
    </w:p>
    <w:p>
      <w:pPr>
        <w:ind w:left="120" w:right="60"/>
        <w:spacing w:after="0" w:line="269" w:lineRule="auto"/>
        <w:rPr>
          <w:sz w:val="20"/>
          <w:szCs w:val="20"/>
          <w:color w:val="auto"/>
        </w:rPr>
      </w:pPr>
      <w:r>
        <w:rPr>
          <w:rFonts w:ascii="Arial" w:cs="Arial" w:eastAsia="Arial" w:hAnsi="Arial"/>
          <w:sz w:val="16"/>
          <w:szCs w:val="16"/>
          <w:color w:val="auto"/>
        </w:rPr>
        <w:t>In October 2018, we acquired all outstanding shares of Warp Drive. In connection with the acquisition, we issued 33,079,554 shares of our Series B preferred stock (the “Acquisition Shares”) and paid $0.9 million in other consideration, for total consideration valued at $69.0 million. Of the Acquisition Shares, 8,315,308 shares of Series B Preferred Stock were issued to entities affiliated with Third Rock Ventures, which beneficially owned more than 5% of our capital stock immediately prior to and following the acquisition. In addition, Alexis Borisy, who is currently a member of our board of directors and was a member of our board of directors at the time of the acquisition of Warp Drive, was then an affiliate of Third Rock Ventures. Of the Acquisition Shares, 16,364,939 shares of Series B Preferred Stock were issued to Sanofi Research Invest, LLC, which became a beneficial owner of more than 5% of our capital stock following the acquisition.</w:t>
      </w:r>
    </w:p>
    <w:p>
      <w:pPr>
        <w:spacing w:after="0" w:line="82"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In connection with our acquisition of Warp Drive, we assumed a convertible promissory note, or the “Convertible Note” issued by Warp Drive to an entity affiliated with Third Rock Ventures, dated October 8, 2018. The Convertible Note was issued in a principal amount of $2,000,000, with simple interest at an annual rate of 8% computed on the basis of a 360-day year. On October 30, 2018, at our election, we converted the Convertible Note into 975,620 shares of our Series B Preferred Stock which were issued to an entity affiliated with Third Rock Ventures pursuant to the terms of the Convertible Note. At the time of such conversion of the Convertible Note, entities affiliated with Third Rock Ventures were beneficial owners of (in the aggregate) more than 5% of our capital stock. Alexis Borisy, who is currently a member of our board of directors and was a member of our board of directors at the time of the conversion of the Convertible Note, was then an affiliate of Third Rock Ventures.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Casma sublease and sublease guarantee</w:t>
      </w:r>
    </w:p>
    <w:p>
      <w:pPr>
        <w:spacing w:after="0" w:line="134" w:lineRule="exact"/>
        <w:rPr>
          <w:sz w:val="20"/>
          <w:szCs w:val="20"/>
          <w:color w:val="auto"/>
        </w:rPr>
      </w:pPr>
    </w:p>
    <w:p>
      <w:pPr>
        <w:ind w:left="120" w:right="60"/>
        <w:spacing w:after="0" w:line="235" w:lineRule="auto"/>
        <w:rPr>
          <w:sz w:val="20"/>
          <w:szCs w:val="20"/>
          <w:color w:val="auto"/>
        </w:rPr>
      </w:pPr>
      <w:r>
        <w:rPr>
          <w:rFonts w:ascii="Arial" w:cs="Arial" w:eastAsia="Arial" w:hAnsi="Arial"/>
          <w:sz w:val="18"/>
          <w:szCs w:val="18"/>
          <w:color w:val="auto"/>
        </w:rPr>
        <w:t>Following our acquisition of Warp Drive, in February 2019, we entered into a sublease agreement with Casma Therapeutics, Inc., or Casma, for Casma to sublease from us approximately 22,000 square feet of office and laboratory space in Cambridge, Massachusetts. The term of this sublease expires in February 2023. The sublease provides for initial annual base rent for the complete subleased premises of approximately $1.7 million, with annual increases of approximately 3.0% in annual base rent. Third Rock Ventures, LLC is affiliated with Third Rock Ventures and provided a Guarantee of Sublease to guarantee to us the payment of the sublease obligations under the sublease. At the time such Guarantee of Sublease was provided and at the time we entered into the sublease agreement, entities affiliated with Third Rock Ventures were beneficial owners of (in the aggregate) more than 5% of our capital stock and were major stockholders of Casma. Alexis Borisy, who is currently a member of our board of directors and was a member of our board of directors at the time such Guarantee of Sublease was provided, was then an affiliate of Third Rock Ventures.</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Pliant sublease</w:t>
      </w:r>
    </w:p>
    <w:p>
      <w:pPr>
        <w:spacing w:after="0" w:line="134"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In July 2015, we entered into a sublease with Pliant Therapeutics, Inc., or Pliant, for Pliant to sublease from us approximately 10,200 square feet of office and laboratory space in Redwood City, California. The sublease provided for a base rent of $30,606 per month and a term expiring on December 31, 2016. In March 2016, we amended the sublease to, among other things, extend the term to end on March 31, 2017 and increase the monthly base rent starting in January 2017 to $31,626. In September 2016, we amended and restated the sublease to, among other things, extend the sublease term to end on March 31, 2018, increase the total sublease premises to approximately 18,000 square feet and increase the monthly base rent to $45,909 with a further increase to $80,851 upon the substantial completion of certain improvements to the subleased premises. In addition, Pliant exercised an option to extend the sublease term through June 2018. In connection with the amendment and restatement, we entered into an agreement with Pliant relating to the use of shared</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00"/>
          </w:cols>
          <w:pgMar w:left="320" w:top="459" w:right="4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spaces and services. At the time of the sublease agreement with Pliant and each amendment, entities affiliated with Third Rock Ventures were beneficial owners of (in the aggregate) more than 5% of our capital stock and Third Rock Ventures was a major stockholder of Pliant. In addition, Alexis Borisy, who is currently a member of our board of directors and was a member of our board of directors at the time of such sublease agreement and each amendment, was then an affiliate of Third Rock Ventures.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Transactions with Sanofi</w:t>
      </w:r>
    </w:p>
    <w:p>
      <w:pPr>
        <w:spacing w:after="0" w:line="134" w:lineRule="exact"/>
        <w:rPr>
          <w:sz w:val="20"/>
          <w:szCs w:val="20"/>
          <w:color w:val="auto"/>
        </w:rPr>
      </w:pPr>
    </w:p>
    <w:p>
      <w:pPr>
        <w:ind w:left="120"/>
        <w:spacing w:after="0" w:line="275" w:lineRule="auto"/>
        <w:rPr>
          <w:sz w:val="20"/>
          <w:szCs w:val="20"/>
          <w:color w:val="auto"/>
        </w:rPr>
      </w:pPr>
      <w:r>
        <w:rPr>
          <w:rFonts w:ascii="Arial" w:cs="Arial" w:eastAsia="Arial" w:hAnsi="Arial"/>
          <w:sz w:val="16"/>
          <w:szCs w:val="16"/>
          <w:color w:val="auto"/>
        </w:rPr>
        <w:t>In connection with our obligations and responsibilities under the Sanofi Agreement, in April 2019, we entered into a Quality Agreement with Sanofi-Aventis Recherche &amp; Developpement, an affiliate of Sanofi, and a Clinical Supply Agreement with Genzyme Corporation, an affiliate of Sanofi. At the time both such agreements were entered into, entities affiliated with Sanofi were beneficial owners of (in the aggregate) more than 5% of our capital stock. For information regarding the Sanofi Agreement, see “Business—Collaboration agreement with Sanofi.”</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Policies and procedures for related party transactions</w:t>
      </w:r>
    </w:p>
    <w:p>
      <w:pPr>
        <w:spacing w:after="0" w:line="134" w:lineRule="exact"/>
        <w:rPr>
          <w:sz w:val="20"/>
          <w:szCs w:val="20"/>
          <w:color w:val="auto"/>
        </w:rPr>
      </w:pPr>
    </w:p>
    <w:p>
      <w:pPr>
        <w:ind w:left="120" w:right="20"/>
        <w:spacing w:after="0" w:line="268" w:lineRule="auto"/>
        <w:rPr>
          <w:sz w:val="20"/>
          <w:szCs w:val="20"/>
          <w:color w:val="auto"/>
        </w:rPr>
      </w:pPr>
      <w:r>
        <w:rPr>
          <w:rFonts w:ascii="Arial" w:cs="Arial" w:eastAsia="Arial" w:hAnsi="Arial"/>
          <w:sz w:val="16"/>
          <w:szCs w:val="16"/>
          <w:color w:val="auto"/>
        </w:rPr>
        <w:t>Prior to the consummation of this offering, our board of directors will adopt a written related person transaction policy, to be effective upon the consummation of this offering, setting forth the policies and procedures for the review and approval or ratification of related person transactions. This policy will cover,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with an unrelated third party and the extent of the related person’s interest in the transaction. All of the transactions described in this section occurred prior to the adoption of this policy.</w:t>
      </w:r>
    </w:p>
    <w:p>
      <w:pPr>
        <w:spacing w:after="0" w:line="3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080"/>
          </w:cols>
          <w:pgMar w:left="320" w:top="459" w:right="49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Principal stockholders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information relating to the beneficial ownership of our common stock as of July 31, 2019, by:</w:t>
      </w:r>
    </w:p>
    <w:p>
      <w:pPr>
        <w:spacing w:after="0" w:line="117" w:lineRule="exact"/>
        <w:rPr>
          <w:sz w:val="20"/>
          <w:szCs w:val="20"/>
          <w:color w:val="auto"/>
        </w:rPr>
      </w:pPr>
    </w:p>
    <w:p>
      <w:pPr>
        <w:ind w:left="340" w:hanging="224"/>
        <w:spacing w:after="0"/>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outstanding shares of common stock;</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each of our current directors;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all current directors and executive officers as a group.</w:t>
      </w:r>
    </w:p>
    <w:p>
      <w:pPr>
        <w:spacing w:after="0" w:line="104"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The number of shares beneficially owned by each entity, person, director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July 31, 2019 through the exercise of any stock option, warrants or other rights. Except as otherwise indicated, and subject to applicable community property laws, the persons named in the table have sole voting and investment power with respect to all shares of common stock held by that person.</w:t>
      </w:r>
    </w:p>
    <w:p>
      <w:pPr>
        <w:spacing w:after="0" w:line="102"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The percentage of shares beneficially owned is computed on the basis of 208,079,518 shares of our common stock outstanding as of July 31, 2019, which reflects the assumed conversion of all of our outstanding shares of preferred stock into an aggregate of 192,699,975 shares of common stock. Shares of our common stock that a person has the right to acquire within 60 days of July 31, 2019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 The percentage ownership information under the column titled “Beneficial ownership after this offering” is based on the sale of shares of common stock in this offering, assuming no exercise of the underwriters’ option to purchase additional shares. Unless otherwise indicated below, the address for each beneficial owner listed is c/o Revolution Medicines, Inc., 700 Saginaw Drive, Redwood City, California 94063.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7"/>
              </w:rPr>
              <w:t>Beneficial ownership after</w:t>
            </w:r>
          </w:p>
        </w:tc>
      </w:tr>
      <w:tr>
        <w:trPr>
          <w:trHeight w:val="221"/>
        </w:trPr>
        <w:tc>
          <w:tcPr>
            <w:tcW w:w="3180" w:type="dxa"/>
            <w:vAlign w:val="bottom"/>
          </w:tcPr>
          <w:p>
            <w:pPr>
              <w:spacing w:after="0"/>
              <w:rPr>
                <w:sz w:val="19"/>
                <w:szCs w:val="19"/>
                <w:color w:val="auto"/>
              </w:rPr>
            </w:pPr>
          </w:p>
        </w:tc>
        <w:tc>
          <w:tcPr>
            <w:tcW w:w="5340" w:type="dxa"/>
            <w:vAlign w:val="bottom"/>
            <w:gridSpan w:val="5"/>
          </w:tcPr>
          <w:p>
            <w:pPr>
              <w:jc w:val="right"/>
              <w:ind w:right="1100"/>
              <w:spacing w:after="0"/>
              <w:rPr>
                <w:sz w:val="20"/>
                <w:szCs w:val="20"/>
                <w:color w:val="auto"/>
              </w:rPr>
            </w:pPr>
            <w:r>
              <w:rPr>
                <w:rFonts w:ascii="Arial" w:cs="Arial" w:eastAsia="Arial" w:hAnsi="Arial"/>
                <w:sz w:val="18"/>
                <w:szCs w:val="18"/>
                <w:b w:val="1"/>
                <w:bCs w:val="1"/>
                <w:color w:val="auto"/>
              </w:rPr>
              <w:t>Beneficial ownership prior to this offering</w:t>
            </w:r>
          </w:p>
        </w:tc>
        <w:tc>
          <w:tcPr>
            <w:tcW w:w="25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8"/>
              </w:rPr>
              <w:t>this offering</w:t>
            </w:r>
          </w:p>
        </w:tc>
      </w:tr>
      <w:tr>
        <w:trPr>
          <w:trHeight w:val="177"/>
        </w:trPr>
        <w:tc>
          <w:tcPr>
            <w:tcW w:w="3180" w:type="dxa"/>
            <w:vAlign w:val="bottom"/>
          </w:tcPr>
          <w:p>
            <w:pPr>
              <w:spacing w:after="0"/>
              <w:rPr>
                <w:sz w:val="15"/>
                <w:szCs w:val="15"/>
                <w:color w:val="auto"/>
              </w:rPr>
            </w:pPr>
          </w:p>
        </w:tc>
        <w:tc>
          <w:tcPr>
            <w:tcW w:w="1200" w:type="dxa"/>
            <w:vAlign w:val="bottom"/>
            <w:tcBorders>
              <w:top w:val="single" w:sz="8" w:color="auto"/>
            </w:tcBorders>
          </w:tcPr>
          <w:p>
            <w:pPr>
              <w:jc w:val="center"/>
              <w:ind w:right="112"/>
              <w:spacing w:after="0" w:line="177" w:lineRule="exact"/>
              <w:rPr>
                <w:sz w:val="20"/>
                <w:szCs w:val="20"/>
                <w:color w:val="auto"/>
              </w:rPr>
            </w:pPr>
            <w:r>
              <w:rPr>
                <w:rFonts w:ascii="Arial" w:cs="Arial" w:eastAsia="Arial" w:hAnsi="Arial"/>
                <w:sz w:val="18"/>
                <w:szCs w:val="18"/>
                <w:b w:val="1"/>
                <w:bCs w:val="1"/>
                <w:color w:val="auto"/>
                <w:w w:val="97"/>
              </w:rPr>
              <w:t>Number of</w:t>
            </w:r>
          </w:p>
        </w:tc>
        <w:tc>
          <w:tcPr>
            <w:tcW w:w="138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7"/>
              </w:rPr>
              <w:t>Number of</w:t>
            </w:r>
          </w:p>
        </w:tc>
        <w:tc>
          <w:tcPr>
            <w:tcW w:w="12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3180" w:type="dxa"/>
            <w:vAlign w:val="bottom"/>
          </w:tcPr>
          <w:p>
            <w:pPr>
              <w:spacing w:after="0"/>
              <w:rPr>
                <w:sz w:val="17"/>
                <w:szCs w:val="17"/>
                <w:color w:val="auto"/>
              </w:rPr>
            </w:pPr>
          </w:p>
        </w:tc>
        <w:tc>
          <w:tcPr>
            <w:tcW w:w="1200" w:type="dxa"/>
            <w:vAlign w:val="bottom"/>
          </w:tcPr>
          <w:p>
            <w:pPr>
              <w:jc w:val="center"/>
              <w:ind w:right="92"/>
              <w:spacing w:after="0" w:line="202" w:lineRule="exact"/>
              <w:rPr>
                <w:sz w:val="20"/>
                <w:szCs w:val="20"/>
                <w:color w:val="auto"/>
              </w:rPr>
            </w:pPr>
            <w:r>
              <w:rPr>
                <w:rFonts w:ascii="Arial" w:cs="Arial" w:eastAsia="Arial" w:hAnsi="Arial"/>
                <w:sz w:val="18"/>
                <w:szCs w:val="18"/>
                <w:b w:val="1"/>
                <w:bCs w:val="1"/>
                <w:color w:val="auto"/>
                <w:w w:val="98"/>
              </w:rPr>
              <w:t>outstanding</w:t>
            </w:r>
          </w:p>
        </w:tc>
        <w:tc>
          <w:tcPr>
            <w:tcW w:w="13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shares</w:t>
            </w:r>
          </w:p>
        </w:tc>
        <w:tc>
          <w:tcPr>
            <w:tcW w:w="126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Number of</w:t>
            </w:r>
          </w:p>
        </w:tc>
        <w:tc>
          <w:tcPr>
            <w:tcW w:w="1500" w:type="dxa"/>
            <w:vAlign w:val="bottom"/>
            <w:gridSpan w:val="2"/>
          </w:tcPr>
          <w:p>
            <w:pPr>
              <w:jc w:val="center"/>
              <w:ind w:right="160"/>
              <w:spacing w:after="0" w:line="202" w:lineRule="exact"/>
              <w:rPr>
                <w:sz w:val="20"/>
                <w:szCs w:val="20"/>
                <w:color w:val="auto"/>
              </w:rPr>
            </w:pPr>
            <w:r>
              <w:rPr>
                <w:rFonts w:ascii="Arial" w:cs="Arial" w:eastAsia="Arial" w:hAnsi="Arial"/>
                <w:sz w:val="18"/>
                <w:szCs w:val="18"/>
                <w:b w:val="1"/>
                <w:bCs w:val="1"/>
                <w:color w:val="auto"/>
                <w:w w:val="96"/>
              </w:rPr>
              <w:t>Percentage</w:t>
            </w:r>
          </w:p>
        </w:tc>
        <w:tc>
          <w:tcPr>
            <w:tcW w:w="1180" w:type="dxa"/>
            <w:vAlign w:val="bottom"/>
          </w:tcPr>
          <w:p>
            <w:pPr>
              <w:jc w:val="center"/>
              <w:ind w:right="92"/>
              <w:spacing w:after="0" w:line="202" w:lineRule="exact"/>
              <w:rPr>
                <w:sz w:val="20"/>
                <w:szCs w:val="20"/>
                <w:color w:val="auto"/>
              </w:rPr>
            </w:pPr>
            <w:r>
              <w:rPr>
                <w:rFonts w:ascii="Arial" w:cs="Arial" w:eastAsia="Arial" w:hAnsi="Arial"/>
                <w:sz w:val="18"/>
                <w:szCs w:val="18"/>
                <w:b w:val="1"/>
                <w:bCs w:val="1"/>
                <w:color w:val="auto"/>
                <w:w w:val="97"/>
              </w:rPr>
              <w:t>Number of</w:t>
            </w: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180" w:type="dxa"/>
            <w:vAlign w:val="bottom"/>
          </w:tcPr>
          <w:p>
            <w:pPr>
              <w:spacing w:after="0"/>
              <w:rPr>
                <w:sz w:val="17"/>
                <w:szCs w:val="17"/>
                <w:color w:val="auto"/>
              </w:rPr>
            </w:pPr>
          </w:p>
        </w:tc>
        <w:tc>
          <w:tcPr>
            <w:tcW w:w="1200" w:type="dxa"/>
            <w:vAlign w:val="bottom"/>
          </w:tcPr>
          <w:p>
            <w:pPr>
              <w:jc w:val="center"/>
              <w:ind w:right="92"/>
              <w:spacing w:after="0" w:line="202" w:lineRule="exact"/>
              <w:rPr>
                <w:sz w:val="20"/>
                <w:szCs w:val="20"/>
                <w:color w:val="auto"/>
              </w:rPr>
            </w:pPr>
            <w:r>
              <w:rPr>
                <w:rFonts w:ascii="Arial" w:cs="Arial" w:eastAsia="Arial" w:hAnsi="Arial"/>
                <w:sz w:val="18"/>
                <w:szCs w:val="18"/>
                <w:b w:val="1"/>
                <w:bCs w:val="1"/>
                <w:color w:val="auto"/>
                <w:w w:val="99"/>
              </w:rPr>
              <w:t>shares</w:t>
            </w:r>
          </w:p>
        </w:tc>
        <w:tc>
          <w:tcPr>
            <w:tcW w:w="13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exercisable</w:t>
            </w:r>
          </w:p>
        </w:tc>
        <w:tc>
          <w:tcPr>
            <w:tcW w:w="1260" w:type="dxa"/>
            <w:vAlign w:val="bottom"/>
          </w:tcPr>
          <w:p>
            <w:pPr>
              <w:jc w:val="right"/>
              <w:ind w:right="292"/>
              <w:spacing w:after="0" w:line="202" w:lineRule="exact"/>
              <w:rPr>
                <w:sz w:val="20"/>
                <w:szCs w:val="20"/>
                <w:color w:val="auto"/>
              </w:rPr>
            </w:pPr>
            <w:r>
              <w:rPr>
                <w:rFonts w:ascii="Arial" w:cs="Arial" w:eastAsia="Arial" w:hAnsi="Arial"/>
                <w:sz w:val="18"/>
                <w:szCs w:val="18"/>
                <w:b w:val="1"/>
                <w:bCs w:val="1"/>
                <w:color w:val="auto"/>
              </w:rPr>
              <w:t>shares</w:t>
            </w:r>
          </w:p>
        </w:tc>
        <w:tc>
          <w:tcPr>
            <w:tcW w:w="150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93"/>
              </w:rPr>
              <w:t>of</w:t>
            </w:r>
          </w:p>
        </w:tc>
        <w:tc>
          <w:tcPr>
            <w:tcW w:w="1180" w:type="dxa"/>
            <w:vAlign w:val="bottom"/>
          </w:tcPr>
          <w:p>
            <w:pPr>
              <w:jc w:val="center"/>
              <w:ind w:right="72"/>
              <w:spacing w:after="0" w:line="202" w:lineRule="exact"/>
              <w:rPr>
                <w:sz w:val="20"/>
                <w:szCs w:val="20"/>
                <w:color w:val="auto"/>
              </w:rPr>
            </w:pPr>
            <w:r>
              <w:rPr>
                <w:rFonts w:ascii="Arial" w:cs="Arial" w:eastAsia="Arial" w:hAnsi="Arial"/>
                <w:sz w:val="18"/>
                <w:szCs w:val="18"/>
                <w:b w:val="1"/>
                <w:bCs w:val="1"/>
                <w:color w:val="auto"/>
                <w:w w:val="99"/>
              </w:rPr>
              <w:t>shares</w:t>
            </w:r>
          </w:p>
        </w:tc>
        <w:tc>
          <w:tcPr>
            <w:tcW w:w="1320" w:type="dxa"/>
            <w:vAlign w:val="bottom"/>
            <w:gridSpan w:val="2"/>
          </w:tcPr>
          <w:p>
            <w:pPr>
              <w:jc w:val="center"/>
              <w:ind w:left="32"/>
              <w:spacing w:after="0" w:line="202" w:lineRule="exact"/>
              <w:rPr>
                <w:sz w:val="20"/>
                <w:szCs w:val="20"/>
                <w:color w:val="auto"/>
              </w:rPr>
            </w:pPr>
            <w:r>
              <w:rPr>
                <w:rFonts w:ascii="Arial" w:cs="Arial" w:eastAsia="Arial" w:hAnsi="Arial"/>
                <w:sz w:val="18"/>
                <w:szCs w:val="18"/>
                <w:b w:val="1"/>
                <w:bCs w:val="1"/>
                <w:color w:val="auto"/>
                <w:w w:val="98"/>
              </w:rPr>
              <w:t>Percentage</w:t>
            </w:r>
          </w:p>
        </w:tc>
      </w:tr>
      <w:tr>
        <w:trPr>
          <w:trHeight w:val="203"/>
        </w:trPr>
        <w:tc>
          <w:tcPr>
            <w:tcW w:w="3180" w:type="dxa"/>
            <w:vAlign w:val="bottom"/>
          </w:tcPr>
          <w:p>
            <w:pPr>
              <w:spacing w:after="0"/>
              <w:rPr>
                <w:sz w:val="17"/>
                <w:szCs w:val="17"/>
                <w:color w:val="auto"/>
              </w:rPr>
            </w:pPr>
          </w:p>
        </w:tc>
        <w:tc>
          <w:tcPr>
            <w:tcW w:w="1200" w:type="dxa"/>
            <w:vAlign w:val="bottom"/>
          </w:tcPr>
          <w:p>
            <w:pPr>
              <w:jc w:val="center"/>
              <w:ind w:right="92"/>
              <w:spacing w:after="0" w:line="202" w:lineRule="exact"/>
              <w:rPr>
                <w:sz w:val="20"/>
                <w:szCs w:val="20"/>
                <w:color w:val="auto"/>
              </w:rPr>
            </w:pPr>
            <w:r>
              <w:rPr>
                <w:rFonts w:ascii="Arial" w:cs="Arial" w:eastAsia="Arial" w:hAnsi="Arial"/>
                <w:sz w:val="18"/>
                <w:szCs w:val="18"/>
                <w:b w:val="1"/>
                <w:bCs w:val="1"/>
                <w:color w:val="auto"/>
                <w:w w:val="95"/>
              </w:rPr>
              <w:t>beneficially</w:t>
            </w:r>
          </w:p>
        </w:tc>
        <w:tc>
          <w:tcPr>
            <w:tcW w:w="13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within 60</w:t>
            </w:r>
          </w:p>
        </w:tc>
        <w:tc>
          <w:tcPr>
            <w:tcW w:w="1260" w:type="dxa"/>
            <w:vAlign w:val="bottom"/>
          </w:tcPr>
          <w:p>
            <w:pPr>
              <w:jc w:val="right"/>
              <w:ind w:right="92"/>
              <w:spacing w:after="0" w:line="202" w:lineRule="exact"/>
              <w:rPr>
                <w:sz w:val="20"/>
                <w:szCs w:val="20"/>
                <w:color w:val="auto"/>
              </w:rPr>
            </w:pPr>
            <w:r>
              <w:rPr>
                <w:rFonts w:ascii="Arial" w:cs="Arial" w:eastAsia="Arial" w:hAnsi="Arial"/>
                <w:sz w:val="18"/>
                <w:szCs w:val="18"/>
                <w:b w:val="1"/>
                <w:bCs w:val="1"/>
                <w:color w:val="auto"/>
              </w:rPr>
              <w:t>beneficially</w:t>
            </w:r>
          </w:p>
        </w:tc>
        <w:tc>
          <w:tcPr>
            <w:tcW w:w="150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96"/>
              </w:rPr>
              <w:t>beneficial</w:t>
            </w:r>
          </w:p>
        </w:tc>
        <w:tc>
          <w:tcPr>
            <w:tcW w:w="1180" w:type="dxa"/>
            <w:vAlign w:val="bottom"/>
          </w:tcPr>
          <w:p>
            <w:pPr>
              <w:jc w:val="center"/>
              <w:ind w:right="92"/>
              <w:spacing w:after="0" w:line="202" w:lineRule="exact"/>
              <w:rPr>
                <w:sz w:val="20"/>
                <w:szCs w:val="20"/>
                <w:color w:val="auto"/>
              </w:rPr>
            </w:pPr>
            <w:r>
              <w:rPr>
                <w:rFonts w:ascii="Arial" w:cs="Arial" w:eastAsia="Arial" w:hAnsi="Arial"/>
                <w:sz w:val="18"/>
                <w:szCs w:val="18"/>
                <w:b w:val="1"/>
                <w:bCs w:val="1"/>
                <w:color w:val="auto"/>
                <w:w w:val="97"/>
              </w:rPr>
              <w:t>beneficially</w:t>
            </w:r>
          </w:p>
        </w:tc>
        <w:tc>
          <w:tcPr>
            <w:tcW w:w="1320" w:type="dxa"/>
            <w:vAlign w:val="bottom"/>
            <w:gridSpan w:val="2"/>
          </w:tcPr>
          <w:p>
            <w:pPr>
              <w:jc w:val="center"/>
              <w:ind w:left="32"/>
              <w:spacing w:after="0" w:line="202" w:lineRule="exact"/>
              <w:rPr>
                <w:sz w:val="20"/>
                <w:szCs w:val="20"/>
                <w:color w:val="auto"/>
              </w:rPr>
            </w:pPr>
            <w:r>
              <w:rPr>
                <w:rFonts w:ascii="Arial" w:cs="Arial" w:eastAsia="Arial" w:hAnsi="Arial"/>
                <w:sz w:val="18"/>
                <w:szCs w:val="18"/>
                <w:b w:val="1"/>
                <w:bCs w:val="1"/>
                <w:color w:val="auto"/>
                <w:w w:val="98"/>
              </w:rPr>
              <w:t>of beneficial</w:t>
            </w:r>
          </w:p>
        </w:tc>
      </w:tr>
      <w:tr>
        <w:trPr>
          <w:trHeight w:val="221"/>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beneficial owner</w:t>
            </w:r>
          </w:p>
        </w:tc>
        <w:tc>
          <w:tcPr>
            <w:tcW w:w="120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94"/>
              </w:rPr>
              <w:t>owned</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days</w:t>
            </w:r>
          </w:p>
        </w:tc>
        <w:tc>
          <w:tcPr>
            <w:tcW w:w="12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owned</w:t>
            </w:r>
          </w:p>
        </w:tc>
        <w:tc>
          <w:tcPr>
            <w:tcW w:w="15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97"/>
              </w:rPr>
              <w:t>ownership</w:t>
            </w:r>
          </w:p>
        </w:tc>
        <w:tc>
          <w:tcPr>
            <w:tcW w:w="118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98"/>
              </w:rPr>
              <w:t>owned</w:t>
            </w:r>
          </w:p>
        </w:tc>
        <w:tc>
          <w:tcPr>
            <w:tcW w:w="1320" w:type="dxa"/>
            <w:vAlign w:val="bottom"/>
            <w:tcBorders>
              <w:bottom w:val="single" w:sz="8" w:color="auto"/>
            </w:tcBorders>
            <w:gridSpan w:val="2"/>
          </w:tcPr>
          <w:p>
            <w:pPr>
              <w:jc w:val="center"/>
              <w:ind w:left="32"/>
              <w:spacing w:after="0"/>
              <w:rPr>
                <w:sz w:val="20"/>
                <w:szCs w:val="20"/>
                <w:color w:val="auto"/>
              </w:rPr>
            </w:pPr>
            <w:r>
              <w:rPr>
                <w:rFonts w:ascii="Arial" w:cs="Arial" w:eastAsia="Arial" w:hAnsi="Arial"/>
                <w:sz w:val="18"/>
                <w:szCs w:val="18"/>
                <w:b w:val="1"/>
                <w:bCs w:val="1"/>
                <w:color w:val="auto"/>
                <w:w w:val="97"/>
              </w:rPr>
              <w:t>ownership</w:t>
            </w:r>
          </w:p>
        </w:tc>
      </w:tr>
      <w:tr>
        <w:trPr>
          <w:trHeight w:val="48"/>
        </w:trPr>
        <w:tc>
          <w:tcPr>
            <w:tcW w:w="3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3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5% and Greater Stockholders:</w:t>
            </w:r>
          </w:p>
        </w:tc>
        <w:tc>
          <w:tcPr>
            <w:tcW w:w="1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6"/>
        </w:trPr>
        <w:tc>
          <w:tcPr>
            <w:tcW w:w="3180" w:type="dxa"/>
            <w:vAlign w:val="bottom"/>
          </w:tcPr>
          <w:p>
            <w:pPr>
              <w:spacing w:after="0" w:line="206" w:lineRule="exact"/>
              <w:rPr>
                <w:sz w:val="20"/>
                <w:szCs w:val="20"/>
                <w:color w:val="auto"/>
              </w:rPr>
            </w:pPr>
            <w:r>
              <w:rPr>
                <w:rFonts w:ascii="Arial" w:cs="Arial" w:eastAsia="Arial" w:hAnsi="Arial"/>
                <w:sz w:val="18"/>
                <w:szCs w:val="18"/>
                <w:color w:val="auto"/>
              </w:rPr>
              <w:t>Entities affiliated with Third Rock</w:t>
            </w:r>
          </w:p>
        </w:tc>
        <w:tc>
          <w:tcPr>
            <w:tcW w:w="1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9"/>
        </w:trPr>
        <w:tc>
          <w:tcPr>
            <w:tcW w:w="3180" w:type="dxa"/>
            <w:vAlign w:val="bottom"/>
          </w:tcPr>
          <w:p>
            <w:pPr>
              <w:ind w:left="220"/>
              <w:spacing w:after="0" w:line="200" w:lineRule="exact"/>
              <w:rPr>
                <w:sz w:val="20"/>
                <w:szCs w:val="20"/>
                <w:color w:val="auto"/>
              </w:rPr>
            </w:pPr>
            <w:r>
              <w:rPr>
                <w:rFonts w:ascii="Arial" w:cs="Arial" w:eastAsia="Arial" w:hAnsi="Arial"/>
                <w:sz w:val="18"/>
                <w:szCs w:val="18"/>
                <w:color w:val="auto"/>
              </w:rPr>
              <w:t>Ventures(1)</w:t>
            </w:r>
          </w:p>
        </w:tc>
        <w:tc>
          <w:tcPr>
            <w:tcW w:w="1200" w:type="dxa"/>
            <w:vAlign w:val="bottom"/>
          </w:tcPr>
          <w:p>
            <w:pPr>
              <w:jc w:val="right"/>
              <w:ind w:right="92"/>
              <w:spacing w:after="0" w:line="200" w:lineRule="exact"/>
              <w:rPr>
                <w:sz w:val="20"/>
                <w:szCs w:val="20"/>
                <w:color w:val="auto"/>
              </w:rPr>
            </w:pPr>
            <w:r>
              <w:rPr>
                <w:rFonts w:ascii="Arial" w:cs="Arial" w:eastAsia="Arial" w:hAnsi="Arial"/>
                <w:sz w:val="18"/>
                <w:szCs w:val="18"/>
                <w:color w:val="auto"/>
              </w:rPr>
              <w:t>60,112,163</w:t>
            </w:r>
          </w:p>
        </w:tc>
        <w:tc>
          <w:tcPr>
            <w:tcW w:w="1380" w:type="dxa"/>
            <w:vAlign w:val="bottom"/>
          </w:tcPr>
          <w:p>
            <w:pPr>
              <w:ind w:left="960"/>
              <w:spacing w:after="0" w:line="200"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92"/>
              <w:spacing w:after="0" w:line="200" w:lineRule="exact"/>
              <w:rPr>
                <w:sz w:val="20"/>
                <w:szCs w:val="20"/>
                <w:color w:val="auto"/>
              </w:rPr>
            </w:pPr>
            <w:r>
              <w:rPr>
                <w:rFonts w:ascii="Arial" w:cs="Arial" w:eastAsia="Arial" w:hAnsi="Arial"/>
                <w:sz w:val="18"/>
                <w:szCs w:val="18"/>
                <w:color w:val="auto"/>
              </w:rPr>
              <w:t>60,112,163</w:t>
            </w:r>
          </w:p>
        </w:tc>
        <w:tc>
          <w:tcPr>
            <w:tcW w:w="1140" w:type="dxa"/>
            <w:vAlign w:val="bottom"/>
          </w:tcPr>
          <w:p>
            <w:pPr>
              <w:jc w:val="right"/>
              <w:spacing w:after="0" w:line="200" w:lineRule="exact"/>
              <w:rPr>
                <w:sz w:val="20"/>
                <w:szCs w:val="20"/>
                <w:color w:val="auto"/>
              </w:rPr>
            </w:pPr>
            <w:r>
              <w:rPr>
                <w:rFonts w:ascii="Arial" w:cs="Arial" w:eastAsia="Arial" w:hAnsi="Arial"/>
                <w:sz w:val="18"/>
                <w:szCs w:val="18"/>
                <w:color w:val="auto"/>
              </w:rPr>
              <w:t>28.9%</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2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w:t>
            </w:r>
          </w:p>
        </w:tc>
      </w:tr>
      <w:tr>
        <w:trPr>
          <w:trHeight w:val="206"/>
        </w:trPr>
        <w:tc>
          <w:tcPr>
            <w:tcW w:w="31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Entities affiliated with The Column</w:t>
            </w:r>
          </w:p>
        </w:tc>
        <w:tc>
          <w:tcPr>
            <w:tcW w:w="1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9"/>
        </w:trPr>
        <w:tc>
          <w:tcPr>
            <w:tcW w:w="318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Group(2)</w:t>
            </w:r>
          </w:p>
        </w:tc>
        <w:tc>
          <w:tcPr>
            <w:tcW w:w="1200" w:type="dxa"/>
            <w:vAlign w:val="bottom"/>
            <w:shd w:val="clear" w:color="auto" w:fill="CCEEFF"/>
          </w:tcPr>
          <w:p>
            <w:pPr>
              <w:jc w:val="right"/>
              <w:ind w:right="92"/>
              <w:spacing w:after="0" w:line="200" w:lineRule="exact"/>
              <w:rPr>
                <w:sz w:val="20"/>
                <w:szCs w:val="20"/>
                <w:color w:val="auto"/>
              </w:rPr>
            </w:pPr>
            <w:r>
              <w:rPr>
                <w:rFonts w:ascii="Arial" w:cs="Arial" w:eastAsia="Arial" w:hAnsi="Arial"/>
                <w:sz w:val="18"/>
                <w:szCs w:val="18"/>
                <w:color w:val="auto"/>
              </w:rPr>
              <w:t>38,818,769</w:t>
            </w:r>
          </w:p>
        </w:tc>
        <w:tc>
          <w:tcPr>
            <w:tcW w:w="1380" w:type="dxa"/>
            <w:vAlign w:val="bottom"/>
            <w:shd w:val="clear" w:color="auto" w:fill="CCEEFF"/>
          </w:tcPr>
          <w:p>
            <w:pPr>
              <w:ind w:left="960"/>
              <w:spacing w:after="0" w:line="200"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92"/>
              <w:spacing w:after="0" w:line="200" w:lineRule="exact"/>
              <w:rPr>
                <w:sz w:val="20"/>
                <w:szCs w:val="20"/>
                <w:color w:val="auto"/>
              </w:rPr>
            </w:pPr>
            <w:r>
              <w:rPr>
                <w:rFonts w:ascii="Arial" w:cs="Arial" w:eastAsia="Arial" w:hAnsi="Arial"/>
                <w:sz w:val="18"/>
                <w:szCs w:val="18"/>
                <w:color w:val="auto"/>
              </w:rPr>
              <w:t>38,818,769</w:t>
            </w:r>
          </w:p>
        </w:tc>
        <w:tc>
          <w:tcPr>
            <w:tcW w:w="11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18.7%</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
              <w:spacing w:after="0" w:line="200" w:lineRule="exact"/>
              <w:rPr>
                <w:sz w:val="20"/>
                <w:szCs w:val="20"/>
                <w:color w:val="auto"/>
              </w:rPr>
            </w:pPr>
            <w:r>
              <w:rPr>
                <w:rFonts w:ascii="Arial" w:cs="Arial" w:eastAsia="Arial" w:hAnsi="Arial"/>
                <w:sz w:val="18"/>
                <w:szCs w:val="18"/>
                <w:color w:val="auto"/>
              </w:rPr>
              <w:t>%</w:t>
            </w:r>
          </w:p>
        </w:tc>
      </w:tr>
      <w:tr>
        <w:trPr>
          <w:trHeight w:val="214"/>
        </w:trPr>
        <w:tc>
          <w:tcPr>
            <w:tcW w:w="3180" w:type="dxa"/>
            <w:vAlign w:val="bottom"/>
          </w:tcPr>
          <w:p>
            <w:pPr>
              <w:spacing w:after="0"/>
              <w:rPr>
                <w:sz w:val="20"/>
                <w:szCs w:val="20"/>
                <w:color w:val="auto"/>
              </w:rPr>
            </w:pPr>
            <w:r>
              <w:rPr>
                <w:rFonts w:ascii="Arial" w:cs="Arial" w:eastAsia="Arial" w:hAnsi="Arial"/>
                <w:sz w:val="18"/>
                <w:szCs w:val="18"/>
                <w:color w:val="auto"/>
              </w:rPr>
              <w:t>Sanofi Research Invest, LLC(3)</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16,364,939</w:t>
            </w:r>
          </w:p>
        </w:tc>
        <w:tc>
          <w:tcPr>
            <w:tcW w:w="1380" w:type="dxa"/>
            <w:vAlign w:val="bottom"/>
          </w:tcPr>
          <w:p>
            <w:pPr>
              <w:ind w:left="96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16,364,939</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7.9%</w:t>
            </w:r>
          </w:p>
        </w:tc>
        <w:tc>
          <w:tcPr>
            <w:tcW w:w="1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351"/>
        </w:trPr>
        <w:tc>
          <w:tcPr>
            <w:tcW w:w="3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80" w:type="dxa"/>
            <w:vAlign w:val="bottom"/>
          </w:tcPr>
          <w:p>
            <w:pPr>
              <w:ind w:left="980"/>
              <w:spacing w:after="0"/>
              <w:rPr>
                <w:sz w:val="20"/>
                <w:szCs w:val="20"/>
                <w:color w:val="auto"/>
              </w:rPr>
            </w:pPr>
            <w:r>
              <w:rPr>
                <w:rFonts w:ascii="Arial" w:cs="Arial" w:eastAsia="Arial" w:hAnsi="Arial"/>
                <w:sz w:val="18"/>
                <w:szCs w:val="18"/>
                <w:color w:val="auto"/>
              </w:rPr>
              <w:t>172</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7"/>
              </w:rPr>
              <w:t>Beneficial ownership after</w:t>
            </w:r>
          </w:p>
        </w:tc>
      </w:tr>
      <w:tr>
        <w:trPr>
          <w:trHeight w:val="221"/>
        </w:trPr>
        <w:tc>
          <w:tcPr>
            <w:tcW w:w="3720" w:type="dxa"/>
            <w:vAlign w:val="bottom"/>
          </w:tcPr>
          <w:p>
            <w:pPr>
              <w:spacing w:after="0"/>
              <w:rPr>
                <w:sz w:val="19"/>
                <w:szCs w:val="19"/>
                <w:color w:val="auto"/>
              </w:rPr>
            </w:pPr>
          </w:p>
        </w:tc>
        <w:tc>
          <w:tcPr>
            <w:tcW w:w="4920" w:type="dxa"/>
            <w:vAlign w:val="bottom"/>
            <w:gridSpan w:val="5"/>
          </w:tcPr>
          <w:p>
            <w:pPr>
              <w:ind w:left="600"/>
              <w:spacing w:after="0"/>
              <w:rPr>
                <w:sz w:val="20"/>
                <w:szCs w:val="20"/>
                <w:color w:val="auto"/>
              </w:rPr>
            </w:pPr>
            <w:r>
              <w:rPr>
                <w:rFonts w:ascii="Arial" w:cs="Arial" w:eastAsia="Arial" w:hAnsi="Arial"/>
                <w:sz w:val="18"/>
                <w:szCs w:val="18"/>
                <w:b w:val="1"/>
                <w:bCs w:val="1"/>
                <w:color w:val="auto"/>
              </w:rPr>
              <w:t>Beneficial ownership prior to this offering</w:t>
            </w:r>
          </w:p>
        </w:tc>
        <w:tc>
          <w:tcPr>
            <w:tcW w:w="23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6"/>
              </w:rPr>
              <w:t>this offering</w:t>
            </w:r>
          </w:p>
        </w:tc>
      </w:tr>
      <w:tr>
        <w:trPr>
          <w:trHeight w:val="177"/>
        </w:trPr>
        <w:tc>
          <w:tcPr>
            <w:tcW w:w="3720" w:type="dxa"/>
            <w:vAlign w:val="bottom"/>
          </w:tcPr>
          <w:p>
            <w:pPr>
              <w:spacing w:after="0"/>
              <w:rPr>
                <w:sz w:val="15"/>
                <w:szCs w:val="15"/>
                <w:color w:val="auto"/>
              </w:rPr>
            </w:pPr>
          </w:p>
        </w:tc>
        <w:tc>
          <w:tcPr>
            <w:tcW w:w="1140" w:type="dxa"/>
            <w:vAlign w:val="bottom"/>
            <w:tcBorders>
              <w:top w:val="single" w:sz="8" w:color="auto"/>
            </w:tcBorders>
          </w:tcPr>
          <w:p>
            <w:pPr>
              <w:jc w:val="center"/>
              <w:ind w:right="52"/>
              <w:spacing w:after="0" w:line="177" w:lineRule="exact"/>
              <w:rPr>
                <w:sz w:val="20"/>
                <w:szCs w:val="20"/>
                <w:color w:val="auto"/>
              </w:rPr>
            </w:pPr>
            <w:r>
              <w:rPr>
                <w:rFonts w:ascii="Arial" w:cs="Arial" w:eastAsia="Arial" w:hAnsi="Arial"/>
                <w:sz w:val="18"/>
                <w:szCs w:val="18"/>
                <w:b w:val="1"/>
                <w:bCs w:val="1"/>
                <w:color w:val="auto"/>
                <w:w w:val="97"/>
              </w:rPr>
              <w:t>Number of</w:t>
            </w:r>
          </w:p>
        </w:tc>
        <w:tc>
          <w:tcPr>
            <w:tcW w:w="122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5"/>
              </w:rPr>
              <w:t>Number of</w:t>
            </w:r>
          </w:p>
        </w:tc>
        <w:tc>
          <w:tcPr>
            <w:tcW w:w="12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3720" w:type="dxa"/>
            <w:vAlign w:val="bottom"/>
          </w:tcPr>
          <w:p>
            <w:pPr>
              <w:spacing w:after="0"/>
              <w:rPr>
                <w:sz w:val="17"/>
                <w:szCs w:val="17"/>
                <w:color w:val="auto"/>
              </w:rPr>
            </w:pPr>
          </w:p>
        </w:tc>
        <w:tc>
          <w:tcPr>
            <w:tcW w:w="1140" w:type="dxa"/>
            <w:vAlign w:val="bottom"/>
          </w:tcPr>
          <w:p>
            <w:pPr>
              <w:jc w:val="center"/>
              <w:ind w:right="32"/>
              <w:spacing w:after="0" w:line="202" w:lineRule="exact"/>
              <w:rPr>
                <w:sz w:val="20"/>
                <w:szCs w:val="20"/>
                <w:color w:val="auto"/>
              </w:rPr>
            </w:pPr>
            <w:r>
              <w:rPr>
                <w:rFonts w:ascii="Arial" w:cs="Arial" w:eastAsia="Arial" w:hAnsi="Arial"/>
                <w:sz w:val="18"/>
                <w:szCs w:val="18"/>
                <w:b w:val="1"/>
                <w:bCs w:val="1"/>
                <w:color w:val="auto"/>
                <w:w w:val="98"/>
              </w:rPr>
              <w:t>outstanding</w:t>
            </w:r>
          </w:p>
        </w:tc>
        <w:tc>
          <w:tcPr>
            <w:tcW w:w="12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shares</w:t>
            </w:r>
          </w:p>
        </w:tc>
        <w:tc>
          <w:tcPr>
            <w:tcW w:w="12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Number of</w:t>
            </w:r>
          </w:p>
        </w:tc>
        <w:tc>
          <w:tcPr>
            <w:tcW w:w="134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8"/>
              </w:rPr>
              <w:t>Percentage</w:t>
            </w:r>
          </w:p>
        </w:tc>
        <w:tc>
          <w:tcPr>
            <w:tcW w:w="1120" w:type="dxa"/>
            <w:vAlign w:val="bottom"/>
          </w:tcPr>
          <w:p>
            <w:pPr>
              <w:jc w:val="center"/>
              <w:ind w:right="32"/>
              <w:spacing w:after="0" w:line="202" w:lineRule="exact"/>
              <w:rPr>
                <w:sz w:val="20"/>
                <w:szCs w:val="20"/>
                <w:color w:val="auto"/>
              </w:rPr>
            </w:pPr>
            <w:r>
              <w:rPr>
                <w:rFonts w:ascii="Arial" w:cs="Arial" w:eastAsia="Arial" w:hAnsi="Arial"/>
                <w:sz w:val="18"/>
                <w:szCs w:val="18"/>
                <w:b w:val="1"/>
                <w:bCs w:val="1"/>
                <w:color w:val="auto"/>
                <w:w w:val="97"/>
              </w:rPr>
              <w:t>Number of</w:t>
            </w: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720" w:type="dxa"/>
            <w:vAlign w:val="bottom"/>
          </w:tcPr>
          <w:p>
            <w:pPr>
              <w:spacing w:after="0"/>
              <w:rPr>
                <w:sz w:val="17"/>
                <w:szCs w:val="17"/>
                <w:color w:val="auto"/>
              </w:rPr>
            </w:pPr>
          </w:p>
        </w:tc>
        <w:tc>
          <w:tcPr>
            <w:tcW w:w="1140" w:type="dxa"/>
            <w:vAlign w:val="bottom"/>
          </w:tcPr>
          <w:p>
            <w:pPr>
              <w:jc w:val="center"/>
              <w:ind w:right="32"/>
              <w:spacing w:after="0" w:line="202" w:lineRule="exact"/>
              <w:rPr>
                <w:sz w:val="20"/>
                <w:szCs w:val="20"/>
                <w:color w:val="auto"/>
              </w:rPr>
            </w:pPr>
            <w:r>
              <w:rPr>
                <w:rFonts w:ascii="Arial" w:cs="Arial" w:eastAsia="Arial" w:hAnsi="Arial"/>
                <w:sz w:val="18"/>
                <w:szCs w:val="18"/>
                <w:b w:val="1"/>
                <w:bCs w:val="1"/>
                <w:color w:val="auto"/>
                <w:w w:val="99"/>
              </w:rPr>
              <w:t>shares</w:t>
            </w:r>
          </w:p>
        </w:tc>
        <w:tc>
          <w:tcPr>
            <w:tcW w:w="12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5"/>
              </w:rPr>
              <w:t>exercisable</w:t>
            </w:r>
          </w:p>
        </w:tc>
        <w:tc>
          <w:tcPr>
            <w:tcW w:w="12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shares</w:t>
            </w:r>
          </w:p>
        </w:tc>
        <w:tc>
          <w:tcPr>
            <w:tcW w:w="134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3"/>
              </w:rPr>
              <w:t>of</w:t>
            </w:r>
          </w:p>
        </w:tc>
        <w:tc>
          <w:tcPr>
            <w:tcW w:w="1120" w:type="dxa"/>
            <w:vAlign w:val="bottom"/>
          </w:tcPr>
          <w:p>
            <w:pPr>
              <w:jc w:val="center"/>
              <w:ind w:right="32"/>
              <w:spacing w:after="0" w:line="202" w:lineRule="exact"/>
              <w:rPr>
                <w:sz w:val="20"/>
                <w:szCs w:val="20"/>
                <w:color w:val="auto"/>
              </w:rPr>
            </w:pPr>
            <w:r>
              <w:rPr>
                <w:rFonts w:ascii="Arial" w:cs="Arial" w:eastAsia="Arial" w:hAnsi="Arial"/>
                <w:sz w:val="18"/>
                <w:szCs w:val="18"/>
                <w:b w:val="1"/>
                <w:bCs w:val="1"/>
                <w:color w:val="auto"/>
                <w:w w:val="96"/>
              </w:rPr>
              <w:t>shares</w:t>
            </w:r>
          </w:p>
        </w:tc>
        <w:tc>
          <w:tcPr>
            <w:tcW w:w="12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8"/>
              </w:rPr>
              <w:t>Percentage</w:t>
            </w:r>
          </w:p>
        </w:tc>
      </w:tr>
      <w:tr>
        <w:trPr>
          <w:trHeight w:val="203"/>
        </w:trPr>
        <w:tc>
          <w:tcPr>
            <w:tcW w:w="3720" w:type="dxa"/>
            <w:vAlign w:val="bottom"/>
          </w:tcPr>
          <w:p>
            <w:pPr>
              <w:spacing w:after="0"/>
              <w:rPr>
                <w:sz w:val="17"/>
                <w:szCs w:val="17"/>
                <w:color w:val="auto"/>
              </w:rPr>
            </w:pPr>
          </w:p>
        </w:tc>
        <w:tc>
          <w:tcPr>
            <w:tcW w:w="1140" w:type="dxa"/>
            <w:vAlign w:val="bottom"/>
          </w:tcPr>
          <w:p>
            <w:pPr>
              <w:jc w:val="center"/>
              <w:ind w:right="32"/>
              <w:spacing w:after="0" w:line="202" w:lineRule="exact"/>
              <w:rPr>
                <w:sz w:val="20"/>
                <w:szCs w:val="20"/>
                <w:color w:val="auto"/>
              </w:rPr>
            </w:pPr>
            <w:r>
              <w:rPr>
                <w:rFonts w:ascii="Arial" w:cs="Arial" w:eastAsia="Arial" w:hAnsi="Arial"/>
                <w:sz w:val="18"/>
                <w:szCs w:val="18"/>
                <w:b w:val="1"/>
                <w:bCs w:val="1"/>
                <w:color w:val="auto"/>
                <w:w w:val="95"/>
              </w:rPr>
              <w:t>beneficially</w:t>
            </w:r>
          </w:p>
        </w:tc>
        <w:tc>
          <w:tcPr>
            <w:tcW w:w="12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within 60</w:t>
            </w:r>
          </w:p>
        </w:tc>
        <w:tc>
          <w:tcPr>
            <w:tcW w:w="12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beneficially</w:t>
            </w:r>
          </w:p>
        </w:tc>
        <w:tc>
          <w:tcPr>
            <w:tcW w:w="134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6"/>
              </w:rPr>
              <w:t>beneficial</w:t>
            </w:r>
          </w:p>
        </w:tc>
        <w:tc>
          <w:tcPr>
            <w:tcW w:w="1120" w:type="dxa"/>
            <w:vAlign w:val="bottom"/>
          </w:tcPr>
          <w:p>
            <w:pPr>
              <w:jc w:val="center"/>
              <w:ind w:right="32"/>
              <w:spacing w:after="0" w:line="202" w:lineRule="exact"/>
              <w:rPr>
                <w:sz w:val="20"/>
                <w:szCs w:val="20"/>
                <w:color w:val="auto"/>
              </w:rPr>
            </w:pPr>
            <w:r>
              <w:rPr>
                <w:rFonts w:ascii="Arial" w:cs="Arial" w:eastAsia="Arial" w:hAnsi="Arial"/>
                <w:sz w:val="18"/>
                <w:szCs w:val="18"/>
                <w:b w:val="1"/>
                <w:bCs w:val="1"/>
                <w:color w:val="auto"/>
                <w:w w:val="97"/>
              </w:rPr>
              <w:t>beneficially</w:t>
            </w:r>
          </w:p>
        </w:tc>
        <w:tc>
          <w:tcPr>
            <w:tcW w:w="12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8"/>
              </w:rPr>
              <w:t>of beneficial</w:t>
            </w:r>
          </w:p>
        </w:tc>
      </w:tr>
      <w:tr>
        <w:trPr>
          <w:trHeight w:val="221"/>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beneficial owner</w:t>
            </w:r>
          </w:p>
        </w:tc>
        <w:tc>
          <w:tcPr>
            <w:tcW w:w="114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94"/>
              </w:rPr>
              <w:t>owned</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days</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owned</w:t>
            </w:r>
          </w:p>
        </w:tc>
        <w:tc>
          <w:tcPr>
            <w:tcW w:w="13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97"/>
              </w:rPr>
              <w:t>ownership</w:t>
            </w:r>
          </w:p>
        </w:tc>
        <w:tc>
          <w:tcPr>
            <w:tcW w:w="11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98"/>
              </w:rPr>
              <w:t>owned</w:t>
            </w: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7"/>
              </w:rPr>
              <w:t>ownership</w:t>
            </w:r>
          </w:p>
        </w:tc>
      </w:tr>
      <w:tr>
        <w:trPr>
          <w:trHeight w:val="48"/>
        </w:trPr>
        <w:tc>
          <w:tcPr>
            <w:tcW w:w="37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37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Named Executive Officers and Directors:</w:t>
            </w:r>
          </w:p>
        </w:tc>
        <w:tc>
          <w:tcPr>
            <w:tcW w:w="1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3720" w:type="dxa"/>
            <w:vAlign w:val="bottom"/>
          </w:tcPr>
          <w:p>
            <w:pPr>
              <w:spacing w:after="0" w:line="202" w:lineRule="exact"/>
              <w:rPr>
                <w:sz w:val="20"/>
                <w:szCs w:val="20"/>
                <w:color w:val="auto"/>
              </w:rPr>
            </w:pPr>
            <w:r>
              <w:rPr>
                <w:rFonts w:ascii="Arial" w:cs="Arial" w:eastAsia="Arial" w:hAnsi="Arial"/>
                <w:sz w:val="18"/>
                <w:szCs w:val="18"/>
                <w:color w:val="auto"/>
              </w:rPr>
              <w:t>Mark A. Goldsmith, M.D., Ph.D.(4)</w:t>
            </w:r>
          </w:p>
        </w:tc>
        <w:tc>
          <w:tcPr>
            <w:tcW w:w="11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3,100,000</w:t>
            </w:r>
          </w:p>
        </w:tc>
        <w:tc>
          <w:tcPr>
            <w:tcW w:w="12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4,774,098</w:t>
            </w:r>
          </w:p>
        </w:tc>
        <w:tc>
          <w:tcPr>
            <w:tcW w:w="12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7,874,098</w:t>
            </w:r>
          </w:p>
        </w:tc>
        <w:tc>
          <w:tcPr>
            <w:tcW w:w="13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3.7%</w:t>
            </w:r>
          </w:p>
        </w:tc>
        <w:tc>
          <w:tcPr>
            <w:tcW w:w="11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3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Steve Kelsey, M.D., FRCP, FRCPath(5)</w:t>
            </w:r>
          </w:p>
        </w:tc>
        <w:tc>
          <w:tcPr>
            <w:tcW w:w="114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1,304,160</w:t>
            </w:r>
          </w:p>
        </w:tc>
        <w:tc>
          <w:tcPr>
            <w:tcW w:w="12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600,000</w:t>
            </w:r>
          </w:p>
        </w:tc>
        <w:tc>
          <w:tcPr>
            <w:tcW w:w="12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1,904,160</w:t>
            </w:r>
          </w:p>
        </w:tc>
        <w:tc>
          <w:tcPr>
            <w:tcW w:w="13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3"/>
        </w:trPr>
        <w:tc>
          <w:tcPr>
            <w:tcW w:w="3720" w:type="dxa"/>
            <w:vAlign w:val="bottom"/>
          </w:tcPr>
          <w:p>
            <w:pPr>
              <w:spacing w:after="0" w:line="202" w:lineRule="exact"/>
              <w:rPr>
                <w:sz w:val="20"/>
                <w:szCs w:val="20"/>
                <w:color w:val="auto"/>
              </w:rPr>
            </w:pPr>
            <w:r>
              <w:rPr>
                <w:rFonts w:ascii="Arial" w:cs="Arial" w:eastAsia="Arial" w:hAnsi="Arial"/>
                <w:sz w:val="18"/>
                <w:szCs w:val="18"/>
                <w:color w:val="auto"/>
              </w:rPr>
              <w:t>Margaret Horn, J.D.(6)</w:t>
            </w:r>
          </w:p>
        </w:tc>
        <w:tc>
          <w:tcPr>
            <w:tcW w:w="11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600,000</w:t>
            </w:r>
          </w:p>
        </w:tc>
        <w:tc>
          <w:tcPr>
            <w:tcW w:w="12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1,216,280</w:t>
            </w:r>
          </w:p>
        </w:tc>
        <w:tc>
          <w:tcPr>
            <w:tcW w:w="12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1,816,280</w:t>
            </w:r>
          </w:p>
        </w:tc>
        <w:tc>
          <w:tcPr>
            <w:tcW w:w="13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3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Elizabeth McKee Anderson(7)</w:t>
            </w:r>
          </w:p>
        </w:tc>
        <w:tc>
          <w:tcPr>
            <w:tcW w:w="114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180,000</w:t>
            </w:r>
          </w:p>
        </w:tc>
        <w:tc>
          <w:tcPr>
            <w:tcW w:w="12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60,000</w:t>
            </w:r>
          </w:p>
        </w:tc>
        <w:tc>
          <w:tcPr>
            <w:tcW w:w="12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240,000</w:t>
            </w:r>
          </w:p>
        </w:tc>
        <w:tc>
          <w:tcPr>
            <w:tcW w:w="13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3"/>
        </w:trPr>
        <w:tc>
          <w:tcPr>
            <w:tcW w:w="3720" w:type="dxa"/>
            <w:vAlign w:val="bottom"/>
          </w:tcPr>
          <w:p>
            <w:pPr>
              <w:spacing w:after="0" w:line="202" w:lineRule="exact"/>
              <w:rPr>
                <w:sz w:val="20"/>
                <w:szCs w:val="20"/>
                <w:color w:val="auto"/>
              </w:rPr>
            </w:pPr>
            <w:r>
              <w:rPr>
                <w:rFonts w:ascii="Arial" w:cs="Arial" w:eastAsia="Arial" w:hAnsi="Arial"/>
                <w:sz w:val="18"/>
                <w:szCs w:val="18"/>
                <w:color w:val="auto"/>
              </w:rPr>
              <w:t>Alexis Borisy</w:t>
            </w:r>
          </w:p>
        </w:tc>
        <w:tc>
          <w:tcPr>
            <w:tcW w:w="11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Neil Exter(8)</w:t>
            </w:r>
          </w:p>
        </w:tc>
        <w:tc>
          <w:tcPr>
            <w:tcW w:w="114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60,112,163</w:t>
            </w:r>
          </w:p>
        </w:tc>
        <w:tc>
          <w:tcPr>
            <w:tcW w:w="12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28.9%</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3"/>
        </w:trPr>
        <w:tc>
          <w:tcPr>
            <w:tcW w:w="3720" w:type="dxa"/>
            <w:vAlign w:val="bottom"/>
          </w:tcPr>
          <w:p>
            <w:pPr>
              <w:spacing w:after="0" w:line="202" w:lineRule="exact"/>
              <w:rPr>
                <w:sz w:val="20"/>
                <w:szCs w:val="20"/>
                <w:color w:val="auto"/>
              </w:rPr>
            </w:pPr>
            <w:r>
              <w:rPr>
                <w:rFonts w:ascii="Arial" w:cs="Arial" w:eastAsia="Arial" w:hAnsi="Arial"/>
                <w:sz w:val="18"/>
                <w:szCs w:val="18"/>
                <w:color w:val="auto"/>
              </w:rPr>
              <w:t>Larry Lasky, Ph.D.</w:t>
            </w:r>
          </w:p>
        </w:tc>
        <w:tc>
          <w:tcPr>
            <w:tcW w:w="11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3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Vincent A. Miller, M.D.</w:t>
            </w:r>
          </w:p>
        </w:tc>
        <w:tc>
          <w:tcPr>
            <w:tcW w:w="114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150,000</w:t>
            </w:r>
          </w:p>
        </w:tc>
        <w:tc>
          <w:tcPr>
            <w:tcW w:w="12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150,000</w:t>
            </w:r>
          </w:p>
        </w:tc>
        <w:tc>
          <w:tcPr>
            <w:tcW w:w="13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3"/>
        </w:trPr>
        <w:tc>
          <w:tcPr>
            <w:tcW w:w="3720" w:type="dxa"/>
            <w:vAlign w:val="bottom"/>
          </w:tcPr>
          <w:p>
            <w:pPr>
              <w:spacing w:after="0" w:line="202" w:lineRule="exact"/>
              <w:rPr>
                <w:sz w:val="20"/>
                <w:szCs w:val="20"/>
                <w:color w:val="auto"/>
              </w:rPr>
            </w:pPr>
            <w:r>
              <w:rPr>
                <w:rFonts w:ascii="Arial" w:cs="Arial" w:eastAsia="Arial" w:hAnsi="Arial"/>
                <w:sz w:val="18"/>
                <w:szCs w:val="18"/>
                <w:color w:val="auto"/>
              </w:rPr>
              <w:t>Thilo Schroeder, Ph.D.</w:t>
            </w:r>
          </w:p>
        </w:tc>
        <w:tc>
          <w:tcPr>
            <w:tcW w:w="11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3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Barbara Weber, M.D.(9)</w:t>
            </w:r>
          </w:p>
        </w:tc>
        <w:tc>
          <w:tcPr>
            <w:tcW w:w="114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150,000</w:t>
            </w:r>
          </w:p>
        </w:tc>
        <w:tc>
          <w:tcPr>
            <w:tcW w:w="12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150,000</w:t>
            </w:r>
          </w:p>
        </w:tc>
        <w:tc>
          <w:tcPr>
            <w:tcW w:w="13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6"/>
        </w:trPr>
        <w:tc>
          <w:tcPr>
            <w:tcW w:w="3720" w:type="dxa"/>
            <w:vAlign w:val="bottom"/>
          </w:tcPr>
          <w:p>
            <w:pPr>
              <w:spacing w:after="0" w:line="206" w:lineRule="exact"/>
              <w:rPr>
                <w:sz w:val="20"/>
                <w:szCs w:val="20"/>
                <w:color w:val="auto"/>
              </w:rPr>
            </w:pPr>
            <w:r>
              <w:rPr>
                <w:rFonts w:ascii="Arial" w:cs="Arial" w:eastAsia="Arial" w:hAnsi="Arial"/>
                <w:sz w:val="18"/>
                <w:szCs w:val="18"/>
                <w:color w:val="auto"/>
              </w:rPr>
              <w:t>All current directors and executive officers as</w:t>
            </w:r>
          </w:p>
        </w:tc>
        <w:tc>
          <w:tcPr>
            <w:tcW w:w="1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2"/>
        </w:trPr>
        <w:tc>
          <w:tcPr>
            <w:tcW w:w="37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 group (10 persons)</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65,446,323</w:t>
            </w: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6,800,378</w:t>
            </w: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72,246,701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bl>
    <w:p>
      <w:pPr>
        <w:spacing w:after="0" w:line="67" w:lineRule="exact"/>
        <w:rPr>
          <w:sz w:val="20"/>
          <w:szCs w:val="20"/>
          <w:color w:val="auto"/>
        </w:rPr>
      </w:pPr>
    </w:p>
    <w:p>
      <w:pPr>
        <w:ind w:left="440" w:hanging="324"/>
        <w:spacing w:after="0"/>
        <w:tabs>
          <w:tab w:leader="none" w:pos="44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Indicates beneficial ownership of less than 1% of the total outstanding common stock.</w:t>
      </w:r>
    </w:p>
    <w:p>
      <w:pPr>
        <w:spacing w:after="0" w:line="67" w:lineRule="exact"/>
        <w:rPr>
          <w:sz w:val="20"/>
          <w:szCs w:val="20"/>
          <w:color w:val="auto"/>
        </w:rPr>
      </w:pPr>
    </w:p>
    <w:p>
      <w:pPr>
        <w:ind w:left="440" w:right="60" w:hanging="324"/>
        <w:spacing w:after="0"/>
        <w:tabs>
          <w:tab w:leader="none" w:pos="44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Consists of (i) 2,000,000 shares of common stock directly held by Third Rock Ventures III, L.P. (“TRV III”), (ii) 40,002,465 shares of common stock issuable upon the conversion of the Series A preferred stock directly held by TRV III, (iii) 5,000,000 shares of common stock issuable upon the conversion of the Series A preferred stock directly held by Third Rock Ventures IV, L.P. (“TRV IV”), (iv) 9,290,928 shares of common stock issuable upon the conversion of the Series B preferred stock directly held by Third Rock Ventures II, L.P. (“TRV II”), (v) 1,666,666 shares of common stock issuable upon the conversion of the Series B preferred stock directly held by TRV III, (vi) 1,666,667 shares of common stock issuable upon the conversion of the Series B preferred stock directly held by TRV IV, (vii) 242,719 shares of common stock issuable upon the conversion of the Series C preferred stock directly held by TRV III and (viii) 242,718 shares of common stock issuable upon the conversion of the Series C preferred stock directly held by TRV IV. Each of Third Rock Ventures II GP, LP (“TRV II GP”), the general partner of TRV II, and Third Rock Ventures GP II, LLC (“TRV II LLC”), the general partner of TRV II GP, and Mark Levin, Kevin Starr and Robert Tepper, the managers of TRV II LLC, may be deemed to have voting and investment power over the shares held of record by TRV II; each of Third Rock Ventures III GP, LP (“TRV III GP”), the general partner of TRV III, and Third Rock Ventures GP III, LLC (“TRV III LLC”), the general partner of TRV III GP, and Mark Levin, Kevin Starr and Robert Tepper, the managers of TRV III LLC, may be deemed to have voting and investment power over the shares held of record by TRV III; the general partner of TRV IV is Third Rock Ventures GP IV, L.P. (“TRV IV GP”) and the general partner of TRV IV GP is TRV GP IV, LLC (“TRV IV LLC”); Abbie Celniker, Ph.D., Robert Tepper, M.D., Craig Muir and Cary Pfeffer, M.D. are the managing members of TRV IV LLC and collectively make voting and investment decisions with respect to the shares held by TRV LP. The address for each of these persons and entities is 29 Newbury Street, Suite 401, Boston, MA 02116.</w:t>
      </w:r>
    </w:p>
    <w:p>
      <w:pPr>
        <w:spacing w:after="0" w:line="54" w:lineRule="exact"/>
        <w:rPr>
          <w:rFonts w:ascii="Arial" w:cs="Arial" w:eastAsia="Arial" w:hAnsi="Arial"/>
          <w:sz w:val="13"/>
          <w:szCs w:val="13"/>
          <w:color w:val="auto"/>
        </w:rPr>
      </w:pPr>
    </w:p>
    <w:p>
      <w:pPr>
        <w:ind w:left="440" w:right="40" w:hanging="324"/>
        <w:spacing w:after="0"/>
        <w:tabs>
          <w:tab w:leader="none" w:pos="44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Consists of (i) 11,740,876 shares of common stock issuable upon the conversion of the Series A preferred stock directly held by The Column Group III, LP (“TCG III”), (ii) 13,259,124 shares of common stock issuable upon the conversion of the Series A preferred stock directly held by The Column Group III-A, LP (“TCG III-A”), (iii) 3,130,900 shares of common stock issuable upon the conversion of the Series B preferred stock directly held by TCG III, (iv) 3,535,766 shares of common stock issuable upon the conversion of the Series B preferred stock directly held by TCG III-A, (v) 3,333,333 shares of common stock issuable upon the conversion of the Series B preferred stock directly held by Ponoi Capital, LP (“Ponoi”), (vi) 3,333,333 shares of common stock issuable upon the conversion of Series B preferred stock directly held by Ponoi Capital II, LP (“Ponoi II”), (vii) 227,978 shares of common stock issuable upon the conversion of the Series C preferred stock directly held by TCG III and (viii) 257,459 shares of common stock issuable upon the conversion of the Series C preferred stock directly held by TCG III-A. David Goeddel, Ph.D., Peter Svennilson and Tim Kutzkey, Ph.D., are the managing partners of (i) The Column Group III GP, LP, which is the general partner of TCG III and TCG III-A, (ii) Ponoi Management, LLC, which is the general partner of Ponoi, and (iii) Ponoi II Management, LLC, which is the general partner of Ponoi II. Dr. Goeddel, Mr. Svennilson and Dr. Kutzkey share voting and investment control over shares held by TCG III, TCG III-A, Ponoi and Ponoi II. Dr. Goeddel, Mr. Svennilson and Dr. Kutzkey disclaim beneficial ownership of all shares above except to the extent of their pecuniary interest therein. The address of the above persons and entities is 1700 Owens Street, Suite 500, San Francisco, California 94158.</w:t>
      </w:r>
    </w:p>
    <w:p>
      <w:pPr>
        <w:spacing w:after="0" w:line="56" w:lineRule="exact"/>
        <w:rPr>
          <w:rFonts w:ascii="Arial" w:cs="Arial" w:eastAsia="Arial" w:hAnsi="Arial"/>
          <w:sz w:val="13"/>
          <w:szCs w:val="13"/>
          <w:color w:val="auto"/>
        </w:rPr>
      </w:pPr>
    </w:p>
    <w:p>
      <w:pPr>
        <w:ind w:left="440" w:right="20" w:hanging="324"/>
        <w:spacing w:after="0" w:line="248" w:lineRule="auto"/>
        <w:tabs>
          <w:tab w:leader="none" w:pos="44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Consists of 16,364,939 shares of common stock issuable upon the conversion of the Series B preferred stock. Sanofi Research Invest, LLC is a wholly owned indirect subsidiary of Sanofi. Sanofi has the ability to exercise voting and investment power over the shares held by Sanofi Research Invest, LLC. The address for Sanofi Research Invest, LLC is 3711 Kennett Pike, Suite 200, Greenville, DE 19807.</w:t>
      </w:r>
    </w:p>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40"/>
          </w:cols>
          <w:pgMar w:left="320" w:top="459"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40" w:right="100" w:hanging="324"/>
        <w:spacing w:after="0" w:line="248" w:lineRule="auto"/>
        <w:tabs>
          <w:tab w:leader="none" w:pos="44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Consists of (i) 700,000 shares of common stock directly held by the Goldsmith Children 2011 Irrevocable Education Trust, (ii) 2,400,000 shares of common stock directly held by Mark A. Goldsmith and Anne E. Midler 2002 Revocable Living Trust and (iii) 4,774,098 shares of common stock that may be acquired pursuant to the exercise of stock options within 60 days of July 31, 2019.</w:t>
      </w:r>
    </w:p>
    <w:p>
      <w:pPr>
        <w:spacing w:after="0" w:line="49" w:lineRule="exact"/>
        <w:rPr>
          <w:rFonts w:ascii="Arial" w:cs="Arial" w:eastAsia="Arial" w:hAnsi="Arial"/>
          <w:sz w:val="13"/>
          <w:szCs w:val="13"/>
          <w:color w:val="auto"/>
        </w:rPr>
      </w:pPr>
    </w:p>
    <w:p>
      <w:pPr>
        <w:ind w:left="440" w:right="380" w:hanging="324"/>
        <w:spacing w:after="0" w:line="258" w:lineRule="auto"/>
        <w:tabs>
          <w:tab w:leader="none" w:pos="44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Consists of (i) 1,304,160 shares of common stock and (ii) 600,000 shares of common stock that may be acquired pursuant to the exercise of stock options within 60 days of July 31, 2019.</w:t>
      </w:r>
    </w:p>
    <w:p>
      <w:pPr>
        <w:spacing w:after="0" w:line="43" w:lineRule="exact"/>
        <w:rPr>
          <w:rFonts w:ascii="Arial" w:cs="Arial" w:eastAsia="Arial" w:hAnsi="Arial"/>
          <w:sz w:val="13"/>
          <w:szCs w:val="13"/>
          <w:color w:val="auto"/>
        </w:rPr>
      </w:pPr>
    </w:p>
    <w:p>
      <w:pPr>
        <w:ind w:left="440" w:right="460" w:hanging="324"/>
        <w:spacing w:after="0" w:line="258" w:lineRule="auto"/>
        <w:tabs>
          <w:tab w:leader="none" w:pos="44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Consists of (i) 600,000 shares of common stock directly held by Margaret A. Horn Revocable Living Trust and (ii) 1,216,280 shares of common stock that may be acquired pursuant to the exercise of stock options within 60 days of July 31, 2019.</w:t>
      </w:r>
    </w:p>
    <w:p>
      <w:pPr>
        <w:spacing w:after="0" w:line="43" w:lineRule="exact"/>
        <w:rPr>
          <w:rFonts w:ascii="Arial" w:cs="Arial" w:eastAsia="Arial" w:hAnsi="Arial"/>
          <w:sz w:val="13"/>
          <w:szCs w:val="13"/>
          <w:color w:val="auto"/>
        </w:rPr>
      </w:pPr>
    </w:p>
    <w:p>
      <w:pPr>
        <w:ind w:left="440" w:hanging="324"/>
        <w:spacing w:after="0" w:line="258" w:lineRule="auto"/>
        <w:tabs>
          <w:tab w:leader="none" w:pos="44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Consists of (i) 180,000 shares of common stock directly held by David W. Anderson 1996 Irrevocable Trust and (ii) 60,000 shares of common stock that may be acquired pursuant to the exercise of stock options within 60 days of July 31, 2019.</w:t>
      </w:r>
    </w:p>
    <w:p>
      <w:pPr>
        <w:spacing w:after="0" w:line="43" w:lineRule="exact"/>
        <w:rPr>
          <w:rFonts w:ascii="Arial" w:cs="Arial" w:eastAsia="Arial" w:hAnsi="Arial"/>
          <w:sz w:val="13"/>
          <w:szCs w:val="13"/>
          <w:color w:val="auto"/>
        </w:rPr>
      </w:pPr>
    </w:p>
    <w:p>
      <w:pPr>
        <w:ind w:left="440" w:hanging="324"/>
        <w:spacing w:after="0"/>
        <w:tabs>
          <w:tab w:leader="none" w:pos="44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Consists of the shares described in Footnote 1 above. Mr. Exter disclaims beneficial ownership of all such shares except to the extent of his pecuniary interests therein.</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Consists of 150,000 shares of common stock that may be acquired pursuant to the exercise of stock options within 60 days of July 31, 2019.</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060"/>
          </w:cols>
          <w:pgMar w:left="320" w:top="459" w:right="51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Description of capital stock</w:t>
      </w:r>
    </w:p>
    <w:p>
      <w:pPr>
        <w:spacing w:after="0" w:line="139" w:lineRule="exact"/>
        <w:rPr>
          <w:sz w:val="20"/>
          <w:szCs w:val="20"/>
          <w:color w:val="auto"/>
        </w:rPr>
      </w:pPr>
    </w:p>
    <w:p>
      <w:pPr>
        <w:ind w:left="120" w:right="40"/>
        <w:spacing w:after="0" w:line="275" w:lineRule="auto"/>
        <w:rPr>
          <w:sz w:val="20"/>
          <w:szCs w:val="20"/>
          <w:color w:val="auto"/>
        </w:rPr>
      </w:pPr>
      <w:r>
        <w:rPr>
          <w:rFonts w:ascii="Arial" w:cs="Arial" w:eastAsia="Arial" w:hAnsi="Arial"/>
          <w:sz w:val="16"/>
          <w:szCs w:val="16"/>
          <w:i w:val="1"/>
          <w:iCs w:val="1"/>
          <w:color w:val="auto"/>
        </w:rPr>
        <w:t>The following summary describes our capital stock and certain provisions of our amended and restated certificate of incorporation and our amended and restated bylaws, which will become effective immediately prior to the consummation of this offering, the amended and restated investors’ rights agreement to which we and certain of our stockholders are parties and of the Delaware General Corporation Law. Because the following is only a summary, it does not contain all of the information that may be important to you. For a complete description, you should refer to our amended and restated certificate of incorporation, amended and restated bylaws and amended and restated investors’ rights agreement, copies of which have been filed as exhibits to the registration statement of which this prospectus is part.</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General</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Immediately prior to the consummation of this offering, we will file our amended and restated certificate of incorporation that</w:t>
      </w:r>
    </w:p>
    <w:p>
      <w:pPr>
        <w:ind w:left="120" w:right="100"/>
        <w:spacing w:after="0" w:line="239" w:lineRule="auto"/>
        <w:rPr>
          <w:sz w:val="20"/>
          <w:szCs w:val="20"/>
          <w:color w:val="auto"/>
        </w:rPr>
      </w:pPr>
      <w:r>
        <w:rPr>
          <w:rFonts w:ascii="Arial" w:cs="Arial" w:eastAsia="Arial" w:hAnsi="Arial"/>
          <w:sz w:val="18"/>
          <w:szCs w:val="18"/>
          <w:color w:val="auto"/>
        </w:rPr>
        <w:t>authorizes shares of common stock, $0.0001 par value per share, and shares of preferred stock, $0.0001 par value per share. As of September 30, 2019, there were outstanding:</w:t>
      </w:r>
    </w:p>
    <w:p>
      <w:pPr>
        <w:spacing w:after="0" w:line="114" w:lineRule="exact"/>
        <w:rPr>
          <w:sz w:val="20"/>
          <w:szCs w:val="20"/>
          <w:color w:val="auto"/>
        </w:rPr>
      </w:pPr>
    </w:p>
    <w:p>
      <w:pPr>
        <w:ind w:left="120"/>
        <w:spacing w:after="0"/>
        <w:tabs>
          <w:tab w:leader="none" w:pos="900" w:val="left"/>
          <w:tab w:leader="none" w:pos="77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shares of our common stock, on an as-converted basis, held by approximately</w:t>
      </w:r>
      <w:r>
        <w:rPr>
          <w:sz w:val="20"/>
          <w:szCs w:val="20"/>
          <w:color w:val="auto"/>
        </w:rPr>
        <w:tab/>
      </w:r>
      <w:r>
        <w:rPr>
          <w:rFonts w:ascii="Arial" w:cs="Arial" w:eastAsia="Arial" w:hAnsi="Arial"/>
          <w:sz w:val="16"/>
          <w:szCs w:val="16"/>
          <w:color w:val="auto"/>
        </w:rPr>
        <w:t>stockholders of record; and</w:t>
      </w:r>
    </w:p>
    <w:p>
      <w:pPr>
        <w:spacing w:after="0" w:line="117" w:lineRule="exact"/>
        <w:rPr>
          <w:sz w:val="20"/>
          <w:szCs w:val="20"/>
          <w:color w:val="auto"/>
        </w:rPr>
      </w:pPr>
    </w:p>
    <w:p>
      <w:pPr>
        <w:ind w:left="920" w:hanging="804"/>
        <w:spacing w:after="0"/>
        <w:tabs>
          <w:tab w:leader="none" w:pos="9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shares of our common stock issuable upon exercise of outstanding stock options.</w:t>
      </w:r>
    </w:p>
    <w:p>
      <w:pPr>
        <w:sectPr>
          <w:pgSz w:w="11900" w:h="16838" w:orient="portrait"/>
          <w:cols w:equalWidth="0" w:num="1">
            <w:col w:w="11120"/>
          </w:cols>
          <w:pgMar w:left="320" w:top="459" w:right="459" w:bottom="1440" w:gutter="0" w:footer="0" w:header="0"/>
        </w:sectPr>
      </w:pPr>
    </w:p>
    <w:p>
      <w:pPr>
        <w:spacing w:after="0" w:line="10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connection with this offering, we expect to consummate a</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-for-</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reverse stock split of our common stock and preferred</w:t>
      </w:r>
    </w:p>
    <w:p>
      <w:pPr>
        <w:spacing w:after="0" w:line="27" w:lineRule="exact"/>
        <w:rPr>
          <w:sz w:val="20"/>
          <w:szCs w:val="20"/>
          <w:color w:val="auto"/>
        </w:rPr>
      </w:pPr>
    </w:p>
    <w:p>
      <w:pPr>
        <w:sectPr>
          <w:pgSz w:w="11900" w:h="16838" w:orient="portrait"/>
          <w:cols w:equalWidth="0" w:num="3">
            <w:col w:w="4860" w:space="720"/>
            <w:col w:w="380" w:space="720"/>
            <w:col w:w="444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stock.</w:t>
      </w:r>
    </w:p>
    <w:p>
      <w:pPr>
        <w:sectPr>
          <w:pgSz w:w="11900" w:h="16838" w:orient="portrait"/>
          <w:cols w:equalWidth="0" w:num="1">
            <w:col w:w="11120"/>
          </w:cols>
          <w:pgMar w:left="320" w:top="459" w:right="459" w:bottom="1440" w:gutter="0" w:footer="0" w:header="0"/>
          <w:type w:val="continuous"/>
        </w:sectPr>
      </w:pPr>
    </w:p>
    <w:p>
      <w:pPr>
        <w:spacing w:after="0" w:line="1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Common stock</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24" w:lineRule="exact"/>
        <w:rPr>
          <w:sz w:val="20"/>
          <w:szCs w:val="20"/>
          <w:color w:val="auto"/>
        </w:rPr>
      </w:pPr>
    </w:p>
    <w:p>
      <w:pPr>
        <w:ind w:left="120"/>
        <w:spacing w:after="0" w:line="272" w:lineRule="auto"/>
        <w:rPr>
          <w:sz w:val="20"/>
          <w:szCs w:val="20"/>
          <w:color w:val="auto"/>
        </w:rPr>
      </w:pPr>
      <w:r>
        <w:rPr>
          <w:rFonts w:ascii="Arial" w:cs="Arial" w:eastAsia="Arial" w:hAnsi="Arial"/>
          <w:sz w:val="16"/>
          <w:szCs w:val="16"/>
          <w:color w:val="auto"/>
        </w:rPr>
        <w:t>Each holder of our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 In addition, the affirmative vote of holders of 66-2/3% of the voting power of all of the then outstanding voting stock will be required to take certain actions, including amending certain provisions of our amended and restated certificate of incorporation, such as the provisions relating to amending our amended and restated bylaws, the classified board and director liability.</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24" w:lineRule="exact"/>
        <w:rPr>
          <w:sz w:val="20"/>
          <w:szCs w:val="20"/>
          <w:color w:val="auto"/>
        </w:rPr>
      </w:pPr>
    </w:p>
    <w:p>
      <w:pPr>
        <w:ind w:left="120" w:right="280"/>
        <w:spacing w:after="0" w:line="239" w:lineRule="auto"/>
        <w:rPr>
          <w:sz w:val="20"/>
          <w:szCs w:val="20"/>
          <w:color w:val="auto"/>
        </w:rPr>
      </w:pPr>
      <w:r>
        <w:rPr>
          <w:rFonts w:ascii="Arial" w:cs="Arial" w:eastAsia="Arial" w:hAnsi="Arial"/>
          <w:sz w:val="18"/>
          <w:szCs w:val="18"/>
          <w:color w:val="auto"/>
        </w:rPr>
        <w:t>Subject to preferences that may be applicable to any then outstanding preferred stock, holders of our common stock are entitled to receive dividends, if any, as may be declared from time to time by our board of directors out of legally available funds.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w:t>
      </w:r>
    </w:p>
    <w:p>
      <w:pPr>
        <w:spacing w:after="0" w:line="124"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20"/>
          </w:cols>
          <w:pgMar w:left="320" w:top="459" w:right="459" w:bottom="1440" w:gutter="0" w:footer="0" w:header="0"/>
          <w:type w:val="continuous"/>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24"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24" w:lineRule="exact"/>
        <w:rPr>
          <w:sz w:val="20"/>
          <w:szCs w:val="20"/>
          <w:color w:val="auto"/>
        </w:rPr>
      </w:pPr>
    </w:p>
    <w:p>
      <w:pPr>
        <w:ind w:left="120" w:right="660"/>
        <w:spacing w:after="0" w:line="239" w:lineRule="auto"/>
        <w:rPr>
          <w:sz w:val="20"/>
          <w:szCs w:val="20"/>
          <w:color w:val="auto"/>
        </w:rPr>
      </w:pPr>
      <w:r>
        <w:rPr>
          <w:rFonts w:ascii="Arial" w:cs="Arial" w:eastAsia="Arial" w:hAnsi="Arial"/>
          <w:sz w:val="18"/>
          <w:szCs w:val="18"/>
          <w:color w:val="auto"/>
        </w:rPr>
        <w:t>All of our outstanding shares of common stock are, and the shares of common stock to be issued in this offering will be, fully paid and nonassessable.</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Preferred stock</w:t>
      </w:r>
    </w:p>
    <w:p>
      <w:pPr>
        <w:spacing w:after="0" w:line="134" w:lineRule="exact"/>
        <w:rPr>
          <w:sz w:val="20"/>
          <w:szCs w:val="20"/>
          <w:color w:val="auto"/>
        </w:rPr>
      </w:pPr>
    </w:p>
    <w:p>
      <w:pPr>
        <w:ind w:left="120" w:right="40"/>
        <w:spacing w:after="0" w:line="234" w:lineRule="auto"/>
        <w:rPr>
          <w:sz w:val="20"/>
          <w:szCs w:val="20"/>
          <w:color w:val="auto"/>
        </w:rPr>
      </w:pPr>
      <w:r>
        <w:rPr>
          <w:rFonts w:ascii="Arial" w:cs="Arial" w:eastAsia="Arial" w:hAnsi="Arial"/>
          <w:sz w:val="18"/>
          <w:szCs w:val="18"/>
          <w:color w:val="auto"/>
        </w:rPr>
        <w:t>As of September 30, 2019, there were shares of preferred stock outstanding, held of record by stockholders. Immediately upon the consummation of this offering, all outstanding shares of our preferred stock as of September 30, 2019 will be converted</w:t>
      </w:r>
    </w:p>
    <w:p>
      <w:pPr>
        <w:spacing w:after="0" w:line="1" w:lineRule="exact"/>
        <w:rPr>
          <w:sz w:val="20"/>
          <w:szCs w:val="20"/>
          <w:color w:val="auto"/>
        </w:rPr>
      </w:pPr>
    </w:p>
    <w:p>
      <w:pPr>
        <w:ind w:left="120" w:right="60"/>
        <w:spacing w:after="0" w:line="264" w:lineRule="auto"/>
        <w:rPr>
          <w:sz w:val="20"/>
          <w:szCs w:val="20"/>
          <w:color w:val="auto"/>
        </w:rPr>
      </w:pPr>
      <w:r>
        <w:rPr>
          <w:rFonts w:ascii="Arial" w:cs="Arial" w:eastAsia="Arial" w:hAnsi="Arial"/>
          <w:sz w:val="16"/>
          <w:szCs w:val="16"/>
          <w:color w:val="auto"/>
        </w:rPr>
        <w:t>into an equivalent number of shares of our common stock. See Note 8 to our consolidated financial statements included elsewhere in this prospectus for a description of our currently outstanding preferred stock. Immediately prior to the consummation of this offering, our amended and restated certificate of incorporation will be amended and restated to delete all references to such shares of preferred stock. From and after the consummation of this offering, our board of directors will have the authority, without further action by our stockholders, to issue up</w:t>
      </w:r>
    </w:p>
    <w:p>
      <w:pPr>
        <w:ind w:left="120"/>
        <w:spacing w:after="0" w:line="269" w:lineRule="auto"/>
        <w:rPr>
          <w:sz w:val="20"/>
          <w:szCs w:val="20"/>
          <w:color w:val="auto"/>
        </w:rPr>
      </w:pPr>
      <w:r>
        <w:rPr>
          <w:rFonts w:ascii="Arial" w:cs="Arial" w:eastAsia="Arial" w:hAnsi="Arial"/>
          <w:sz w:val="16"/>
          <w:szCs w:val="16"/>
          <w:color w:val="auto"/>
        </w:rPr>
        <w:t>to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Immediately after consummation of this offering, no shares of preferred stock will be outstanding, and we have no present plan to issue any shares of preferred stock.</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Options</w:t>
      </w:r>
    </w:p>
    <w:p>
      <w:pPr>
        <w:sectPr>
          <w:pgSz w:w="11900" w:h="16838" w:orient="portrait"/>
          <w:cols w:equalWidth="0" w:num="1">
            <w:col w:w="11120"/>
          </w:cols>
          <w:pgMar w:left="320" w:top="459" w:right="459" w:bottom="1440" w:gutter="0" w:footer="0" w:header="0"/>
        </w:sectPr>
      </w:pPr>
    </w:p>
    <w:p>
      <w:pPr>
        <w:spacing w:after="0" w:line="134"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As of September 30, 2019, we had outstanding options to purchase average exercise price of $ , under our 2014 Equity Incentive Plan.</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 with a per share weighted-</w:t>
      </w:r>
    </w:p>
    <w:p>
      <w:pPr>
        <w:spacing w:after="0" w:line="401" w:lineRule="exact"/>
        <w:rPr>
          <w:sz w:val="20"/>
          <w:szCs w:val="20"/>
          <w:color w:val="auto"/>
        </w:rPr>
      </w:pPr>
    </w:p>
    <w:p>
      <w:pPr>
        <w:sectPr>
          <w:pgSz w:w="11900" w:h="16838" w:orient="portrait"/>
          <w:cols w:equalWidth="0" w:num="2">
            <w:col w:w="5840" w:space="400"/>
            <w:col w:w="488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22"/>
          <w:szCs w:val="22"/>
          <w:b w:val="1"/>
          <w:bCs w:val="1"/>
          <w:color w:val="auto"/>
        </w:rPr>
        <w:t>Registration rights</w:t>
      </w:r>
    </w:p>
    <w:p>
      <w:pPr>
        <w:spacing w:after="0" w:line="134"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Under our amended and restated investors’ rights agreement, based on the number of shares outstanding as of September 30, 2019, following the consummation of this offering, the holders of approximately 193 million shares of common stock, or their transferees, have the right to require us to register their shares under the Securities Act so that those shares may be publicly resold, and the holders of approximately 193 million shares of common stock, or their transferees, have the right to include their shares in any registration statement we file, in each case as described below.</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Form S-1 demand registration rights</w:t>
      </w:r>
    </w:p>
    <w:p>
      <w:pPr>
        <w:spacing w:after="0" w:line="124" w:lineRule="exact"/>
        <w:rPr>
          <w:sz w:val="20"/>
          <w:szCs w:val="20"/>
          <w:color w:val="auto"/>
        </w:rPr>
      </w:pPr>
    </w:p>
    <w:p>
      <w:pPr>
        <w:ind w:left="120" w:right="180"/>
        <w:spacing w:after="0" w:line="239" w:lineRule="auto"/>
        <w:rPr>
          <w:sz w:val="20"/>
          <w:szCs w:val="20"/>
          <w:color w:val="auto"/>
        </w:rPr>
      </w:pPr>
      <w:r>
        <w:rPr>
          <w:rFonts w:ascii="Arial" w:cs="Arial" w:eastAsia="Arial" w:hAnsi="Arial"/>
          <w:sz w:val="18"/>
          <w:szCs w:val="18"/>
          <w:color w:val="auto"/>
        </w:rPr>
        <w:t>After the consummation of this offering, the holders of approximately 193 million shares of our common stock (on an as-converted basis), or their transferees, will be entitled to certain Form S-1 demand registration rights.</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20"/>
          </w:cols>
          <w:pgMar w:left="320" w:top="459" w:right="459" w:bottom="1440" w:gutter="0" w:footer="0" w:header="0"/>
          <w:type w:val="continuous"/>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81" w:lineRule="auto"/>
        <w:rPr>
          <w:sz w:val="20"/>
          <w:szCs w:val="20"/>
          <w:color w:val="auto"/>
        </w:rPr>
      </w:pPr>
      <w:r>
        <w:rPr>
          <w:rFonts w:ascii="Arial" w:cs="Arial" w:eastAsia="Arial" w:hAnsi="Arial"/>
          <w:sz w:val="16"/>
          <w:szCs w:val="16"/>
          <w:color w:val="auto"/>
        </w:rPr>
        <w:t>Beginning 180 days following the effectiveness of the registration statement of which this prospectus is a part, the holders of at least a majority of these shares can request that we register all or a portion of their shares, so long as such holders request that we register at least 40% of the shares entitled to these demand registration rights. These stockholders may make up to two requests for registration on Form S-1.</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Form S-3 demand registration rights</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After the consummation of this offering, the holders of approximately 193 million shares of our common stock (on an as-converted basis), or their transferees, will be entitled to certain Form S-3 demand registration rights. If we are eligible to use a Form S-3 registration statement, the holders of at least 20% of these shares can request that we register all or a portion of their shares on a Form S-3 registration statement if the anticipated aggregate offering price is at least $5.0 million, net of certain expenses related to the sale of the shares. These stockholders may make unlimited requests for registration on Form S-3, provided that we are not obligated to effect, or take any action to effect, a registration on Form S-3 if we have effected two registrations on Form S-3 pursuant to requests by these stockholders within the 12 month period immediately preceding such request.</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24" w:lineRule="exact"/>
        <w:rPr>
          <w:sz w:val="20"/>
          <w:szCs w:val="20"/>
          <w:color w:val="auto"/>
        </w:rPr>
      </w:pPr>
    </w:p>
    <w:p>
      <w:pPr>
        <w:ind w:left="120" w:right="40"/>
        <w:spacing w:after="0" w:line="268" w:lineRule="auto"/>
        <w:rPr>
          <w:sz w:val="20"/>
          <w:szCs w:val="20"/>
          <w:color w:val="auto"/>
        </w:rPr>
      </w:pPr>
      <w:r>
        <w:rPr>
          <w:rFonts w:ascii="Arial" w:cs="Arial" w:eastAsia="Arial" w:hAnsi="Arial"/>
          <w:sz w:val="16"/>
          <w:szCs w:val="16"/>
          <w:color w:val="auto"/>
        </w:rPr>
        <w:t>After the consummation of this offering, in the event that we determine to register any of our securities under the Securities Act (subject to certain exceptions), either for our own account or for the account of other security holders, the holders of approximately 193 million shares of our common stock (on an as-converted basis), or their transferees, will be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certain registrations, including related to the sale of securities to employees pursuant to employee benefit plans, the offer and sale of debt securities, or an SEC Rule 145 transaction, the holders of these shares are entitled to notice of the registration and have the right, subject to limitations that the underwriters may impose on the number of shares included in the registration, to include their shares in the registration. In an underwritten offering, the underwriters have the right, subject to specified conditions, to limit the number of shares such holders may include.</w:t>
      </w:r>
    </w:p>
    <w:p>
      <w:pPr>
        <w:spacing w:after="0" w:line="3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24"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We will pay the registration expenses, excluding certain expenses related to the sale of shares, of the holders of the shares registered pursuant to the Form S-1 demand, Form S-3 demand and piggyback registration rights described above, including the reasonable expenses of one counsel for the selling holders not to exceed $25,000.</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Expiration of registration rights</w:t>
      </w:r>
    </w:p>
    <w:p>
      <w:pPr>
        <w:spacing w:after="0" w:line="124" w:lineRule="exact"/>
        <w:rPr>
          <w:sz w:val="20"/>
          <w:szCs w:val="20"/>
          <w:color w:val="auto"/>
        </w:rPr>
      </w:pPr>
    </w:p>
    <w:p>
      <w:pPr>
        <w:ind w:left="120" w:right="160"/>
        <w:spacing w:after="0" w:line="275" w:lineRule="auto"/>
        <w:rPr>
          <w:sz w:val="20"/>
          <w:szCs w:val="20"/>
          <w:color w:val="auto"/>
        </w:rPr>
      </w:pPr>
      <w:r>
        <w:rPr>
          <w:rFonts w:ascii="Arial" w:cs="Arial" w:eastAsia="Arial" w:hAnsi="Arial"/>
          <w:sz w:val="16"/>
          <w:szCs w:val="16"/>
          <w:color w:val="auto"/>
        </w:rPr>
        <w:t>The Form S-1 demand, Form S-3 demand and piggyback registration rights described above will terminate, with respect to any particular stockholder, upon the earlier of (i) five years after the consummation of this offering, (ii) following this offering, the date that Rule 144 or another similar exemption under the Securities Act is available to such stockholder for the sale of all of such stockholder’s shares without limitation during a three-month period, or (iii) upon the consummation of a merger, consolidation or the sale of substantially all of our assets.</w:t>
      </w:r>
    </w:p>
    <w:p>
      <w:pPr>
        <w:spacing w:after="0" w:line="1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00"/>
          </w:cols>
          <w:pgMar w:left="320" w:top="459" w:right="47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right="160"/>
        <w:spacing w:after="0" w:line="261" w:lineRule="auto"/>
        <w:rPr>
          <w:sz w:val="20"/>
          <w:szCs w:val="20"/>
          <w:color w:val="auto"/>
        </w:rPr>
      </w:pPr>
      <w:r>
        <w:rPr>
          <w:rFonts w:ascii="Arial" w:cs="Arial" w:eastAsia="Arial" w:hAnsi="Arial"/>
          <w:sz w:val="22"/>
          <w:szCs w:val="22"/>
          <w:b w:val="1"/>
          <w:bCs w:val="1"/>
          <w:color w:val="auto"/>
        </w:rPr>
        <w:t>Anti-takeover effects of provisions of our amended and restated certificate of incorporation, our amended and restated bylaws and Delaware law</w:t>
      </w:r>
    </w:p>
    <w:p>
      <w:pPr>
        <w:spacing w:after="0" w:line="79"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Some provisions of Delaware law and our amended and restated certificate of incorporation and our amended and restated bylaws that will become effective immediately prior to the consummation of this offering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02"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24" w:lineRule="exact"/>
        <w:rPr>
          <w:sz w:val="20"/>
          <w:szCs w:val="20"/>
          <w:color w:val="auto"/>
        </w:rPr>
      </w:pPr>
    </w:p>
    <w:p>
      <w:pPr>
        <w:ind w:left="120" w:right="100"/>
        <w:spacing w:after="0" w:line="235" w:lineRule="auto"/>
        <w:rPr>
          <w:sz w:val="20"/>
          <w:szCs w:val="20"/>
          <w:color w:val="auto"/>
        </w:rPr>
      </w:pPr>
      <w:r>
        <w:rPr>
          <w:rFonts w:ascii="Arial" w:cs="Arial" w:eastAsia="Arial" w:hAnsi="Arial"/>
          <w:sz w:val="18"/>
          <w:szCs w:val="18"/>
          <w:color w:val="auto"/>
        </w:rPr>
        <w:t>We are subject to Section 203 of the Delaware General Corporation Law,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beneficially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124"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The ability to authorize undesignated preferred stock makes it possible 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24"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Our amended and restated bylaws provide that a special meeting of stockholders may be called by our board of directors, or by our President, Chief Executive Officer or the Chair of our board of directors.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124"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Elimination of stockholder action by written consent</w:t>
      </w:r>
    </w:p>
    <w:p>
      <w:pPr>
        <w:spacing w:after="0" w:line="124" w:lineRule="exact"/>
        <w:rPr>
          <w:sz w:val="20"/>
          <w:szCs w:val="20"/>
          <w:color w:val="auto"/>
        </w:rPr>
      </w:pPr>
    </w:p>
    <w:p>
      <w:pPr>
        <w:ind w:left="120" w:right="420"/>
        <w:spacing w:after="0" w:line="239" w:lineRule="auto"/>
        <w:rPr>
          <w:sz w:val="20"/>
          <w:szCs w:val="20"/>
          <w:color w:val="auto"/>
        </w:rPr>
      </w:pPr>
      <w:r>
        <w:rPr>
          <w:rFonts w:ascii="Arial" w:cs="Arial" w:eastAsia="Arial" w:hAnsi="Arial"/>
          <w:sz w:val="18"/>
          <w:szCs w:val="18"/>
          <w:color w:val="auto"/>
        </w:rPr>
        <w:t>Our amended and restated certificate of incorporation and our amended and restated bylaws eliminate the right of stockholders to act by written consent without a meeting.</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 election and removal of directors; filling vacancies</w:t>
      </w:r>
    </w:p>
    <w:p>
      <w:pPr>
        <w:spacing w:after="0" w:line="12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Our board of directors is divided into three classes. The directors in each class will serve for a three-year term, one class being elected each year by our stockholders, with staggered three-year terms. Only one class of directors will be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Our amended and restated certificate of incorporation provides for the removal of any of our directors only for cause and requires a stockholder vote by the holders of at least a 66-2/3% of the voting power of the then outstanding voting stock. For more information on the classified board, see “Management—Board composition.” Furthermore, any vacancy on our board of directors, however occurring, including a vacancy resulting from an increase in the size of the board, may only be filled by a resolution of the board of directors unless the board of directors determines that such vacancies shall be filled by the stockholders. 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Choice of forum</w:t>
      </w:r>
    </w:p>
    <w:p>
      <w:pPr>
        <w:spacing w:after="0" w:line="124" w:lineRule="exact"/>
        <w:rPr>
          <w:sz w:val="20"/>
          <w:szCs w:val="20"/>
          <w:color w:val="auto"/>
        </w:rPr>
      </w:pPr>
    </w:p>
    <w:p>
      <w:pPr>
        <w:ind w:left="120" w:right="220"/>
        <w:spacing w:after="0" w:line="236" w:lineRule="auto"/>
        <w:rPr>
          <w:sz w:val="20"/>
          <w:szCs w:val="20"/>
          <w:color w:val="auto"/>
        </w:rPr>
      </w:pPr>
      <w:r>
        <w:rPr>
          <w:rFonts w:ascii="Arial" w:cs="Arial" w:eastAsia="Arial" w:hAnsi="Arial"/>
          <w:sz w:val="18"/>
          <w:szCs w:val="18"/>
          <w:color w:val="auto"/>
        </w:rPr>
        <w:t>Our amended and restated certificate of incorporation will provide that, unless we consent in writing to the selection of an alternative forum, the Court of Chancery of the State of Delaware will be the exclusive forum for: any state law derivative action or proceeding brought on our behalf; any action asserting a breach of fiduciary duty; any action asserting a claim against us arising pursuant to the Delaware General Corporation Law; or any action asserting a claim against us that is governed by the internal affairs doctrine. Although our amended and restated certificate of incorporation contains the choice of forum provision described above, it is possible that a court could find that such a provision is inapplicable for a particular claim or action or that such provision is unenforceable.</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 of certificate of incorporation provisions</w:t>
      </w:r>
    </w:p>
    <w:p>
      <w:pPr>
        <w:spacing w:after="0" w:line="124"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The amendment of any of the above provisions, except for the provision making it possible for our board of directors to issue undesignated preferred stock, would require approval by a stockholder vote by the holders of at least a 66-2/3% of the voting power of the then outstanding voting stock.</w:t>
      </w:r>
    </w:p>
    <w:p>
      <w:pPr>
        <w:spacing w:after="0" w:line="100"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The provisions of the Delaware General Corporation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Limitations of liability and indemnification matters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a discussion of liability and indemnification, see “Management—Limitation of liability and indemnification matters.”</w:t>
      </w:r>
    </w:p>
    <w:p>
      <w:pPr>
        <w:spacing w:after="0" w:line="14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00"/>
          </w:cols>
          <w:pgMar w:left="320" w:top="459" w:right="47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Nasdaq global market listing</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intend to apply to have our common stock approved for listing on the Nasdaq Global Market under the symbol “RVMD.”</w:t>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Transfer agent and registrar</w:t>
      </w:r>
    </w:p>
    <w:p>
      <w:pPr>
        <w:sectPr>
          <w:pgSz w:w="11900" w:h="16838" w:orient="portrait"/>
          <w:cols w:equalWidth="0" w:num="1">
            <w:col w:w="10139"/>
          </w:cols>
          <w:pgMar w:left="320" w:top="459" w:right="1440" w:bottom="1440" w:gutter="0" w:footer="0" w:header="0"/>
        </w:sectPr>
      </w:pPr>
    </w:p>
    <w:p>
      <w:pPr>
        <w:spacing w:after="0" w:line="13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transfer agent and registrar for our common stock is</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 The transfer agent and registrar’s address is</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3">
            <w:col w:w="4560" w:space="720"/>
            <w:col w:w="3540" w:space="580"/>
            <w:col w:w="739"/>
          </w:cols>
          <w:pgMar w:left="320" w:top="459" w:right="1440" w:bottom="1440" w:gutter="0" w:footer="0" w:header="0"/>
          <w:type w:val="continuous"/>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Shares eligible for future sale</w:t>
      </w:r>
    </w:p>
    <w:p>
      <w:pPr>
        <w:spacing w:after="0" w:line="157"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Prior to this offering, there has been no public market for our common stock, and we cannot assure investors that an active trading market for our common stock will develop or be sustained after this offering. Future sales of our common stock, including shares issued upon the exercise of outstanding options or warrants, in the public market after this offering, or the perception that those sales may occur, could cause the prevailing market price for our common stock to fall or impair our ability to raise equity capital in the future. As described below, only a limited number of shares of our common stock will be available for sale in the public market for a period of several months after consummation of this offering due to contractual and legal restrictions on resale described below.</w:t>
      </w:r>
    </w:p>
    <w:p>
      <w:pPr>
        <w:spacing w:after="0" w:line="102"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Future sales of our common stock in the public market either before (to the extent permitted) or after restrictions lapse, or the perception that those sales may occur, could adversely affect the prevailing market price of our common stock at such time and our ability to raise equity capital at a time and price we deem appropriate.</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Sale of restricted shares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Based on the number of shares of our common stock outstanding as of September 30, 2019 and assuming an initial public offering price of</w:t>
      </w:r>
    </w:p>
    <w:p>
      <w:pPr>
        <w:spacing w:after="0" w:line="19" w:lineRule="exact"/>
        <w:rPr>
          <w:sz w:val="20"/>
          <w:szCs w:val="20"/>
          <w:color w:val="auto"/>
        </w:rPr>
      </w:pPr>
    </w:p>
    <w:p>
      <w:pPr>
        <w:ind w:left="120" w:right="240" w:hanging="4"/>
        <w:spacing w:after="0" w:line="264" w:lineRule="auto"/>
        <w:tabs>
          <w:tab w:leader="none" w:pos="803" w:val="left"/>
        </w:tabs>
        <w:numPr>
          <w:ilvl w:val="0"/>
          <w:numId w:val="112"/>
        </w:numPr>
        <w:rPr>
          <w:rFonts w:ascii="Arial" w:cs="Arial" w:eastAsia="Arial" w:hAnsi="Arial"/>
          <w:sz w:val="16"/>
          <w:szCs w:val="16"/>
          <w:color w:val="auto"/>
        </w:rPr>
      </w:pPr>
      <w:r>
        <w:rPr>
          <w:rFonts w:ascii="Arial" w:cs="Arial" w:eastAsia="Arial" w:hAnsi="Arial"/>
          <w:sz w:val="16"/>
          <w:szCs w:val="16"/>
          <w:color w:val="auto"/>
        </w:rPr>
        <w:t>per share (the midpoint of the price range set forth on the cover of this prospectus), upon the consummation of this offering and assuming (1) the conversion of all shares of our outstanding preferred stock as of September 30, 2019, (2) no exercise of the underwriters’ option to purchase additional shares of common stock and (3) no exercise of any of our other outstanding options, we will have outstanding</w:t>
      </w:r>
    </w:p>
    <w:p>
      <w:pPr>
        <w:ind w:left="120"/>
        <w:spacing w:after="0"/>
        <w:tabs>
          <w:tab w:leader="none" w:pos="3340" w:val="left"/>
        </w:tabs>
        <w:rPr>
          <w:sz w:val="20"/>
          <w:szCs w:val="20"/>
          <w:color w:val="auto"/>
        </w:rPr>
      </w:pPr>
      <w:r>
        <w:rPr>
          <w:rFonts w:ascii="Arial" w:cs="Arial" w:eastAsia="Arial" w:hAnsi="Arial"/>
          <w:sz w:val="18"/>
          <w:szCs w:val="18"/>
          <w:color w:val="auto"/>
        </w:rPr>
        <w:t>an aggregate of approximately</w:t>
      </w:r>
      <w:r>
        <w:rPr>
          <w:sz w:val="20"/>
          <w:szCs w:val="20"/>
          <w:color w:val="auto"/>
        </w:rPr>
        <w:tab/>
      </w:r>
      <w:r>
        <w:rPr>
          <w:rFonts w:ascii="Arial" w:cs="Arial" w:eastAsia="Arial" w:hAnsi="Arial"/>
          <w:sz w:val="16"/>
          <w:szCs w:val="16"/>
          <w:color w:val="auto"/>
        </w:rPr>
        <w:t>shares of common stock.</w:t>
      </w:r>
    </w:p>
    <w:p>
      <w:pPr>
        <w:spacing w:after="0" w:line="104" w:lineRule="exact"/>
        <w:rPr>
          <w:sz w:val="20"/>
          <w:szCs w:val="20"/>
          <w:color w:val="auto"/>
        </w:rPr>
      </w:pPr>
    </w:p>
    <w:p>
      <w:pPr>
        <w:ind w:left="120" w:right="100"/>
        <w:spacing w:after="0" w:line="264" w:lineRule="auto"/>
        <w:rPr>
          <w:sz w:val="20"/>
          <w:szCs w:val="20"/>
          <w:color w:val="auto"/>
        </w:rPr>
      </w:pPr>
      <w:r>
        <w:rPr>
          <w:rFonts w:ascii="Arial" w:cs="Arial" w:eastAsia="Arial" w:hAnsi="Arial"/>
          <w:sz w:val="16"/>
          <w:szCs w:val="16"/>
          <w:color w:val="auto"/>
        </w:rPr>
        <w:t>All of the shares of common stock to be sold in this offering, and any shares sold upon exercise of the underwriters’ option to purchase additional shares, will be freely tradable in the public market without restriction or further registration under the Securities Act, unless the shares are held by any of our “affiliates” as such term is defined in Rule 144 of the Securities Act. All remaining shares of common stock held by existing stockholders immediately prior to the consummation of this offering will be “restricted securities” as such term is defined in Rule</w:t>
      </w:r>
    </w:p>
    <w:p>
      <w:pPr>
        <w:ind w:left="120" w:right="80" w:hanging="4"/>
        <w:spacing w:after="0" w:line="238" w:lineRule="auto"/>
        <w:tabs>
          <w:tab w:leader="none" w:pos="51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These restricted securities were issued and sold by us, or will be issued and sold by us, in private transactions and are eligible for public sale only if registered under the Securities Act or if they qualify for an exemption from registration under the Securities Act, including the exemptions provided by Rule 144 or Rule 701, which rules are summarized below.</w:t>
      </w:r>
    </w:p>
    <w:p>
      <w:pPr>
        <w:spacing w:after="0" w:line="100" w:lineRule="exact"/>
        <w:rPr>
          <w:sz w:val="20"/>
          <w:szCs w:val="20"/>
          <w:color w:val="auto"/>
        </w:rPr>
      </w:pPr>
    </w:p>
    <w:p>
      <w:pPr>
        <w:jc w:val="both"/>
        <w:ind w:left="120" w:right="220"/>
        <w:spacing w:after="0" w:line="238" w:lineRule="auto"/>
        <w:rPr>
          <w:sz w:val="20"/>
          <w:szCs w:val="20"/>
          <w:color w:val="auto"/>
        </w:rPr>
      </w:pPr>
      <w:r>
        <w:rPr>
          <w:rFonts w:ascii="Arial" w:cs="Arial" w:eastAsia="Arial" w:hAnsi="Arial"/>
          <w:sz w:val="18"/>
          <w:szCs w:val="18"/>
          <w:color w:val="auto"/>
        </w:rPr>
        <w:t>As a result of the lock-up agreements referred to below and the provisions of Rule 144 and Rule 701 under the Securities Act, based on the number of shares of our common stock outstanding as of September 30, 2019 and assumptions (1)-(3) described above, the shares of our common stock (excluding the shares sold in this offering) that will be available for sale in the public market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9"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Approximate number of shares</w:t>
            </w:r>
          </w:p>
        </w:tc>
        <w:tc>
          <w:tcPr>
            <w:tcW w:w="82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First date available for sale into public market</w:t>
            </w:r>
          </w:p>
        </w:tc>
      </w:tr>
      <w:tr>
        <w:trPr>
          <w:trHeight w:val="199"/>
        </w:trPr>
        <w:tc>
          <w:tcPr>
            <w:tcW w:w="2780" w:type="dxa"/>
            <w:vAlign w:val="bottom"/>
            <w:shd w:val="clear" w:color="auto" w:fill="CCEEFF"/>
          </w:tcPr>
          <w:p>
            <w:pPr>
              <w:ind w:left="820"/>
              <w:spacing w:after="0" w:line="199" w:lineRule="exact"/>
              <w:rPr>
                <w:sz w:val="20"/>
                <w:szCs w:val="20"/>
                <w:color w:val="auto"/>
              </w:rPr>
            </w:pPr>
            <w:r>
              <w:rPr>
                <w:rFonts w:ascii="Arial" w:cs="Arial" w:eastAsia="Arial" w:hAnsi="Arial"/>
                <w:sz w:val="18"/>
                <w:szCs w:val="18"/>
                <w:color w:val="auto"/>
              </w:rPr>
              <w:t>shares</w:t>
            </w:r>
          </w:p>
        </w:tc>
        <w:tc>
          <w:tcPr>
            <w:tcW w:w="8240" w:type="dxa"/>
            <w:vAlign w:val="bottom"/>
            <w:shd w:val="clear" w:color="auto" w:fill="CCEEFF"/>
          </w:tcPr>
          <w:p>
            <w:pPr>
              <w:ind w:left="200"/>
              <w:spacing w:after="0" w:line="199" w:lineRule="exact"/>
              <w:rPr>
                <w:sz w:val="20"/>
                <w:szCs w:val="20"/>
                <w:color w:val="auto"/>
              </w:rPr>
            </w:pPr>
            <w:r>
              <w:rPr>
                <w:rFonts w:ascii="Arial" w:cs="Arial" w:eastAsia="Arial" w:hAnsi="Arial"/>
                <w:sz w:val="18"/>
                <w:szCs w:val="18"/>
                <w:color w:val="auto"/>
                <w:w w:val="98"/>
              </w:rPr>
              <w:t>180 days after the date of this prospectus upon expiration of the lock-up agreements referred to below,</w:t>
            </w:r>
          </w:p>
        </w:tc>
      </w:tr>
      <w:tr>
        <w:trPr>
          <w:trHeight w:val="199"/>
        </w:trPr>
        <w:tc>
          <w:tcPr>
            <w:tcW w:w="2780" w:type="dxa"/>
            <w:vAlign w:val="bottom"/>
            <w:shd w:val="clear" w:color="auto" w:fill="CCEEFF"/>
          </w:tcPr>
          <w:p>
            <w:pPr>
              <w:spacing w:after="0"/>
              <w:rPr>
                <w:sz w:val="17"/>
                <w:szCs w:val="17"/>
                <w:color w:val="auto"/>
              </w:rPr>
            </w:pPr>
          </w:p>
        </w:tc>
        <w:tc>
          <w:tcPr>
            <w:tcW w:w="824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subject in some cases to applicable volume limitations under Rule 144</w:t>
            </w:r>
          </w:p>
        </w:tc>
      </w:tr>
      <w:tr>
        <w:trPr>
          <w:trHeight w:val="20"/>
        </w:trPr>
        <w:tc>
          <w:tcPr>
            <w:tcW w:w="2780" w:type="dxa"/>
            <w:vAlign w:val="bottom"/>
            <w:tcBorders>
              <w:bottom w:val="single" w:sz="8" w:color="auto"/>
            </w:tcBorders>
          </w:tcPr>
          <w:p>
            <w:pPr>
              <w:spacing w:after="0" w:line="20" w:lineRule="exact"/>
              <w:rPr>
                <w:sz w:val="1"/>
                <w:szCs w:val="1"/>
                <w:color w:val="auto"/>
              </w:rPr>
            </w:pPr>
          </w:p>
        </w:tc>
        <w:tc>
          <w:tcPr>
            <w:tcW w:w="82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Lock-up agreements</w:t>
      </w:r>
    </w:p>
    <w:p>
      <w:pPr>
        <w:spacing w:after="0" w:line="134" w:lineRule="exact"/>
        <w:rPr>
          <w:sz w:val="20"/>
          <w:szCs w:val="20"/>
          <w:color w:val="auto"/>
        </w:rPr>
      </w:pPr>
    </w:p>
    <w:p>
      <w:pPr>
        <w:jc w:val="both"/>
        <w:ind w:left="120" w:right="40"/>
        <w:spacing w:after="0" w:line="239" w:lineRule="auto"/>
        <w:rPr>
          <w:sz w:val="20"/>
          <w:szCs w:val="20"/>
          <w:color w:val="auto"/>
        </w:rPr>
      </w:pPr>
      <w:r>
        <w:rPr>
          <w:rFonts w:ascii="Arial" w:cs="Arial" w:eastAsia="Arial" w:hAnsi="Arial"/>
          <w:sz w:val="18"/>
          <w:szCs w:val="18"/>
          <w:color w:val="auto"/>
        </w:rPr>
        <w:t>In connection with this offering, we, our directors, our executive officers and substantially all of our other stockholders and option holders have agreed, subject to certain exceptions, with the underwriters not to</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40"/>
          </w:cols>
          <w:pgMar w:left="32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120" w:right="280"/>
        <w:spacing w:after="0" w:line="238" w:lineRule="auto"/>
        <w:rPr>
          <w:sz w:val="20"/>
          <w:szCs w:val="20"/>
          <w:color w:val="auto"/>
        </w:rPr>
      </w:pPr>
      <w:r>
        <w:rPr>
          <w:rFonts w:ascii="Arial" w:cs="Arial" w:eastAsia="Arial" w:hAnsi="Arial"/>
          <w:sz w:val="18"/>
          <w:szCs w:val="18"/>
          <w:color w:val="auto"/>
        </w:rPr>
        <w:t>dispose of or hedge any shares of our common stock or securities convertible into or exchangeable for shares of common stock during the period from the date of the lock-up agreement continuing through the date 180 days after the date of this prospectus, except with the prior written consent of J.P. Morgan Securities LLC. See the section titled “Underwriting” for additional information.</w:t>
      </w:r>
    </w:p>
    <w:p>
      <w:pPr>
        <w:spacing w:after="0" w:line="100" w:lineRule="exact"/>
        <w:rPr>
          <w:sz w:val="20"/>
          <w:szCs w:val="20"/>
          <w:color w:val="auto"/>
        </w:rPr>
      </w:pPr>
    </w:p>
    <w:p>
      <w:pPr>
        <w:ind w:left="120" w:right="200"/>
        <w:spacing w:after="0" w:line="238" w:lineRule="auto"/>
        <w:rPr>
          <w:sz w:val="20"/>
          <w:szCs w:val="20"/>
          <w:color w:val="auto"/>
        </w:rPr>
      </w:pPr>
      <w:r>
        <w:rPr>
          <w:rFonts w:ascii="Arial" w:cs="Arial" w:eastAsia="Arial" w:hAnsi="Arial"/>
          <w:sz w:val="18"/>
          <w:szCs w:val="18"/>
          <w:color w:val="auto"/>
        </w:rPr>
        <w:t>Subject to certain limitations, certain of our employees, including our executive officers, and/or directors may enter into written trading plans that are intended to comply with Rule 10b5-1 under the Exchange Act. Sales under these trading plans would not be permitted until the expiration of the lock-up agreements relating to the offering described above.</w:t>
      </w:r>
    </w:p>
    <w:p>
      <w:pPr>
        <w:spacing w:after="0" w:line="100" w:lineRule="exact"/>
        <w:rPr>
          <w:sz w:val="20"/>
          <w:szCs w:val="20"/>
          <w:color w:val="auto"/>
        </w:rPr>
      </w:pPr>
    </w:p>
    <w:p>
      <w:pPr>
        <w:ind w:left="120" w:right="60"/>
        <w:spacing w:after="0" w:line="281" w:lineRule="auto"/>
        <w:rPr>
          <w:sz w:val="20"/>
          <w:szCs w:val="20"/>
          <w:color w:val="auto"/>
        </w:rPr>
      </w:pPr>
      <w:r>
        <w:rPr>
          <w:rFonts w:ascii="Arial" w:cs="Arial" w:eastAsia="Arial" w:hAnsi="Arial"/>
          <w:sz w:val="16"/>
          <w:szCs w:val="16"/>
          <w:color w:val="auto"/>
        </w:rPr>
        <w:t>Following the lock-up periods set forth in the agreements described above, and assuming that J.P. Morgan Securities LLC of the underwriters does not release any parties from these agreements, all of the shares of our common stock that are restricted securities or are held by our affiliates as of the date of this prospectus will be eligible for sale in the public market in compliance with Rule 144 under the Securities Act.</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Rule 144</w:t>
      </w:r>
    </w:p>
    <w:p>
      <w:pPr>
        <w:spacing w:after="0" w:line="134" w:lineRule="exact"/>
        <w:rPr>
          <w:sz w:val="20"/>
          <w:szCs w:val="20"/>
          <w:color w:val="auto"/>
        </w:rPr>
      </w:pPr>
    </w:p>
    <w:p>
      <w:pPr>
        <w:ind w:left="120"/>
        <w:spacing w:after="0" w:line="264" w:lineRule="auto"/>
        <w:rPr>
          <w:sz w:val="20"/>
          <w:szCs w:val="20"/>
          <w:color w:val="auto"/>
        </w:rPr>
      </w:pPr>
      <w:r>
        <w:rPr>
          <w:rFonts w:ascii="Arial" w:cs="Arial" w:eastAsia="Arial" w:hAnsi="Arial"/>
          <w:sz w:val="16"/>
          <w:szCs w:val="16"/>
          <w:color w:val="auto"/>
        </w:rPr>
        <w:t>In general, under Rule 144, as currently in effect, once we have been subject to the public company reporting requirements of the Exchange Act, for at least 90 days, a person (or persons whose shares are required to be aggregated) who is not deemed to have been one of our “affiliates” for purposes of Rule 144 at any time during the three months preceding a sale, and who has beneficially owned restricted securities within the meaning of Rule 144 for at least six months, including the holding period of any prior owner other than one of our “affiliates,” is entitled to sell those shares in the public market (subject to the lock-up agreement referred to above, if applicable) without complying with the manner of sale, volume limitations or notice provisions of Rule 144, but subject to compliance with the public information requirements of Rule</w:t>
      </w:r>
    </w:p>
    <w:p>
      <w:pPr>
        <w:spacing w:after="0" w:line="1" w:lineRule="exact"/>
        <w:rPr>
          <w:sz w:val="20"/>
          <w:szCs w:val="20"/>
          <w:color w:val="auto"/>
        </w:rPr>
      </w:pPr>
    </w:p>
    <w:p>
      <w:pPr>
        <w:ind w:left="120" w:right="20" w:hanging="4"/>
        <w:spacing w:after="0" w:line="236" w:lineRule="auto"/>
        <w:tabs>
          <w:tab w:leader="none" w:pos="51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If such a person has beneficially owned the shares proposed to be sold for at least one year, including the holding period of any prior owner other than “affiliates,” then such person is entitled to sell such shares in the public market without complying with any of the requirements of Rule 144 (subject to the lock-up agreement referred to above, if applicable). In general, under Rule 144, as currently in effect, once we have been subject to the public company reporting requirements of the Exchange Act for at least 90 days, our “affiliates,” as defined in Rule 144, who have beneficially owned the shares proposed to be sold for at least six months are entitled to sell in the public market, upon expiration of any applicable lock-up agreements and within any three-month period, a number of those shares of our common stock that does not exceed the greater of:</w:t>
      </w:r>
    </w:p>
    <w:p>
      <w:pPr>
        <w:spacing w:after="0" w:line="114" w:lineRule="exact"/>
        <w:rPr>
          <w:sz w:val="20"/>
          <w:szCs w:val="20"/>
          <w:color w:val="auto"/>
        </w:rPr>
      </w:pPr>
    </w:p>
    <w:p>
      <w:pPr>
        <w:ind w:left="340" w:right="680" w:hanging="219"/>
        <w:spacing w:after="0" w:line="299" w:lineRule="auto"/>
        <w:tabs>
          <w:tab w:leader="none" w:pos="320" w:val="left"/>
        </w:tabs>
        <w:rPr>
          <w:sz w:val="20"/>
          <w:szCs w:val="20"/>
          <w:color w:val="auto"/>
        </w:rPr>
      </w:pPr>
      <w:r>
        <w:rPr>
          <w:rFonts w:ascii="Arial" w:cs="Arial" w:eastAsia="Arial" w:hAnsi="Arial"/>
          <w:sz w:val="16"/>
          <w:szCs w:val="16"/>
          <w:color w:val="auto"/>
        </w:rPr>
        <w:t>•</w:t>
        <w:tab/>
        <w:t>1% of the number of shares of common stock then outstanding, which will equal approximately shares of common stock immediately after this offering (calculated as of September 30, 2019 on the basis of the assumptions (1)-(3) described above); or</w:t>
      </w:r>
    </w:p>
    <w:p>
      <w:pPr>
        <w:spacing w:after="0" w:line="68" w:lineRule="exact"/>
        <w:rPr>
          <w:sz w:val="20"/>
          <w:szCs w:val="20"/>
          <w:color w:val="auto"/>
        </w:rPr>
      </w:pPr>
    </w:p>
    <w:p>
      <w:pPr>
        <w:ind w:left="340" w:right="100" w:hanging="224"/>
        <w:spacing w:after="0" w:line="239" w:lineRule="auto"/>
        <w:tabs>
          <w:tab w:leader="none" w:pos="3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Nasdaq Global Market during the four calendar weeks preceding the filing of a notice on Form 144 with respect to such sale.</w:t>
      </w:r>
    </w:p>
    <w:p>
      <w:pPr>
        <w:spacing w:after="0" w:line="101"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Such sales under Rule 144 by our “affiliates” or persons selling shares on behalf of our “affiliates” are also subject to certain manner of sale provisions, notice requirements and to the availability of current public information about us. Notwithstanding the availability of Rule 144, the holders of substantially all of our restricted securities have entered into lock-up agreements as referenced above and their restricted securities will become eligible for sale (subject to the above limitations under Rule 144) upon the expiration of the restrictions set forth in those agreements.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20"/>
          </w:cols>
          <w:pgMar w:left="32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Rule 701</w:t>
      </w:r>
    </w:p>
    <w:p>
      <w:pPr>
        <w:spacing w:after="0" w:line="134" w:lineRule="exact"/>
        <w:rPr>
          <w:sz w:val="20"/>
          <w:szCs w:val="20"/>
          <w:color w:val="auto"/>
        </w:rPr>
      </w:pPr>
    </w:p>
    <w:p>
      <w:pPr>
        <w:ind w:left="120" w:right="40"/>
        <w:spacing w:after="0" w:line="235" w:lineRule="auto"/>
        <w:rPr>
          <w:sz w:val="20"/>
          <w:szCs w:val="20"/>
          <w:color w:val="auto"/>
        </w:rPr>
      </w:pPr>
      <w:r>
        <w:rPr>
          <w:rFonts w:ascii="Arial" w:cs="Arial" w:eastAsia="Arial" w:hAnsi="Arial"/>
          <w:sz w:val="18"/>
          <w:szCs w:val="18"/>
          <w:color w:val="auto"/>
        </w:rPr>
        <w:t>In general, under Rule 701 as currently in effect, any of our employees, directors, officers, consultants or advisors who acquired common stock from us in connection with a written compensatory stock or option plan or other written agreement in compliance with Rule 701 under the Securities Act before the effective date of the registration statement of which this prospectus is a part (to the extent such common stock is not subject to a lock-up agreement) is entitled to rely on Rule 701 to resell such shares beginning 90 days after we become subject to the public company reporting requirements of the Exchange Act in reliance on Rule 144, but without compliance with the holding period requirements contained in Rule 144. Accordingly, subject to any applicable lock-up agreements, beginning 90 days after we become subject to the public company reporting requirements of the Exchange Act, under Rule 701 persons who are not our “affiliates,” as defined in Rule 144, may resell those shares without complying with the minimum holding period or public information requirements of Rule 144, and persons who are our “affiliates” may resell those shares without compliance with Rule 144’s minimum holding period requirements (subject to the terms of the lock-up agreement referred to above).</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Registration rights</w:t>
      </w:r>
    </w:p>
    <w:p>
      <w:pPr>
        <w:spacing w:after="0" w:line="134"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After the consummation of this offering, the holders of approximately 193 million shares of our common stock, or their transferees, will, subject to the lock-up agreements referred to above, be entitled to certain rights with respect to the registration of the offer and sale of those shares under the Securities Act. For a description of these registration rights, see “Description of capital stock—Registration rights.” If the offer and sale of these shares are registered, they will be freely tradable without restriction under the Securities Act.</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Stock plans</w:t>
      </w:r>
    </w:p>
    <w:p>
      <w:pPr>
        <w:spacing w:after="0" w:line="134" w:lineRule="exact"/>
        <w:rPr>
          <w:sz w:val="20"/>
          <w:szCs w:val="20"/>
          <w:color w:val="auto"/>
        </w:rPr>
      </w:pPr>
    </w:p>
    <w:p>
      <w:pPr>
        <w:ind w:left="120" w:right="200"/>
        <w:spacing w:after="0" w:line="236" w:lineRule="auto"/>
        <w:rPr>
          <w:sz w:val="20"/>
          <w:szCs w:val="20"/>
          <w:color w:val="auto"/>
        </w:rPr>
      </w:pPr>
      <w:r>
        <w:rPr>
          <w:rFonts w:ascii="Arial" w:cs="Arial" w:eastAsia="Arial" w:hAnsi="Arial"/>
          <w:sz w:val="18"/>
          <w:szCs w:val="18"/>
          <w:color w:val="auto"/>
        </w:rPr>
        <w:t>We intend to file with the SEC a registration statement under the Securities Act covering the shares of common stock reserved for issuance under our 2014 Equity Incentive Plan, our 20 Incentive Award Plan and our 20 Employee Stock Purchase Plan. Such registration statement is expected to be filed and become effective as soon as practicable after the consummation of this offering. Accordingly, shares registered under such registration statement will be available for sale in the open market following its effective date, subject to Rule 144 volume limitations and the lock-up agreements described above, if applicable.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20"/>
          </w:cols>
          <w:pgMar w:left="320" w:top="459"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Material U.S. federal income tax consequences to non-U.S. holders</w:t>
      </w:r>
    </w:p>
    <w:p>
      <w:pPr>
        <w:spacing w:after="0" w:line="157"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w:t>
      </w:r>
    </w:p>
    <w:p>
      <w:pPr>
        <w:spacing w:after="0" w:line="102"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100"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In addition, it does not address consequences relevant to Non-U.S. Holders subject to special rules, including, without limitation:</w:t>
      </w:r>
    </w:p>
    <w:p>
      <w:pPr>
        <w:spacing w:after="0" w:line="114" w:lineRule="exact"/>
        <w:rPr>
          <w:sz w:val="20"/>
          <w:szCs w:val="20"/>
          <w:color w:val="auto"/>
        </w:rPr>
      </w:pPr>
    </w:p>
    <w:p>
      <w:pPr>
        <w:ind w:left="340" w:hanging="224"/>
        <w:spacing w:after="0"/>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17" w:lineRule="exact"/>
        <w:rPr>
          <w:rFonts w:ascii="Arial" w:cs="Arial" w:eastAsia="Arial" w:hAnsi="Arial"/>
          <w:sz w:val="18"/>
          <w:szCs w:val="18"/>
          <w:color w:val="auto"/>
        </w:rPr>
      </w:pPr>
    </w:p>
    <w:p>
      <w:pPr>
        <w:ind w:left="340" w:right="320" w:hanging="224"/>
        <w:spacing w:after="0" w:line="239" w:lineRule="auto"/>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hedge, straddle or other risk reduction strategy or as part of a conversion transaction or other integrated investment;</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17" w:lineRule="exact"/>
        <w:rPr>
          <w:rFonts w:ascii="Arial" w:cs="Arial" w:eastAsia="Arial" w:hAnsi="Arial"/>
          <w:sz w:val="18"/>
          <w:szCs w:val="18"/>
          <w:color w:val="auto"/>
        </w:rPr>
      </w:pPr>
    </w:p>
    <w:p>
      <w:pPr>
        <w:ind w:left="340" w:right="120" w:hanging="224"/>
        <w:spacing w:after="0" w:line="239" w:lineRule="auto"/>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 (and investors therein);</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tax-qualified retirement plans; and</w:t>
      </w:r>
    </w:p>
    <w:p>
      <w:pPr>
        <w:spacing w:after="0" w:line="117" w:lineRule="exact"/>
        <w:rPr>
          <w:rFonts w:ascii="Arial" w:cs="Arial" w:eastAsia="Arial" w:hAnsi="Arial"/>
          <w:sz w:val="18"/>
          <w:szCs w:val="18"/>
          <w:color w:val="auto"/>
        </w:rPr>
      </w:pPr>
    </w:p>
    <w:p>
      <w:pPr>
        <w:ind w:left="340" w:right="260" w:hanging="224"/>
        <w:spacing w:after="0" w:line="239" w:lineRule="auto"/>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101" w:lineRule="exact"/>
        <w:rPr>
          <w:sz w:val="20"/>
          <w:szCs w:val="20"/>
          <w:color w:val="auto"/>
        </w:rPr>
      </w:pPr>
    </w:p>
    <w:p>
      <w:pPr>
        <w:ind w:left="120" w:right="380"/>
        <w:spacing w:after="0" w:line="237" w:lineRule="auto"/>
        <w:rPr>
          <w:sz w:val="20"/>
          <w:szCs w:val="20"/>
          <w:color w:val="auto"/>
        </w:rPr>
      </w:pPr>
      <w:r>
        <w:rPr>
          <w:rFonts w:ascii="Arial" w:cs="Arial" w:eastAsia="Arial" w:hAnsi="Arial"/>
          <w:sz w:val="18"/>
          <w:szCs w:val="18"/>
          <w:color w:val="auto"/>
        </w:rPr>
        <w:t>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80"/>
        <w:spacing w:after="0" w:line="236" w:lineRule="auto"/>
        <w:rPr>
          <w:sz w:val="20"/>
          <w:szCs w:val="20"/>
          <w:color w:val="auto"/>
        </w:rPr>
      </w:pPr>
      <w:r>
        <w:rPr>
          <w:rFonts w:ascii="Arial" w:cs="Arial" w:eastAsia="Arial" w:hAnsi="Arial"/>
          <w:sz w:val="18"/>
          <w:szCs w:val="18"/>
          <w:color w:val="auto"/>
        </w:rPr>
        <w:t>THIS DISCUSSION IS NOT TAX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Definition of non-U.S. holder</w:t>
      </w:r>
    </w:p>
    <w:p>
      <w:pPr>
        <w:spacing w:after="0" w:line="134" w:lineRule="exact"/>
        <w:rPr>
          <w:sz w:val="20"/>
          <w:szCs w:val="20"/>
          <w:color w:val="auto"/>
        </w:rPr>
      </w:pPr>
    </w:p>
    <w:p>
      <w:pPr>
        <w:jc w:val="both"/>
        <w:ind w:left="120" w:right="60"/>
        <w:spacing w:after="0" w:line="238" w:lineRule="auto"/>
        <w:rPr>
          <w:sz w:val="20"/>
          <w:szCs w:val="20"/>
          <w:color w:val="auto"/>
        </w:rPr>
      </w:pPr>
      <w:r>
        <w:rPr>
          <w:rFonts w:ascii="Arial" w:cs="Arial" w:eastAsia="Arial" w:hAnsi="Arial"/>
          <w:sz w:val="18"/>
          <w:szCs w:val="18"/>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113" w:lineRule="exact"/>
        <w:rPr>
          <w:sz w:val="20"/>
          <w:szCs w:val="20"/>
          <w:color w:val="auto"/>
        </w:rPr>
      </w:pPr>
    </w:p>
    <w:p>
      <w:pPr>
        <w:ind w:left="340" w:hanging="224"/>
        <w:spacing w:after="0"/>
        <w:tabs>
          <w:tab w:leader="none" w:pos="3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17" w:lineRule="exact"/>
        <w:rPr>
          <w:rFonts w:ascii="Arial" w:cs="Arial" w:eastAsia="Arial" w:hAnsi="Arial"/>
          <w:sz w:val="18"/>
          <w:szCs w:val="18"/>
          <w:color w:val="auto"/>
        </w:rPr>
      </w:pPr>
    </w:p>
    <w:p>
      <w:pPr>
        <w:ind w:left="340" w:right="20" w:hanging="224"/>
        <w:spacing w:after="0" w:line="238" w:lineRule="auto"/>
        <w:tabs>
          <w:tab w:leader="none" w:pos="3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all substantial decisions of which are subject to the control of one or more “United States persons” (within the meaning of Section 7701(a)(30) of the Code), or (2) has a valid election in effect to be treated as a United States person for U.S. federal income tax purposes.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Distributions</w:t>
      </w:r>
    </w:p>
    <w:p>
      <w:pPr>
        <w:spacing w:after="0" w:line="13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As described in the section of this prospectus titled “Dividend policy,” we have never declared or paid cash dividends on our capital stock, and we do not anticipate paying any cash dividends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101" w:lineRule="exact"/>
        <w:rPr>
          <w:sz w:val="20"/>
          <w:szCs w:val="20"/>
          <w:color w:val="auto"/>
        </w:rPr>
      </w:pPr>
    </w:p>
    <w:p>
      <w:pPr>
        <w:ind w:left="120" w:right="200"/>
        <w:spacing w:after="0" w:line="236" w:lineRule="auto"/>
        <w:rPr>
          <w:sz w:val="20"/>
          <w:szCs w:val="20"/>
          <w:color w:val="auto"/>
        </w:rPr>
      </w:pPr>
      <w:r>
        <w:rPr>
          <w:rFonts w:ascii="Arial" w:cs="Arial" w:eastAsia="Arial" w:hAnsi="Arial"/>
          <w:sz w:val="18"/>
          <w:szCs w:val="18"/>
          <w:color w:val="auto"/>
        </w:rPr>
        <w:t>Subject to the discussion below regarding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tax treaties.</w:t>
      </w:r>
    </w:p>
    <w:p>
      <w:pPr>
        <w:spacing w:after="0" w:line="102" w:lineRule="exact"/>
        <w:rPr>
          <w:sz w:val="20"/>
          <w:szCs w:val="20"/>
          <w:color w:val="auto"/>
        </w:rPr>
      </w:pPr>
    </w:p>
    <w:p>
      <w:pPr>
        <w:ind w:left="120" w:right="100"/>
        <w:spacing w:after="0" w:line="272" w:lineRule="auto"/>
        <w:rPr>
          <w:sz w:val="20"/>
          <w:szCs w:val="20"/>
          <w:color w:val="auto"/>
        </w:rPr>
      </w:pPr>
      <w:r>
        <w:rPr>
          <w:rFonts w:ascii="Arial" w:cs="Arial" w:eastAsia="Arial" w:hAnsi="Arial"/>
          <w:sz w:val="16"/>
          <w:szCs w:val="16"/>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00"/>
          </w:cols>
          <w:pgMar w:left="320" w:top="459" w:right="47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Any such effectively connected dividends will be subject to U.S. federal income tax on a net income basis at the regular graduated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Sale or other taxable disposition</w:t>
      </w:r>
    </w:p>
    <w:p>
      <w:pPr>
        <w:spacing w:after="0" w:line="134" w:lineRule="exact"/>
        <w:rPr>
          <w:sz w:val="20"/>
          <w:szCs w:val="20"/>
          <w:color w:val="auto"/>
        </w:rPr>
      </w:pPr>
    </w:p>
    <w:p>
      <w:pPr>
        <w:ind w:left="120" w:right="220"/>
        <w:spacing w:after="0" w:line="239" w:lineRule="auto"/>
        <w:rPr>
          <w:sz w:val="20"/>
          <w:szCs w:val="20"/>
          <w:color w:val="auto"/>
        </w:rPr>
      </w:pPr>
      <w:r>
        <w:rPr>
          <w:rFonts w:ascii="Arial" w:cs="Arial" w:eastAsia="Arial" w:hAnsi="Arial"/>
          <w:sz w:val="18"/>
          <w:szCs w:val="18"/>
          <w:color w:val="auto"/>
        </w:rPr>
        <w:t>Subject to the discussion below regarding backup withholding, a Non-U.S. Holder will not be subject to U.S. federal income tax on any gain realized upon the sale or other taxable disposition of our common stock unless:</w:t>
      </w:r>
    </w:p>
    <w:p>
      <w:pPr>
        <w:spacing w:after="0" w:line="114" w:lineRule="exact"/>
        <w:rPr>
          <w:sz w:val="20"/>
          <w:szCs w:val="20"/>
          <w:color w:val="auto"/>
        </w:rPr>
      </w:pPr>
    </w:p>
    <w:p>
      <w:pPr>
        <w:ind w:left="340" w:right="120" w:hanging="224"/>
        <w:spacing w:after="0" w:line="238" w:lineRule="auto"/>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13" w:lineRule="exact"/>
        <w:rPr>
          <w:rFonts w:ascii="Arial" w:cs="Arial" w:eastAsia="Arial" w:hAnsi="Arial"/>
          <w:sz w:val="18"/>
          <w:szCs w:val="18"/>
          <w:color w:val="auto"/>
        </w:rPr>
      </w:pPr>
    </w:p>
    <w:p>
      <w:pPr>
        <w:ind w:left="340" w:right="500" w:hanging="224"/>
        <w:spacing w:after="0" w:line="239" w:lineRule="auto"/>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114" w:lineRule="exact"/>
        <w:rPr>
          <w:rFonts w:ascii="Arial" w:cs="Arial" w:eastAsia="Arial" w:hAnsi="Arial"/>
          <w:sz w:val="18"/>
          <w:szCs w:val="18"/>
          <w:color w:val="auto"/>
        </w:rPr>
      </w:pPr>
    </w:p>
    <w:p>
      <w:pPr>
        <w:ind w:left="340" w:right="200" w:hanging="224"/>
        <w:spacing w:after="0" w:line="239" w:lineRule="auto"/>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(“USRPI”), by reason of our status as a U.S. real property holding corporation (“USRPHC”), for U.S. federal income tax purposes.</w:t>
      </w:r>
    </w:p>
    <w:p>
      <w:pPr>
        <w:spacing w:after="0" w:line="101" w:lineRule="exact"/>
        <w:rPr>
          <w:sz w:val="20"/>
          <w:szCs w:val="20"/>
          <w:color w:val="auto"/>
        </w:rPr>
      </w:pPr>
    </w:p>
    <w:p>
      <w:pPr>
        <w:ind w:left="120" w:right="480"/>
        <w:spacing w:after="0" w:line="238"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graduated rates. A Non-U.S. Holder that is a corporation also may be subject to a branch profits tax at a rate of 30% (or such lower rate specified by an applicable income tax treaty) on such effectively connected gain, as adjusted for certain items.</w:t>
      </w:r>
    </w:p>
    <w:p>
      <w:pPr>
        <w:spacing w:after="0" w:line="100" w:lineRule="exact"/>
        <w:rPr>
          <w:sz w:val="20"/>
          <w:szCs w:val="20"/>
          <w:color w:val="auto"/>
        </w:rPr>
      </w:pPr>
    </w:p>
    <w:p>
      <w:pPr>
        <w:jc w:val="both"/>
        <w:ind w:left="120" w:right="60"/>
        <w:spacing w:after="0" w:line="237" w:lineRule="auto"/>
        <w:rPr>
          <w:sz w:val="20"/>
          <w:szCs w:val="20"/>
          <w:color w:val="auto"/>
        </w:rPr>
      </w:pPr>
      <w:r>
        <w:rPr>
          <w:rFonts w:ascii="Arial" w:cs="Arial" w:eastAsia="Arial" w:hAnsi="Arial"/>
          <w:sz w:val="18"/>
          <w:szCs w:val="18"/>
          <w:color w:val="auto"/>
        </w:rPr>
        <w:t>Gain described in the second bullet point above will be subject to U.S. federal income tax at a rate of 30% (or such lower rate specified by an applicable income tax treaty), which may be offset by certain U.S. source capital losses of the Non-U.S. Holder (even though the individual is not considered a resident of the United States), provided the Non-U.S. Holder has timely filed U.S. federal income tax returns with respect to such losses.</w:t>
      </w:r>
    </w:p>
    <w:p>
      <w:pPr>
        <w:spacing w:after="0" w:line="100"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Non-U.S. Holders should consult their tax advisors regarding any applicable tax treaties that may provide for different rules.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Information reporting and backup withholding</w:t>
      </w:r>
    </w:p>
    <w:p>
      <w:pPr>
        <w:spacing w:after="0" w:line="134" w:lineRule="exact"/>
        <w:rPr>
          <w:sz w:val="20"/>
          <w:szCs w:val="20"/>
          <w:color w:val="auto"/>
        </w:rPr>
      </w:pPr>
    </w:p>
    <w:p>
      <w:pPr>
        <w:ind w:left="120" w:right="40"/>
        <w:spacing w:after="0" w:line="275" w:lineRule="auto"/>
        <w:rPr>
          <w:sz w:val="20"/>
          <w:szCs w:val="20"/>
          <w:color w:val="auto"/>
        </w:rPr>
      </w:pPr>
      <w:r>
        <w:rPr>
          <w:rFonts w:ascii="Arial" w:cs="Arial" w:eastAsia="Arial" w:hAnsi="Arial"/>
          <w:sz w:val="16"/>
          <w:szCs w:val="16"/>
          <w:color w:val="auto"/>
        </w:rPr>
        <w:t>Payments of dividends on our common stock will not be subject to backup withholding, provided the Non-U.S. Holder certifies its non-U.S. status, such as by furnishing a valid IRS Form W-8BEN, W-8BEN-E or W-8ECI, or otherwise establishes an exemption. However, information returns are required to be filed with the IRS in connection with any dividends on our common stock paid to the Non-U.S. Holder, regardless of whether any tax was actually withheld. In addition, proceeds of the sale or other taxable disposition of our common stock within</w:t>
      </w:r>
    </w:p>
    <w:p>
      <w:pPr>
        <w:spacing w:after="0" w:line="1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00"/>
          </w:cols>
          <w:pgMar w:left="320" w:top="459" w:right="47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60"/>
        <w:spacing w:after="0" w:line="275" w:lineRule="auto"/>
        <w:rPr>
          <w:sz w:val="20"/>
          <w:szCs w:val="20"/>
          <w:color w:val="auto"/>
        </w:rPr>
      </w:pPr>
      <w:r>
        <w:rPr>
          <w:rFonts w:ascii="Arial" w:cs="Arial" w:eastAsia="Arial" w:hAnsi="Arial"/>
          <w:sz w:val="16"/>
          <w:szCs w:val="16"/>
          <w:color w:val="auto"/>
        </w:rPr>
        <w:t>the United States or conducted through certain U.S.-related brokers generally will not be subject to backup withholding or information reporting if the applicable withholding agent receives the certification described above or the Non-U.S. Holder otherwise establishes an exemption. Proceeds of a disposition of our common stock conducted through a non-U.S. office of a non-U.S. broker that does not have certain enumerated relationships with the United States generally will not be subject to backup withholding or information reporting.</w:t>
      </w:r>
    </w:p>
    <w:p>
      <w:pPr>
        <w:spacing w:after="0" w:line="75"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01"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Additional withholding tax on payments made to foreign accounts</w:t>
      </w:r>
    </w:p>
    <w:p>
      <w:pPr>
        <w:spacing w:after="0" w:line="13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Withholding taxes may be imposed under Sections 1471 to 1474 of the Code (such Sections commonly referred to as the Foreign Account Tax Compliance Act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06"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Under the applicable Treasury Regulations and administrative guidance, withholding under FATCA generally applies to payments of dividends on our common stock. While, beginning on January 1, 2019, withholding under FATCA would have applied also to payments of gross proceeds from the sale or other disposition of our common stock, recently proposed Treasury Regulations eliminate FATCA withholding on payments of gross proceeds entirely. Taxpayers generally may rely on these proposed Treasury Regulations until final Treasury Regulations are issued.</w:t>
      </w:r>
    </w:p>
    <w:p>
      <w:pPr>
        <w:spacing w:after="0" w:line="103" w:lineRule="exact"/>
        <w:rPr>
          <w:sz w:val="20"/>
          <w:szCs w:val="20"/>
          <w:color w:val="auto"/>
        </w:rPr>
      </w:pPr>
    </w:p>
    <w:p>
      <w:pPr>
        <w:ind w:left="120" w:right="200"/>
        <w:spacing w:after="0" w:line="239"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00"/>
          </w:cols>
          <w:pgMar w:left="320" w:top="459" w:right="47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Underwriting</w:t>
      </w:r>
    </w:p>
    <w:p>
      <w:pPr>
        <w:spacing w:after="0" w:line="157"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We are offering the shares of common stock described in this prospectus through a number of underwriters. J.P. Morgan Securities LLC, Cowen and Company, LLC, SVB Leerink LLC and Guggenheim Securities, LLC are acting as book-running managers of the offering and as representatives of the underwriters. We have entered into an underwriting agreement with the underwriters. Subject to the terms and conditions of the underwriting agreement, we have agreed to sell to the underwriters, and each underwriter has severally agreed to purchase, at the initial public offering price less the underwriting discounts and commissions set forth on the cover page of this prospectus, the number of shares of common stock listed next to its name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699516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6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Name</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jc w:val="right"/>
        <w:ind w:right="60"/>
        <w:spacing w:after="0"/>
        <w:rPr>
          <w:sz w:val="20"/>
          <w:szCs w:val="20"/>
          <w:color w:val="auto"/>
        </w:rPr>
      </w:pPr>
      <w:r>
        <w:rPr>
          <w:rFonts w:ascii="Arial" w:cs="Arial" w:eastAsia="Arial" w:hAnsi="Arial"/>
          <w:sz w:val="16"/>
          <w:szCs w:val="16"/>
          <w:b w:val="1"/>
          <w:bCs w:val="1"/>
          <w:color w:val="auto"/>
        </w:rPr>
        <w:t>Number of</w:t>
      </w:r>
    </w:p>
    <w:p>
      <w:pPr>
        <w:spacing w:after="0" w:line="41"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-6402705</wp:posOffset>
            </wp:positionH>
            <wp:positionV relativeFrom="paragraph">
              <wp:posOffset>-4445</wp:posOffset>
            </wp:positionV>
            <wp:extent cx="6995160" cy="1371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5" w:lineRule="exact"/>
        <w:rPr>
          <w:sz w:val="20"/>
          <w:szCs w:val="20"/>
          <w:color w:val="auto"/>
        </w:rPr>
      </w:pPr>
    </w:p>
    <w:p>
      <w:pPr>
        <w:sectPr>
          <w:pgSz w:w="11900" w:h="16838" w:orient="portrait"/>
          <w:cols w:equalWidth="0" w:num="2">
            <w:col w:w="9480" w:space="720"/>
            <w:col w:w="940"/>
          </w:cols>
          <w:pgMar w:left="320" w:top="459" w:right="439" w:bottom="1440" w:gutter="0" w:footer="0" w:header="0"/>
          <w:type w:val="continuous"/>
        </w:sectPr>
      </w:pPr>
    </w:p>
    <w:p>
      <w:pPr>
        <w:ind w:left="340"/>
        <w:spacing w:after="0"/>
        <w:rPr>
          <w:sz w:val="20"/>
          <w:szCs w:val="20"/>
          <w:color w:val="auto"/>
        </w:rPr>
      </w:pPr>
      <w:r>
        <w:rPr>
          <w:rFonts w:ascii="Arial" w:cs="Arial" w:eastAsia="Arial" w:hAnsi="Arial"/>
          <w:sz w:val="18"/>
          <w:szCs w:val="18"/>
          <w:color w:val="auto"/>
        </w:rPr>
        <w:t>J.P. Morgan Securities LLC</w:t>
      </w:r>
    </w:p>
    <w:p>
      <w:pPr>
        <w:ind w:left="340"/>
        <w:spacing w:after="0" w:line="234" w:lineRule="auto"/>
        <w:rPr>
          <w:sz w:val="20"/>
          <w:szCs w:val="20"/>
          <w:color w:val="auto"/>
        </w:rPr>
      </w:pPr>
      <w:r>
        <w:rPr>
          <w:rFonts w:ascii="Arial" w:cs="Arial" w:eastAsia="Arial" w:hAnsi="Arial"/>
          <w:sz w:val="18"/>
          <w:szCs w:val="18"/>
          <w:color w:val="auto"/>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1289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340"/>
        <w:spacing w:after="0" w:line="235" w:lineRule="auto"/>
        <w:rPr>
          <w:sz w:val="20"/>
          <w:szCs w:val="20"/>
          <w:color w:val="auto"/>
        </w:rPr>
      </w:pPr>
      <w:r>
        <w:rPr>
          <w:rFonts w:ascii="Arial" w:cs="Arial" w:eastAsia="Arial" w:hAnsi="Arial"/>
          <w:sz w:val="18"/>
          <w:szCs w:val="18"/>
          <w:color w:val="auto"/>
        </w:rPr>
        <w:t>SVB Leerink LLC</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Guggenheim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-4445</wp:posOffset>
            </wp:positionV>
            <wp:extent cx="6995160" cy="1454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3810</wp:posOffset>
            </wp:positionV>
            <wp:extent cx="696087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60870" cy="8890"/>
                    </a:xfrm>
                    <a:prstGeom prst="rect">
                      <a:avLst/>
                    </a:prstGeom>
                    <a:noFill/>
                  </pic:spPr>
                </pic:pic>
              </a:graphicData>
            </a:graphic>
          </wp:anchor>
        </w:drawing>
      </w:r>
    </w:p>
    <w:p>
      <w:pPr>
        <w:spacing w:after="0" w:line="111" w:lineRule="exact"/>
        <w:rPr>
          <w:sz w:val="20"/>
          <w:szCs w:val="20"/>
          <w:color w:val="auto"/>
        </w:rPr>
      </w:pPr>
    </w:p>
    <w:p>
      <w:pPr>
        <w:ind w:left="120" w:right="200"/>
        <w:spacing w:after="0" w:line="238" w:lineRule="auto"/>
        <w:rPr>
          <w:sz w:val="20"/>
          <w:szCs w:val="20"/>
          <w:color w:val="auto"/>
        </w:rPr>
      </w:pPr>
      <w:r>
        <w:rPr>
          <w:rFonts w:ascii="Arial" w:cs="Arial" w:eastAsia="Arial" w:hAnsi="Arial"/>
          <w:sz w:val="18"/>
          <w:szCs w:val="18"/>
          <w:color w:val="auto"/>
        </w:rPr>
        <w:t>The underwriters are committed to purchase all the shares of common stock offered by us if they purchase any shares. The underwriting agreement also provides that if an underwriter defaults, the purchase commitments of non-defaulting underwriters may also be increased or the offering may be terminated.</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underwriters propose to offer the common stock directly to the public at the initial public offering price set forth on the cover page of this</w:t>
      </w:r>
    </w:p>
    <w:p>
      <w:pPr>
        <w:spacing w:after="0" w:line="19"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prospectus and to certain dealers at that price less a concession not in excess of $ per share. After the initial offering of the shares to the public, if all of the common stock is not sold at the initial public offering price, the underwriters may change the offering price and the other selling terms. Sales of shares made outside of the United States may be made by affiliates of the underwriters.</w:t>
      </w:r>
    </w:p>
    <w:p>
      <w:pPr>
        <w:spacing w:after="0" w:line="100" w:lineRule="exact"/>
        <w:rPr>
          <w:sz w:val="20"/>
          <w:szCs w:val="20"/>
          <w:color w:val="auto"/>
        </w:rPr>
      </w:pPr>
    </w:p>
    <w:p>
      <w:pPr>
        <w:ind w:left="120" w:right="60"/>
        <w:spacing w:after="0" w:line="272" w:lineRule="auto"/>
        <w:rPr>
          <w:sz w:val="20"/>
          <w:szCs w:val="20"/>
          <w:color w:val="auto"/>
        </w:rPr>
      </w:pPr>
      <w:r>
        <w:rPr>
          <w:rFonts w:ascii="Arial" w:cs="Arial" w:eastAsia="Arial" w:hAnsi="Arial"/>
          <w:sz w:val="16"/>
          <w:szCs w:val="16"/>
          <w:color w:val="auto"/>
        </w:rPr>
        <w:t>The underwriters have an option to purchase up to additional shares of common stock from us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78" w:lineRule="exact"/>
        <w:rPr>
          <w:sz w:val="20"/>
          <w:szCs w:val="20"/>
          <w:color w:val="auto"/>
        </w:rPr>
      </w:pPr>
    </w:p>
    <w:p>
      <w:pPr>
        <w:ind w:left="120" w:right="280"/>
        <w:spacing w:after="0" w:line="239" w:lineRule="auto"/>
        <w:rPr>
          <w:sz w:val="20"/>
          <w:szCs w:val="20"/>
          <w:color w:val="auto"/>
        </w:rPr>
      </w:pPr>
      <w:r>
        <w:rPr>
          <w:rFonts w:ascii="Arial" w:cs="Arial" w:eastAsia="Arial" w:hAnsi="Arial"/>
          <w:sz w:val="18"/>
          <w:szCs w:val="18"/>
          <w:color w:val="auto"/>
        </w:rPr>
        <w:t>The underwriters do not expect to sell more than 5% of the shares of common stock in the aggregate to accounts over which they exercise discretionary authority.</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underwriting fee is equal to the public offering price per share of common stock less the amount paid by the underwriters to us per share</w:t>
      </w:r>
    </w:p>
    <w:p>
      <w:pPr>
        <w:spacing w:after="0" w:line="19" w:lineRule="exact"/>
        <w:rPr>
          <w:sz w:val="20"/>
          <w:szCs w:val="20"/>
          <w:color w:val="auto"/>
        </w:rPr>
      </w:pPr>
    </w:p>
    <w:p>
      <w:pPr>
        <w:ind w:left="120" w:right="300"/>
        <w:spacing w:after="0" w:line="238" w:lineRule="auto"/>
        <w:rPr>
          <w:sz w:val="20"/>
          <w:szCs w:val="20"/>
          <w:color w:val="auto"/>
        </w:rPr>
      </w:pPr>
      <w:r>
        <w:rPr>
          <w:rFonts w:ascii="Arial" w:cs="Arial" w:eastAsia="Arial" w:hAnsi="Arial"/>
          <w:sz w:val="18"/>
          <w:szCs w:val="18"/>
          <w:color w:val="auto"/>
        </w:rPr>
        <w:t>of common stock. The underwriting fee is $ per share. The following table shows the per share and total underwriting discounts and commissions to be paid to the underwriters assuming both no exercise and full exercise of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080" w:type="dxa"/>
            <w:vAlign w:val="bottom"/>
          </w:tcPr>
          <w:p>
            <w:pPr>
              <w:spacing w:after="0"/>
              <w:rPr>
                <w:sz w:val="18"/>
                <w:szCs w:val="18"/>
                <w:color w:val="auto"/>
              </w:rPr>
            </w:pPr>
          </w:p>
        </w:tc>
        <w:tc>
          <w:tcPr>
            <w:tcW w:w="6000" w:type="dxa"/>
            <w:vAlign w:val="bottom"/>
          </w:tcPr>
          <w:p>
            <w:pPr>
              <w:jc w:val="right"/>
              <w:ind w:right="352"/>
              <w:spacing w:after="0"/>
              <w:rPr>
                <w:sz w:val="20"/>
                <w:szCs w:val="20"/>
                <w:color w:val="auto"/>
              </w:rPr>
            </w:pPr>
            <w:r>
              <w:rPr>
                <w:rFonts w:ascii="Arial" w:cs="Arial" w:eastAsia="Arial" w:hAnsi="Arial"/>
                <w:sz w:val="18"/>
                <w:szCs w:val="18"/>
                <w:b w:val="1"/>
                <w:bCs w:val="1"/>
                <w:color w:val="auto"/>
              </w:rPr>
              <w:t>Without option</w:t>
            </w: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With full option</w:t>
            </w:r>
          </w:p>
        </w:tc>
      </w:tr>
      <w:tr>
        <w:trPr>
          <w:trHeight w:val="203"/>
        </w:trPr>
        <w:tc>
          <w:tcPr>
            <w:tcW w:w="3080" w:type="dxa"/>
            <w:vAlign w:val="bottom"/>
          </w:tcPr>
          <w:p>
            <w:pPr>
              <w:spacing w:after="0"/>
              <w:rPr>
                <w:sz w:val="17"/>
                <w:szCs w:val="17"/>
                <w:color w:val="auto"/>
              </w:rPr>
            </w:pPr>
          </w:p>
        </w:tc>
        <w:tc>
          <w:tcPr>
            <w:tcW w:w="6000" w:type="dxa"/>
            <w:vAlign w:val="bottom"/>
          </w:tcPr>
          <w:p>
            <w:pPr>
              <w:jc w:val="right"/>
              <w:ind w:right="352"/>
              <w:spacing w:after="0" w:line="202" w:lineRule="exact"/>
              <w:rPr>
                <w:sz w:val="20"/>
                <w:szCs w:val="20"/>
                <w:color w:val="auto"/>
              </w:rPr>
            </w:pPr>
            <w:r>
              <w:rPr>
                <w:rFonts w:ascii="Arial" w:cs="Arial" w:eastAsia="Arial" w:hAnsi="Arial"/>
                <w:sz w:val="18"/>
                <w:szCs w:val="18"/>
                <w:b w:val="1"/>
                <w:bCs w:val="1"/>
                <w:color w:val="auto"/>
              </w:rPr>
              <w:t>to purchase</w:t>
            </w:r>
          </w:p>
        </w:tc>
        <w:tc>
          <w:tcPr>
            <w:tcW w:w="19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to purchase</w:t>
            </w:r>
          </w:p>
        </w:tc>
      </w:tr>
      <w:tr>
        <w:trPr>
          <w:trHeight w:val="203"/>
        </w:trPr>
        <w:tc>
          <w:tcPr>
            <w:tcW w:w="3080" w:type="dxa"/>
            <w:vAlign w:val="bottom"/>
          </w:tcPr>
          <w:p>
            <w:pPr>
              <w:spacing w:after="0"/>
              <w:rPr>
                <w:sz w:val="17"/>
                <w:szCs w:val="17"/>
                <w:color w:val="auto"/>
              </w:rPr>
            </w:pPr>
          </w:p>
        </w:tc>
        <w:tc>
          <w:tcPr>
            <w:tcW w:w="6000" w:type="dxa"/>
            <w:vAlign w:val="bottom"/>
          </w:tcPr>
          <w:p>
            <w:pPr>
              <w:jc w:val="right"/>
              <w:ind w:right="352"/>
              <w:spacing w:after="0" w:line="202" w:lineRule="exact"/>
              <w:rPr>
                <w:sz w:val="20"/>
                <w:szCs w:val="20"/>
                <w:color w:val="auto"/>
              </w:rPr>
            </w:pPr>
            <w:r>
              <w:rPr>
                <w:rFonts w:ascii="Arial" w:cs="Arial" w:eastAsia="Arial" w:hAnsi="Arial"/>
                <w:sz w:val="18"/>
                <w:szCs w:val="18"/>
                <w:b w:val="1"/>
                <w:bCs w:val="1"/>
                <w:color w:val="auto"/>
              </w:rPr>
              <w:t>additional shares</w:t>
            </w:r>
          </w:p>
        </w:tc>
        <w:tc>
          <w:tcPr>
            <w:tcW w:w="19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additional shares</w:t>
            </w:r>
          </w:p>
        </w:tc>
      </w:tr>
      <w:tr>
        <w:trPr>
          <w:trHeight w:val="234"/>
        </w:trPr>
        <w:tc>
          <w:tcPr>
            <w:tcW w:w="3080" w:type="dxa"/>
            <w:vAlign w:val="bottom"/>
            <w:tcBorders>
              <w:bottom w:val="single" w:sz="8" w:color="auto"/>
            </w:tcBorders>
          </w:tcPr>
          <w:p>
            <w:pPr>
              <w:spacing w:after="0"/>
              <w:rPr>
                <w:sz w:val="20"/>
                <w:szCs w:val="20"/>
                <w:color w:val="auto"/>
              </w:rPr>
            </w:pPr>
          </w:p>
        </w:tc>
        <w:tc>
          <w:tcPr>
            <w:tcW w:w="600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exercise</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exercise</w:t>
            </w:r>
          </w:p>
        </w:tc>
      </w:tr>
      <w:tr>
        <w:trPr>
          <w:trHeight w:val="197"/>
        </w:trPr>
        <w:tc>
          <w:tcPr>
            <w:tcW w:w="308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Per Share</w:t>
            </w:r>
          </w:p>
        </w:tc>
        <w:tc>
          <w:tcPr>
            <w:tcW w:w="6000" w:type="dxa"/>
            <w:vAlign w:val="bottom"/>
            <w:shd w:val="clear" w:color="auto" w:fill="CCEEFF"/>
          </w:tcPr>
          <w:p>
            <w:pPr>
              <w:jc w:val="right"/>
              <w:ind w:right="1712"/>
              <w:spacing w:after="0" w:line="197" w:lineRule="exact"/>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ind w:right="1312"/>
              <w:spacing w:after="0" w:line="197" w:lineRule="exact"/>
              <w:rPr>
                <w:sz w:val="20"/>
                <w:szCs w:val="20"/>
                <w:color w:val="auto"/>
              </w:rPr>
            </w:pPr>
            <w:r>
              <w:rPr>
                <w:rFonts w:ascii="Arial" w:cs="Arial" w:eastAsia="Arial" w:hAnsi="Arial"/>
                <w:sz w:val="18"/>
                <w:szCs w:val="18"/>
                <w:color w:val="auto"/>
              </w:rPr>
              <w:t>$</w:t>
            </w:r>
          </w:p>
        </w:tc>
      </w:tr>
      <w:tr>
        <w:trPr>
          <w:trHeight w:val="215"/>
        </w:trPr>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6000" w:type="dxa"/>
            <w:vAlign w:val="bottom"/>
            <w:tcBorders>
              <w:bottom w:val="single" w:sz="8" w:color="auto"/>
            </w:tcBorders>
          </w:tcPr>
          <w:p>
            <w:pPr>
              <w:jc w:val="right"/>
              <w:ind w:right="1712"/>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auto"/>
            </w:tcBorders>
          </w:tcPr>
          <w:p>
            <w:pPr>
              <w:jc w:val="right"/>
              <w:ind w:right="1312"/>
              <w:spacing w:after="0"/>
              <w:rPr>
                <w:sz w:val="20"/>
                <w:szCs w:val="20"/>
                <w:color w:val="auto"/>
              </w:rPr>
            </w:pPr>
            <w:r>
              <w:rPr>
                <w:rFonts w:ascii="Arial" w:cs="Arial" w:eastAsia="Arial" w:hAnsi="Arial"/>
                <w:sz w:val="18"/>
                <w:szCs w:val="18"/>
                <w:color w:val="auto"/>
              </w:rPr>
              <w:t>$</w:t>
            </w:r>
          </w:p>
        </w:tc>
      </w:tr>
      <w:tr>
        <w:trPr>
          <w:trHeight w:val="357"/>
        </w:trPr>
        <w:tc>
          <w:tcPr>
            <w:tcW w:w="3080" w:type="dxa"/>
            <w:vAlign w:val="bottom"/>
          </w:tcPr>
          <w:p>
            <w:pPr>
              <w:spacing w:after="0"/>
              <w:rPr>
                <w:sz w:val="24"/>
                <w:szCs w:val="24"/>
                <w:color w:val="auto"/>
              </w:rPr>
            </w:pPr>
          </w:p>
        </w:tc>
        <w:tc>
          <w:tcPr>
            <w:tcW w:w="6000" w:type="dxa"/>
            <w:vAlign w:val="bottom"/>
          </w:tcPr>
          <w:p>
            <w:pPr>
              <w:jc w:val="right"/>
              <w:ind w:right="3332"/>
              <w:spacing w:after="0"/>
              <w:rPr>
                <w:sz w:val="20"/>
                <w:szCs w:val="20"/>
                <w:color w:val="auto"/>
              </w:rPr>
            </w:pPr>
            <w:r>
              <w:rPr>
                <w:rFonts w:ascii="Arial" w:cs="Arial" w:eastAsia="Arial" w:hAnsi="Arial"/>
                <w:sz w:val="18"/>
                <w:szCs w:val="18"/>
                <w:color w:val="auto"/>
              </w:rPr>
              <w:t>188</w:t>
            </w:r>
          </w:p>
        </w:tc>
        <w:tc>
          <w:tcPr>
            <w:tcW w:w="19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type w:val="continuous"/>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estimate that the total expenses of this offering, including registration, filing and listing fees, printing fees and legal and accounting</w:t>
      </w:r>
    </w:p>
    <w:p>
      <w:pPr>
        <w:ind w:left="120"/>
        <w:spacing w:after="0"/>
        <w:tabs>
          <w:tab w:leader="none" w:pos="7920" w:val="left"/>
        </w:tabs>
        <w:rPr>
          <w:sz w:val="20"/>
          <w:szCs w:val="20"/>
          <w:color w:val="auto"/>
        </w:rPr>
      </w:pPr>
      <w:r>
        <w:rPr>
          <w:rFonts w:ascii="Arial" w:cs="Arial" w:eastAsia="Arial" w:hAnsi="Arial"/>
          <w:sz w:val="18"/>
          <w:szCs w:val="18"/>
          <w:color w:val="auto"/>
        </w:rPr>
        <w:t>expenses, but excluding the underwriting discounts and commissions, will be approximately $</w:t>
      </w:r>
      <w:r>
        <w:rPr>
          <w:sz w:val="20"/>
          <w:szCs w:val="20"/>
          <w:color w:val="auto"/>
        </w:rPr>
        <w:tab/>
      </w:r>
      <w:r>
        <w:rPr>
          <w:rFonts w:ascii="Arial" w:cs="Arial" w:eastAsia="Arial" w:hAnsi="Arial"/>
          <w:sz w:val="16"/>
          <w:szCs w:val="16"/>
          <w:color w:val="auto"/>
        </w:rPr>
        <w:t>. We have agreed to reimburse the</w:t>
      </w:r>
    </w:p>
    <w:p>
      <w:pPr>
        <w:spacing w:after="0" w:line="1" w:lineRule="exact"/>
        <w:rPr>
          <w:sz w:val="20"/>
          <w:szCs w:val="20"/>
          <w:color w:val="auto"/>
        </w:rPr>
      </w:pPr>
    </w:p>
    <w:p>
      <w:pPr>
        <w:ind w:left="120"/>
        <w:spacing w:after="0"/>
        <w:tabs>
          <w:tab w:leader="none" w:pos="3480" w:val="left"/>
        </w:tabs>
        <w:rPr>
          <w:sz w:val="20"/>
          <w:szCs w:val="20"/>
          <w:color w:val="auto"/>
        </w:rPr>
      </w:pPr>
      <w:r>
        <w:rPr>
          <w:rFonts w:ascii="Arial" w:cs="Arial" w:eastAsia="Arial" w:hAnsi="Arial"/>
          <w:sz w:val="18"/>
          <w:szCs w:val="18"/>
          <w:color w:val="auto"/>
        </w:rPr>
        <w:t>underwriters for expenses of up to $</w:t>
      </w:r>
      <w:r>
        <w:rPr>
          <w:sz w:val="20"/>
          <w:szCs w:val="20"/>
          <w:color w:val="auto"/>
        </w:rPr>
        <w:tab/>
      </w:r>
      <w:r>
        <w:rPr>
          <w:rFonts w:ascii="Arial" w:cs="Arial" w:eastAsia="Arial" w:hAnsi="Arial"/>
          <w:sz w:val="16"/>
          <w:szCs w:val="16"/>
          <w:color w:val="auto"/>
        </w:rPr>
        <w:t>relating to the clearance of this offering with the Financial Industry Regulatory Authority.</w:t>
      </w:r>
    </w:p>
    <w:p>
      <w:pPr>
        <w:spacing w:after="0" w:line="104" w:lineRule="exact"/>
        <w:rPr>
          <w:sz w:val="20"/>
          <w:szCs w:val="20"/>
          <w:color w:val="auto"/>
        </w:rPr>
      </w:pPr>
    </w:p>
    <w:p>
      <w:pPr>
        <w:jc w:val="both"/>
        <w:ind w:left="120" w:right="60"/>
        <w:spacing w:after="0" w:line="237" w:lineRule="auto"/>
        <w:rPr>
          <w:sz w:val="20"/>
          <w:szCs w:val="20"/>
          <w:color w:val="auto"/>
        </w:rPr>
      </w:pPr>
      <w:r>
        <w:rPr>
          <w:rFonts w:ascii="Arial" w:cs="Arial" w:eastAsia="Arial" w:hAnsi="Arial"/>
          <w:sz w:val="18"/>
          <w:szCs w:val="18"/>
          <w:color w:val="auto"/>
        </w:rPr>
        <w:t>A prospectus in electronic format may be made available on the websites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00" w:lineRule="exact"/>
        <w:rPr>
          <w:sz w:val="20"/>
          <w:szCs w:val="20"/>
          <w:color w:val="auto"/>
        </w:rPr>
      </w:pPr>
    </w:p>
    <w:p>
      <w:pPr>
        <w:ind w:left="120" w:right="40"/>
        <w:spacing w:after="0" w:line="235" w:lineRule="auto"/>
        <w:rPr>
          <w:sz w:val="20"/>
          <w:szCs w:val="20"/>
          <w:color w:val="auto"/>
        </w:rPr>
      </w:pPr>
      <w:r>
        <w:rPr>
          <w:rFonts w:ascii="Arial" w:cs="Arial" w:eastAsia="Arial" w:hAnsi="Arial"/>
          <w:sz w:val="18"/>
          <w:szCs w:val="18"/>
          <w:color w:val="auto"/>
        </w:rPr>
        <w:t>We have agreed that we will not (i) offer, pledge, announce the intention to sell, sell, contract to sell, sell any option or contract to purchase, purchase any option or contract to sell, grant any option, right or warrant to purchase or otherwise transfer or dispose of, directly or indirectly, or file with the Securities and Exchange Commission, or SEC, a registration statement under the Securities Act of 1933, relating to, any shares of our common stock or any securities convertible into or exchangeable or exercisable for any shares of our common stock, or publicly disclose the intention to make any offer, sale, pledge, disposition or filing, or (ii)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J.P. Morgan Securities LLC for a period of 180 days after the date of this prospectus, other than the shares of our common stock to be sold hereunder and any shares of our common stock issued upon the exercise of options granted under our existing stock-based compensation plans.</w:t>
      </w:r>
    </w:p>
    <w:p>
      <w:pPr>
        <w:spacing w:after="0" w:line="106"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Our directors, executive officers and the holders of substantially all of our common stock, stock options and other securities convertible into, exercisable or exchangeable for our common stock have entered into lock-up agreements with the underwriters prior to the commencement of this offering pursuant to which each of these persons or entities, with limited exceptions, for a period of 180 days after the date of this prospectus, may not, without the prior written consent of J.P. Morgan Securities LLC, (1) offer, pledge, announce the intention to sell, sell, contract to sell, sell any option or contract to purchase, purchase any option or contract to sell, grant any option, right or warrant to purchase,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directors, executive officers and stockholders in accordance with the rules and regulations of the SEC and securities which may be issued upon exercise of a stock option or warrant) or (2) enter into any swap or other agreement that transfers, in whole or in part, any of the economic consequences of ownership of the common stock or such other securities, whether any such transaction described in clause (1) or (2) above is to be settled by delivery of common stock or such other securities, in cash or otherwise, or (3) make any demand for or exercise any right with respect to the registration of any shares of our common stock or any security convertible into or exercisable or exchangeable for our common stock.</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restrictions described in the immediately preceding paragraph are subject to specified exceptions, including among other items:</w:t>
      </w:r>
    </w:p>
    <w:p>
      <w:pPr>
        <w:spacing w:after="0" w:line="117" w:lineRule="exact"/>
        <w:rPr>
          <w:sz w:val="20"/>
          <w:szCs w:val="20"/>
          <w:color w:val="auto"/>
        </w:rPr>
      </w:pPr>
    </w:p>
    <w:p>
      <w:pPr>
        <w:ind w:left="340" w:hanging="224"/>
        <w:spacing w:after="0"/>
        <w:tabs>
          <w:tab w:leader="none" w:pos="3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subject to certain limitations, transfers as a bona fide gift or gifts;</w:t>
      </w:r>
    </w:p>
    <w:p>
      <w:pPr>
        <w:spacing w:after="0" w:line="117" w:lineRule="exact"/>
        <w:rPr>
          <w:rFonts w:ascii="Arial" w:cs="Arial" w:eastAsia="Arial" w:hAnsi="Arial"/>
          <w:sz w:val="18"/>
          <w:szCs w:val="18"/>
          <w:color w:val="auto"/>
        </w:rPr>
      </w:pPr>
    </w:p>
    <w:p>
      <w:pPr>
        <w:ind w:left="5480" w:right="3960" w:hanging="5364"/>
        <w:spacing w:after="0" w:line="411" w:lineRule="auto"/>
        <w:tabs>
          <w:tab w:leader="none" w:pos="33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subject to certain limitations, transfers by will, other testamentary document or intestacy; 189</w:t>
      </w:r>
    </w:p>
    <w:p>
      <w:pPr>
        <w:sectPr>
          <w:pgSz w:w="11900" w:h="16838" w:orient="portrait"/>
          <w:cols w:equalWidth="0" w:num="1">
            <w:col w:w="11120"/>
          </w:cols>
          <w:pgMar w:left="320" w:top="459"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20" w:hanging="224"/>
        <w:spacing w:after="0" w:line="239" w:lineRule="auto"/>
        <w:tabs>
          <w:tab w:leader="none" w:pos="3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subject to certain limitations, transfers to any trust for the direct or indirect benefit of the transferor or the immediate family of the transferor, or if the transferor is a trust, to a trustor or beneficiary of the trust, or to the estate of a beneficiary of such trust;</w:t>
      </w:r>
    </w:p>
    <w:p>
      <w:pPr>
        <w:spacing w:after="0" w:line="114" w:lineRule="exact"/>
        <w:rPr>
          <w:rFonts w:ascii="Arial" w:cs="Arial" w:eastAsia="Arial" w:hAnsi="Arial"/>
          <w:sz w:val="18"/>
          <w:szCs w:val="18"/>
          <w:color w:val="auto"/>
        </w:rPr>
      </w:pPr>
    </w:p>
    <w:p>
      <w:pPr>
        <w:ind w:left="340" w:right="20" w:hanging="224"/>
        <w:spacing w:after="0" w:line="239" w:lineRule="auto"/>
        <w:tabs>
          <w:tab w:leader="none" w:pos="3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subject to certain limitations, transfers to a partnership, limited liability company or other entity of which the transferor and/or the immediate family of the transferor are the legal and beneficial owner of all of the outstanding equity securities or similar interests;</w:t>
      </w:r>
    </w:p>
    <w:p>
      <w:pPr>
        <w:spacing w:after="0" w:line="114" w:lineRule="exact"/>
        <w:rPr>
          <w:rFonts w:ascii="Arial" w:cs="Arial" w:eastAsia="Arial" w:hAnsi="Arial"/>
          <w:sz w:val="18"/>
          <w:szCs w:val="18"/>
          <w:color w:val="auto"/>
        </w:rPr>
      </w:pPr>
    </w:p>
    <w:p>
      <w:pPr>
        <w:ind w:left="340" w:right="120" w:hanging="224"/>
        <w:spacing w:after="0" w:line="275" w:lineRule="auto"/>
        <w:tabs>
          <w:tab w:leader="none" w:pos="34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subject to certain limitations, if the transferor is a corporation, partnership, limited liability company, trust or other business entity, transfers as part of a distribution to the members, partners, stockholders or other equityholders of the transferor, or to another corporation, partnership, limited liability company, trust or other business entity that is an affiliate of the transferor, or to any investment fund or other entity controlling, controlled by, managing or managed by or under common control with the transferor or its affiliates;</w:t>
      </w:r>
    </w:p>
    <w:p>
      <w:pPr>
        <w:spacing w:after="0" w:line="88" w:lineRule="exact"/>
        <w:rPr>
          <w:rFonts w:ascii="Arial" w:cs="Arial" w:eastAsia="Arial" w:hAnsi="Arial"/>
          <w:sz w:val="16"/>
          <w:szCs w:val="16"/>
          <w:color w:val="auto"/>
        </w:rPr>
      </w:pPr>
    </w:p>
    <w:p>
      <w:pPr>
        <w:ind w:left="340" w:right="520" w:hanging="224"/>
        <w:spacing w:after="0" w:line="239" w:lineRule="auto"/>
        <w:tabs>
          <w:tab w:leader="none" w:pos="3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subject to certain limitations, transfers by operation of law pursuant to a qualified domestic order, divorce settlement, divorce decree, separation agreement or other court order;</w:t>
      </w:r>
    </w:p>
    <w:p>
      <w:pPr>
        <w:spacing w:after="0" w:line="114" w:lineRule="exact"/>
        <w:rPr>
          <w:rFonts w:ascii="Arial" w:cs="Arial" w:eastAsia="Arial" w:hAnsi="Arial"/>
          <w:sz w:val="18"/>
          <w:szCs w:val="18"/>
          <w:color w:val="auto"/>
        </w:rPr>
      </w:pPr>
    </w:p>
    <w:p>
      <w:pPr>
        <w:ind w:left="340" w:right="100" w:hanging="224"/>
        <w:spacing w:after="0" w:line="239" w:lineRule="auto"/>
        <w:tabs>
          <w:tab w:leader="none" w:pos="3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transfers to us from an employee or other service provider upon death, disability or termination of employment or service, in each case, of such employee or service provider;</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subject to certain limitations, sales or transfers of shares acquired in this offering, or on the open market after this offering;</w:t>
      </w:r>
    </w:p>
    <w:p>
      <w:pPr>
        <w:spacing w:after="0" w:line="117" w:lineRule="exact"/>
        <w:rPr>
          <w:rFonts w:ascii="Arial" w:cs="Arial" w:eastAsia="Arial" w:hAnsi="Arial"/>
          <w:sz w:val="18"/>
          <w:szCs w:val="18"/>
          <w:color w:val="auto"/>
        </w:rPr>
      </w:pPr>
    </w:p>
    <w:p>
      <w:pPr>
        <w:ind w:left="340" w:right="380" w:hanging="224"/>
        <w:spacing w:after="0" w:line="239" w:lineRule="auto"/>
        <w:tabs>
          <w:tab w:leader="none" w:pos="3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subject to certain limitations, transfers to us to cover tax withholdings upon a vesting, exercise or settlement event of any equity award granted under a stock incentive plan, stock purchase plan or other equity award plan;</w:t>
      </w:r>
    </w:p>
    <w:p>
      <w:pPr>
        <w:spacing w:after="0" w:line="114" w:lineRule="exact"/>
        <w:rPr>
          <w:rFonts w:ascii="Arial" w:cs="Arial" w:eastAsia="Arial" w:hAnsi="Arial"/>
          <w:sz w:val="18"/>
          <w:szCs w:val="18"/>
          <w:color w:val="auto"/>
        </w:rPr>
      </w:pPr>
    </w:p>
    <w:p>
      <w:pPr>
        <w:ind w:left="340" w:right="120" w:hanging="224"/>
        <w:spacing w:after="0" w:line="239" w:lineRule="auto"/>
        <w:tabs>
          <w:tab w:leader="none" w:pos="3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subject to certain limitations, transfers to us by way of cashless exercise of (i) an option to purchase common stock granted under a stock incentive plan, stock purchase plan or other equity award plan or (ii) a warrant, in either case described in this prospectus;</w:t>
      </w:r>
    </w:p>
    <w:p>
      <w:pPr>
        <w:spacing w:after="0" w:line="114" w:lineRule="exact"/>
        <w:rPr>
          <w:rFonts w:ascii="Arial" w:cs="Arial" w:eastAsia="Arial" w:hAnsi="Arial"/>
          <w:sz w:val="18"/>
          <w:szCs w:val="18"/>
          <w:color w:val="auto"/>
        </w:rPr>
      </w:pPr>
    </w:p>
    <w:p>
      <w:pPr>
        <w:ind w:left="340" w:right="560" w:hanging="224"/>
        <w:spacing w:after="0" w:line="239" w:lineRule="auto"/>
        <w:tabs>
          <w:tab w:leader="none" w:pos="3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transfers pursuant to a bona fide third-party tender offer, merger, consolidation or other similar transaction made to all holders of our common stock involving a change of control that has been approved by our board of directors; and</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subject to certain limitations, the establishment of a trading plan pursuant to Rule 10b5-1 of the Exchange Act.</w:t>
      </w:r>
    </w:p>
    <w:p>
      <w:pPr>
        <w:spacing w:after="0" w:line="104"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J.P. Morgan Securities LLC, in its sole discretion, may release the common stock subject to the lock-up agreements described above in whole or in part at any time with or without notice.</w:t>
      </w:r>
    </w:p>
    <w:p>
      <w:pPr>
        <w:spacing w:after="0" w:line="101" w:lineRule="exact"/>
        <w:rPr>
          <w:sz w:val="20"/>
          <w:szCs w:val="20"/>
          <w:color w:val="auto"/>
        </w:rPr>
      </w:pPr>
    </w:p>
    <w:p>
      <w:pPr>
        <w:jc w:val="both"/>
        <w:ind w:left="120" w:right="1400"/>
        <w:spacing w:after="0" w:line="405" w:lineRule="auto"/>
        <w:rPr>
          <w:sz w:val="20"/>
          <w:szCs w:val="20"/>
          <w:color w:val="auto"/>
        </w:rPr>
      </w:pPr>
      <w:r>
        <w:rPr>
          <w:rFonts w:ascii="Arial" w:cs="Arial" w:eastAsia="Arial" w:hAnsi="Arial"/>
          <w:sz w:val="16"/>
          <w:szCs w:val="16"/>
          <w:color w:val="auto"/>
        </w:rPr>
        <w:t>We have agreed to indemnify the underwriters against certain liabilities, including liabilities under the Securities Act of 1933. We intend to apply to have our common stock approved for listing on the Nasdaq Global Market under the symbol “RVMD.”</w:t>
      </w:r>
    </w:p>
    <w:p>
      <w:pPr>
        <w:ind w:left="120"/>
        <w:spacing w:after="0" w:line="237" w:lineRule="auto"/>
        <w:rPr>
          <w:sz w:val="20"/>
          <w:szCs w:val="20"/>
          <w:color w:val="auto"/>
        </w:rPr>
      </w:pPr>
      <w:r>
        <w:rPr>
          <w:rFonts w:ascii="Arial" w:cs="Arial" w:eastAsia="Arial" w:hAnsi="Arial"/>
          <w:sz w:val="18"/>
          <w:szCs w:val="18"/>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underwriters of a greater number of shares of common stock than they are required to purchase in this offering, and</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00"/>
          </w:cols>
          <w:pgMar w:left="320" w:top="459" w:right="47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06" w:lineRule="exact"/>
        <w:rPr>
          <w:sz w:val="20"/>
          <w:szCs w:val="20"/>
          <w:color w:val="auto"/>
        </w:rPr>
      </w:pPr>
    </w:p>
    <w:p>
      <w:pPr>
        <w:ind w:left="120" w:right="220"/>
        <w:spacing w:after="0" w:line="236" w:lineRule="auto"/>
        <w:rPr>
          <w:sz w:val="20"/>
          <w:szCs w:val="20"/>
          <w:color w:val="auto"/>
        </w:rPr>
      </w:pPr>
      <w:r>
        <w:rPr>
          <w:rFonts w:ascii="Arial" w:cs="Arial" w:eastAsia="Arial" w:hAnsi="Arial"/>
          <w:sz w:val="18"/>
          <w:szCs w:val="18"/>
          <w:color w:val="auto"/>
        </w:rPr>
        <w:t>The underwriters have advised us that, pursuant to Regulation M of the Securities Act of 1933,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103"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Global Market, in the over-the-counter market or otherwise.</w:t>
      </w:r>
    </w:p>
    <w:p>
      <w:pPr>
        <w:spacing w:after="0" w:line="100"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113" w:lineRule="exact"/>
        <w:rPr>
          <w:sz w:val="20"/>
          <w:szCs w:val="20"/>
          <w:color w:val="auto"/>
        </w:rPr>
      </w:pPr>
    </w:p>
    <w:p>
      <w:pPr>
        <w:ind w:left="340" w:hanging="224"/>
        <w:spacing w:after="0"/>
        <w:tabs>
          <w:tab w:leader="none" w:pos="3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our prospects and the history and prospects for the industry in which we compete;</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our prospects for future earnings;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common stock of generally comparable companies;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104" w:lineRule="exact"/>
        <w:rPr>
          <w:sz w:val="20"/>
          <w:szCs w:val="20"/>
          <w:color w:val="auto"/>
        </w:rPr>
      </w:pPr>
    </w:p>
    <w:p>
      <w:pPr>
        <w:ind w:left="120" w:right="180"/>
        <w:spacing w:after="0" w:line="239"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our common stock, or that the shares will trade in the public market at or above the initial public offering price.</w:t>
      </w:r>
    </w:p>
    <w:p>
      <w:pPr>
        <w:spacing w:after="0" w:line="101"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20"/>
          </w:cols>
          <w:pgMar w:left="320" w:top="459"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hold on behalf of themselves or their customers, long or short positions in our debt or equity securities or loans, and may do so in the future.</w:t>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Selling restrictions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24" w:lineRule="exact"/>
        <w:rPr>
          <w:sz w:val="20"/>
          <w:szCs w:val="20"/>
          <w:color w:val="auto"/>
        </w:rPr>
      </w:pPr>
    </w:p>
    <w:p>
      <w:pPr>
        <w:ind w:left="120" w:right="20"/>
        <w:spacing w:after="0" w:line="269" w:lineRule="auto"/>
        <w:rPr>
          <w:sz w:val="20"/>
          <w:szCs w:val="20"/>
          <w:color w:val="auto"/>
        </w:rPr>
      </w:pPr>
      <w:r>
        <w:rPr>
          <w:rFonts w:ascii="Arial" w:cs="Arial" w:eastAsia="Arial" w:hAnsi="Arial"/>
          <w:sz w:val="16"/>
          <w:szCs w:val="16"/>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24"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In relation to each Member State of the European Economic Area (each a “Member State”), no shares have been offered or will be offered pursuant to the offering to the public in that Member State prior to the publication of a prospectus in relation to the Shares which has been approved by the competent authority in that Member State or, where appropriate, approved in another Member State and notified to the competent authority in that Member State, all in accordance with the Prospectus Regulation), except that offers of shares may be made to the public in that Member State at any time under the following exemptions under the Prospectus Regulation:</w:t>
      </w:r>
    </w:p>
    <w:p>
      <w:pPr>
        <w:spacing w:after="0" w:line="62" w:lineRule="exact"/>
        <w:rPr>
          <w:sz w:val="20"/>
          <w:szCs w:val="20"/>
          <w:color w:val="auto"/>
        </w:rPr>
      </w:pPr>
    </w:p>
    <w:p>
      <w:pPr>
        <w:ind w:left="540" w:hanging="424"/>
        <w:spacing w:after="0"/>
        <w:tabs>
          <w:tab w:leader="none" w:pos="5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63" w:lineRule="exact"/>
        <w:rPr>
          <w:rFonts w:ascii="Arial" w:cs="Arial" w:eastAsia="Arial" w:hAnsi="Arial"/>
          <w:sz w:val="18"/>
          <w:szCs w:val="18"/>
          <w:color w:val="auto"/>
        </w:rPr>
      </w:pPr>
    </w:p>
    <w:p>
      <w:pPr>
        <w:ind w:left="540" w:right="160" w:hanging="424"/>
        <w:spacing w:after="0" w:line="239" w:lineRule="auto"/>
        <w:tabs>
          <w:tab w:leader="none" w:pos="5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Regulation), subject to obtaining the prior consent of the representatives for any such offer; or</w:t>
      </w:r>
    </w:p>
    <w:p>
      <w:pPr>
        <w:spacing w:after="0" w:line="60" w:lineRule="exact"/>
        <w:rPr>
          <w:rFonts w:ascii="Arial" w:cs="Arial" w:eastAsia="Arial" w:hAnsi="Arial"/>
          <w:sz w:val="18"/>
          <w:szCs w:val="18"/>
          <w:color w:val="auto"/>
        </w:rPr>
      </w:pPr>
    </w:p>
    <w:p>
      <w:pPr>
        <w:ind w:left="540" w:hanging="424"/>
        <w:spacing w:after="0"/>
        <w:tabs>
          <w:tab w:leader="none" w:pos="5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04"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provided that no such offer of shares shall require the issuer or any underwriter to publish a prospectus pursuant to Article 3 of the Prospectus Regulation or supplement a prospectus pursuant to Article 23 of the Prospectus Regulation.</w:t>
      </w:r>
    </w:p>
    <w:p>
      <w:pPr>
        <w:spacing w:after="0" w:line="101" w:lineRule="exact"/>
        <w:rPr>
          <w:sz w:val="20"/>
          <w:szCs w:val="20"/>
          <w:color w:val="auto"/>
        </w:rPr>
      </w:pPr>
    </w:p>
    <w:p>
      <w:pPr>
        <w:ind w:left="120" w:right="140"/>
        <w:spacing w:after="0" w:line="237"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in any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European Economic Area selling restriction is in addition to any other selling restrictions set out below.</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24"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(i) who have professional experience in matters relating to investments falling within Article 19 (5) of the Financial Services and Markets Act 2000 (Financial Promotion) Order 2005, as amended, or the Order and/or (ii) who are high net worth companies (or persons to whom it may otherwise be lawfully communicated) falling within Article 49(2)(a) to</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20"/>
          </w:cols>
          <w:pgMar w:left="32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0" w:hanging="4"/>
        <w:spacing w:after="0" w:line="299" w:lineRule="auto"/>
        <w:tabs>
          <w:tab w:leader="none" w:pos="383" w:val="left"/>
        </w:tabs>
        <w:numPr>
          <w:ilvl w:val="0"/>
          <w:numId w:val="123"/>
        </w:numPr>
        <w:rPr>
          <w:rFonts w:ascii="Arial" w:cs="Arial" w:eastAsia="Arial" w:hAnsi="Arial"/>
          <w:sz w:val="16"/>
          <w:szCs w:val="16"/>
          <w:color w:val="auto"/>
        </w:rPr>
      </w:pPr>
      <w:r>
        <w:rPr>
          <w:rFonts w:ascii="Arial" w:cs="Arial" w:eastAsia="Arial" w:hAnsi="Arial"/>
          <w:sz w:val="16"/>
          <w:szCs w:val="16"/>
          <w:color w:val="auto"/>
        </w:rPr>
        <w:t>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55" w:lineRule="exact"/>
        <w:rPr>
          <w:sz w:val="20"/>
          <w:szCs w:val="20"/>
          <w:color w:val="auto"/>
        </w:rPr>
      </w:pPr>
    </w:p>
    <w:p>
      <w:pPr>
        <w:jc w:val="both"/>
        <w:ind w:left="120" w:right="40"/>
        <w:spacing w:after="0" w:line="238"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24" w:lineRule="exact"/>
        <w:rPr>
          <w:sz w:val="20"/>
          <w:szCs w:val="20"/>
          <w:color w:val="auto"/>
        </w:rPr>
      </w:pPr>
    </w:p>
    <w:p>
      <w:pPr>
        <w:ind w:left="120"/>
        <w:spacing w:after="0" w:line="275" w:lineRule="auto"/>
        <w:rPr>
          <w:sz w:val="20"/>
          <w:szCs w:val="20"/>
          <w:color w:val="auto"/>
        </w:rPr>
      </w:pPr>
      <w:r>
        <w:rPr>
          <w:rFonts w:ascii="Arial" w:cs="Arial" w:eastAsia="Arial" w:hAnsi="Arial"/>
          <w:sz w:val="16"/>
          <w:szCs w:val="16"/>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75"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03" w:lineRule="exact"/>
        <w:rPr>
          <w:sz w:val="20"/>
          <w:szCs w:val="20"/>
          <w:color w:val="auto"/>
        </w:rPr>
      </w:pPr>
    </w:p>
    <w:p>
      <w:pPr>
        <w:ind w:left="120" w:right="220"/>
        <w:spacing w:after="0" w:line="239"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24"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or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02"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or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 or DIFC</w:t>
      </w:r>
    </w:p>
    <w:p>
      <w:pPr>
        <w:spacing w:after="0" w:line="124" w:lineRule="exact"/>
        <w:rPr>
          <w:sz w:val="20"/>
          <w:szCs w:val="20"/>
          <w:color w:val="auto"/>
        </w:rPr>
      </w:pPr>
    </w:p>
    <w:p>
      <w:pPr>
        <w:ind w:left="120" w:right="320"/>
        <w:spacing w:after="0" w:line="239" w:lineRule="auto"/>
        <w:rPr>
          <w:sz w:val="20"/>
          <w:szCs w:val="20"/>
          <w:color w:val="auto"/>
        </w:rPr>
      </w:pPr>
      <w:r>
        <w:rPr>
          <w:rFonts w:ascii="Arial" w:cs="Arial" w:eastAsia="Arial" w:hAnsi="Arial"/>
          <w:sz w:val="18"/>
          <w:szCs w:val="18"/>
          <w:color w:val="auto"/>
        </w:rPr>
        <w:t>This document relates to an Exempt Offer in accordance with the Markets Rules 2012 of the Dubai Financial Services Authority (“DFSA”). This document is intended for distribution only to persons of a type specified in the</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00"/>
          </w:cols>
          <w:pgMar w:left="320" w:top="459" w:right="47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0"/>
        <w:spacing w:after="0" w:line="272" w:lineRule="auto"/>
        <w:rPr>
          <w:sz w:val="20"/>
          <w:szCs w:val="20"/>
          <w:color w:val="auto"/>
        </w:rPr>
      </w:pPr>
      <w:r>
        <w:rPr>
          <w:rFonts w:ascii="Arial" w:cs="Arial" w:eastAsia="Arial" w:hAnsi="Arial"/>
          <w:sz w:val="16"/>
          <w:szCs w:val="16"/>
          <w:color w:val="auto"/>
        </w:rPr>
        <w:t>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78" w:lineRule="exact"/>
        <w:rPr>
          <w:sz w:val="20"/>
          <w:szCs w:val="20"/>
          <w:color w:val="auto"/>
        </w:rPr>
      </w:pPr>
    </w:p>
    <w:p>
      <w:pPr>
        <w:jc w:val="both"/>
        <w:ind w:left="120" w:right="80"/>
        <w:spacing w:after="0" w:line="238" w:lineRule="auto"/>
        <w:rPr>
          <w:sz w:val="20"/>
          <w:szCs w:val="20"/>
          <w:color w:val="auto"/>
        </w:rPr>
      </w:pPr>
      <w:r>
        <w:rPr>
          <w:rFonts w:ascii="Arial" w:cs="Arial" w:eastAsia="Arial" w:hAnsi="Arial"/>
          <w:sz w:val="18"/>
          <w:szCs w:val="18"/>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United Arab Emirates</w:t>
      </w:r>
    </w:p>
    <w:p>
      <w:pPr>
        <w:spacing w:after="0" w:line="124"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The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prospectus:</w:t>
      </w:r>
    </w:p>
    <w:p>
      <w:pPr>
        <w:spacing w:after="0" w:line="117" w:lineRule="exact"/>
        <w:rPr>
          <w:sz w:val="20"/>
          <w:szCs w:val="20"/>
          <w:color w:val="auto"/>
        </w:rPr>
      </w:pPr>
    </w:p>
    <w:p>
      <w:pPr>
        <w:ind w:left="340" w:hanging="224"/>
        <w:spacing w:after="0"/>
        <w:tabs>
          <w:tab w:leader="none" w:pos="34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does not constitute a disclosure document or a prospectus under Chapter 6D.2 of the Corporations Act 2001 (Cth) (the “Corporations Act”);</w:t>
      </w:r>
    </w:p>
    <w:p>
      <w:pPr>
        <w:spacing w:after="0" w:line="140" w:lineRule="exact"/>
        <w:rPr>
          <w:rFonts w:ascii="Arial" w:cs="Arial" w:eastAsia="Arial" w:hAnsi="Arial"/>
          <w:sz w:val="16"/>
          <w:szCs w:val="16"/>
          <w:color w:val="auto"/>
        </w:rPr>
      </w:pPr>
    </w:p>
    <w:p>
      <w:pPr>
        <w:ind w:left="340" w:right="40" w:hanging="224"/>
        <w:spacing w:after="0" w:line="238" w:lineRule="auto"/>
        <w:tabs>
          <w:tab w:leader="none" w:pos="3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or ASIC, as a disclosure document for the purposes of the Corporations Act and does not purport to include the information required of a disclosure document for the purposes of the Corporations Act; and</w:t>
      </w:r>
    </w:p>
    <w:p>
      <w:pPr>
        <w:spacing w:after="0" w:line="113" w:lineRule="exact"/>
        <w:rPr>
          <w:rFonts w:ascii="Arial" w:cs="Arial" w:eastAsia="Arial" w:hAnsi="Arial"/>
          <w:sz w:val="18"/>
          <w:szCs w:val="18"/>
          <w:color w:val="auto"/>
        </w:rPr>
      </w:pPr>
    </w:p>
    <w:p>
      <w:pPr>
        <w:ind w:left="340" w:right="440" w:hanging="224"/>
        <w:spacing w:after="0" w:line="239" w:lineRule="auto"/>
        <w:tabs>
          <w:tab w:leader="none" w:pos="3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101"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03"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20"/>
          </w:cols>
          <w:pgMar w:left="320" w:top="459" w:right="4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2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The shares have not been offered or sold and will not be offered or sold in Hong Kong, by means of any document, other than (a) to “professional investors” as defined in the Securities and Futures Ordinance (Cap. 571 of the Laws of Hong Kong), or the SFO, of Hong Kong and any rules made thereunder; or (b) in other circumstances which do not result in the document being a “prospectus” as defined in the Companies (Winding Up and Miscellaneous Provisions) Ordinance (Cap. 32) of Hong Kong), or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24" w:lineRule="exact"/>
        <w:rPr>
          <w:sz w:val="20"/>
          <w:szCs w:val="20"/>
          <w:color w:val="auto"/>
        </w:rPr>
      </w:pPr>
    </w:p>
    <w:p>
      <w:pPr>
        <w:ind w:left="120" w:right="140"/>
        <w:spacing w:after="0" w:line="236"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as modified or amended from time to time including by any subsidiary legislation as may be applicable at the relevant time,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63" w:lineRule="exact"/>
        <w:rPr>
          <w:sz w:val="20"/>
          <w:szCs w:val="20"/>
          <w:color w:val="auto"/>
        </w:rPr>
      </w:pPr>
    </w:p>
    <w:p>
      <w:pPr>
        <w:ind w:left="540" w:right="540" w:hanging="424"/>
        <w:spacing w:after="0" w:line="299" w:lineRule="auto"/>
        <w:tabs>
          <w:tab w:leader="none" w:pos="54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4" w:lineRule="exact"/>
        <w:rPr>
          <w:rFonts w:ascii="Arial" w:cs="Arial" w:eastAsia="Arial" w:hAnsi="Arial"/>
          <w:sz w:val="16"/>
          <w:szCs w:val="16"/>
          <w:color w:val="auto"/>
        </w:rPr>
      </w:pPr>
    </w:p>
    <w:p>
      <w:pPr>
        <w:ind w:left="540" w:hanging="424"/>
        <w:spacing w:after="0" w:line="239" w:lineRule="auto"/>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01"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59" w:lineRule="exact"/>
        <w:rPr>
          <w:sz w:val="20"/>
          <w:szCs w:val="20"/>
          <w:color w:val="auto"/>
        </w:rPr>
      </w:pPr>
    </w:p>
    <w:p>
      <w:pPr>
        <w:ind w:left="540" w:right="60" w:hanging="424"/>
        <w:spacing w:after="0" w:line="239" w:lineRule="auto"/>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00"/>
          </w:cols>
          <w:pgMar w:left="320" w:top="459" w:right="47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40" w:hanging="424"/>
        <w:spacing w:after="0"/>
        <w:tabs>
          <w:tab w:leader="none" w:pos="5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63" w:lineRule="exact"/>
        <w:rPr>
          <w:rFonts w:ascii="Arial" w:cs="Arial" w:eastAsia="Arial" w:hAnsi="Arial"/>
          <w:sz w:val="18"/>
          <w:szCs w:val="18"/>
          <w:color w:val="auto"/>
        </w:rPr>
      </w:pPr>
    </w:p>
    <w:p>
      <w:pPr>
        <w:ind w:left="540" w:hanging="424"/>
        <w:spacing w:after="0"/>
        <w:tabs>
          <w:tab w:leader="none" w:pos="5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63" w:lineRule="exact"/>
        <w:rPr>
          <w:rFonts w:ascii="Arial" w:cs="Arial" w:eastAsia="Arial" w:hAnsi="Arial"/>
          <w:sz w:val="18"/>
          <w:szCs w:val="18"/>
          <w:color w:val="auto"/>
        </w:rPr>
      </w:pPr>
    </w:p>
    <w:p>
      <w:pPr>
        <w:ind w:left="540" w:hanging="424"/>
        <w:spacing w:after="0"/>
        <w:tabs>
          <w:tab w:leader="none" w:pos="5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as specified in Section 276(7) of the SFA.</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Bermuda</w:t>
      </w:r>
    </w:p>
    <w:p>
      <w:pPr>
        <w:spacing w:after="0" w:line="124" w:lineRule="exact"/>
        <w:rPr>
          <w:sz w:val="20"/>
          <w:szCs w:val="20"/>
          <w:color w:val="auto"/>
        </w:rPr>
      </w:pPr>
    </w:p>
    <w:p>
      <w:pPr>
        <w:jc w:val="both"/>
        <w:ind w:left="120" w:right="180"/>
        <w:spacing w:after="0" w:line="238" w:lineRule="auto"/>
        <w:rPr>
          <w:sz w:val="20"/>
          <w:szCs w:val="20"/>
          <w:color w:val="auto"/>
        </w:rPr>
      </w:pPr>
      <w:r>
        <w:rPr>
          <w:rFonts w:ascii="Arial" w:cs="Arial" w:eastAsia="Arial" w:hAnsi="Arial"/>
          <w:sz w:val="18"/>
          <w:szCs w:val="18"/>
          <w:color w:val="auto"/>
        </w:rPr>
        <w:t>Shares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Saudi Arabia</w:t>
      </w:r>
    </w:p>
    <w:p>
      <w:pPr>
        <w:spacing w:after="0" w:line="12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This document may not be distributed in the Kingdom of Saudi Arabia except to such persons as are permitted under the Offers of Securities Regulations as issued by the board of the Saudi Arabian Capital Market Authority, or CMA, pursuant to resolution number 2-11-2004 dated 4 October 2004 as amended by resolution number 1-28-2008, as amended, or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British Virgin Islands</w:t>
      </w:r>
    </w:p>
    <w:p>
      <w:pPr>
        <w:spacing w:after="0" w:line="124"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The shares are not being, and may not be offered to the public or to any person in the British Virgin Islands for purchase or subscription by or on behalf of us. The shares may be offered to companies incorporated under the BVI Business Companies Act, 2004 (British Virgin Islands), or BVI Companies, but only where the offer will be made to, and received by, the relevant BVI Company entirely outside of the British Virgin Islands.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China</w:t>
      </w:r>
    </w:p>
    <w:p>
      <w:pPr>
        <w:spacing w:after="0" w:line="124"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This prospectus will not be circulated or distributed in the PRC and the shares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Korea</w:t>
      </w:r>
    </w:p>
    <w:p>
      <w:pPr>
        <w:spacing w:after="0" w:line="124"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The shares have not been and will not be registered under the Financial Investments Services and Capital Markets Act of Korea, or the FSCMA, and the decrees and regulations thereunder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or the FETL, and the decrees and regulations thereunder. The shares have not been listed on any securities exchanges in the world including, without limitation, the Korea Exchange in Korea. Furthermore, the purchaser of the shares shall comply with all applicable regulatory requirements (including but not limited to requirements under the FETL) in connection</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20"/>
          </w:cols>
          <w:pgMar w:left="320" w:top="459" w:right="4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Taiwan</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in Taiwan.</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South Africa</w:t>
      </w:r>
    </w:p>
    <w:p>
      <w:pPr>
        <w:spacing w:after="0" w:line="106"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Due to restrictions under the securities laws of South Africa, no “</w:t>
      </w:r>
      <w:r>
        <w:rPr>
          <w:rFonts w:ascii="Arial" w:cs="Arial" w:eastAsia="Arial" w:hAnsi="Arial"/>
          <w:sz w:val="18"/>
          <w:szCs w:val="18"/>
          <w:i w:val="1"/>
          <w:iCs w:val="1"/>
          <w:color w:val="auto"/>
        </w:rPr>
        <w:t>offer to the public”</w:t>
      </w:r>
      <w:r>
        <w:rPr>
          <w:rFonts w:ascii="Arial" w:cs="Arial" w:eastAsia="Arial" w:hAnsi="Arial"/>
          <w:sz w:val="18"/>
          <w:szCs w:val="18"/>
          <w:color w:val="auto"/>
        </w:rPr>
        <w:t xml:space="preserve"> (as such term is defined in the South African Companies Act, No. 71 of 2008 (as amended or re-enacted, or the South African Companies Act) is being made in connection with the issue of the shares in South Africa. Accordingly, this document does not, nor is it intended to, constitute a “</w:t>
      </w:r>
      <w:r>
        <w:rPr>
          <w:rFonts w:ascii="Arial" w:cs="Arial" w:eastAsia="Arial" w:hAnsi="Arial"/>
          <w:sz w:val="18"/>
          <w:szCs w:val="18"/>
          <w:i w:val="1"/>
          <w:iCs w:val="1"/>
          <w:color w:val="auto"/>
        </w:rPr>
        <w:t>registered prospectus”</w:t>
      </w:r>
      <w:r>
        <w:rPr>
          <w:rFonts w:ascii="Arial" w:cs="Arial" w:eastAsia="Arial" w:hAnsi="Arial"/>
          <w:sz w:val="18"/>
          <w:szCs w:val="18"/>
          <w:color w:val="auto"/>
        </w:rPr>
        <w:t xml:space="preserve">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shares are not offered, and the offer shall not be transferred, sold, renounced or delivered, in South Africa or to a person with an address in South Africa, unless one or other of the following exemptions stipulated in section 96 (1) applies:</w:t>
      </w:r>
    </w:p>
    <w:p>
      <w:pPr>
        <w:spacing w:after="0" w:line="182" w:lineRule="exact"/>
        <w:rPr>
          <w:sz w:val="20"/>
          <w:szCs w:val="20"/>
          <w:color w:val="auto"/>
        </w:rPr>
      </w:pPr>
    </w:p>
    <w:p>
      <w:pPr>
        <w:ind w:left="120"/>
        <w:spacing w:after="0"/>
        <w:tabs>
          <w:tab w:leader="none" w:pos="1760" w:val="left"/>
        </w:tabs>
        <w:rPr>
          <w:sz w:val="20"/>
          <w:szCs w:val="20"/>
          <w:color w:val="auto"/>
        </w:rPr>
      </w:pPr>
      <w:r>
        <w:rPr>
          <w:rFonts w:ascii="Arial" w:cs="Arial" w:eastAsia="Arial" w:hAnsi="Arial"/>
          <w:sz w:val="18"/>
          <w:szCs w:val="18"/>
          <w:color w:val="auto"/>
        </w:rPr>
        <w:t>Section 96 (1)(a)</w:t>
      </w:r>
      <w:r>
        <w:rPr>
          <w:sz w:val="20"/>
          <w:szCs w:val="20"/>
          <w:color w:val="auto"/>
        </w:rPr>
        <w:tab/>
      </w:r>
      <w:r>
        <w:rPr>
          <w:rFonts w:ascii="Arial" w:cs="Arial" w:eastAsia="Arial" w:hAnsi="Arial"/>
          <w:sz w:val="16"/>
          <w:szCs w:val="16"/>
          <w:color w:val="auto"/>
        </w:rPr>
        <w:t>the offer, transfer, sale, renunciation or delivery is to:</w:t>
      </w:r>
    </w:p>
    <w:p>
      <w:pPr>
        <w:spacing w:after="0" w:line="144" w:lineRule="exact"/>
        <w:rPr>
          <w:sz w:val="20"/>
          <w:szCs w:val="20"/>
          <w:color w:val="auto"/>
        </w:rPr>
      </w:pPr>
    </w:p>
    <w:p>
      <w:pPr>
        <w:ind w:left="1980" w:hanging="204"/>
        <w:spacing w:after="0"/>
        <w:tabs>
          <w:tab w:leader="none" w:pos="19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persons whose ordinary business, or part of whose ordinary business, is to deal in securities, as principal or agent;</w:t>
      </w:r>
    </w:p>
    <w:p>
      <w:pPr>
        <w:spacing w:after="0" w:line="144" w:lineRule="exact"/>
        <w:rPr>
          <w:rFonts w:ascii="Arial" w:cs="Arial" w:eastAsia="Arial" w:hAnsi="Arial"/>
          <w:sz w:val="18"/>
          <w:szCs w:val="18"/>
          <w:color w:val="auto"/>
        </w:rPr>
      </w:pPr>
    </w:p>
    <w:p>
      <w:pPr>
        <w:ind w:left="2020" w:hanging="244"/>
        <w:spacing w:after="0"/>
        <w:tabs>
          <w:tab w:leader="none" w:pos="20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South African Public Investment Corporation;</w:t>
      </w:r>
    </w:p>
    <w:p>
      <w:pPr>
        <w:spacing w:after="0" w:line="144" w:lineRule="exact"/>
        <w:rPr>
          <w:rFonts w:ascii="Arial" w:cs="Arial" w:eastAsia="Arial" w:hAnsi="Arial"/>
          <w:sz w:val="18"/>
          <w:szCs w:val="18"/>
          <w:color w:val="auto"/>
        </w:rPr>
      </w:pPr>
    </w:p>
    <w:p>
      <w:pPr>
        <w:ind w:left="2060" w:hanging="284"/>
        <w:spacing w:after="0"/>
        <w:tabs>
          <w:tab w:leader="none" w:pos="20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persons or entities regulated by the Reserve Bank of South Africa;</w:t>
      </w:r>
    </w:p>
    <w:p>
      <w:pPr>
        <w:spacing w:after="0" w:line="144" w:lineRule="exact"/>
        <w:rPr>
          <w:rFonts w:ascii="Arial" w:cs="Arial" w:eastAsia="Arial" w:hAnsi="Arial"/>
          <w:sz w:val="18"/>
          <w:szCs w:val="18"/>
          <w:color w:val="auto"/>
        </w:rPr>
      </w:pPr>
    </w:p>
    <w:p>
      <w:pPr>
        <w:ind w:left="2060" w:hanging="284"/>
        <w:spacing w:after="0"/>
        <w:tabs>
          <w:tab w:leader="none" w:pos="20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authorized financial service providers under South African law;</w:t>
      </w:r>
    </w:p>
    <w:p>
      <w:pPr>
        <w:spacing w:after="0" w:line="144" w:lineRule="exact"/>
        <w:rPr>
          <w:rFonts w:ascii="Arial" w:cs="Arial" w:eastAsia="Arial" w:hAnsi="Arial"/>
          <w:sz w:val="18"/>
          <w:szCs w:val="18"/>
          <w:color w:val="auto"/>
        </w:rPr>
      </w:pPr>
    </w:p>
    <w:p>
      <w:pPr>
        <w:ind w:left="2040" w:hanging="264"/>
        <w:spacing w:after="0"/>
        <w:tabs>
          <w:tab w:leader="none" w:pos="20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financial institutions recognized as such under South African law;</w:t>
      </w:r>
    </w:p>
    <w:p>
      <w:pPr>
        <w:spacing w:after="0" w:line="144" w:lineRule="exact"/>
        <w:rPr>
          <w:rFonts w:ascii="Arial" w:cs="Arial" w:eastAsia="Arial" w:hAnsi="Arial"/>
          <w:sz w:val="18"/>
          <w:szCs w:val="18"/>
          <w:color w:val="auto"/>
        </w:rPr>
      </w:pPr>
    </w:p>
    <w:p>
      <w:pPr>
        <w:ind w:left="1780" w:hanging="4"/>
        <w:spacing w:after="0" w:line="238" w:lineRule="auto"/>
        <w:tabs>
          <w:tab w:leader="none" w:pos="2072"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 wholly-owned subsidiary of any person or entity contemplated in (c), (d) or (e), acting as agent in the capacity of an authorized portfolio manager for a pension fund, or as manager for a collective investment scheme (in each case duly registered as such under South African law); or</w:t>
      </w:r>
    </w:p>
    <w:p>
      <w:pPr>
        <w:spacing w:after="0" w:line="140" w:lineRule="exact"/>
        <w:rPr>
          <w:rFonts w:ascii="Arial" w:cs="Arial" w:eastAsia="Arial" w:hAnsi="Arial"/>
          <w:sz w:val="18"/>
          <w:szCs w:val="18"/>
          <w:color w:val="auto"/>
        </w:rPr>
      </w:pPr>
    </w:p>
    <w:p>
      <w:pPr>
        <w:ind w:left="2100" w:hanging="324"/>
        <w:spacing w:after="0"/>
        <w:tabs>
          <w:tab w:leader="none" w:pos="21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combination of the person in (i) to (vi); or</w:t>
      </w:r>
    </w:p>
    <w:p>
      <w:pPr>
        <w:spacing w:after="0" w:line="77" w:lineRule="exact"/>
        <w:rPr>
          <w:sz w:val="20"/>
          <w:szCs w:val="20"/>
          <w:color w:val="auto"/>
        </w:rPr>
      </w:pPr>
    </w:p>
    <w:p>
      <w:pPr>
        <w:ind w:left="1780" w:right="440" w:hanging="1659"/>
        <w:spacing w:after="0" w:line="238" w:lineRule="auto"/>
        <w:tabs>
          <w:tab w:leader="none" w:pos="1760" w:val="left"/>
        </w:tabs>
        <w:rPr>
          <w:sz w:val="20"/>
          <w:szCs w:val="20"/>
          <w:color w:val="auto"/>
        </w:rPr>
      </w:pPr>
      <w:r>
        <w:rPr>
          <w:rFonts w:ascii="Arial" w:cs="Arial" w:eastAsia="Arial" w:hAnsi="Arial"/>
          <w:sz w:val="18"/>
          <w:szCs w:val="18"/>
          <w:color w:val="auto"/>
        </w:rPr>
        <w:t>Section 96 (1)(b)</w:t>
      </w:r>
      <w:r>
        <w:rPr>
          <w:sz w:val="20"/>
          <w:szCs w:val="20"/>
          <w:color w:val="auto"/>
        </w:rPr>
        <w:tab/>
      </w:r>
      <w:r>
        <w:rPr>
          <w:rFonts w:ascii="Arial" w:cs="Arial" w:eastAsia="Arial" w:hAnsi="Arial"/>
          <w:sz w:val="18"/>
          <w:szCs w:val="18"/>
          <w:color w:val="auto"/>
        </w:rPr>
        <w:t>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82" w:lineRule="exact"/>
        <w:rPr>
          <w:sz w:val="20"/>
          <w:szCs w:val="20"/>
          <w:color w:val="auto"/>
        </w:rPr>
      </w:pPr>
    </w:p>
    <w:p>
      <w:pPr>
        <w:ind w:left="120" w:right="320"/>
        <w:spacing w:after="0" w:line="260" w:lineRule="auto"/>
        <w:rPr>
          <w:sz w:val="20"/>
          <w:szCs w:val="20"/>
          <w:color w:val="auto"/>
        </w:rPr>
      </w:pPr>
      <w:r>
        <w:rPr>
          <w:rFonts w:ascii="Arial" w:cs="Arial" w:eastAsia="Arial" w:hAnsi="Arial"/>
          <w:sz w:val="18"/>
          <w:szCs w:val="18"/>
          <w:color w:val="auto"/>
        </w:rPr>
        <w:t>Information made available in this prospectus should not be considered as “</w:t>
      </w:r>
      <w:r>
        <w:rPr>
          <w:rFonts w:ascii="Arial" w:cs="Arial" w:eastAsia="Arial" w:hAnsi="Arial"/>
          <w:sz w:val="18"/>
          <w:szCs w:val="18"/>
          <w:i w:val="1"/>
          <w:iCs w:val="1"/>
          <w:color w:val="auto"/>
        </w:rPr>
        <w:t>advice</w:t>
      </w:r>
      <w:r>
        <w:rPr>
          <w:rFonts w:ascii="Arial" w:cs="Arial" w:eastAsia="Arial" w:hAnsi="Arial"/>
          <w:sz w:val="18"/>
          <w:szCs w:val="18"/>
          <w:color w:val="auto"/>
        </w:rPr>
        <w:t>” as defined in the South African Financial Advisory and Intermediary Services Act, 2002.</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20"/>
          </w:cols>
          <w:pgMar w:left="320" w:top="459" w:right="4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Israel</w:t>
      </w:r>
    </w:p>
    <w:p>
      <w:pPr>
        <w:spacing w:after="0" w:line="124" w:lineRule="exact"/>
        <w:rPr>
          <w:sz w:val="20"/>
          <w:szCs w:val="20"/>
          <w:color w:val="auto"/>
        </w:rPr>
      </w:pPr>
    </w:p>
    <w:p>
      <w:pPr>
        <w:ind w:left="120" w:right="80"/>
        <w:spacing w:after="0" w:line="264" w:lineRule="auto"/>
        <w:rPr>
          <w:sz w:val="20"/>
          <w:szCs w:val="20"/>
          <w:color w:val="auto"/>
        </w:rPr>
      </w:pPr>
      <w:r>
        <w:rPr>
          <w:rFonts w:ascii="Arial" w:cs="Arial" w:eastAsia="Arial" w:hAnsi="Arial"/>
          <w:sz w:val="16"/>
          <w:szCs w:val="16"/>
          <w:color w:val="auto"/>
        </w:rPr>
        <w:t>This document does not constitute a prospectus under the Israeli Securities Law, 5728-1968, or the Securities Law, and has not been filed with or approved by the Israel Securities Authority. In Israel, this prospectus is being distributed only to, and is directed only at, and any offer of the shares of common stock is directed only at, (i) a limited number of persons in accordance with the Israeli Securities Law and</w:t>
      </w:r>
    </w:p>
    <w:p>
      <w:pPr>
        <w:ind w:left="120" w:hanging="4"/>
        <w:spacing w:after="0" w:line="236" w:lineRule="auto"/>
        <w:tabs>
          <w:tab w:leader="none" w:pos="36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040"/>
          </w:cols>
          <w:pgMar w:left="320" w:top="459" w:right="5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Legal matters</w:t>
      </w:r>
    </w:p>
    <w:p>
      <w:pPr>
        <w:spacing w:after="0" w:line="157"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The validity of the issuance of our common stock offered in this prospectus will be passed upon for us by Latham &amp; Watkins LLP, Menlo Park, California. Davis Polk &amp; Wardwell LLP, Menlo Park, California, is acting as counsel for the underwriters in connection with this offering. Latham &amp; Watkins LLP and certain attorneys and investment funds affiliated with the firm own shares of our preferred stock which will be converted into an aggregate of 48,544 shares of common stock immediately upon the completion of this offering.</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Experts</w:t>
      </w:r>
    </w:p>
    <w:p>
      <w:pPr>
        <w:spacing w:after="0" w:line="157" w:lineRule="exact"/>
        <w:rPr>
          <w:sz w:val="20"/>
          <w:szCs w:val="20"/>
          <w:color w:val="auto"/>
        </w:rPr>
      </w:pPr>
    </w:p>
    <w:p>
      <w:pPr>
        <w:ind w:left="120" w:right="20"/>
        <w:spacing w:after="0" w:line="281" w:lineRule="auto"/>
        <w:rPr>
          <w:sz w:val="20"/>
          <w:szCs w:val="20"/>
          <w:color w:val="auto"/>
        </w:rPr>
      </w:pPr>
      <w:r>
        <w:rPr>
          <w:rFonts w:ascii="Arial" w:cs="Arial" w:eastAsia="Arial" w:hAnsi="Arial"/>
          <w:sz w:val="16"/>
          <w:szCs w:val="16"/>
          <w:color w:val="auto"/>
        </w:rPr>
        <w:t>The financial statements of Revolution Medicines, Inc. as of December 31, 2017 and December 31, 2018 and for each of the two years in the period ended December 31, 2018 included in this prospectus have been so included in reliance on the report of PricewaterhouseCoopers LLP, an independent registered public accounting firm, given on the authority of said firm as experts in auditing and accounting.</w:t>
      </w:r>
    </w:p>
    <w:p>
      <w:pPr>
        <w:spacing w:after="0" w:line="69"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The financial statements of Warp Drive Bio, Inc. as of December 31, 2017 and for the year then ended included in this prospectus have been so included in reliance on the report (which contains an explanatory paragraph relating to the Company’s ability to continue as a going concern as described in Note 1 to the financial statements) of PricewaterhouseCoopers LLP, an independent registered public accounting firm, given on the authority of said firm as experts in auditing and accounting.</w:t>
      </w:r>
    </w:p>
    <w:p>
      <w:pPr>
        <w:spacing w:after="0" w:line="100"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The financial statements of Warp Drive Bio, Inc. at December 31, 2016 and for the year then ended appearing in this prospectus and registration statement have been audited by Ernst &amp; Young LLP, independent auditors, as set forth in their report thereon (which contains an explanatory paragraph describing conditions that raise substantial doubt about Warp Drive Bio, Inc.’s ability to continue as a going concern, as described in Note 1 to the financial statements), appearing elsewhere herein, and are included in reliance upon such report given on the authority of such firm as experts in accounting and auditing.</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Where you can find more information</w:t>
      </w:r>
    </w:p>
    <w:p>
      <w:pPr>
        <w:spacing w:after="0" w:line="157"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and schedules filed therewith. For further information with respect to Revolution Medicines, Inc. and the common stock offered hereby, reference is made to the registration statement and the exhibits and schedules filed therewith.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The SEC also maintains a website that contains reports, proxy and information statements and other information regarding registrants that file electronically with the SEC. The address is www.sec.gov.</w:t>
      </w:r>
    </w:p>
    <w:p>
      <w:pPr>
        <w:spacing w:after="0" w:line="78" w:lineRule="exact"/>
        <w:rPr>
          <w:sz w:val="20"/>
          <w:szCs w:val="20"/>
          <w:color w:val="auto"/>
        </w:rPr>
      </w:pPr>
    </w:p>
    <w:p>
      <w:pPr>
        <w:ind w:left="120" w:right="60"/>
        <w:spacing w:after="0" w:line="275" w:lineRule="auto"/>
        <w:rPr>
          <w:sz w:val="20"/>
          <w:szCs w:val="20"/>
          <w:color w:val="auto"/>
        </w:rPr>
      </w:pPr>
      <w:r>
        <w:rPr>
          <w:rFonts w:ascii="Arial" w:cs="Arial" w:eastAsia="Arial" w:hAnsi="Arial"/>
          <w:sz w:val="16"/>
          <w:szCs w:val="16"/>
          <w:color w:val="auto"/>
        </w:rPr>
        <w:t>Upon consummation of this offering, we will become subject to the information and periodic reporting requirements of the Exchange Act and, in accordance therewith, will file periodic reports, proxy statements and other information with the SEC. Such periodic reports, proxy statements and other information will be available for inspection and copying at the public reference room and website of the SEC referred to above. We maintain a website at www.revmed.com. Upon consummation of this offering, you may access our annual reports on</w:t>
      </w:r>
    </w:p>
    <w:p>
      <w:pPr>
        <w:spacing w:after="0" w:line="1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080"/>
          </w:cols>
          <w:pgMar w:left="320" w:top="459" w:right="49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Form 10-K, quarterly reports on Form 10-Q, current reports on Form 8-K, and amendments to those reports filed or furnished pursuant to Section 13(a) or 15(d) of the Exchange Act with the SEC free of charge at our website as soon as reasonably practicable after such material is electronically filed with, or furnished to, the SEC. The reference to our website address does not constitute incorporation by reference of the information contained on our website, and you should not consider the contents of our website in making an investment decision with respect to our common stock.</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100"/>
          </w:cols>
          <w:pgMar w:left="320" w:top="459" w:right="47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Revolution Medicines, Inc.</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Index to consolidated financial statements</w:t>
      </w:r>
    </w:p>
    <w:p>
      <w:pPr>
        <w:spacing w:after="0" w:line="111"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Page</w:t>
            </w:r>
          </w:p>
        </w:tc>
      </w:tr>
      <w:tr>
        <w:trPr>
          <w:trHeight w:val="268"/>
        </w:trPr>
        <w:tc>
          <w:tcPr>
            <w:tcW w:w="10420" w:type="dxa"/>
            <w:vAlign w:val="bottom"/>
            <w:gridSpan w:val="18"/>
          </w:tcPr>
          <w:p>
            <w:pPr>
              <w:spacing w:after="0"/>
              <w:rPr>
                <w:sz w:val="20"/>
                <w:szCs w:val="20"/>
                <w:color w:val="auto"/>
              </w:rPr>
            </w:pPr>
            <w:r>
              <w:rPr>
                <w:rFonts w:ascii="Arial" w:cs="Arial" w:eastAsia="Arial" w:hAnsi="Arial"/>
                <w:sz w:val="18"/>
                <w:szCs w:val="18"/>
                <w:b w:val="1"/>
                <w:bCs w:val="1"/>
                <w:color w:val="auto"/>
              </w:rPr>
              <w:t>Revolution Medicines, Inc. and subsidiary (audited financial statements for the years ended December 31, 2017 and 2018)</w:t>
            </w:r>
          </w:p>
        </w:tc>
        <w:tc>
          <w:tcPr>
            <w:tcW w:w="540" w:type="dxa"/>
            <w:vAlign w:val="bottom"/>
          </w:tcPr>
          <w:p>
            <w:pPr>
              <w:spacing w:after="0"/>
              <w:rPr>
                <w:sz w:val="23"/>
                <w:szCs w:val="23"/>
                <w:color w:val="auto"/>
              </w:rPr>
            </w:pPr>
          </w:p>
        </w:tc>
      </w:tr>
      <w:tr>
        <w:trPr>
          <w:trHeight w:val="232"/>
        </w:trPr>
        <w:tc>
          <w:tcPr>
            <w:tcW w:w="220" w:type="dxa"/>
            <w:vAlign w:val="bottom"/>
          </w:tcPr>
          <w:p>
            <w:pPr>
              <w:spacing w:after="0"/>
              <w:rPr>
                <w:sz w:val="20"/>
                <w:szCs w:val="20"/>
                <w:color w:val="auto"/>
              </w:rPr>
            </w:pPr>
          </w:p>
        </w:tc>
        <w:tc>
          <w:tcPr>
            <w:tcW w:w="4480" w:type="dxa"/>
            <w:vAlign w:val="bottom"/>
            <w:tcBorders>
              <w:bottom w:val="single" w:sz="8" w:color="0000EE"/>
            </w:tcBorders>
            <w:gridSpan w:val="12"/>
          </w:tcPr>
          <w:p>
            <w:pPr>
              <w:spacing w:after="0"/>
              <w:rPr>
                <w:rFonts w:ascii="Arial" w:cs="Arial" w:eastAsia="Arial" w:hAnsi="Arial"/>
                <w:sz w:val="18"/>
                <w:szCs w:val="18"/>
                <w:color w:val="0000EE"/>
                <w:w w:val="96"/>
              </w:rPr>
            </w:pPr>
            <w:hyperlink w:anchor="page207">
              <w:r>
                <w:rPr>
                  <w:rFonts w:ascii="Arial" w:cs="Arial" w:eastAsia="Arial" w:hAnsi="Arial"/>
                  <w:sz w:val="18"/>
                  <w:szCs w:val="18"/>
                  <w:color w:val="0000EE"/>
                  <w:w w:val="96"/>
                </w:rPr>
                <w:t>Report of Independent Registered Public Accounting Firm</w:t>
              </w:r>
            </w:hyperlink>
          </w:p>
        </w:tc>
        <w:tc>
          <w:tcPr>
            <w:tcW w:w="5720" w:type="dxa"/>
            <w:vAlign w:val="bottom"/>
            <w:gridSpan w:val="5"/>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50"/>
        </w:trPr>
        <w:tc>
          <w:tcPr>
            <w:tcW w:w="220" w:type="dxa"/>
            <w:vAlign w:val="bottom"/>
          </w:tcPr>
          <w:p>
            <w:pPr>
              <w:spacing w:after="0"/>
              <w:rPr>
                <w:sz w:val="21"/>
                <w:szCs w:val="21"/>
                <w:color w:val="auto"/>
              </w:rPr>
            </w:pPr>
          </w:p>
        </w:tc>
        <w:tc>
          <w:tcPr>
            <w:tcW w:w="10200" w:type="dxa"/>
            <w:vAlign w:val="bottom"/>
            <w:gridSpan w:val="17"/>
          </w:tcPr>
          <w:p>
            <w:pPr>
              <w:spacing w:after="0"/>
              <w:rPr>
                <w:rFonts w:ascii="Arial" w:cs="Arial" w:eastAsia="Arial" w:hAnsi="Arial"/>
                <w:sz w:val="18"/>
                <w:szCs w:val="18"/>
                <w:color w:val="0000EE"/>
              </w:rPr>
            </w:pPr>
            <w:hyperlink w:anchor="page208">
              <w:r>
                <w:rPr>
                  <w:rFonts w:ascii="Arial" w:cs="Arial" w:eastAsia="Arial" w:hAnsi="Arial"/>
                  <w:sz w:val="18"/>
                  <w:szCs w:val="18"/>
                  <w:color w:val="0000EE"/>
                </w:rPr>
                <w:t>Consolidated balance sheets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0"/>
        </w:trPr>
        <w:tc>
          <w:tcPr>
            <w:tcW w:w="2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10200" w:type="dxa"/>
            <w:vAlign w:val="bottom"/>
            <w:gridSpan w:val="17"/>
          </w:tcPr>
          <w:p>
            <w:pPr>
              <w:spacing w:after="0"/>
              <w:rPr>
                <w:rFonts w:ascii="Arial" w:cs="Arial" w:eastAsia="Arial" w:hAnsi="Arial"/>
                <w:sz w:val="18"/>
                <w:szCs w:val="18"/>
                <w:color w:val="0000EE"/>
              </w:rPr>
            </w:pPr>
            <w:hyperlink w:anchor="page209">
              <w:r>
                <w:rPr>
                  <w:rFonts w:ascii="Arial" w:cs="Arial" w:eastAsia="Arial" w:hAnsi="Arial"/>
                  <w:sz w:val="18"/>
                  <w:szCs w:val="18"/>
                  <w:color w:val="0000EE"/>
                </w:rPr>
                <w:t>Consolidated statements of operations and comprehensive loss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0"/>
        </w:trPr>
        <w:tc>
          <w:tcPr>
            <w:tcW w:w="2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7140" w:type="dxa"/>
            <w:vAlign w:val="bottom"/>
            <w:tcBorders>
              <w:bottom w:val="single" w:sz="8" w:color="0000EE"/>
            </w:tcBorders>
            <w:gridSpan w:val="16"/>
          </w:tcPr>
          <w:p>
            <w:pPr>
              <w:spacing w:after="0"/>
              <w:rPr>
                <w:rFonts w:ascii="Arial" w:cs="Arial" w:eastAsia="Arial" w:hAnsi="Arial"/>
                <w:sz w:val="18"/>
                <w:szCs w:val="18"/>
                <w:color w:val="0000EE"/>
                <w:w w:val="97"/>
              </w:rPr>
            </w:pPr>
            <w:hyperlink w:anchor="page210">
              <w:r>
                <w:rPr>
                  <w:rFonts w:ascii="Arial" w:cs="Arial" w:eastAsia="Arial" w:hAnsi="Arial"/>
                  <w:sz w:val="18"/>
                  <w:szCs w:val="18"/>
                  <w:color w:val="0000EE"/>
                  <w:w w:val="97"/>
                </w:rPr>
                <w:t>Consolidated statements of redeemable convertible preferred stock and stockholders’ deficit</w:t>
              </w:r>
            </w:hyperlink>
          </w:p>
        </w:tc>
        <w:tc>
          <w:tcPr>
            <w:tcW w:w="30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50"/>
        </w:trPr>
        <w:tc>
          <w:tcPr>
            <w:tcW w:w="220" w:type="dxa"/>
            <w:vAlign w:val="bottom"/>
          </w:tcPr>
          <w:p>
            <w:pPr>
              <w:spacing w:after="0"/>
              <w:rPr>
                <w:sz w:val="21"/>
                <w:szCs w:val="21"/>
                <w:color w:val="auto"/>
              </w:rPr>
            </w:pPr>
          </w:p>
        </w:tc>
        <w:tc>
          <w:tcPr>
            <w:tcW w:w="10200" w:type="dxa"/>
            <w:vAlign w:val="bottom"/>
            <w:gridSpan w:val="17"/>
          </w:tcPr>
          <w:p>
            <w:pPr>
              <w:spacing w:after="0"/>
              <w:rPr>
                <w:rFonts w:ascii="Arial" w:cs="Arial" w:eastAsia="Arial" w:hAnsi="Arial"/>
                <w:sz w:val="18"/>
                <w:szCs w:val="18"/>
                <w:color w:val="0000EE"/>
              </w:rPr>
            </w:pPr>
            <w:hyperlink w:anchor="page211">
              <w:r>
                <w:rPr>
                  <w:rFonts w:ascii="Arial" w:cs="Arial" w:eastAsia="Arial" w:hAnsi="Arial"/>
                  <w:sz w:val="18"/>
                  <w:szCs w:val="18"/>
                  <w:color w:val="0000EE"/>
                </w:rPr>
                <w:t>Consolidated statements of cash flows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0"/>
        </w:trPr>
        <w:tc>
          <w:tcPr>
            <w:tcW w:w="2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280" w:type="dxa"/>
            <w:vAlign w:val="bottom"/>
            <w:tcBorders>
              <w:bottom w:val="single" w:sz="8" w:color="0000EE"/>
            </w:tcBorders>
            <w:gridSpan w:val="8"/>
          </w:tcPr>
          <w:p>
            <w:pPr>
              <w:spacing w:after="0"/>
              <w:rPr>
                <w:rFonts w:ascii="Arial" w:cs="Arial" w:eastAsia="Arial" w:hAnsi="Arial"/>
                <w:sz w:val="18"/>
                <w:szCs w:val="18"/>
                <w:color w:val="0000EE"/>
                <w:w w:val="96"/>
              </w:rPr>
            </w:pPr>
            <w:hyperlink w:anchor="page212">
              <w:r>
                <w:rPr>
                  <w:rFonts w:ascii="Arial" w:cs="Arial" w:eastAsia="Arial" w:hAnsi="Arial"/>
                  <w:sz w:val="18"/>
                  <w:szCs w:val="18"/>
                  <w:color w:val="0000EE"/>
                  <w:w w:val="96"/>
                </w:rPr>
                <w:t>Notes to consolidated financial statements</w:t>
              </w:r>
            </w:hyperlink>
          </w:p>
        </w:tc>
        <w:tc>
          <w:tcPr>
            <w:tcW w:w="6920" w:type="dxa"/>
            <w:vAlign w:val="bottom"/>
            <w:gridSpan w:val="9"/>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329"/>
        </w:trPr>
        <w:tc>
          <w:tcPr>
            <w:tcW w:w="10420" w:type="dxa"/>
            <w:vAlign w:val="bottom"/>
            <w:gridSpan w:val="18"/>
          </w:tcPr>
          <w:p>
            <w:pPr>
              <w:spacing w:after="0"/>
              <w:rPr>
                <w:sz w:val="20"/>
                <w:szCs w:val="20"/>
                <w:color w:val="auto"/>
              </w:rPr>
            </w:pPr>
            <w:r>
              <w:rPr>
                <w:rFonts w:ascii="Arial" w:cs="Arial" w:eastAsia="Arial" w:hAnsi="Arial"/>
                <w:sz w:val="18"/>
                <w:szCs w:val="18"/>
                <w:b w:val="1"/>
                <w:bCs w:val="1"/>
                <w:color w:val="auto"/>
              </w:rPr>
              <w:t>Warp Drive Bio, Inc. (audited financial statements for the years ended December 31, 2017 and 2016)</w:t>
            </w:r>
          </w:p>
        </w:tc>
        <w:tc>
          <w:tcPr>
            <w:tcW w:w="540" w:type="dxa"/>
            <w:vAlign w:val="bottom"/>
          </w:tcPr>
          <w:p>
            <w:pPr>
              <w:spacing w:after="0"/>
              <w:rPr>
                <w:sz w:val="24"/>
                <w:szCs w:val="24"/>
                <w:color w:val="auto"/>
              </w:rPr>
            </w:pPr>
          </w:p>
        </w:tc>
      </w:tr>
      <w:tr>
        <w:trPr>
          <w:trHeight w:val="232"/>
        </w:trPr>
        <w:tc>
          <w:tcPr>
            <w:tcW w:w="220" w:type="dxa"/>
            <w:vAlign w:val="bottom"/>
          </w:tcPr>
          <w:p>
            <w:pPr>
              <w:spacing w:after="0"/>
              <w:rPr>
                <w:sz w:val="20"/>
                <w:szCs w:val="20"/>
                <w:color w:val="auto"/>
              </w:rPr>
            </w:pPr>
          </w:p>
        </w:tc>
        <w:tc>
          <w:tcPr>
            <w:tcW w:w="2440" w:type="dxa"/>
            <w:vAlign w:val="bottom"/>
            <w:tcBorders>
              <w:bottom w:val="single" w:sz="8" w:color="0000EE"/>
            </w:tcBorders>
            <w:gridSpan w:val="4"/>
          </w:tcPr>
          <w:p>
            <w:pPr>
              <w:spacing w:after="0"/>
              <w:rPr>
                <w:rFonts w:ascii="Arial" w:cs="Arial" w:eastAsia="Arial" w:hAnsi="Arial"/>
                <w:sz w:val="18"/>
                <w:szCs w:val="18"/>
                <w:color w:val="0000EE"/>
                <w:w w:val="96"/>
              </w:rPr>
            </w:pPr>
            <w:hyperlink w:anchor="page240">
              <w:r>
                <w:rPr>
                  <w:rFonts w:ascii="Arial" w:cs="Arial" w:eastAsia="Arial" w:hAnsi="Arial"/>
                  <w:sz w:val="18"/>
                  <w:szCs w:val="18"/>
                  <w:color w:val="0000EE"/>
                  <w:w w:val="96"/>
                </w:rPr>
                <w:t>Report of Independent Auditors</w:t>
              </w:r>
            </w:hyperlink>
          </w:p>
        </w:tc>
        <w:tc>
          <w:tcPr>
            <w:tcW w:w="7760" w:type="dxa"/>
            <w:vAlign w:val="bottom"/>
            <w:gridSpan w:val="13"/>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F-35</w:t>
            </w:r>
          </w:p>
        </w:tc>
      </w:tr>
      <w:tr>
        <w:trPr>
          <w:trHeight w:val="250"/>
        </w:trPr>
        <w:tc>
          <w:tcPr>
            <w:tcW w:w="220" w:type="dxa"/>
            <w:vAlign w:val="bottom"/>
          </w:tcPr>
          <w:p>
            <w:pPr>
              <w:spacing w:after="0"/>
              <w:rPr>
                <w:sz w:val="21"/>
                <w:szCs w:val="21"/>
                <w:color w:val="auto"/>
              </w:rPr>
            </w:pPr>
          </w:p>
        </w:tc>
        <w:tc>
          <w:tcPr>
            <w:tcW w:w="2440" w:type="dxa"/>
            <w:vAlign w:val="bottom"/>
            <w:tcBorders>
              <w:bottom w:val="single" w:sz="8" w:color="0000EE"/>
            </w:tcBorders>
            <w:gridSpan w:val="4"/>
          </w:tcPr>
          <w:p>
            <w:pPr>
              <w:spacing w:after="0"/>
              <w:rPr>
                <w:rFonts w:ascii="Arial" w:cs="Arial" w:eastAsia="Arial" w:hAnsi="Arial"/>
                <w:sz w:val="18"/>
                <w:szCs w:val="18"/>
                <w:color w:val="0000EE"/>
                <w:w w:val="96"/>
              </w:rPr>
            </w:pPr>
            <w:hyperlink w:anchor="page241">
              <w:r>
                <w:rPr>
                  <w:rFonts w:ascii="Arial" w:cs="Arial" w:eastAsia="Arial" w:hAnsi="Arial"/>
                  <w:sz w:val="18"/>
                  <w:szCs w:val="18"/>
                  <w:color w:val="0000EE"/>
                  <w:w w:val="96"/>
                </w:rPr>
                <w:t>Report of Independent Auditors</w:t>
              </w:r>
            </w:hyperlink>
          </w:p>
        </w:tc>
        <w:tc>
          <w:tcPr>
            <w:tcW w:w="7760" w:type="dxa"/>
            <w:vAlign w:val="bottom"/>
            <w:gridSpan w:val="13"/>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F-36</w:t>
            </w:r>
          </w:p>
        </w:tc>
      </w:tr>
      <w:tr>
        <w:trPr>
          <w:trHeight w:val="250"/>
        </w:trPr>
        <w:tc>
          <w:tcPr>
            <w:tcW w:w="220" w:type="dxa"/>
            <w:vAlign w:val="bottom"/>
          </w:tcPr>
          <w:p>
            <w:pPr>
              <w:spacing w:after="0"/>
              <w:rPr>
                <w:sz w:val="21"/>
                <w:szCs w:val="21"/>
                <w:color w:val="auto"/>
              </w:rPr>
            </w:pPr>
          </w:p>
        </w:tc>
        <w:tc>
          <w:tcPr>
            <w:tcW w:w="1200" w:type="dxa"/>
            <w:vAlign w:val="bottom"/>
            <w:tcBorders>
              <w:bottom w:val="single" w:sz="8" w:color="0000EE"/>
            </w:tcBorders>
          </w:tcPr>
          <w:p>
            <w:pPr>
              <w:spacing w:after="0"/>
              <w:rPr>
                <w:rFonts w:ascii="Arial" w:cs="Arial" w:eastAsia="Arial" w:hAnsi="Arial"/>
                <w:sz w:val="18"/>
                <w:szCs w:val="18"/>
                <w:color w:val="0000EE"/>
                <w:w w:val="95"/>
              </w:rPr>
            </w:pPr>
            <w:hyperlink w:anchor="page242">
              <w:r>
                <w:rPr>
                  <w:rFonts w:ascii="Arial" w:cs="Arial" w:eastAsia="Arial" w:hAnsi="Arial"/>
                  <w:sz w:val="18"/>
                  <w:szCs w:val="18"/>
                  <w:color w:val="0000EE"/>
                  <w:w w:val="95"/>
                </w:rPr>
                <w:t>Balance sheets</w:t>
              </w:r>
            </w:hyperlink>
          </w:p>
        </w:tc>
        <w:tc>
          <w:tcPr>
            <w:tcW w:w="9000" w:type="dxa"/>
            <w:vAlign w:val="bottom"/>
            <w:gridSpan w:val="16"/>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F-37</w:t>
            </w:r>
          </w:p>
        </w:tc>
      </w:tr>
      <w:tr>
        <w:trPr>
          <w:trHeight w:val="250"/>
        </w:trPr>
        <w:tc>
          <w:tcPr>
            <w:tcW w:w="220" w:type="dxa"/>
            <w:vAlign w:val="bottom"/>
          </w:tcPr>
          <w:p>
            <w:pPr>
              <w:spacing w:after="0"/>
              <w:rPr>
                <w:sz w:val="21"/>
                <w:szCs w:val="21"/>
                <w:color w:val="auto"/>
              </w:rPr>
            </w:pPr>
          </w:p>
        </w:tc>
        <w:tc>
          <w:tcPr>
            <w:tcW w:w="10200" w:type="dxa"/>
            <w:vAlign w:val="bottom"/>
            <w:gridSpan w:val="17"/>
          </w:tcPr>
          <w:p>
            <w:pPr>
              <w:spacing w:after="0"/>
              <w:rPr>
                <w:rFonts w:ascii="Arial" w:cs="Arial" w:eastAsia="Arial" w:hAnsi="Arial"/>
                <w:sz w:val="18"/>
                <w:szCs w:val="18"/>
                <w:color w:val="0000EE"/>
              </w:rPr>
            </w:pPr>
            <w:hyperlink w:anchor="page243">
              <w:r>
                <w:rPr>
                  <w:rFonts w:ascii="Arial" w:cs="Arial" w:eastAsia="Arial" w:hAnsi="Arial"/>
                  <w:sz w:val="18"/>
                  <w:szCs w:val="18"/>
                  <w:color w:val="0000EE"/>
                </w:rPr>
                <w:t>Statements of operations and comprehensive loss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F-38</w:t>
            </w:r>
          </w:p>
        </w:tc>
      </w:tr>
      <w:tr>
        <w:trPr>
          <w:trHeight w:val="20"/>
        </w:trPr>
        <w:tc>
          <w:tcPr>
            <w:tcW w:w="220" w:type="dxa"/>
            <w:vAlign w:val="bottom"/>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5120" w:type="dxa"/>
            <w:vAlign w:val="bottom"/>
            <w:tcBorders>
              <w:bottom w:val="single" w:sz="8" w:color="0000EE"/>
            </w:tcBorders>
            <w:gridSpan w:val="14"/>
          </w:tcPr>
          <w:p>
            <w:pPr>
              <w:spacing w:after="0"/>
              <w:rPr>
                <w:rFonts w:ascii="Arial" w:cs="Arial" w:eastAsia="Arial" w:hAnsi="Arial"/>
                <w:sz w:val="18"/>
                <w:szCs w:val="18"/>
                <w:color w:val="0000EE"/>
                <w:w w:val="97"/>
              </w:rPr>
            </w:pPr>
            <w:hyperlink w:anchor="page244">
              <w:r>
                <w:rPr>
                  <w:rFonts w:ascii="Arial" w:cs="Arial" w:eastAsia="Arial" w:hAnsi="Arial"/>
                  <w:sz w:val="18"/>
                  <w:szCs w:val="18"/>
                  <w:color w:val="0000EE"/>
                  <w:w w:val="97"/>
                </w:rPr>
                <w:t>Statements of convertible preferred stock and stockholders’ deficit</w:t>
              </w:r>
            </w:hyperlink>
          </w:p>
        </w:tc>
        <w:tc>
          <w:tcPr>
            <w:tcW w:w="5080" w:type="dxa"/>
            <w:vAlign w:val="bottom"/>
            <w:gridSpan w:val="3"/>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F-39</w:t>
            </w:r>
          </w:p>
        </w:tc>
      </w:tr>
      <w:tr>
        <w:trPr>
          <w:trHeight w:val="250"/>
        </w:trPr>
        <w:tc>
          <w:tcPr>
            <w:tcW w:w="220" w:type="dxa"/>
            <w:vAlign w:val="bottom"/>
          </w:tcPr>
          <w:p>
            <w:pPr>
              <w:spacing w:after="0"/>
              <w:rPr>
                <w:sz w:val="21"/>
                <w:szCs w:val="21"/>
                <w:color w:val="auto"/>
              </w:rPr>
            </w:pPr>
          </w:p>
        </w:tc>
        <w:tc>
          <w:tcPr>
            <w:tcW w:w="10200" w:type="dxa"/>
            <w:vAlign w:val="bottom"/>
            <w:gridSpan w:val="17"/>
          </w:tcPr>
          <w:p>
            <w:pPr>
              <w:spacing w:after="0"/>
              <w:rPr>
                <w:rFonts w:ascii="Arial" w:cs="Arial" w:eastAsia="Arial" w:hAnsi="Arial"/>
                <w:sz w:val="18"/>
                <w:szCs w:val="18"/>
                <w:color w:val="0000EE"/>
              </w:rPr>
            </w:pPr>
            <w:hyperlink w:anchor="page245">
              <w:r>
                <w:rPr>
                  <w:rFonts w:ascii="Arial" w:cs="Arial" w:eastAsia="Arial" w:hAnsi="Arial"/>
                  <w:sz w:val="18"/>
                  <w:szCs w:val="18"/>
                  <w:color w:val="0000EE"/>
                </w:rPr>
                <w:t>Statements of cash flows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F-40</w:t>
            </w:r>
          </w:p>
        </w:tc>
      </w:tr>
      <w:tr>
        <w:trPr>
          <w:trHeight w:val="20"/>
        </w:trPr>
        <w:tc>
          <w:tcPr>
            <w:tcW w:w="220" w:type="dxa"/>
            <w:vAlign w:val="bottom"/>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2540" w:type="dxa"/>
            <w:vAlign w:val="bottom"/>
            <w:tcBorders>
              <w:bottom w:val="single" w:sz="8" w:color="0000EE"/>
            </w:tcBorders>
            <w:gridSpan w:val="5"/>
          </w:tcPr>
          <w:p>
            <w:pPr>
              <w:spacing w:after="0"/>
              <w:rPr>
                <w:rFonts w:ascii="Arial" w:cs="Arial" w:eastAsia="Arial" w:hAnsi="Arial"/>
                <w:sz w:val="18"/>
                <w:szCs w:val="18"/>
                <w:color w:val="0000EE"/>
                <w:w w:val="96"/>
              </w:rPr>
            </w:pPr>
            <w:hyperlink w:anchor="page246">
              <w:r>
                <w:rPr>
                  <w:rFonts w:ascii="Arial" w:cs="Arial" w:eastAsia="Arial" w:hAnsi="Arial"/>
                  <w:sz w:val="18"/>
                  <w:szCs w:val="18"/>
                  <w:color w:val="0000EE"/>
                  <w:w w:val="96"/>
                </w:rPr>
                <w:t>Notes to the financial statements</w:t>
              </w:r>
            </w:hyperlink>
          </w:p>
        </w:tc>
        <w:tc>
          <w:tcPr>
            <w:tcW w:w="7660" w:type="dxa"/>
            <w:vAlign w:val="bottom"/>
            <w:gridSpan w:val="12"/>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F-41</w:t>
            </w:r>
          </w:p>
        </w:tc>
      </w:tr>
      <w:tr>
        <w:trPr>
          <w:trHeight w:val="299"/>
        </w:trPr>
        <w:tc>
          <w:tcPr>
            <w:tcW w:w="10420" w:type="dxa"/>
            <w:vAlign w:val="bottom"/>
            <w:gridSpan w:val="18"/>
          </w:tcPr>
          <w:p>
            <w:pPr>
              <w:spacing w:after="0"/>
              <w:rPr>
                <w:sz w:val="20"/>
                <w:szCs w:val="20"/>
                <w:color w:val="auto"/>
              </w:rPr>
            </w:pPr>
            <w:r>
              <w:rPr>
                <w:rFonts w:ascii="Arial" w:cs="Arial" w:eastAsia="Arial" w:hAnsi="Arial"/>
                <w:sz w:val="18"/>
                <w:szCs w:val="18"/>
                <w:b w:val="1"/>
                <w:bCs w:val="1"/>
                <w:color w:val="auto"/>
                <w:w w:val="98"/>
              </w:rPr>
              <w:t>Warp Drive Bio, Inc. (unaudited condensed interim financial statements for the nine months ended September 30, 2018 and</w:t>
            </w:r>
          </w:p>
        </w:tc>
        <w:tc>
          <w:tcPr>
            <w:tcW w:w="540" w:type="dxa"/>
            <w:vAlign w:val="bottom"/>
          </w:tcPr>
          <w:p>
            <w:pPr>
              <w:spacing w:after="0"/>
              <w:rPr>
                <w:sz w:val="24"/>
                <w:szCs w:val="24"/>
                <w:color w:val="auto"/>
              </w:rPr>
            </w:pPr>
          </w:p>
        </w:tc>
      </w:tr>
      <w:tr>
        <w:trPr>
          <w:trHeight w:val="233"/>
        </w:trPr>
        <w:tc>
          <w:tcPr>
            <w:tcW w:w="1420" w:type="dxa"/>
            <w:vAlign w:val="bottom"/>
            <w:gridSpan w:val="2"/>
          </w:tcPr>
          <w:p>
            <w:pPr>
              <w:ind w:left="220"/>
              <w:spacing w:after="0"/>
              <w:rPr>
                <w:sz w:val="20"/>
                <w:szCs w:val="20"/>
                <w:color w:val="auto"/>
              </w:rPr>
            </w:pPr>
            <w:r>
              <w:rPr>
                <w:rFonts w:ascii="Arial" w:cs="Arial" w:eastAsia="Arial" w:hAnsi="Arial"/>
                <w:sz w:val="18"/>
                <w:szCs w:val="18"/>
                <w:b w:val="1"/>
                <w:bCs w:val="1"/>
                <w:color w:val="auto"/>
              </w:rPr>
              <w:t>2017)</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31"/>
        </w:trPr>
        <w:tc>
          <w:tcPr>
            <w:tcW w:w="220" w:type="dxa"/>
            <w:vAlign w:val="bottom"/>
          </w:tcPr>
          <w:p>
            <w:pPr>
              <w:spacing w:after="0"/>
              <w:rPr>
                <w:sz w:val="20"/>
                <w:szCs w:val="20"/>
                <w:color w:val="auto"/>
              </w:rPr>
            </w:pPr>
          </w:p>
        </w:tc>
        <w:tc>
          <w:tcPr>
            <w:tcW w:w="3060" w:type="dxa"/>
            <w:vAlign w:val="bottom"/>
            <w:tcBorders>
              <w:bottom w:val="single" w:sz="8" w:color="0000EE"/>
            </w:tcBorders>
            <w:gridSpan w:val="7"/>
          </w:tcPr>
          <w:p>
            <w:pPr>
              <w:spacing w:after="0"/>
              <w:rPr>
                <w:rFonts w:ascii="Arial" w:cs="Arial" w:eastAsia="Arial" w:hAnsi="Arial"/>
                <w:sz w:val="18"/>
                <w:szCs w:val="18"/>
                <w:color w:val="0000EE"/>
                <w:w w:val="96"/>
              </w:rPr>
            </w:pPr>
            <w:hyperlink w:anchor="page268">
              <w:r>
                <w:rPr>
                  <w:rFonts w:ascii="Arial" w:cs="Arial" w:eastAsia="Arial" w:hAnsi="Arial"/>
                  <w:sz w:val="18"/>
                  <w:szCs w:val="18"/>
                  <w:color w:val="0000EE"/>
                  <w:w w:val="96"/>
                </w:rPr>
                <w:t>Condensed balance sheets (unaudited)</w:t>
              </w:r>
            </w:hyperlink>
          </w:p>
        </w:tc>
        <w:tc>
          <w:tcPr>
            <w:tcW w:w="7140" w:type="dxa"/>
            <w:vAlign w:val="bottom"/>
            <w:gridSpan w:val="10"/>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F-63</w:t>
            </w:r>
          </w:p>
        </w:tc>
      </w:tr>
      <w:tr>
        <w:trPr>
          <w:trHeight w:val="250"/>
        </w:trPr>
        <w:tc>
          <w:tcPr>
            <w:tcW w:w="220" w:type="dxa"/>
            <w:vAlign w:val="bottom"/>
          </w:tcPr>
          <w:p>
            <w:pPr>
              <w:spacing w:after="0"/>
              <w:rPr>
                <w:sz w:val="21"/>
                <w:szCs w:val="21"/>
                <w:color w:val="auto"/>
              </w:rPr>
            </w:pPr>
          </w:p>
        </w:tc>
        <w:tc>
          <w:tcPr>
            <w:tcW w:w="5740" w:type="dxa"/>
            <w:vAlign w:val="bottom"/>
            <w:tcBorders>
              <w:bottom w:val="single" w:sz="8" w:color="0000EE"/>
            </w:tcBorders>
            <w:gridSpan w:val="15"/>
          </w:tcPr>
          <w:p>
            <w:pPr>
              <w:spacing w:after="0"/>
              <w:rPr>
                <w:rFonts w:ascii="Arial" w:cs="Arial" w:eastAsia="Arial" w:hAnsi="Arial"/>
                <w:sz w:val="18"/>
                <w:szCs w:val="18"/>
                <w:color w:val="0000EE"/>
                <w:w w:val="97"/>
              </w:rPr>
            </w:pPr>
            <w:hyperlink w:anchor="page269">
              <w:r>
                <w:rPr>
                  <w:rFonts w:ascii="Arial" w:cs="Arial" w:eastAsia="Arial" w:hAnsi="Arial"/>
                  <w:sz w:val="18"/>
                  <w:szCs w:val="18"/>
                  <w:color w:val="0000EE"/>
                  <w:w w:val="97"/>
                </w:rPr>
                <w:t>Condensed statements of operations and comprehensive loss (unaudited)</w:t>
              </w:r>
            </w:hyperlink>
          </w:p>
        </w:tc>
        <w:tc>
          <w:tcPr>
            <w:tcW w:w="4460" w:type="dxa"/>
            <w:vAlign w:val="bottom"/>
            <w:gridSpan w:val="2"/>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F-64</w:t>
            </w:r>
          </w:p>
        </w:tc>
      </w:tr>
      <w:tr>
        <w:trPr>
          <w:trHeight w:val="250"/>
        </w:trPr>
        <w:tc>
          <w:tcPr>
            <w:tcW w:w="220" w:type="dxa"/>
            <w:vAlign w:val="bottom"/>
          </w:tcPr>
          <w:p>
            <w:pPr>
              <w:spacing w:after="0"/>
              <w:rPr>
                <w:sz w:val="21"/>
                <w:szCs w:val="21"/>
                <w:color w:val="auto"/>
              </w:rPr>
            </w:pPr>
          </w:p>
        </w:tc>
        <w:tc>
          <w:tcPr>
            <w:tcW w:w="3800" w:type="dxa"/>
            <w:vAlign w:val="bottom"/>
            <w:tcBorders>
              <w:bottom w:val="single" w:sz="8" w:color="0000EE"/>
            </w:tcBorders>
            <w:gridSpan w:val="9"/>
          </w:tcPr>
          <w:p>
            <w:pPr>
              <w:spacing w:after="0"/>
              <w:rPr>
                <w:rFonts w:ascii="Arial" w:cs="Arial" w:eastAsia="Arial" w:hAnsi="Arial"/>
                <w:sz w:val="18"/>
                <w:szCs w:val="18"/>
                <w:color w:val="0000EE"/>
                <w:w w:val="96"/>
              </w:rPr>
            </w:pPr>
            <w:hyperlink w:anchor="page270">
              <w:r>
                <w:rPr>
                  <w:rFonts w:ascii="Arial" w:cs="Arial" w:eastAsia="Arial" w:hAnsi="Arial"/>
                  <w:sz w:val="18"/>
                  <w:szCs w:val="18"/>
                  <w:color w:val="0000EE"/>
                  <w:w w:val="96"/>
                </w:rPr>
                <w:t>Condensed statements of cash flows (unaudited)</w:t>
              </w:r>
            </w:hyperlink>
          </w:p>
        </w:tc>
        <w:tc>
          <w:tcPr>
            <w:tcW w:w="6400" w:type="dxa"/>
            <w:vAlign w:val="bottom"/>
            <w:gridSpan w:val="8"/>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F-65</w:t>
            </w:r>
          </w:p>
        </w:tc>
      </w:tr>
      <w:tr>
        <w:trPr>
          <w:trHeight w:val="250"/>
        </w:trPr>
        <w:tc>
          <w:tcPr>
            <w:tcW w:w="220" w:type="dxa"/>
            <w:vAlign w:val="bottom"/>
          </w:tcPr>
          <w:p>
            <w:pPr>
              <w:spacing w:after="0"/>
              <w:rPr>
                <w:sz w:val="21"/>
                <w:szCs w:val="21"/>
                <w:color w:val="auto"/>
              </w:rPr>
            </w:pPr>
          </w:p>
        </w:tc>
        <w:tc>
          <w:tcPr>
            <w:tcW w:w="10200" w:type="dxa"/>
            <w:vAlign w:val="bottom"/>
            <w:gridSpan w:val="17"/>
          </w:tcPr>
          <w:p>
            <w:pPr>
              <w:spacing w:after="0"/>
              <w:rPr>
                <w:rFonts w:ascii="Arial" w:cs="Arial" w:eastAsia="Arial" w:hAnsi="Arial"/>
                <w:sz w:val="18"/>
                <w:szCs w:val="18"/>
                <w:color w:val="0000EE"/>
              </w:rPr>
            </w:pPr>
            <w:hyperlink w:anchor="page271">
              <w:r>
                <w:rPr>
                  <w:rFonts w:ascii="Arial" w:cs="Arial" w:eastAsia="Arial" w:hAnsi="Arial"/>
                  <w:sz w:val="18"/>
                  <w:szCs w:val="18"/>
                  <w:color w:val="0000EE"/>
                </w:rPr>
                <w:t>Notes to the unaudited condensed financial statements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F-66</w:t>
            </w:r>
          </w:p>
        </w:tc>
      </w:tr>
      <w:tr>
        <w:trPr>
          <w:trHeight w:val="370"/>
        </w:trPr>
        <w:tc>
          <w:tcPr>
            <w:tcW w:w="220" w:type="dxa"/>
            <w:vAlign w:val="bottom"/>
          </w:tcPr>
          <w:p>
            <w:pPr>
              <w:spacing w:after="0"/>
              <w:rPr>
                <w:sz w:val="24"/>
                <w:szCs w:val="24"/>
                <w:color w:val="auto"/>
              </w:rPr>
            </w:pPr>
          </w:p>
        </w:tc>
        <w:tc>
          <w:tcPr>
            <w:tcW w:w="120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80" w:type="dxa"/>
            <w:vAlign w:val="bottom"/>
            <w:gridSpan w:val="3"/>
          </w:tcPr>
          <w:p>
            <w:pPr>
              <w:ind w:left="40"/>
              <w:spacing w:after="0"/>
              <w:rPr>
                <w:sz w:val="20"/>
                <w:szCs w:val="20"/>
                <w:color w:val="auto"/>
              </w:rPr>
            </w:pPr>
            <w:r>
              <w:rPr>
                <w:rFonts w:ascii="Arial" w:cs="Arial" w:eastAsia="Arial" w:hAnsi="Arial"/>
                <w:sz w:val="18"/>
                <w:szCs w:val="18"/>
                <w:color w:val="auto"/>
              </w:rPr>
              <w:t>F-1</w:t>
            </w:r>
          </w:p>
        </w:tc>
        <w:tc>
          <w:tcPr>
            <w:tcW w:w="54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Report of Independent Registered Public Accounting Firm</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and Stockholders of Revolution Medicines, Inc.</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Opinion on the Financial Statements</w:t>
      </w:r>
    </w:p>
    <w:p>
      <w:pPr>
        <w:spacing w:after="0" w:line="134"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We have audited the accompanying consolidated balance sheets of Revolution Medicines, Inc. and its subsidiary (the “Company”) as of December 31, 2018 and 2017, and the related consolidated statements of operations and comprehensive loss, of redeemable convertible preferred stock and stockholders’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2018 and 2017, and the results of its operations and its cash flows for the years then ended in conformity with accounting principles generally accepted in the United States of America.</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Basis for Opinion</w:t>
      </w:r>
    </w:p>
    <w:p>
      <w:pPr>
        <w:spacing w:after="0" w:line="134" w:lineRule="exact"/>
        <w:rPr>
          <w:sz w:val="20"/>
          <w:szCs w:val="20"/>
          <w:color w:val="auto"/>
        </w:rPr>
      </w:pPr>
    </w:p>
    <w:p>
      <w:pPr>
        <w:ind w:left="120" w:right="100"/>
        <w:spacing w:after="0" w:line="275"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ind w:left="120" w:right="100"/>
        <w:spacing w:after="0" w:line="281" w:lineRule="auto"/>
        <w:rPr>
          <w:sz w:val="20"/>
          <w:szCs w:val="20"/>
          <w:color w:val="auto"/>
        </w:rPr>
      </w:pPr>
      <w:r>
        <w:rPr>
          <w:rFonts w:ascii="Arial" w:cs="Arial" w:eastAsia="Arial" w:hAnsi="Arial"/>
          <w:sz w:val="16"/>
          <w:szCs w:val="16"/>
          <w:color w:val="auto"/>
        </w:rPr>
        <w:t>We conducted our audits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spacing w:after="0" w:line="69"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PricewaterhouseCoopers LLP</w:t>
      </w:r>
    </w:p>
    <w:p>
      <w:pPr>
        <w:ind w:left="120"/>
        <w:spacing w:after="0" w:line="234" w:lineRule="auto"/>
        <w:rPr>
          <w:sz w:val="20"/>
          <w:szCs w:val="20"/>
          <w:color w:val="auto"/>
        </w:rPr>
      </w:pPr>
      <w:r>
        <w:rPr>
          <w:rFonts w:ascii="Arial" w:cs="Arial" w:eastAsia="Arial" w:hAnsi="Arial"/>
          <w:sz w:val="18"/>
          <w:szCs w:val="18"/>
          <w:color w:val="auto"/>
        </w:rPr>
        <w:t>San Jose, California</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September 19, 2019</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2017.</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80"/>
          </w:cols>
          <w:pgMar w:left="320" w:top="459" w:right="49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Revolution Medicines, Inc.</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Consolidated balance sheets</w:t>
      </w:r>
    </w:p>
    <w:p>
      <w:pPr>
        <w:ind w:left="1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7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gridSpan w:val="4"/>
            <w:vMerge w:val="restart"/>
          </w:tcPr>
          <w:p>
            <w:pPr>
              <w:jc w:val="right"/>
              <w:ind w:right="640"/>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Pro forma</w:t>
            </w:r>
          </w:p>
        </w:tc>
        <w:tc>
          <w:tcPr>
            <w:tcW w:w="0" w:type="dxa"/>
            <w:vAlign w:val="bottom"/>
          </w:tcPr>
          <w:p>
            <w:pPr>
              <w:spacing w:after="0"/>
              <w:rPr>
                <w:sz w:val="1"/>
                <w:szCs w:val="1"/>
                <w:color w:val="auto"/>
              </w:rPr>
            </w:pPr>
          </w:p>
        </w:tc>
      </w:tr>
      <w:tr>
        <w:trPr>
          <w:trHeight w:val="86"/>
        </w:trPr>
        <w:tc>
          <w:tcPr>
            <w:tcW w:w="7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80" w:type="dxa"/>
            <w:vAlign w:val="bottom"/>
            <w:gridSpan w:val="4"/>
            <w:vMerge w:val="continue"/>
          </w:tcPr>
          <w:p>
            <w:pPr>
              <w:spacing w:after="0"/>
              <w:rPr>
                <w:sz w:val="7"/>
                <w:szCs w:val="7"/>
                <w:color w:val="auto"/>
              </w:rPr>
            </w:pPr>
          </w:p>
        </w:tc>
        <w:tc>
          <w:tcPr>
            <w:tcW w:w="1440" w:type="dxa"/>
            <w:vAlign w:val="bottom"/>
            <w:gridSpan w:val="3"/>
            <w:vMerge w:val="restart"/>
          </w:tcPr>
          <w:p>
            <w:pPr>
              <w:jc w:val="center"/>
              <w:spacing w:after="0" w:line="202" w:lineRule="exact"/>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96"/>
        </w:trPr>
        <w:tc>
          <w:tcPr>
            <w:tcW w:w="74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4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7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2017</w:t>
            </w: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5"/>
              <w:spacing w:after="0"/>
              <w:rPr>
                <w:sz w:val="20"/>
                <w:szCs w:val="20"/>
                <w:color w:val="auto"/>
              </w:rPr>
            </w:pPr>
            <w:r>
              <w:rPr>
                <w:rFonts w:ascii="Arial" w:cs="Arial" w:eastAsia="Arial" w:hAnsi="Arial"/>
                <w:sz w:val="18"/>
                <w:szCs w:val="18"/>
                <w:b w:val="1"/>
                <w:bCs w:val="1"/>
                <w:color w:val="auto"/>
                <w:w w:val="94"/>
              </w:rPr>
              <w:t>2018</w:t>
            </w:r>
          </w:p>
        </w:tc>
        <w:tc>
          <w:tcPr>
            <w:tcW w:w="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7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(unaudited)</w:t>
            </w:r>
          </w:p>
        </w:tc>
        <w:tc>
          <w:tcPr>
            <w:tcW w:w="0" w:type="dxa"/>
            <w:vAlign w:val="bottom"/>
          </w:tcPr>
          <w:p>
            <w:pPr>
              <w:spacing w:after="0"/>
              <w:rPr>
                <w:sz w:val="1"/>
                <w:szCs w:val="1"/>
                <w:color w:val="auto"/>
              </w:rPr>
            </w:pPr>
          </w:p>
        </w:tc>
      </w:tr>
      <w:tr>
        <w:trPr>
          <w:trHeight w:val="38"/>
        </w:trPr>
        <w:tc>
          <w:tcPr>
            <w:tcW w:w="7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9,079</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69,586</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Pr>
          <w:p>
            <w:pPr>
              <w:ind w:left="220"/>
              <w:spacing w:after="0" w:line="202" w:lineRule="exact"/>
              <w:rPr>
                <w:sz w:val="20"/>
                <w:szCs w:val="20"/>
                <w:color w:val="auto"/>
              </w:rPr>
            </w:pPr>
            <w:r>
              <w:rPr>
                <w:rFonts w:ascii="Arial" w:cs="Arial" w:eastAsia="Arial" w:hAnsi="Arial"/>
                <w:sz w:val="18"/>
                <w:szCs w:val="18"/>
                <w:color w:val="auto"/>
              </w:rPr>
              <w:t>Receivable from related party</w:t>
            </w:r>
          </w:p>
        </w:tc>
        <w:tc>
          <w:tcPr>
            <w:tcW w:w="100" w:type="dxa"/>
            <w:vAlign w:val="bottom"/>
          </w:tcPr>
          <w:p>
            <w:pPr>
              <w:spacing w:after="0"/>
              <w:rPr>
                <w:sz w:val="17"/>
                <w:szCs w:val="17"/>
                <w:color w:val="auto"/>
              </w:rPr>
            </w:pPr>
          </w:p>
        </w:tc>
        <w:tc>
          <w:tcPr>
            <w:tcW w:w="8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9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7,303</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362</w:t>
            </w: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1,945</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400" w:type="dxa"/>
            <w:vAlign w:val="bottom"/>
          </w:tcPr>
          <w:p>
            <w:pPr>
              <w:ind w:left="220"/>
              <w:spacing w:after="0" w:line="202" w:lineRule="exact"/>
              <w:rPr>
                <w:sz w:val="20"/>
                <w:szCs w:val="20"/>
                <w:color w:val="auto"/>
              </w:rPr>
            </w:pPr>
            <w:r>
              <w:rPr>
                <w:rFonts w:ascii="Arial" w:cs="Arial" w:eastAsia="Arial" w:hAnsi="Arial"/>
                <w:sz w:val="18"/>
                <w:szCs w:val="18"/>
                <w:color w:val="auto"/>
              </w:rPr>
              <w:t>Assets held for sale</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6,597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9,441</w:t>
            </w: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85,431</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7"/>
                <w:szCs w:val="17"/>
                <w:color w:val="auto"/>
              </w:rPr>
            </w:pPr>
          </w:p>
        </w:tc>
        <w:tc>
          <w:tcPr>
            <w:tcW w:w="8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5,253</w:t>
            </w:r>
          </w:p>
        </w:tc>
        <w:tc>
          <w:tcPr>
            <w:tcW w:w="300" w:type="dxa"/>
            <w:vAlign w:val="bottom"/>
          </w:tcPr>
          <w:p>
            <w:pPr>
              <w:spacing w:after="0"/>
              <w:rPr>
                <w:sz w:val="17"/>
                <w:szCs w:val="17"/>
                <w:color w:val="auto"/>
              </w:rPr>
            </w:pPr>
          </w:p>
        </w:tc>
        <w:tc>
          <w:tcPr>
            <w:tcW w:w="9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6,872</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63,082</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7"/>
                <w:szCs w:val="17"/>
                <w:color w:val="auto"/>
              </w:rPr>
            </w:pPr>
          </w:p>
        </w:tc>
        <w:tc>
          <w:tcPr>
            <w:tcW w:w="8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9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14,608</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214</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400" w:type="dxa"/>
            <w:vAlign w:val="bottom"/>
          </w:tcPr>
          <w:p>
            <w:pPr>
              <w:spacing w:after="0" w:line="202" w:lineRule="exact"/>
              <w:rPr>
                <w:sz w:val="20"/>
                <w:szCs w:val="20"/>
                <w:color w:val="auto"/>
              </w:rPr>
            </w:pPr>
            <w:r>
              <w:rPr>
                <w:rFonts w:ascii="Arial" w:cs="Arial" w:eastAsia="Arial" w:hAnsi="Arial"/>
                <w:sz w:val="18"/>
                <w:szCs w:val="18"/>
                <w:color w:val="auto"/>
              </w:rPr>
              <w:t>Other noncurrent assets</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52"/>
              <w:spacing w:after="0" w:line="202" w:lineRule="exact"/>
              <w:rPr>
                <w:sz w:val="20"/>
                <w:szCs w:val="20"/>
                <w:color w:val="auto"/>
              </w:rPr>
            </w:pPr>
            <w:r>
              <w:rPr>
                <w:rFonts w:ascii="Arial" w:cs="Arial" w:eastAsia="Arial" w:hAnsi="Arial"/>
                <w:sz w:val="18"/>
                <w:szCs w:val="18"/>
                <w:color w:val="auto"/>
              </w:rPr>
              <w:t>383</w:t>
            </w: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15,077</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170,586</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00" w:type="dxa"/>
            <w:vAlign w:val="bottom"/>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(deficit) equity</w:t>
            </w: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Pr>
          <w:p>
            <w:pPr>
              <w:ind w:left="220"/>
              <w:spacing w:after="0" w:line="202" w:lineRule="exact"/>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3,353</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5,236</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4,245</w:t>
            </w: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8,486</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400" w:type="dxa"/>
            <w:vAlign w:val="bottom"/>
          </w:tcPr>
          <w:p>
            <w:pPr>
              <w:ind w:left="220"/>
              <w:spacing w:after="0" w:line="202" w:lineRule="exact"/>
              <w:rPr>
                <w:sz w:val="20"/>
                <w:szCs w:val="20"/>
                <w:color w:val="auto"/>
              </w:rPr>
            </w:pPr>
            <w:r>
              <w:rPr>
                <w:rFonts w:ascii="Arial" w:cs="Arial" w:eastAsia="Arial" w:hAnsi="Arial"/>
                <w:sz w:val="18"/>
                <w:szCs w:val="18"/>
                <w:color w:val="auto"/>
              </w:rPr>
              <w:t>Deferred revenue, related party, current</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16,830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7,598</w:t>
            </w: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30,552</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Deferred rent, noncurrent</w:t>
            </w:r>
          </w:p>
        </w:tc>
        <w:tc>
          <w:tcPr>
            <w:tcW w:w="100" w:type="dxa"/>
            <w:vAlign w:val="bottom"/>
          </w:tcPr>
          <w:p>
            <w:pPr>
              <w:spacing w:after="0"/>
              <w:rPr>
                <w:sz w:val="17"/>
                <w:szCs w:val="17"/>
                <w:color w:val="auto"/>
              </w:rPr>
            </w:pPr>
          </w:p>
        </w:tc>
        <w:tc>
          <w:tcPr>
            <w:tcW w:w="8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2,806</w:t>
            </w:r>
          </w:p>
        </w:tc>
        <w:tc>
          <w:tcPr>
            <w:tcW w:w="300" w:type="dxa"/>
            <w:vAlign w:val="bottom"/>
          </w:tcPr>
          <w:p>
            <w:pPr>
              <w:spacing w:after="0"/>
              <w:rPr>
                <w:sz w:val="17"/>
                <w:szCs w:val="17"/>
                <w:color w:val="auto"/>
              </w:rPr>
            </w:pPr>
          </w:p>
        </w:tc>
        <w:tc>
          <w:tcPr>
            <w:tcW w:w="9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2,254</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revenue, related party, noncurrent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28,413</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Deferred tax liability</w:t>
            </w:r>
          </w:p>
        </w:tc>
        <w:tc>
          <w:tcPr>
            <w:tcW w:w="100" w:type="dxa"/>
            <w:vAlign w:val="bottom"/>
          </w:tcPr>
          <w:p>
            <w:pPr>
              <w:spacing w:after="0"/>
              <w:rPr>
                <w:sz w:val="17"/>
                <w:szCs w:val="17"/>
                <w:color w:val="auto"/>
              </w:rPr>
            </w:pPr>
          </w:p>
        </w:tc>
        <w:tc>
          <w:tcPr>
            <w:tcW w:w="8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9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12,192</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142</w:t>
            </w:r>
          </w:p>
        </w:tc>
        <w:tc>
          <w:tcPr>
            <w:tcW w:w="3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516</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8"/>
        </w:trPr>
        <w:tc>
          <w:tcPr>
            <w:tcW w:w="740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4"/>
                <w:szCs w:val="24"/>
                <w:color w:val="auto"/>
              </w:rPr>
            </w:pP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10,546</w:t>
            </w:r>
          </w:p>
        </w:tc>
        <w:tc>
          <w:tcPr>
            <w:tcW w:w="30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73,927</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7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contingencies (Note 5)</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400" w:type="dxa"/>
            <w:vAlign w:val="bottom"/>
          </w:tcPr>
          <w:p>
            <w:pPr>
              <w:spacing w:after="0" w:line="206" w:lineRule="exact"/>
              <w:rPr>
                <w:sz w:val="20"/>
                <w:szCs w:val="20"/>
                <w:color w:val="auto"/>
              </w:rPr>
            </w:pPr>
            <w:r>
              <w:rPr>
                <w:rFonts w:ascii="Arial" w:cs="Arial" w:eastAsia="Arial" w:hAnsi="Arial"/>
                <w:sz w:val="18"/>
                <w:szCs w:val="18"/>
                <w:color w:val="auto"/>
              </w:rPr>
              <w:t>Redeemable convertible preferred stock, $0.0001 par value; 70,221,732 and 146,221,732</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Pr>
          <w:p>
            <w:pPr>
              <w:ind w:left="220"/>
              <w:spacing w:after="0" w:line="202" w:lineRule="exact"/>
              <w:rPr>
                <w:sz w:val="20"/>
                <w:szCs w:val="20"/>
                <w:color w:val="auto"/>
              </w:rPr>
            </w:pPr>
            <w:r>
              <w:rPr>
                <w:rFonts w:ascii="Arial" w:cs="Arial" w:eastAsia="Arial" w:hAnsi="Arial"/>
                <w:sz w:val="18"/>
                <w:szCs w:val="18"/>
                <w:color w:val="auto"/>
              </w:rPr>
              <w:t>shares authorized at December 31, 2017 and 2018, respectively; 70,221,732 and</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Pr>
          <w:p>
            <w:pPr>
              <w:ind w:left="220"/>
              <w:spacing w:after="0" w:line="202" w:lineRule="exact"/>
              <w:rPr>
                <w:sz w:val="20"/>
                <w:szCs w:val="20"/>
                <w:color w:val="auto"/>
              </w:rPr>
            </w:pPr>
            <w:r>
              <w:rPr>
                <w:rFonts w:ascii="Arial" w:cs="Arial" w:eastAsia="Arial" w:hAnsi="Arial"/>
                <w:sz w:val="18"/>
                <w:szCs w:val="18"/>
                <w:color w:val="auto"/>
              </w:rPr>
              <w:t>144,016,937 shares issued and outstanding at December 31, 2017 and 2018,</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Pr>
          <w:p>
            <w:pPr>
              <w:ind w:left="220"/>
              <w:spacing w:after="0" w:line="202" w:lineRule="exact"/>
              <w:rPr>
                <w:sz w:val="20"/>
                <w:szCs w:val="20"/>
                <w:color w:val="auto"/>
              </w:rPr>
            </w:pPr>
            <w:r>
              <w:rPr>
                <w:rFonts w:ascii="Arial" w:cs="Arial" w:eastAsia="Arial" w:hAnsi="Arial"/>
                <w:sz w:val="18"/>
                <w:szCs w:val="18"/>
                <w:color w:val="auto"/>
              </w:rPr>
              <w:t>respectively; aggregate liquidation preference of $194,133 at December 31, 2018; no</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400" w:type="dxa"/>
            <w:vAlign w:val="bottom"/>
          </w:tcPr>
          <w:p>
            <w:pPr>
              <w:ind w:left="220"/>
              <w:spacing w:after="0"/>
              <w:rPr>
                <w:sz w:val="20"/>
                <w:szCs w:val="20"/>
                <w:color w:val="auto"/>
              </w:rPr>
            </w:pPr>
            <w:r>
              <w:rPr>
                <w:rFonts w:ascii="Arial" w:cs="Arial" w:eastAsia="Arial" w:hAnsi="Arial"/>
                <w:sz w:val="18"/>
                <w:szCs w:val="18"/>
                <w:color w:val="auto"/>
              </w:rPr>
              <w:t>shares issued and outstanding, pro forma (unaudited)</w:t>
            </w:r>
          </w:p>
        </w:tc>
        <w:tc>
          <w:tcPr>
            <w:tcW w:w="100" w:type="dxa"/>
            <w:vAlign w:val="bottom"/>
          </w:tcPr>
          <w:p>
            <w:pPr>
              <w:spacing w:after="0"/>
              <w:rPr>
                <w:sz w:val="18"/>
                <w:szCs w:val="18"/>
                <w:color w:val="auto"/>
              </w:rPr>
            </w:pP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72,248</w:t>
            </w:r>
          </w:p>
        </w:tc>
        <w:tc>
          <w:tcPr>
            <w:tcW w:w="3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205,081</w:t>
            </w: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6"/>
        </w:trPr>
        <w:tc>
          <w:tcPr>
            <w:tcW w:w="7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 (deficit) equity:</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400" w:type="dxa"/>
            <w:vAlign w:val="bottom"/>
          </w:tcPr>
          <w:p>
            <w:pPr>
              <w:ind w:left="220"/>
              <w:spacing w:after="0" w:line="206" w:lineRule="exact"/>
              <w:rPr>
                <w:sz w:val="20"/>
                <w:szCs w:val="20"/>
                <w:color w:val="auto"/>
              </w:rPr>
            </w:pPr>
            <w:r>
              <w:rPr>
                <w:rFonts w:ascii="Arial" w:cs="Arial" w:eastAsia="Arial" w:hAnsi="Arial"/>
                <w:sz w:val="18"/>
                <w:szCs w:val="18"/>
                <w:color w:val="auto"/>
              </w:rPr>
              <w:t>Common stock, $0.0001 par value; 94,695,000 and 172,000,000 shares authorized at</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Pr>
          <w:p>
            <w:pPr>
              <w:ind w:left="420"/>
              <w:spacing w:after="0" w:line="202" w:lineRule="exact"/>
              <w:rPr>
                <w:sz w:val="20"/>
                <w:szCs w:val="20"/>
                <w:color w:val="auto"/>
              </w:rPr>
            </w:pPr>
            <w:r>
              <w:rPr>
                <w:rFonts w:ascii="Arial" w:cs="Arial" w:eastAsia="Arial" w:hAnsi="Arial"/>
                <w:sz w:val="18"/>
                <w:szCs w:val="18"/>
                <w:color w:val="auto"/>
              </w:rPr>
              <w:t>December 31, 2017 and 2018, respectively; 13,011,059 and 15,615,007 shares</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Pr>
          <w:p>
            <w:pPr>
              <w:ind w:left="420"/>
              <w:spacing w:after="0" w:line="202" w:lineRule="exact"/>
              <w:rPr>
                <w:sz w:val="20"/>
                <w:szCs w:val="20"/>
                <w:color w:val="auto"/>
              </w:rPr>
            </w:pPr>
            <w:r>
              <w:rPr>
                <w:rFonts w:ascii="Arial" w:cs="Arial" w:eastAsia="Arial" w:hAnsi="Arial"/>
                <w:sz w:val="18"/>
                <w:szCs w:val="18"/>
                <w:color w:val="auto"/>
              </w:rPr>
              <w:t>issued and outstanding at December 31, 2017 and 2018, respectively; 159,631,944</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400" w:type="dxa"/>
            <w:vAlign w:val="bottom"/>
          </w:tcPr>
          <w:p>
            <w:pPr>
              <w:ind w:left="420"/>
              <w:spacing w:after="0" w:line="200" w:lineRule="exact"/>
              <w:rPr>
                <w:sz w:val="20"/>
                <w:szCs w:val="20"/>
                <w:color w:val="auto"/>
              </w:rPr>
            </w:pPr>
            <w:r>
              <w:rPr>
                <w:rFonts w:ascii="Arial" w:cs="Arial" w:eastAsia="Arial" w:hAnsi="Arial"/>
                <w:sz w:val="18"/>
                <w:szCs w:val="18"/>
                <w:color w:val="auto"/>
              </w:rPr>
              <w:t>shares issued and outstanding, pro forma (unaudited)</w:t>
            </w:r>
          </w:p>
        </w:tc>
        <w:tc>
          <w:tcPr>
            <w:tcW w:w="100" w:type="dxa"/>
            <w:vAlign w:val="bottom"/>
          </w:tcPr>
          <w:p>
            <w:pPr>
              <w:spacing w:after="0"/>
              <w:rPr>
                <w:sz w:val="17"/>
                <w:szCs w:val="17"/>
                <w:color w:val="auto"/>
              </w:rPr>
            </w:pPr>
          </w:p>
        </w:tc>
        <w:tc>
          <w:tcPr>
            <w:tcW w:w="840" w:type="dxa"/>
            <w:vAlign w:val="bottom"/>
          </w:tcPr>
          <w:p>
            <w:pPr>
              <w:jc w:val="right"/>
              <w:ind w:right="152"/>
              <w:spacing w:after="0" w:line="200" w:lineRule="exact"/>
              <w:rPr>
                <w:sz w:val="20"/>
                <w:szCs w:val="20"/>
                <w:color w:val="auto"/>
              </w:rPr>
            </w:pPr>
            <w:r>
              <w:rPr>
                <w:rFonts w:ascii="Arial" w:cs="Arial" w:eastAsia="Arial" w:hAnsi="Arial"/>
                <w:sz w:val="18"/>
                <w:szCs w:val="18"/>
                <w:color w:val="auto"/>
              </w:rPr>
              <w:t>1</w:t>
            </w:r>
          </w:p>
        </w:tc>
        <w:tc>
          <w:tcPr>
            <w:tcW w:w="300" w:type="dxa"/>
            <w:vAlign w:val="bottom"/>
          </w:tcPr>
          <w:p>
            <w:pPr>
              <w:spacing w:after="0"/>
              <w:rPr>
                <w:sz w:val="17"/>
                <w:szCs w:val="17"/>
                <w:color w:val="auto"/>
              </w:rPr>
            </w:pPr>
          </w:p>
        </w:tc>
        <w:tc>
          <w:tcPr>
            <w:tcW w:w="940" w:type="dxa"/>
            <w:vAlign w:val="bottom"/>
            <w:gridSpan w:val="2"/>
          </w:tcPr>
          <w:p>
            <w:pPr>
              <w:jc w:val="right"/>
              <w:ind w:right="240"/>
              <w:spacing w:after="0" w:line="200" w:lineRule="exact"/>
              <w:rPr>
                <w:sz w:val="20"/>
                <w:szCs w:val="20"/>
                <w:color w:val="auto"/>
              </w:rPr>
            </w:pPr>
            <w:r>
              <w:rPr>
                <w:rFonts w:ascii="Arial" w:cs="Arial" w:eastAsia="Arial" w:hAnsi="Arial"/>
                <w:sz w:val="18"/>
                <w:szCs w:val="18"/>
                <w:color w:val="auto"/>
              </w:rPr>
              <w:t>2</w:t>
            </w:r>
          </w:p>
        </w:tc>
        <w:tc>
          <w:tcPr>
            <w:tcW w:w="300" w:type="dxa"/>
            <w:vAlign w:val="bottom"/>
          </w:tcPr>
          <w:p>
            <w:pPr>
              <w:spacing w:after="0"/>
              <w:rPr>
                <w:sz w:val="17"/>
                <w:szCs w:val="17"/>
                <w:color w:val="auto"/>
              </w:rPr>
            </w:pPr>
          </w:p>
        </w:tc>
        <w:tc>
          <w:tcPr>
            <w:tcW w:w="114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215</w:t>
            </w: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1,298</w:t>
            </w:r>
          </w:p>
        </w:tc>
        <w:tc>
          <w:tcPr>
            <w:tcW w:w="3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206,365</w:t>
            </w:r>
          </w:p>
        </w:tc>
        <w:tc>
          <w:tcPr>
            <w:tcW w:w="0" w:type="dxa"/>
            <w:vAlign w:val="bottom"/>
          </w:tcPr>
          <w:p>
            <w:pPr>
              <w:spacing w:after="0"/>
              <w:rPr>
                <w:sz w:val="1"/>
                <w:szCs w:val="1"/>
                <w:color w:val="auto"/>
              </w:rPr>
            </w:pPr>
          </w:p>
        </w:tc>
      </w:tr>
      <w:tr>
        <w:trPr>
          <w:trHeight w:val="203"/>
        </w:trPr>
        <w:tc>
          <w:tcPr>
            <w:tcW w:w="7400" w:type="dxa"/>
            <w:vAlign w:val="bottom"/>
          </w:tcPr>
          <w:p>
            <w:pPr>
              <w:ind w:left="220"/>
              <w:spacing w:after="0" w:line="202" w:lineRule="exact"/>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7"/>
                <w:szCs w:val="17"/>
                <w:color w:val="auto"/>
              </w:rPr>
            </w:pPr>
          </w:p>
        </w:tc>
        <w:tc>
          <w:tcPr>
            <w:tcW w:w="840" w:type="dxa"/>
            <w:vAlign w:val="bottom"/>
          </w:tcPr>
          <w:p>
            <w:pPr>
              <w:jc w:val="right"/>
              <w:ind w:right="92"/>
              <w:spacing w:after="0" w:line="202" w:lineRule="exact"/>
              <w:rPr>
                <w:sz w:val="20"/>
                <w:szCs w:val="20"/>
                <w:color w:val="auto"/>
              </w:rPr>
            </w:pPr>
            <w:r>
              <w:rPr>
                <w:rFonts w:ascii="Arial" w:cs="Arial" w:eastAsia="Arial" w:hAnsi="Arial"/>
                <w:sz w:val="18"/>
                <w:szCs w:val="18"/>
                <w:color w:val="auto"/>
                <w:w w:val="95"/>
              </w:rPr>
              <w:t>(67,933)</w:t>
            </w:r>
          </w:p>
        </w:tc>
        <w:tc>
          <w:tcPr>
            <w:tcW w:w="300" w:type="dxa"/>
            <w:vAlign w:val="bottom"/>
          </w:tcPr>
          <w:p>
            <w:pPr>
              <w:spacing w:after="0"/>
              <w:rPr>
                <w:sz w:val="17"/>
                <w:szCs w:val="17"/>
                <w:color w:val="auto"/>
              </w:rPr>
            </w:pPr>
          </w:p>
        </w:tc>
        <w:tc>
          <w:tcPr>
            <w:tcW w:w="9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5"/>
              </w:rPr>
              <w:t>(109,722)</w:t>
            </w:r>
          </w:p>
        </w:tc>
        <w:tc>
          <w:tcPr>
            <w:tcW w:w="300" w:type="dxa"/>
            <w:vAlign w:val="bottom"/>
          </w:tcPr>
          <w:p>
            <w:pPr>
              <w:spacing w:after="0"/>
              <w:rPr>
                <w:sz w:val="17"/>
                <w:szCs w:val="17"/>
                <w:color w:val="auto"/>
              </w:rPr>
            </w:pP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(109,722)</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stockholders’ (deficit) equity</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w w:val="95"/>
              </w:rPr>
              <w:t>(67,717)</w:t>
            </w: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w w:val="95"/>
              </w:rPr>
              <w:t>(108,422)</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96,659</w:t>
            </w:r>
          </w:p>
        </w:tc>
        <w:tc>
          <w:tcPr>
            <w:tcW w:w="0" w:type="dxa"/>
            <w:vAlign w:val="bottom"/>
          </w:tcPr>
          <w:p>
            <w:pPr>
              <w:spacing w:after="0"/>
              <w:rPr>
                <w:sz w:val="1"/>
                <w:szCs w:val="1"/>
                <w:color w:val="auto"/>
              </w:rPr>
            </w:pPr>
          </w:p>
        </w:tc>
      </w:tr>
      <w:tr>
        <w:trPr>
          <w:trHeight w:val="222"/>
        </w:trPr>
        <w:tc>
          <w:tcPr>
            <w:tcW w:w="7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liabilities, redeemable convertible preferred stock and stockholders’ (deficit)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15,077</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170,586</w:t>
            </w: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Revolution Medicines, Inc.</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Consolidated statements of operations and comprehensive loss</w:t>
      </w:r>
    </w:p>
    <w:p>
      <w:pPr>
        <w:ind w:left="1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8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820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19"/>
                <w:szCs w:val="19"/>
                <w:color w:val="auto"/>
              </w:rPr>
            </w:pPr>
          </w:p>
        </w:tc>
      </w:tr>
      <w:tr>
        <w:trPr>
          <w:trHeight w:val="48"/>
        </w:trPr>
        <w:tc>
          <w:tcPr>
            <w:tcW w:w="8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8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200" w:type="dxa"/>
            <w:vAlign w:val="bottom"/>
          </w:tcPr>
          <w:p>
            <w:pPr>
              <w:ind w:left="220"/>
              <w:spacing w:after="0" w:line="202" w:lineRule="exact"/>
              <w:rPr>
                <w:sz w:val="20"/>
                <w:szCs w:val="20"/>
                <w:color w:val="auto"/>
              </w:rPr>
            </w:pPr>
            <w:r>
              <w:rPr>
                <w:rFonts w:ascii="Arial" w:cs="Arial" w:eastAsia="Arial" w:hAnsi="Arial"/>
                <w:sz w:val="18"/>
                <w:szCs w:val="18"/>
                <w:color w:val="auto"/>
              </w:rPr>
              <w:t>Collaboration revenue, related party</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19,420</w:t>
            </w:r>
          </w:p>
        </w:tc>
      </w:tr>
      <w:tr>
        <w:trPr>
          <w:trHeight w:val="203"/>
        </w:trPr>
        <w:tc>
          <w:tcPr>
            <w:tcW w:w="82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Collaboration revenue, other</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745</w:t>
            </w:r>
          </w:p>
        </w:tc>
      </w:tr>
      <w:tr>
        <w:trPr>
          <w:trHeight w:val="20"/>
        </w:trPr>
        <w:tc>
          <w:tcPr>
            <w:tcW w:w="8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820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100" w:type="dxa"/>
            <w:vAlign w:val="bottom"/>
          </w:tcPr>
          <w:p>
            <w:pPr>
              <w:spacing w:after="0"/>
              <w:rPr>
                <w:sz w:val="18"/>
                <w:szCs w:val="18"/>
                <w:color w:val="auto"/>
              </w:rPr>
            </w:pPr>
          </w:p>
        </w:tc>
        <w:tc>
          <w:tcPr>
            <w:tcW w:w="118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20,165</w:t>
            </w:r>
          </w:p>
        </w:tc>
      </w:tr>
      <w:tr>
        <w:trPr>
          <w:trHeight w:val="203"/>
        </w:trPr>
        <w:tc>
          <w:tcPr>
            <w:tcW w:w="8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200" w:type="dxa"/>
            <w:vAlign w:val="bottom"/>
          </w:tcPr>
          <w:p>
            <w:pPr>
              <w:ind w:left="220"/>
              <w:spacing w:after="0" w:line="202" w:lineRule="exact"/>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7"/>
                <w:szCs w:val="17"/>
                <w:color w:val="auto"/>
              </w:rPr>
            </w:pPr>
          </w:p>
        </w:tc>
        <w:tc>
          <w:tcPr>
            <w:tcW w:w="118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26,586</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51,084</w:t>
            </w:r>
          </w:p>
        </w:tc>
      </w:tr>
      <w:tr>
        <w:trPr>
          <w:trHeight w:val="203"/>
        </w:trPr>
        <w:tc>
          <w:tcPr>
            <w:tcW w:w="82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4,543</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9,410</w:t>
            </w:r>
          </w:p>
        </w:tc>
      </w:tr>
      <w:tr>
        <w:trPr>
          <w:trHeight w:val="20"/>
        </w:trPr>
        <w:tc>
          <w:tcPr>
            <w:tcW w:w="8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820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8"/>
                <w:szCs w:val="18"/>
                <w:color w:val="auto"/>
              </w:rPr>
            </w:pPr>
          </w:p>
        </w:tc>
        <w:tc>
          <w:tcPr>
            <w:tcW w:w="1180" w:type="dxa"/>
            <w:vAlign w:val="bottom"/>
          </w:tcPr>
          <w:p>
            <w:pPr>
              <w:jc w:val="right"/>
              <w:ind w:right="292"/>
              <w:spacing w:after="0"/>
              <w:rPr>
                <w:sz w:val="20"/>
                <w:szCs w:val="20"/>
                <w:color w:val="auto"/>
              </w:rPr>
            </w:pPr>
            <w:r>
              <w:rPr>
                <w:rFonts w:ascii="Arial" w:cs="Arial" w:eastAsia="Arial" w:hAnsi="Arial"/>
                <w:sz w:val="18"/>
                <w:szCs w:val="18"/>
                <w:color w:val="auto"/>
              </w:rPr>
              <w:t>31,129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60,494</w:t>
            </w:r>
          </w:p>
        </w:tc>
      </w:tr>
      <w:tr>
        <w:trPr>
          <w:trHeight w:val="27"/>
        </w:trPr>
        <w:tc>
          <w:tcPr>
            <w:tcW w:w="8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(31,129)</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(40,329)</w:t>
            </w:r>
          </w:p>
        </w:tc>
      </w:tr>
      <w:tr>
        <w:trPr>
          <w:trHeight w:val="270"/>
        </w:trPr>
        <w:tc>
          <w:tcPr>
            <w:tcW w:w="82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03"/>
        </w:trPr>
        <w:tc>
          <w:tcPr>
            <w:tcW w:w="82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105</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777</w:t>
            </w:r>
          </w:p>
        </w:tc>
      </w:tr>
      <w:tr>
        <w:trPr>
          <w:trHeight w:val="203"/>
        </w:trPr>
        <w:tc>
          <w:tcPr>
            <w:tcW w:w="8200" w:type="dxa"/>
            <w:vAlign w:val="bottom"/>
          </w:tcPr>
          <w:p>
            <w:pPr>
              <w:ind w:left="220"/>
              <w:spacing w:after="0" w:line="202" w:lineRule="exact"/>
              <w:rPr>
                <w:sz w:val="20"/>
                <w:szCs w:val="20"/>
                <w:color w:val="auto"/>
              </w:rPr>
            </w:pPr>
            <w:r>
              <w:rPr>
                <w:rFonts w:ascii="Arial" w:cs="Arial" w:eastAsia="Arial" w:hAnsi="Arial"/>
                <w:sz w:val="18"/>
                <w:szCs w:val="18"/>
                <w:color w:val="auto"/>
              </w:rPr>
              <w:t>Interest and other expense</w:t>
            </w:r>
          </w:p>
        </w:tc>
        <w:tc>
          <w:tcPr>
            <w:tcW w:w="100" w:type="dxa"/>
            <w:vAlign w:val="bottom"/>
          </w:tcPr>
          <w:p>
            <w:pPr>
              <w:spacing w:after="0"/>
              <w:rPr>
                <w:sz w:val="17"/>
                <w:szCs w:val="17"/>
                <w:color w:val="auto"/>
              </w:rPr>
            </w:pPr>
          </w:p>
        </w:tc>
        <w:tc>
          <w:tcPr>
            <w:tcW w:w="118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(103)</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(116)</w:t>
            </w:r>
          </w:p>
        </w:tc>
      </w:tr>
      <w:tr>
        <w:trPr>
          <w:trHeight w:val="203"/>
        </w:trPr>
        <w:tc>
          <w:tcPr>
            <w:tcW w:w="82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Change in fair value of redeemable convertible preferred stock liability</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(2,121)</w:t>
            </w:r>
          </w:p>
        </w:tc>
      </w:tr>
      <w:tr>
        <w:trPr>
          <w:trHeight w:val="20"/>
        </w:trPr>
        <w:tc>
          <w:tcPr>
            <w:tcW w:w="8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8200" w:type="dxa"/>
            <w:vAlign w:val="bottom"/>
          </w:tcPr>
          <w:p>
            <w:pPr>
              <w:ind w:left="220"/>
              <w:spacing w:after="0"/>
              <w:rPr>
                <w:sz w:val="20"/>
                <w:szCs w:val="20"/>
                <w:color w:val="auto"/>
              </w:rPr>
            </w:pPr>
            <w:r>
              <w:rPr>
                <w:rFonts w:ascii="Arial" w:cs="Arial" w:eastAsia="Arial" w:hAnsi="Arial"/>
                <w:sz w:val="18"/>
                <w:szCs w:val="18"/>
                <w:color w:val="auto"/>
              </w:rPr>
              <w:t>Total other income (expense), net</w:t>
            </w:r>
          </w:p>
        </w:tc>
        <w:tc>
          <w:tcPr>
            <w:tcW w:w="100" w:type="dxa"/>
            <w:vAlign w:val="bottom"/>
          </w:tcPr>
          <w:p>
            <w:pPr>
              <w:spacing w:after="0"/>
              <w:rPr>
                <w:sz w:val="18"/>
                <w:szCs w:val="18"/>
                <w:color w:val="auto"/>
              </w:rPr>
            </w:pPr>
          </w:p>
        </w:tc>
        <w:tc>
          <w:tcPr>
            <w:tcW w:w="1180" w:type="dxa"/>
            <w:vAlign w:val="bottom"/>
          </w:tcPr>
          <w:p>
            <w:pPr>
              <w:jc w:val="right"/>
              <w:ind w:right="292"/>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(1,460)</w:t>
            </w:r>
          </w:p>
        </w:tc>
      </w:tr>
      <w:tr>
        <w:trPr>
          <w:trHeight w:val="27"/>
        </w:trPr>
        <w:tc>
          <w:tcPr>
            <w:tcW w:w="8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and comprehensive loss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(31,127)</w:t>
            </w:r>
          </w:p>
        </w:tc>
        <w:tc>
          <w:tcPr>
            <w:tcW w:w="4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(41,789)</w:t>
            </w:r>
          </w:p>
        </w:tc>
      </w:tr>
      <w:tr>
        <w:trPr>
          <w:trHeight w:val="20"/>
        </w:trPr>
        <w:tc>
          <w:tcPr>
            <w:tcW w:w="8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8200" w:type="dxa"/>
            <w:vAlign w:val="bottom"/>
          </w:tcPr>
          <w:p>
            <w:pPr>
              <w:spacing w:after="0"/>
              <w:rPr>
                <w:sz w:val="20"/>
                <w:szCs w:val="20"/>
                <w:color w:val="auto"/>
              </w:rPr>
            </w:pPr>
            <w:r>
              <w:rPr>
                <w:rFonts w:ascii="Arial" w:cs="Arial" w:eastAsia="Arial" w:hAnsi="Arial"/>
                <w:sz w:val="18"/>
                <w:szCs w:val="18"/>
                <w:color w:val="auto"/>
              </w:rPr>
              <w:t>Redeemable convertible preferred stock dividends—undeclared and cumulative</w:t>
            </w:r>
          </w:p>
        </w:tc>
        <w:tc>
          <w:tcPr>
            <w:tcW w:w="100" w:type="dxa"/>
            <w:vAlign w:val="bottom"/>
          </w:tcPr>
          <w:p>
            <w:pPr>
              <w:spacing w:after="0"/>
              <w:rPr>
                <w:sz w:val="18"/>
                <w:szCs w:val="18"/>
                <w:color w:val="auto"/>
              </w:rPr>
            </w:pPr>
          </w:p>
        </w:tc>
        <w:tc>
          <w:tcPr>
            <w:tcW w:w="1180" w:type="dxa"/>
            <w:vAlign w:val="bottom"/>
          </w:tcPr>
          <w:p>
            <w:pPr>
              <w:jc w:val="right"/>
              <w:ind w:right="232"/>
              <w:spacing w:after="0"/>
              <w:rPr>
                <w:sz w:val="20"/>
                <w:szCs w:val="20"/>
                <w:color w:val="auto"/>
              </w:rPr>
            </w:pPr>
            <w:r>
              <w:rPr>
                <w:rFonts w:ascii="Arial" w:cs="Arial" w:eastAsia="Arial" w:hAnsi="Arial"/>
                <w:sz w:val="18"/>
                <w:szCs w:val="18"/>
                <w:color w:val="auto"/>
              </w:rPr>
              <w:t>(3,763)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(7,031)</w:t>
            </w:r>
          </w:p>
        </w:tc>
      </w:tr>
      <w:tr>
        <w:trPr>
          <w:trHeight w:val="27"/>
        </w:trPr>
        <w:tc>
          <w:tcPr>
            <w:tcW w:w="8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attributable to common stockholders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(34,890)</w:t>
            </w:r>
          </w:p>
        </w:tc>
        <w:tc>
          <w:tcPr>
            <w:tcW w:w="4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(48,820)</w:t>
            </w:r>
          </w:p>
        </w:tc>
      </w:tr>
      <w:tr>
        <w:trPr>
          <w:trHeight w:val="20"/>
        </w:trPr>
        <w:tc>
          <w:tcPr>
            <w:tcW w:w="8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8200" w:type="dxa"/>
            <w:vAlign w:val="bottom"/>
          </w:tcPr>
          <w:p>
            <w:pPr>
              <w:spacing w:after="0"/>
              <w:rPr>
                <w:sz w:val="20"/>
                <w:szCs w:val="20"/>
                <w:color w:val="auto"/>
              </w:rPr>
            </w:pPr>
            <w:r>
              <w:rPr>
                <w:rFonts w:ascii="Arial" w:cs="Arial" w:eastAsia="Arial" w:hAnsi="Arial"/>
                <w:sz w:val="18"/>
                <w:szCs w:val="18"/>
                <w:color w:val="auto"/>
              </w:rPr>
              <w:t>Net loss per share attributable to common stockholders—basic and 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232"/>
              <w:spacing w:after="0"/>
              <w:rPr>
                <w:sz w:val="20"/>
                <w:szCs w:val="20"/>
                <w:color w:val="auto"/>
              </w:rPr>
            </w:pPr>
            <w:r>
              <w:rPr>
                <w:rFonts w:ascii="Arial" w:cs="Arial" w:eastAsia="Arial" w:hAnsi="Arial"/>
                <w:sz w:val="18"/>
                <w:szCs w:val="18"/>
                <w:color w:val="auto"/>
              </w:rPr>
              <w:t>(4.16)</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(4.36)</w:t>
            </w:r>
          </w:p>
        </w:tc>
      </w:tr>
      <w:tr>
        <w:trPr>
          <w:trHeight w:val="206"/>
        </w:trPr>
        <w:tc>
          <w:tcPr>
            <w:tcW w:w="82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Weighted-average shares used to compute net loss per share attributable to common</w:t>
            </w:r>
          </w:p>
        </w:tc>
        <w:tc>
          <w:tcPr>
            <w:tcW w:w="1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9"/>
        </w:trPr>
        <w:tc>
          <w:tcPr>
            <w:tcW w:w="820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stockholders—basic and diluted</w:t>
            </w:r>
          </w:p>
        </w:tc>
        <w:tc>
          <w:tcPr>
            <w:tcW w:w="1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292"/>
              <w:spacing w:after="0" w:line="200" w:lineRule="exact"/>
              <w:rPr>
                <w:sz w:val="20"/>
                <w:szCs w:val="20"/>
                <w:color w:val="auto"/>
              </w:rPr>
            </w:pPr>
            <w:r>
              <w:rPr>
                <w:rFonts w:ascii="Arial" w:cs="Arial" w:eastAsia="Arial" w:hAnsi="Arial"/>
                <w:sz w:val="18"/>
                <w:szCs w:val="18"/>
                <w:color w:val="auto"/>
                <w:w w:val="97"/>
              </w:rPr>
              <w:t>8,386,173</w:t>
            </w:r>
          </w:p>
        </w:tc>
        <w:tc>
          <w:tcPr>
            <w:tcW w:w="3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11,186,287</w:t>
            </w:r>
          </w:p>
        </w:tc>
        <w:tc>
          <w:tcPr>
            <w:tcW w:w="120" w:type="dxa"/>
            <w:vAlign w:val="bottom"/>
            <w:shd w:val="clear" w:color="auto" w:fill="CCEEFF"/>
          </w:tcPr>
          <w:p>
            <w:pPr>
              <w:spacing w:after="0"/>
              <w:rPr>
                <w:sz w:val="17"/>
                <w:szCs w:val="17"/>
                <w:color w:val="auto"/>
              </w:rPr>
            </w:pPr>
          </w:p>
        </w:tc>
      </w:tr>
      <w:tr>
        <w:trPr>
          <w:trHeight w:val="217"/>
        </w:trPr>
        <w:tc>
          <w:tcPr>
            <w:tcW w:w="8200" w:type="dxa"/>
            <w:vAlign w:val="bottom"/>
          </w:tcPr>
          <w:p>
            <w:pPr>
              <w:spacing w:after="0"/>
              <w:rPr>
                <w:sz w:val="20"/>
                <w:szCs w:val="20"/>
                <w:color w:val="auto"/>
              </w:rPr>
            </w:pPr>
            <w:r>
              <w:rPr>
                <w:rFonts w:ascii="Arial" w:cs="Arial" w:eastAsia="Arial" w:hAnsi="Arial"/>
                <w:sz w:val="18"/>
                <w:szCs w:val="18"/>
                <w:color w:val="auto"/>
              </w:rPr>
              <w:t>Pro forma net loss per share—basic and diluted (unaudited)</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(0.35)</w:t>
            </w:r>
          </w:p>
        </w:tc>
      </w:tr>
      <w:tr>
        <w:trPr>
          <w:trHeight w:val="206"/>
        </w:trPr>
        <w:tc>
          <w:tcPr>
            <w:tcW w:w="82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Weighted-average shares used in computing pro forma net loss per share—basic and diluted</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9"/>
        </w:trPr>
        <w:tc>
          <w:tcPr>
            <w:tcW w:w="820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(unaudited)</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w w:val="95"/>
              </w:rPr>
              <w:t>112,714,741</w:t>
            </w:r>
          </w:p>
        </w:tc>
      </w:tr>
      <w:tr>
        <w:trPr>
          <w:trHeight w:val="20"/>
        </w:trPr>
        <w:tc>
          <w:tcPr>
            <w:tcW w:w="8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Revolution Medicines, Inc.</w:t>
      </w:r>
    </w:p>
    <w:p>
      <w:pPr>
        <w:spacing w:after="0" w:line="50" w:lineRule="exact"/>
        <w:rPr>
          <w:sz w:val="20"/>
          <w:szCs w:val="20"/>
          <w:color w:val="auto"/>
        </w:rPr>
      </w:pPr>
    </w:p>
    <w:p>
      <w:pPr>
        <w:ind w:left="120" w:right="620"/>
        <w:spacing w:after="0" w:line="246" w:lineRule="auto"/>
        <w:rPr>
          <w:sz w:val="20"/>
          <w:szCs w:val="20"/>
          <w:color w:val="auto"/>
        </w:rPr>
      </w:pPr>
      <w:r>
        <w:rPr>
          <w:rFonts w:ascii="Arial" w:cs="Arial" w:eastAsia="Arial" w:hAnsi="Arial"/>
          <w:sz w:val="32"/>
          <w:szCs w:val="32"/>
          <w:b w:val="1"/>
          <w:bCs w:val="1"/>
          <w:color w:val="auto"/>
        </w:rPr>
        <w:t>Consolidated statements of redeemable convertible preferred stock and stockholders’ deficit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 thousands, except share data)</w:t>
      </w:r>
    </w:p>
    <w:p>
      <w:pPr>
        <w:spacing w:after="0" w:line="94" w:lineRule="exact"/>
        <w:rPr>
          <w:sz w:val="20"/>
          <w:szCs w:val="20"/>
          <w:color w:val="auto"/>
        </w:rPr>
      </w:pPr>
    </w:p>
    <w:tbl>
      <w:tblPr>
        <w:tblLayout w:type="fixed"/>
        <w:tblInd w:w="120" w:type="dxa"/>
        <w:tblCellMar>
          <w:top w:w="0" w:type="dxa"/>
          <w:left w:w="0" w:type="dxa"/>
          <w:bottom w:w="0" w:type="dxa"/>
          <w:right w:w="0" w:type="dxa"/>
        </w:tblCellMar>
      </w:tblPr>
      <w:tr>
        <w:trPr>
          <w:trHeight w:val="251"/>
        </w:trPr>
        <w:tc>
          <w:tcPr>
            <w:tcW w:w="3480" w:type="dxa"/>
            <w:vAlign w:val="bottom"/>
            <w:tcBorders>
              <w:top w:val="single" w:sz="8" w:color="auto"/>
            </w:tcBorders>
          </w:tcPr>
          <w:p>
            <w:pPr>
              <w:spacing w:after="0"/>
              <w:rPr>
                <w:sz w:val="21"/>
                <w:szCs w:val="21"/>
                <w:color w:val="auto"/>
              </w:rPr>
            </w:pPr>
          </w:p>
        </w:tc>
        <w:tc>
          <w:tcPr>
            <w:tcW w:w="1980" w:type="dxa"/>
            <w:vAlign w:val="bottom"/>
            <w:tcBorders>
              <w:top w:val="single" w:sz="8" w:color="auto"/>
              <w:right w:val="single" w:sz="8" w:color="auto"/>
            </w:tcBorders>
            <w:gridSpan w:val="4"/>
          </w:tcPr>
          <w:p>
            <w:pPr>
              <w:jc w:val="center"/>
              <w:ind w:right="100"/>
              <w:spacing w:after="0"/>
              <w:rPr>
                <w:sz w:val="20"/>
                <w:szCs w:val="20"/>
                <w:color w:val="auto"/>
              </w:rPr>
            </w:pPr>
            <w:r>
              <w:rPr>
                <w:rFonts w:ascii="Arial" w:cs="Arial" w:eastAsia="Arial" w:hAnsi="Arial"/>
                <w:sz w:val="18"/>
                <w:szCs w:val="18"/>
                <w:b w:val="1"/>
                <w:bCs w:val="1"/>
                <w:color w:val="auto"/>
                <w:w w:val="98"/>
              </w:rPr>
              <w:t>Redeemable</w:t>
            </w:r>
          </w:p>
        </w:tc>
        <w:tc>
          <w:tcPr>
            <w:tcW w:w="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3480" w:type="dxa"/>
            <w:vAlign w:val="bottom"/>
          </w:tcPr>
          <w:p>
            <w:pPr>
              <w:spacing w:after="0"/>
              <w:rPr>
                <w:sz w:val="19"/>
                <w:szCs w:val="19"/>
                <w:color w:val="auto"/>
              </w:rPr>
            </w:pPr>
          </w:p>
        </w:tc>
        <w:tc>
          <w:tcPr>
            <w:tcW w:w="198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8"/>
                <w:szCs w:val="18"/>
                <w:b w:val="1"/>
                <w:bCs w:val="1"/>
                <w:color w:val="auto"/>
                <w:w w:val="97"/>
              </w:rPr>
              <w:t>convertible</w:t>
            </w: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ind w:left="60"/>
              <w:spacing w:after="0"/>
              <w:rPr>
                <w:sz w:val="20"/>
                <w:szCs w:val="20"/>
                <w:color w:val="auto"/>
              </w:rPr>
            </w:pPr>
            <w:r>
              <w:rPr>
                <w:rFonts w:ascii="Arial" w:cs="Arial" w:eastAsia="Arial" w:hAnsi="Arial"/>
                <w:sz w:val="18"/>
                <w:szCs w:val="18"/>
                <w:b w:val="1"/>
                <w:bCs w:val="1"/>
                <w:color w:val="auto"/>
              </w:rPr>
              <w:t>Additional</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1880" w:type="dxa"/>
            <w:vAlign w:val="bottom"/>
            <w:tcBorders>
              <w:bottom w:val="single" w:sz="8" w:color="auto"/>
            </w:tcBorders>
            <w:gridSpan w:val="3"/>
          </w:tcPr>
          <w:p>
            <w:pPr>
              <w:jc w:val="center"/>
              <w:spacing w:after="0" w:line="182" w:lineRule="exact"/>
              <w:rPr>
                <w:sz w:val="20"/>
                <w:szCs w:val="20"/>
                <w:color w:val="auto"/>
              </w:rPr>
            </w:pPr>
            <w:r>
              <w:rPr>
                <w:rFonts w:ascii="Arial" w:cs="Arial" w:eastAsia="Arial" w:hAnsi="Arial"/>
                <w:sz w:val="18"/>
                <w:szCs w:val="18"/>
                <w:b w:val="1"/>
                <w:bCs w:val="1"/>
                <w:color w:val="auto"/>
                <w:w w:val="97"/>
              </w:rPr>
              <w:t>preferred stock</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580" w:type="dxa"/>
            <w:vAlign w:val="bottom"/>
            <w:tcBorders>
              <w:bottom w:val="single" w:sz="8" w:color="auto"/>
            </w:tcBorders>
            <w:gridSpan w:val="2"/>
          </w:tcPr>
          <w:p>
            <w:pPr>
              <w:ind w:left="260"/>
              <w:spacing w:after="0" w:line="182" w:lineRule="exact"/>
              <w:rPr>
                <w:sz w:val="20"/>
                <w:szCs w:val="20"/>
                <w:color w:val="auto"/>
              </w:rPr>
            </w:pPr>
            <w:r>
              <w:rPr>
                <w:rFonts w:ascii="Arial" w:cs="Arial" w:eastAsia="Arial" w:hAnsi="Arial"/>
                <w:sz w:val="18"/>
                <w:szCs w:val="18"/>
                <w:b w:val="1"/>
                <w:bCs w:val="1"/>
                <w:color w:val="auto"/>
                <w:w w:val="99"/>
              </w:rPr>
              <w:t>Common stock</w:t>
            </w:r>
          </w:p>
        </w:tc>
        <w:tc>
          <w:tcPr>
            <w:tcW w:w="2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32"/>
              <w:spacing w:after="0" w:line="182" w:lineRule="exact"/>
              <w:rPr>
                <w:sz w:val="20"/>
                <w:szCs w:val="20"/>
                <w:color w:val="auto"/>
              </w:rPr>
            </w:pPr>
            <w:r>
              <w:rPr>
                <w:rFonts w:ascii="Arial" w:cs="Arial" w:eastAsia="Arial" w:hAnsi="Arial"/>
                <w:sz w:val="18"/>
                <w:szCs w:val="18"/>
                <w:b w:val="1"/>
                <w:bCs w:val="1"/>
                <w:color w:val="auto"/>
                <w:w w:val="98"/>
              </w:rPr>
              <w:t>paid-in</w:t>
            </w:r>
          </w:p>
        </w:tc>
        <w:tc>
          <w:tcPr>
            <w:tcW w:w="1300" w:type="dxa"/>
            <w:vAlign w:val="bottom"/>
            <w:gridSpan w:val="2"/>
          </w:tcPr>
          <w:p>
            <w:pPr>
              <w:ind w:left="60"/>
              <w:spacing w:after="0" w:line="182" w:lineRule="exact"/>
              <w:rPr>
                <w:sz w:val="20"/>
                <w:szCs w:val="20"/>
                <w:color w:val="auto"/>
              </w:rPr>
            </w:pPr>
            <w:r>
              <w:rPr>
                <w:rFonts w:ascii="Arial" w:cs="Arial" w:eastAsia="Arial" w:hAnsi="Arial"/>
                <w:sz w:val="18"/>
                <w:szCs w:val="18"/>
                <w:b w:val="1"/>
                <w:bCs w:val="1"/>
                <w:color w:val="auto"/>
              </w:rPr>
              <w:t>Accumulated</w:t>
            </w:r>
          </w:p>
        </w:tc>
        <w:tc>
          <w:tcPr>
            <w:tcW w:w="1320" w:type="dxa"/>
            <w:vAlign w:val="bottom"/>
            <w:gridSpan w:val="3"/>
          </w:tcPr>
          <w:p>
            <w:pPr>
              <w:ind w:left="60"/>
              <w:spacing w:after="0" w:line="182" w:lineRule="exact"/>
              <w:rPr>
                <w:sz w:val="20"/>
                <w:szCs w:val="20"/>
                <w:color w:val="auto"/>
              </w:rPr>
            </w:pPr>
            <w:r>
              <w:rPr>
                <w:rFonts w:ascii="Arial" w:cs="Arial" w:eastAsia="Arial" w:hAnsi="Arial"/>
                <w:sz w:val="18"/>
                <w:szCs w:val="18"/>
                <w:b w:val="1"/>
                <w:bCs w:val="1"/>
                <w:color w:val="auto"/>
              </w:rPr>
              <w:t>stockholders’</w:t>
            </w:r>
          </w:p>
        </w:tc>
        <w:tc>
          <w:tcPr>
            <w:tcW w:w="0" w:type="dxa"/>
            <w:vAlign w:val="bottom"/>
          </w:tcPr>
          <w:p>
            <w:pPr>
              <w:spacing w:after="0"/>
              <w:rPr>
                <w:sz w:val="1"/>
                <w:szCs w:val="1"/>
                <w:color w:val="auto"/>
              </w:rPr>
            </w:pPr>
          </w:p>
        </w:tc>
      </w:tr>
      <w:tr>
        <w:trPr>
          <w:trHeight w:val="223"/>
        </w:trPr>
        <w:tc>
          <w:tcPr>
            <w:tcW w:w="3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Shares</w:t>
            </w:r>
          </w:p>
        </w:tc>
        <w:tc>
          <w:tcPr>
            <w:tcW w:w="90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Amount</w:t>
            </w:r>
          </w:p>
        </w:tc>
        <w:tc>
          <w:tcPr>
            <w:tcW w:w="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Shares</w:t>
            </w:r>
          </w:p>
        </w:tc>
        <w:tc>
          <w:tcPr>
            <w:tcW w:w="8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capital</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deficit</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rPr>
              <w:t>deficit</w:t>
            </w:r>
          </w:p>
        </w:tc>
        <w:tc>
          <w:tcPr>
            <w:tcW w:w="0" w:type="dxa"/>
            <w:vAlign w:val="bottom"/>
          </w:tcPr>
          <w:p>
            <w:pPr>
              <w:spacing w:after="0"/>
              <w:rPr>
                <w:sz w:val="1"/>
                <w:szCs w:val="1"/>
                <w:color w:val="auto"/>
              </w:rPr>
            </w:pPr>
          </w:p>
        </w:tc>
      </w:tr>
      <w:tr>
        <w:trPr>
          <w:trHeight w:val="196"/>
        </w:trPr>
        <w:tc>
          <w:tcPr>
            <w:tcW w:w="34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at January 1, 2017</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47,527,465</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49,579</w:t>
            </w:r>
          </w:p>
        </w:tc>
        <w:tc>
          <w:tcPr>
            <w:tcW w:w="1120" w:type="dxa"/>
            <w:vAlign w:val="bottom"/>
            <w:gridSpan w:val="2"/>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11,814,916</w:t>
            </w:r>
          </w:p>
        </w:tc>
        <w:tc>
          <w:tcPr>
            <w:tcW w:w="520" w:type="dxa"/>
            <w:vAlign w:val="bottom"/>
            <w:shd w:val="clear" w:color="auto" w:fill="CCEEFF"/>
          </w:tcPr>
          <w:p>
            <w:pPr>
              <w:ind w:left="80"/>
              <w:spacing w:after="0" w:line="196"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(36,806)</w:t>
            </w:r>
          </w:p>
        </w:tc>
        <w:tc>
          <w:tcPr>
            <w:tcW w:w="26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(36,805)</w:t>
            </w:r>
          </w:p>
        </w:tc>
        <w:tc>
          <w:tcPr>
            <w:tcW w:w="0" w:type="dxa"/>
            <w:vAlign w:val="bottom"/>
          </w:tcPr>
          <w:p>
            <w:pPr>
              <w:spacing w:after="0"/>
              <w:rPr>
                <w:sz w:val="1"/>
                <w:szCs w:val="1"/>
                <w:color w:val="auto"/>
              </w:rPr>
            </w:pPr>
          </w:p>
        </w:tc>
      </w:tr>
      <w:tr>
        <w:trPr>
          <w:trHeight w:val="206"/>
        </w:trPr>
        <w:tc>
          <w:tcPr>
            <w:tcW w:w="3480" w:type="dxa"/>
            <w:vAlign w:val="bottom"/>
          </w:tcPr>
          <w:p>
            <w:pPr>
              <w:ind w:left="220"/>
              <w:spacing w:after="0" w:line="206" w:lineRule="exact"/>
              <w:rPr>
                <w:sz w:val="20"/>
                <w:szCs w:val="20"/>
                <w:color w:val="auto"/>
              </w:rPr>
            </w:pPr>
            <w:r>
              <w:rPr>
                <w:rFonts w:ascii="Arial" w:cs="Arial" w:eastAsia="Arial" w:hAnsi="Arial"/>
                <w:sz w:val="18"/>
                <w:szCs w:val="18"/>
                <w:color w:val="auto"/>
              </w:rPr>
              <w:t>Issuance of Series A redeemable</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ind w:left="420"/>
              <w:spacing w:after="0" w:line="202" w:lineRule="exact"/>
              <w:rPr>
                <w:sz w:val="20"/>
                <w:szCs w:val="20"/>
                <w:color w:val="auto"/>
              </w:rPr>
            </w:pPr>
            <w:r>
              <w:rPr>
                <w:rFonts w:ascii="Arial" w:cs="Arial" w:eastAsia="Arial" w:hAnsi="Arial"/>
                <w:sz w:val="18"/>
                <w:szCs w:val="18"/>
                <w:color w:val="auto"/>
              </w:rPr>
              <w:t>convertible preferred stock for cash at</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ind w:left="420"/>
              <w:spacing w:after="0" w:line="202" w:lineRule="exact"/>
              <w:rPr>
                <w:sz w:val="20"/>
                <w:szCs w:val="20"/>
                <w:color w:val="auto"/>
              </w:rPr>
            </w:pPr>
            <w:r>
              <w:rPr>
                <w:rFonts w:ascii="Arial" w:cs="Arial" w:eastAsia="Arial" w:hAnsi="Arial"/>
                <w:sz w:val="18"/>
                <w:szCs w:val="18"/>
                <w:color w:val="auto"/>
                <w:w w:val="99"/>
              </w:rPr>
              <w:t>$1.00 per share, net of issuance costs</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80" w:type="dxa"/>
            <w:vAlign w:val="bottom"/>
          </w:tcPr>
          <w:p>
            <w:pPr>
              <w:ind w:left="420"/>
              <w:spacing w:after="0" w:line="200" w:lineRule="exact"/>
              <w:rPr>
                <w:sz w:val="20"/>
                <w:szCs w:val="20"/>
                <w:color w:val="auto"/>
              </w:rPr>
            </w:pPr>
            <w:r>
              <w:rPr>
                <w:rFonts w:ascii="Arial" w:cs="Arial" w:eastAsia="Arial" w:hAnsi="Arial"/>
                <w:sz w:val="18"/>
                <w:szCs w:val="18"/>
                <w:color w:val="auto"/>
              </w:rPr>
              <w:t>of $25</w:t>
            </w:r>
          </w:p>
        </w:tc>
        <w:tc>
          <w:tcPr>
            <w:tcW w:w="1080" w:type="dxa"/>
            <w:vAlign w:val="bottom"/>
          </w:tcPr>
          <w:p>
            <w:pPr>
              <w:jc w:val="right"/>
              <w:spacing w:after="0" w:line="200" w:lineRule="exact"/>
              <w:rPr>
                <w:sz w:val="20"/>
                <w:szCs w:val="20"/>
                <w:color w:val="auto"/>
              </w:rPr>
            </w:pPr>
            <w:r>
              <w:rPr>
                <w:rFonts w:ascii="Arial" w:cs="Arial" w:eastAsia="Arial" w:hAnsi="Arial"/>
                <w:sz w:val="18"/>
                <w:szCs w:val="18"/>
                <w:color w:val="auto"/>
              </w:rPr>
              <w:t>22,694,267</w:t>
            </w:r>
          </w:p>
        </w:tc>
        <w:tc>
          <w:tcPr>
            <w:tcW w:w="160" w:type="dxa"/>
            <w:vAlign w:val="bottom"/>
          </w:tcPr>
          <w:p>
            <w:pPr>
              <w:spacing w:after="0"/>
              <w:rPr>
                <w:sz w:val="17"/>
                <w:szCs w:val="17"/>
                <w:color w:val="auto"/>
              </w:rPr>
            </w:pPr>
          </w:p>
        </w:tc>
        <w:tc>
          <w:tcPr>
            <w:tcW w:w="740" w:type="dxa"/>
            <w:vAlign w:val="bottom"/>
            <w:tcBorders>
              <w:right w:val="single" w:sz="8" w:color="auto"/>
            </w:tcBorders>
            <w:gridSpan w:val="2"/>
          </w:tcPr>
          <w:p>
            <w:pPr>
              <w:jc w:val="right"/>
              <w:ind w:right="100"/>
              <w:spacing w:after="0" w:line="200" w:lineRule="exact"/>
              <w:rPr>
                <w:sz w:val="20"/>
                <w:szCs w:val="20"/>
                <w:color w:val="auto"/>
              </w:rPr>
            </w:pPr>
            <w:r>
              <w:rPr>
                <w:rFonts w:ascii="Arial" w:cs="Arial" w:eastAsia="Arial" w:hAnsi="Arial"/>
                <w:sz w:val="18"/>
                <w:szCs w:val="18"/>
                <w:color w:val="auto"/>
              </w:rPr>
              <w:t>22,669</w:t>
            </w:r>
          </w:p>
        </w:tc>
        <w:tc>
          <w:tcPr>
            <w:tcW w:w="60" w:type="dxa"/>
            <w:vAlign w:val="bottom"/>
          </w:tcPr>
          <w:p>
            <w:pPr>
              <w:spacing w:after="0"/>
              <w:rPr>
                <w:sz w:val="17"/>
                <w:szCs w:val="17"/>
                <w:color w:val="auto"/>
              </w:rPr>
            </w:pPr>
          </w:p>
        </w:tc>
        <w:tc>
          <w:tcPr>
            <w:tcW w:w="106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300" w:type="dxa"/>
            <w:vAlign w:val="bottom"/>
            <w:gridSpan w:val="2"/>
          </w:tcPr>
          <w:p>
            <w:pPr>
              <w:jc w:val="right"/>
              <w:ind w:right="80"/>
              <w:spacing w:after="0" w:line="200"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40" w:type="dxa"/>
            <w:vAlign w:val="bottom"/>
          </w:tcPr>
          <w:p>
            <w:pPr>
              <w:jc w:val="right"/>
              <w:ind w:right="52"/>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3480" w:type="dxa"/>
            <w:vAlign w:val="bottom"/>
            <w:shd w:val="clear" w:color="auto" w:fill="CCEEFF"/>
          </w:tcPr>
          <w:p>
            <w:pPr>
              <w:ind w:left="220"/>
              <w:spacing w:after="0" w:line="206" w:lineRule="exact"/>
              <w:rPr>
                <w:sz w:val="20"/>
                <w:szCs w:val="20"/>
                <w:color w:val="auto"/>
              </w:rPr>
            </w:pPr>
            <w:r>
              <w:rPr>
                <w:rFonts w:ascii="Arial" w:cs="Arial" w:eastAsia="Arial" w:hAnsi="Arial"/>
                <w:sz w:val="18"/>
                <w:szCs w:val="18"/>
                <w:color w:val="auto"/>
              </w:rPr>
              <w:t>Issuance of common stock pursuant to</w:t>
            </w: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80" w:type="dxa"/>
            <w:vAlign w:val="bottom"/>
            <w:shd w:val="clear" w:color="auto" w:fill="CCEEFF"/>
          </w:tcPr>
          <w:p>
            <w:pPr>
              <w:ind w:left="420"/>
              <w:spacing w:after="0" w:line="200" w:lineRule="exact"/>
              <w:rPr>
                <w:sz w:val="20"/>
                <w:szCs w:val="20"/>
                <w:color w:val="auto"/>
              </w:rPr>
            </w:pPr>
            <w:r>
              <w:rPr>
                <w:rFonts w:ascii="Arial" w:cs="Arial" w:eastAsia="Arial" w:hAnsi="Arial"/>
                <w:sz w:val="18"/>
                <w:szCs w:val="18"/>
                <w:color w:val="auto"/>
              </w:rPr>
              <w:t>stock option exercises</w:t>
            </w:r>
          </w:p>
        </w:tc>
        <w:tc>
          <w:tcPr>
            <w:tcW w:w="10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40" w:type="dxa"/>
            <w:vAlign w:val="bottom"/>
            <w:tcBorders>
              <w:right w:val="single" w:sz="8" w:color="auto"/>
            </w:tcBorders>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446,277</w:t>
            </w:r>
          </w:p>
        </w:tc>
        <w:tc>
          <w:tcPr>
            <w:tcW w:w="5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80"/>
              <w:spacing w:after="0" w:line="200"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2"/>
              <w:spacing w:after="0" w:line="200"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6"/>
        </w:trPr>
        <w:tc>
          <w:tcPr>
            <w:tcW w:w="3480" w:type="dxa"/>
            <w:vAlign w:val="bottom"/>
          </w:tcPr>
          <w:p>
            <w:pPr>
              <w:ind w:left="220"/>
              <w:spacing w:after="0" w:line="206" w:lineRule="exact"/>
              <w:rPr>
                <w:sz w:val="20"/>
                <w:szCs w:val="20"/>
                <w:color w:val="auto"/>
              </w:rPr>
            </w:pPr>
            <w:r>
              <w:rPr>
                <w:rFonts w:ascii="Arial" w:cs="Arial" w:eastAsia="Arial" w:hAnsi="Arial"/>
                <w:sz w:val="18"/>
                <w:szCs w:val="18"/>
                <w:color w:val="auto"/>
              </w:rPr>
              <w:t>Issuance of common stock pursuant to</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80" w:type="dxa"/>
            <w:vAlign w:val="bottom"/>
          </w:tcPr>
          <w:p>
            <w:pPr>
              <w:ind w:left="420"/>
              <w:spacing w:after="0" w:line="200" w:lineRule="exact"/>
              <w:rPr>
                <w:sz w:val="20"/>
                <w:szCs w:val="20"/>
                <w:color w:val="auto"/>
              </w:rPr>
            </w:pPr>
            <w:r>
              <w:rPr>
                <w:rFonts w:ascii="Arial" w:cs="Arial" w:eastAsia="Arial" w:hAnsi="Arial"/>
                <w:sz w:val="18"/>
                <w:szCs w:val="18"/>
                <w:color w:val="auto"/>
              </w:rPr>
              <w:t>early exercised stock options</w:t>
            </w:r>
          </w:p>
        </w:tc>
        <w:tc>
          <w:tcPr>
            <w:tcW w:w="10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40" w:type="dxa"/>
            <w:vAlign w:val="bottom"/>
            <w:tcBorders>
              <w:right w:val="single" w:sz="8" w:color="auto"/>
            </w:tcBorders>
            <w:gridSpan w:val="2"/>
          </w:tcPr>
          <w:p>
            <w:pPr>
              <w:jc w:val="right"/>
              <w:ind w:right="100"/>
              <w:spacing w:after="0" w:line="200"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
              <w:spacing w:after="0" w:line="200" w:lineRule="exact"/>
              <w:rPr>
                <w:sz w:val="20"/>
                <w:szCs w:val="20"/>
                <w:color w:val="auto"/>
              </w:rPr>
            </w:pPr>
            <w:r>
              <w:rPr>
                <w:rFonts w:ascii="Arial" w:cs="Arial" w:eastAsia="Arial" w:hAnsi="Arial"/>
                <w:sz w:val="18"/>
                <w:szCs w:val="18"/>
                <w:color w:val="auto"/>
              </w:rPr>
              <w:t>2,364,680</w:t>
            </w:r>
          </w:p>
        </w:tc>
        <w:tc>
          <w:tcPr>
            <w:tcW w:w="520" w:type="dxa"/>
            <w:vAlign w:val="bottom"/>
          </w:tcPr>
          <w:p>
            <w:pPr>
              <w:spacing w:after="0"/>
              <w:rPr>
                <w:sz w:val="17"/>
                <w:szCs w:val="17"/>
                <w:color w:val="auto"/>
              </w:rPr>
            </w:pPr>
          </w:p>
        </w:tc>
        <w:tc>
          <w:tcPr>
            <w:tcW w:w="300" w:type="dxa"/>
            <w:vAlign w:val="bottom"/>
            <w:gridSpan w:val="2"/>
          </w:tcPr>
          <w:p>
            <w:pPr>
              <w:jc w:val="right"/>
              <w:ind w:right="80"/>
              <w:spacing w:after="0" w:line="200"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40" w:type="dxa"/>
            <w:vAlign w:val="bottom"/>
          </w:tcPr>
          <w:p>
            <w:pPr>
              <w:jc w:val="right"/>
              <w:ind w:right="52"/>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3480" w:type="dxa"/>
            <w:vAlign w:val="bottom"/>
            <w:shd w:val="clear" w:color="auto" w:fill="CCEEFF"/>
          </w:tcPr>
          <w:p>
            <w:pPr>
              <w:ind w:left="220"/>
              <w:spacing w:after="0" w:line="206" w:lineRule="exact"/>
              <w:rPr>
                <w:sz w:val="20"/>
                <w:szCs w:val="20"/>
                <w:color w:val="auto"/>
              </w:rPr>
            </w:pPr>
            <w:r>
              <w:rPr>
                <w:rFonts w:ascii="Arial" w:cs="Arial" w:eastAsia="Arial" w:hAnsi="Arial"/>
                <w:sz w:val="18"/>
                <w:szCs w:val="18"/>
                <w:color w:val="auto"/>
              </w:rPr>
              <w:t>Vesting of early exercised stock options</w:t>
            </w: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80" w:type="dxa"/>
            <w:vAlign w:val="bottom"/>
            <w:shd w:val="clear" w:color="auto" w:fill="CCEEFF"/>
          </w:tcPr>
          <w:p>
            <w:pPr>
              <w:ind w:left="420"/>
              <w:spacing w:after="0" w:line="200" w:lineRule="exact"/>
              <w:rPr>
                <w:sz w:val="20"/>
                <w:szCs w:val="20"/>
                <w:color w:val="auto"/>
              </w:rPr>
            </w:pPr>
            <w:r>
              <w:rPr>
                <w:rFonts w:ascii="Arial" w:cs="Arial" w:eastAsia="Arial" w:hAnsi="Arial"/>
                <w:sz w:val="18"/>
                <w:szCs w:val="18"/>
                <w:color w:val="auto"/>
              </w:rPr>
              <w:t>and restricted stock</w:t>
            </w:r>
          </w:p>
        </w:tc>
        <w:tc>
          <w:tcPr>
            <w:tcW w:w="10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40" w:type="dxa"/>
            <w:vAlign w:val="bottom"/>
            <w:tcBorders>
              <w:right w:val="single" w:sz="8" w:color="auto"/>
            </w:tcBorders>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80"/>
              <w:spacing w:after="0" w:line="200"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2"/>
              <w:spacing w:after="0" w:line="200"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6"/>
        </w:trPr>
        <w:tc>
          <w:tcPr>
            <w:tcW w:w="3480" w:type="dxa"/>
            <w:vAlign w:val="bottom"/>
          </w:tcPr>
          <w:p>
            <w:pPr>
              <w:ind w:left="220"/>
              <w:spacing w:after="0" w:line="206" w:lineRule="exact"/>
              <w:rPr>
                <w:sz w:val="20"/>
                <w:szCs w:val="20"/>
                <w:color w:val="auto"/>
              </w:rPr>
            </w:pPr>
            <w:r>
              <w:rPr>
                <w:rFonts w:ascii="Arial" w:cs="Arial" w:eastAsia="Arial" w:hAnsi="Arial"/>
                <w:sz w:val="18"/>
                <w:szCs w:val="18"/>
                <w:color w:val="auto"/>
              </w:rPr>
              <w:t>Repurchases of early exercised stock</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80" w:type="dxa"/>
            <w:vAlign w:val="bottom"/>
          </w:tcPr>
          <w:p>
            <w:pPr>
              <w:ind w:left="420"/>
              <w:spacing w:after="0" w:line="200" w:lineRule="exact"/>
              <w:rPr>
                <w:sz w:val="20"/>
                <w:szCs w:val="20"/>
                <w:color w:val="auto"/>
              </w:rPr>
            </w:pPr>
            <w:r>
              <w:rPr>
                <w:rFonts w:ascii="Arial" w:cs="Arial" w:eastAsia="Arial" w:hAnsi="Arial"/>
                <w:sz w:val="18"/>
                <w:szCs w:val="18"/>
                <w:color w:val="auto"/>
              </w:rPr>
              <w:t>options and restricted stock</w:t>
            </w:r>
          </w:p>
        </w:tc>
        <w:tc>
          <w:tcPr>
            <w:tcW w:w="10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40" w:type="dxa"/>
            <w:vAlign w:val="bottom"/>
            <w:tcBorders>
              <w:right w:val="single" w:sz="8" w:color="auto"/>
            </w:tcBorders>
            <w:gridSpan w:val="2"/>
          </w:tcPr>
          <w:p>
            <w:pPr>
              <w:jc w:val="right"/>
              <w:ind w:right="100"/>
              <w:spacing w:after="0" w:line="200"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(1,614,814)</w:t>
            </w:r>
          </w:p>
        </w:tc>
        <w:tc>
          <w:tcPr>
            <w:tcW w:w="520" w:type="dxa"/>
            <w:vAlign w:val="bottom"/>
          </w:tcPr>
          <w:p>
            <w:pPr>
              <w:spacing w:after="0"/>
              <w:rPr>
                <w:sz w:val="17"/>
                <w:szCs w:val="17"/>
                <w:color w:val="auto"/>
              </w:rPr>
            </w:pPr>
          </w:p>
        </w:tc>
        <w:tc>
          <w:tcPr>
            <w:tcW w:w="300" w:type="dxa"/>
            <w:vAlign w:val="bottom"/>
            <w:gridSpan w:val="2"/>
          </w:tcPr>
          <w:p>
            <w:pPr>
              <w:jc w:val="right"/>
              <w:ind w:right="80"/>
              <w:spacing w:after="0" w:line="200"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40" w:type="dxa"/>
            <w:vAlign w:val="bottom"/>
          </w:tcPr>
          <w:p>
            <w:pPr>
              <w:jc w:val="right"/>
              <w:ind w:right="52"/>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4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Stock-based compensation expense</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40" w:type="dxa"/>
            <w:vAlign w:val="bottom"/>
            <w:tcBorders>
              <w:right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3"/>
        </w:trPr>
        <w:tc>
          <w:tcPr>
            <w:tcW w:w="3480" w:type="dxa"/>
            <w:vAlign w:val="bottom"/>
          </w:tcPr>
          <w:p>
            <w:pPr>
              <w:ind w:left="420"/>
              <w:spacing w:after="0" w:line="202" w:lineRule="exact"/>
              <w:rPr>
                <w:sz w:val="20"/>
                <w:szCs w:val="20"/>
                <w:color w:val="auto"/>
              </w:rPr>
            </w:pPr>
            <w:r>
              <w:rPr>
                <w:rFonts w:ascii="Arial" w:cs="Arial" w:eastAsia="Arial" w:hAnsi="Arial"/>
                <w:sz w:val="18"/>
                <w:szCs w:val="18"/>
                <w:color w:val="auto"/>
              </w:rPr>
              <w:t>Net loss</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(31,127)</w:t>
            </w:r>
          </w:p>
        </w:tc>
        <w:tc>
          <w:tcPr>
            <w:tcW w:w="26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(31,127)</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at December 31, 2017</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70,221,732</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72,248</w:t>
            </w:r>
          </w:p>
        </w:tc>
        <w:tc>
          <w:tcPr>
            <w:tcW w:w="1120" w:type="dxa"/>
            <w:vAlign w:val="bottom"/>
            <w:gridSpan w:val="2"/>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13,011,059</w:t>
            </w:r>
          </w:p>
        </w:tc>
        <w:tc>
          <w:tcPr>
            <w:tcW w:w="5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w:t>
            </w:r>
          </w:p>
        </w:tc>
        <w:tc>
          <w:tcPr>
            <w:tcW w:w="2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(67,933)</w:t>
            </w:r>
          </w:p>
        </w:tc>
        <w:tc>
          <w:tcPr>
            <w:tcW w:w="2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(67,717)</w:t>
            </w:r>
          </w:p>
        </w:tc>
        <w:tc>
          <w:tcPr>
            <w:tcW w:w="0" w:type="dxa"/>
            <w:vAlign w:val="bottom"/>
          </w:tcPr>
          <w:p>
            <w:pPr>
              <w:spacing w:after="0"/>
              <w:rPr>
                <w:sz w:val="1"/>
                <w:szCs w:val="1"/>
                <w:color w:val="auto"/>
              </w:rPr>
            </w:pPr>
          </w:p>
        </w:tc>
      </w:tr>
      <w:tr>
        <w:trPr>
          <w:trHeight w:val="213"/>
        </w:trPr>
        <w:tc>
          <w:tcPr>
            <w:tcW w:w="3480" w:type="dxa"/>
            <w:vAlign w:val="bottom"/>
          </w:tcPr>
          <w:p>
            <w:pPr>
              <w:ind w:left="220"/>
              <w:spacing w:after="0"/>
              <w:rPr>
                <w:sz w:val="20"/>
                <w:szCs w:val="20"/>
                <w:color w:val="auto"/>
              </w:rPr>
            </w:pPr>
            <w:r>
              <w:rPr>
                <w:rFonts w:ascii="Arial" w:cs="Arial" w:eastAsia="Arial" w:hAnsi="Arial"/>
                <w:sz w:val="18"/>
                <w:szCs w:val="18"/>
                <w:color w:val="auto"/>
              </w:rPr>
              <w:t>Issuance of Series B redeemable</w:t>
            </w:r>
          </w:p>
        </w:tc>
        <w:tc>
          <w:tcPr>
            <w:tcW w:w="10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auto"/>
              <w:right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80" w:type="dxa"/>
            <w:vAlign w:val="bottom"/>
          </w:tcPr>
          <w:p>
            <w:pPr>
              <w:ind w:left="420"/>
              <w:spacing w:after="0" w:line="202" w:lineRule="exact"/>
              <w:rPr>
                <w:sz w:val="20"/>
                <w:szCs w:val="20"/>
                <w:color w:val="auto"/>
              </w:rPr>
            </w:pPr>
            <w:r>
              <w:rPr>
                <w:rFonts w:ascii="Arial" w:cs="Arial" w:eastAsia="Arial" w:hAnsi="Arial"/>
                <w:sz w:val="18"/>
                <w:szCs w:val="18"/>
                <w:color w:val="auto"/>
              </w:rPr>
              <w:t>convertible preferred stock for cash at</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ind w:left="420"/>
              <w:spacing w:after="0" w:line="202" w:lineRule="exact"/>
              <w:rPr>
                <w:sz w:val="20"/>
                <w:szCs w:val="20"/>
                <w:color w:val="auto"/>
              </w:rPr>
            </w:pPr>
            <w:r>
              <w:rPr>
                <w:rFonts w:ascii="Arial" w:cs="Arial" w:eastAsia="Arial" w:hAnsi="Arial"/>
                <w:sz w:val="18"/>
                <w:szCs w:val="18"/>
                <w:color w:val="auto"/>
                <w:w w:val="99"/>
              </w:rPr>
              <w:t>$1.50 per share, net of issuance costs</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ind w:left="420"/>
              <w:spacing w:after="0" w:line="202" w:lineRule="exact"/>
              <w:rPr>
                <w:sz w:val="20"/>
                <w:szCs w:val="20"/>
                <w:color w:val="auto"/>
              </w:rPr>
            </w:pPr>
            <w:r>
              <w:rPr>
                <w:rFonts w:ascii="Arial" w:cs="Arial" w:eastAsia="Arial" w:hAnsi="Arial"/>
                <w:sz w:val="18"/>
                <w:szCs w:val="18"/>
                <w:color w:val="auto"/>
              </w:rPr>
              <w:t>of $204, adjusted for the redeemable</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ind w:left="420"/>
              <w:spacing w:after="0" w:line="202" w:lineRule="exact"/>
              <w:rPr>
                <w:sz w:val="20"/>
                <w:szCs w:val="20"/>
                <w:color w:val="auto"/>
              </w:rPr>
            </w:pPr>
            <w:r>
              <w:rPr>
                <w:rFonts w:ascii="Arial" w:cs="Arial" w:eastAsia="Arial" w:hAnsi="Arial"/>
                <w:sz w:val="18"/>
                <w:szCs w:val="18"/>
                <w:color w:val="auto"/>
              </w:rPr>
              <w:t>convertible preferred stock liability of</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80" w:type="dxa"/>
            <w:vAlign w:val="bottom"/>
          </w:tcPr>
          <w:p>
            <w:pPr>
              <w:ind w:left="420"/>
              <w:spacing w:after="0" w:line="200" w:lineRule="exact"/>
              <w:rPr>
                <w:sz w:val="20"/>
                <w:szCs w:val="20"/>
                <w:color w:val="auto"/>
              </w:rPr>
            </w:pPr>
            <w:r>
              <w:rPr>
                <w:rFonts w:ascii="Arial" w:cs="Arial" w:eastAsia="Arial" w:hAnsi="Arial"/>
                <w:sz w:val="18"/>
                <w:szCs w:val="18"/>
                <w:color w:val="auto"/>
              </w:rPr>
              <w:t>$2,121</w:t>
            </w:r>
          </w:p>
        </w:tc>
        <w:tc>
          <w:tcPr>
            <w:tcW w:w="1080" w:type="dxa"/>
            <w:vAlign w:val="bottom"/>
          </w:tcPr>
          <w:p>
            <w:pPr>
              <w:jc w:val="right"/>
              <w:spacing w:after="0" w:line="200" w:lineRule="exact"/>
              <w:rPr>
                <w:sz w:val="20"/>
                <w:szCs w:val="20"/>
                <w:color w:val="auto"/>
              </w:rPr>
            </w:pPr>
            <w:r>
              <w:rPr>
                <w:rFonts w:ascii="Arial" w:cs="Arial" w:eastAsia="Arial" w:hAnsi="Arial"/>
                <w:sz w:val="18"/>
                <w:szCs w:val="18"/>
                <w:color w:val="auto"/>
              </w:rPr>
              <w:t>37,620,613</w:t>
            </w:r>
          </w:p>
        </w:tc>
        <w:tc>
          <w:tcPr>
            <w:tcW w:w="160" w:type="dxa"/>
            <w:vAlign w:val="bottom"/>
          </w:tcPr>
          <w:p>
            <w:pPr>
              <w:spacing w:after="0"/>
              <w:rPr>
                <w:sz w:val="17"/>
                <w:szCs w:val="17"/>
                <w:color w:val="auto"/>
              </w:rPr>
            </w:pPr>
          </w:p>
        </w:tc>
        <w:tc>
          <w:tcPr>
            <w:tcW w:w="740" w:type="dxa"/>
            <w:vAlign w:val="bottom"/>
            <w:tcBorders>
              <w:right w:val="single" w:sz="8" w:color="auto"/>
            </w:tcBorders>
            <w:gridSpan w:val="2"/>
          </w:tcPr>
          <w:p>
            <w:pPr>
              <w:jc w:val="right"/>
              <w:ind w:right="100"/>
              <w:spacing w:after="0" w:line="200" w:lineRule="exact"/>
              <w:rPr>
                <w:sz w:val="20"/>
                <w:szCs w:val="20"/>
                <w:color w:val="auto"/>
              </w:rPr>
            </w:pPr>
            <w:r>
              <w:rPr>
                <w:rFonts w:ascii="Arial" w:cs="Arial" w:eastAsia="Arial" w:hAnsi="Arial"/>
                <w:sz w:val="18"/>
                <w:szCs w:val="18"/>
                <w:color w:val="auto"/>
              </w:rPr>
              <w:t>58,347</w:t>
            </w:r>
          </w:p>
        </w:tc>
        <w:tc>
          <w:tcPr>
            <w:tcW w:w="60" w:type="dxa"/>
            <w:vAlign w:val="bottom"/>
          </w:tcPr>
          <w:p>
            <w:pPr>
              <w:spacing w:after="0"/>
              <w:rPr>
                <w:sz w:val="17"/>
                <w:szCs w:val="17"/>
                <w:color w:val="auto"/>
              </w:rPr>
            </w:pPr>
          </w:p>
        </w:tc>
        <w:tc>
          <w:tcPr>
            <w:tcW w:w="106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300" w:type="dxa"/>
            <w:vAlign w:val="bottom"/>
            <w:gridSpan w:val="2"/>
          </w:tcPr>
          <w:p>
            <w:pPr>
              <w:jc w:val="right"/>
              <w:ind w:right="80"/>
              <w:spacing w:after="0" w:line="200"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40" w:type="dxa"/>
            <w:vAlign w:val="bottom"/>
          </w:tcPr>
          <w:p>
            <w:pPr>
              <w:jc w:val="right"/>
              <w:ind w:right="52"/>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3480" w:type="dxa"/>
            <w:vAlign w:val="bottom"/>
            <w:shd w:val="clear" w:color="auto" w:fill="CCEEFF"/>
          </w:tcPr>
          <w:p>
            <w:pPr>
              <w:ind w:left="220"/>
              <w:spacing w:after="0" w:line="206" w:lineRule="exact"/>
              <w:rPr>
                <w:sz w:val="20"/>
                <w:szCs w:val="20"/>
                <w:color w:val="auto"/>
              </w:rPr>
            </w:pPr>
            <w:r>
              <w:rPr>
                <w:rFonts w:ascii="Arial" w:cs="Arial" w:eastAsia="Arial" w:hAnsi="Arial"/>
                <w:sz w:val="18"/>
                <w:szCs w:val="18"/>
                <w:color w:val="auto"/>
              </w:rPr>
              <w:t>Issuance of Series B redeemable</w:t>
            </w: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convertible preferred stock on</w:t>
            </w: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80" w:type="dxa"/>
            <w:vAlign w:val="bottom"/>
            <w:shd w:val="clear" w:color="auto" w:fill="CCEEFF"/>
          </w:tcPr>
          <w:p>
            <w:pPr>
              <w:ind w:left="420"/>
              <w:spacing w:after="0" w:line="200" w:lineRule="exact"/>
              <w:rPr>
                <w:sz w:val="20"/>
                <w:szCs w:val="20"/>
                <w:color w:val="auto"/>
              </w:rPr>
            </w:pPr>
            <w:r>
              <w:rPr>
                <w:rFonts w:ascii="Arial" w:cs="Arial" w:eastAsia="Arial" w:hAnsi="Arial"/>
                <w:sz w:val="18"/>
                <w:szCs w:val="18"/>
                <w:color w:val="auto"/>
              </w:rPr>
              <w:t>acquisition of Warp Drive</w:t>
            </w:r>
          </w:p>
        </w:tc>
        <w:tc>
          <w:tcPr>
            <w:tcW w:w="10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33,079,554</w:t>
            </w:r>
          </w:p>
        </w:tc>
        <w:tc>
          <w:tcPr>
            <w:tcW w:w="160" w:type="dxa"/>
            <w:vAlign w:val="bottom"/>
            <w:shd w:val="clear" w:color="auto" w:fill="CCEEFF"/>
          </w:tcPr>
          <w:p>
            <w:pPr>
              <w:spacing w:after="0"/>
              <w:rPr>
                <w:sz w:val="17"/>
                <w:szCs w:val="17"/>
                <w:color w:val="auto"/>
              </w:rPr>
            </w:pPr>
          </w:p>
        </w:tc>
        <w:tc>
          <w:tcPr>
            <w:tcW w:w="740" w:type="dxa"/>
            <w:vAlign w:val="bottom"/>
            <w:tcBorders>
              <w:right w:val="single" w:sz="8" w:color="auto"/>
            </w:tcBorders>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68,144</w:t>
            </w:r>
          </w:p>
        </w:tc>
        <w:tc>
          <w:tcPr>
            <w:tcW w:w="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80"/>
              <w:spacing w:after="0" w:line="200"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2"/>
              <w:spacing w:after="0" w:line="200"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3480" w:type="dxa"/>
            <w:vAlign w:val="bottom"/>
          </w:tcPr>
          <w:p>
            <w:pPr>
              <w:ind w:left="220"/>
              <w:spacing w:after="0" w:line="206" w:lineRule="exact"/>
              <w:rPr>
                <w:sz w:val="20"/>
                <w:szCs w:val="20"/>
                <w:color w:val="auto"/>
              </w:rPr>
            </w:pPr>
            <w:r>
              <w:rPr>
                <w:rFonts w:ascii="Arial" w:cs="Arial" w:eastAsia="Arial" w:hAnsi="Arial"/>
                <w:sz w:val="18"/>
                <w:szCs w:val="18"/>
                <w:color w:val="auto"/>
              </w:rPr>
              <w:t>Convertible note payable converted into</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ind w:left="420"/>
              <w:spacing w:after="0" w:line="202" w:lineRule="exact"/>
              <w:rPr>
                <w:sz w:val="20"/>
                <w:szCs w:val="20"/>
                <w:color w:val="auto"/>
              </w:rPr>
            </w:pPr>
            <w:r>
              <w:rPr>
                <w:rFonts w:ascii="Arial" w:cs="Arial" w:eastAsia="Arial" w:hAnsi="Arial"/>
                <w:sz w:val="18"/>
                <w:szCs w:val="18"/>
                <w:color w:val="auto"/>
              </w:rPr>
              <w:t>Series B redeemable convertible</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80" w:type="dxa"/>
            <w:vAlign w:val="bottom"/>
          </w:tcPr>
          <w:p>
            <w:pPr>
              <w:ind w:left="420"/>
              <w:spacing w:after="0" w:line="200" w:lineRule="exact"/>
              <w:rPr>
                <w:sz w:val="20"/>
                <w:szCs w:val="20"/>
                <w:color w:val="auto"/>
              </w:rPr>
            </w:pPr>
            <w:r>
              <w:rPr>
                <w:rFonts w:ascii="Arial" w:cs="Arial" w:eastAsia="Arial" w:hAnsi="Arial"/>
                <w:sz w:val="18"/>
                <w:szCs w:val="18"/>
                <w:color w:val="auto"/>
              </w:rPr>
              <w:t>preferred stock</w:t>
            </w:r>
          </w:p>
        </w:tc>
        <w:tc>
          <w:tcPr>
            <w:tcW w:w="1080" w:type="dxa"/>
            <w:vAlign w:val="bottom"/>
          </w:tcPr>
          <w:p>
            <w:pPr>
              <w:jc w:val="right"/>
              <w:spacing w:after="0" w:line="200" w:lineRule="exact"/>
              <w:rPr>
                <w:sz w:val="20"/>
                <w:szCs w:val="20"/>
                <w:color w:val="auto"/>
              </w:rPr>
            </w:pPr>
            <w:r>
              <w:rPr>
                <w:rFonts w:ascii="Arial" w:cs="Arial" w:eastAsia="Arial" w:hAnsi="Arial"/>
                <w:sz w:val="18"/>
                <w:szCs w:val="18"/>
                <w:color w:val="auto"/>
              </w:rPr>
              <w:t>975,620</w:t>
            </w:r>
          </w:p>
        </w:tc>
        <w:tc>
          <w:tcPr>
            <w:tcW w:w="16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rPr>
              <w:t>2,010</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300" w:type="dxa"/>
            <w:vAlign w:val="bottom"/>
            <w:gridSpan w:val="2"/>
          </w:tcPr>
          <w:p>
            <w:pPr>
              <w:jc w:val="right"/>
              <w:ind w:right="80"/>
              <w:spacing w:after="0" w:line="200"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40" w:type="dxa"/>
            <w:vAlign w:val="bottom"/>
          </w:tcPr>
          <w:p>
            <w:pPr>
              <w:jc w:val="right"/>
              <w:ind w:right="52"/>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3480" w:type="dxa"/>
            <w:vAlign w:val="bottom"/>
            <w:shd w:val="clear" w:color="auto" w:fill="CCEEFF"/>
          </w:tcPr>
          <w:p>
            <w:pPr>
              <w:ind w:left="220"/>
              <w:spacing w:after="0" w:line="206" w:lineRule="exact"/>
              <w:rPr>
                <w:sz w:val="20"/>
                <w:szCs w:val="20"/>
                <w:color w:val="auto"/>
              </w:rPr>
            </w:pPr>
            <w:r>
              <w:rPr>
                <w:rFonts w:ascii="Arial" w:cs="Arial" w:eastAsia="Arial" w:hAnsi="Arial"/>
                <w:sz w:val="18"/>
                <w:szCs w:val="18"/>
                <w:color w:val="auto"/>
              </w:rPr>
              <w:t>Issuance of Series B redeemable</w:t>
            </w: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convertible preferred stock for cash at</w:t>
            </w: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w w:val="99"/>
              </w:rPr>
              <w:t>$2.06 per share, net of issuance costs</w:t>
            </w: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80" w:type="dxa"/>
            <w:vAlign w:val="bottom"/>
            <w:shd w:val="clear" w:color="auto" w:fill="CCEEFF"/>
          </w:tcPr>
          <w:p>
            <w:pPr>
              <w:ind w:left="420"/>
              <w:spacing w:after="0" w:line="200" w:lineRule="exact"/>
              <w:rPr>
                <w:sz w:val="20"/>
                <w:szCs w:val="20"/>
                <w:color w:val="auto"/>
              </w:rPr>
            </w:pPr>
            <w:r>
              <w:rPr>
                <w:rFonts w:ascii="Arial" w:cs="Arial" w:eastAsia="Arial" w:hAnsi="Arial"/>
                <w:sz w:val="18"/>
                <w:szCs w:val="18"/>
                <w:color w:val="auto"/>
              </w:rPr>
              <w:t>of $34</w:t>
            </w:r>
          </w:p>
        </w:tc>
        <w:tc>
          <w:tcPr>
            <w:tcW w:w="10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2,119,418</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4,332</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80"/>
              <w:spacing w:after="0" w:line="200"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2"/>
              <w:spacing w:after="0" w:line="200"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3480" w:type="dxa"/>
            <w:vAlign w:val="bottom"/>
          </w:tcPr>
          <w:p>
            <w:pPr>
              <w:ind w:left="220"/>
              <w:spacing w:after="0" w:line="206" w:lineRule="exact"/>
              <w:rPr>
                <w:sz w:val="20"/>
                <w:szCs w:val="20"/>
                <w:color w:val="auto"/>
              </w:rPr>
            </w:pPr>
            <w:r>
              <w:rPr>
                <w:rFonts w:ascii="Arial" w:cs="Arial" w:eastAsia="Arial" w:hAnsi="Arial"/>
                <w:sz w:val="18"/>
                <w:szCs w:val="18"/>
                <w:color w:val="auto"/>
              </w:rPr>
              <w:t>Issuance of common stock pursuant to</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80" w:type="dxa"/>
            <w:vAlign w:val="bottom"/>
          </w:tcPr>
          <w:p>
            <w:pPr>
              <w:ind w:left="420"/>
              <w:spacing w:after="0" w:line="200" w:lineRule="exact"/>
              <w:rPr>
                <w:sz w:val="20"/>
                <w:szCs w:val="20"/>
                <w:color w:val="auto"/>
              </w:rPr>
            </w:pPr>
            <w:r>
              <w:rPr>
                <w:rFonts w:ascii="Arial" w:cs="Arial" w:eastAsia="Arial" w:hAnsi="Arial"/>
                <w:sz w:val="18"/>
                <w:szCs w:val="18"/>
                <w:color w:val="auto"/>
              </w:rPr>
              <w:t>stock option exercises</w:t>
            </w:r>
          </w:p>
        </w:tc>
        <w:tc>
          <w:tcPr>
            <w:tcW w:w="10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40" w:type="dxa"/>
            <w:vAlign w:val="bottom"/>
            <w:tcBorders>
              <w:right w:val="single" w:sz="8" w:color="auto"/>
            </w:tcBorders>
            <w:gridSpan w:val="2"/>
          </w:tcPr>
          <w:p>
            <w:pPr>
              <w:jc w:val="right"/>
              <w:ind w:right="100"/>
              <w:spacing w:after="0" w:line="200"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
              <w:spacing w:after="0" w:line="200" w:lineRule="exact"/>
              <w:rPr>
                <w:sz w:val="20"/>
                <w:szCs w:val="20"/>
                <w:color w:val="auto"/>
              </w:rPr>
            </w:pPr>
            <w:r>
              <w:rPr>
                <w:rFonts w:ascii="Arial" w:cs="Arial" w:eastAsia="Arial" w:hAnsi="Arial"/>
                <w:sz w:val="18"/>
                <w:szCs w:val="18"/>
                <w:color w:val="auto"/>
              </w:rPr>
              <w:t>521,704</w:t>
            </w:r>
          </w:p>
        </w:tc>
        <w:tc>
          <w:tcPr>
            <w:tcW w:w="520" w:type="dxa"/>
            <w:vAlign w:val="bottom"/>
          </w:tcPr>
          <w:p>
            <w:pPr>
              <w:spacing w:after="0"/>
              <w:rPr>
                <w:sz w:val="17"/>
                <w:szCs w:val="17"/>
                <w:color w:val="auto"/>
              </w:rPr>
            </w:pPr>
          </w:p>
        </w:tc>
        <w:tc>
          <w:tcPr>
            <w:tcW w:w="300" w:type="dxa"/>
            <w:vAlign w:val="bottom"/>
            <w:gridSpan w:val="2"/>
          </w:tcPr>
          <w:p>
            <w:pPr>
              <w:jc w:val="right"/>
              <w:ind w:right="80"/>
              <w:spacing w:after="0" w:line="200"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20" w:type="dxa"/>
            <w:vAlign w:val="bottom"/>
          </w:tcPr>
          <w:p>
            <w:pPr>
              <w:jc w:val="right"/>
              <w:spacing w:after="0" w:line="200" w:lineRule="exact"/>
              <w:rPr>
                <w:sz w:val="20"/>
                <w:szCs w:val="20"/>
                <w:color w:val="auto"/>
              </w:rPr>
            </w:pPr>
            <w:r>
              <w:rPr>
                <w:rFonts w:ascii="Arial" w:cs="Arial" w:eastAsia="Arial" w:hAnsi="Arial"/>
                <w:sz w:val="18"/>
                <w:szCs w:val="18"/>
                <w:color w:val="auto"/>
              </w:rPr>
              <w:t>47</w:t>
            </w:r>
          </w:p>
        </w:tc>
        <w:tc>
          <w:tcPr>
            <w:tcW w:w="260" w:type="dxa"/>
            <w:vAlign w:val="bottom"/>
          </w:tcPr>
          <w:p>
            <w:pPr>
              <w:spacing w:after="0"/>
              <w:rPr>
                <w:sz w:val="17"/>
                <w:szCs w:val="17"/>
                <w:color w:val="auto"/>
              </w:rPr>
            </w:pPr>
          </w:p>
        </w:tc>
        <w:tc>
          <w:tcPr>
            <w:tcW w:w="1040" w:type="dxa"/>
            <w:vAlign w:val="bottom"/>
          </w:tcPr>
          <w:p>
            <w:pPr>
              <w:jc w:val="right"/>
              <w:ind w:right="52"/>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6"/>
        </w:trPr>
        <w:tc>
          <w:tcPr>
            <w:tcW w:w="3480" w:type="dxa"/>
            <w:vAlign w:val="bottom"/>
            <w:shd w:val="clear" w:color="auto" w:fill="CCEEFF"/>
          </w:tcPr>
          <w:p>
            <w:pPr>
              <w:ind w:left="220"/>
              <w:spacing w:after="0" w:line="206" w:lineRule="exact"/>
              <w:rPr>
                <w:sz w:val="20"/>
                <w:szCs w:val="20"/>
                <w:color w:val="auto"/>
              </w:rPr>
            </w:pPr>
            <w:r>
              <w:rPr>
                <w:rFonts w:ascii="Arial" w:cs="Arial" w:eastAsia="Arial" w:hAnsi="Arial"/>
                <w:sz w:val="18"/>
                <w:szCs w:val="18"/>
                <w:color w:val="auto"/>
              </w:rPr>
              <w:t>Issuance of common stock pursuant to</w:t>
            </w: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80" w:type="dxa"/>
            <w:vAlign w:val="bottom"/>
            <w:shd w:val="clear" w:color="auto" w:fill="CCEEFF"/>
          </w:tcPr>
          <w:p>
            <w:pPr>
              <w:ind w:left="420"/>
              <w:spacing w:after="0" w:line="200" w:lineRule="exact"/>
              <w:rPr>
                <w:sz w:val="20"/>
                <w:szCs w:val="20"/>
                <w:color w:val="auto"/>
              </w:rPr>
            </w:pPr>
            <w:r>
              <w:rPr>
                <w:rFonts w:ascii="Arial" w:cs="Arial" w:eastAsia="Arial" w:hAnsi="Arial"/>
                <w:sz w:val="18"/>
                <w:szCs w:val="18"/>
                <w:color w:val="auto"/>
              </w:rPr>
              <w:t>early exercised stock options</w:t>
            </w:r>
          </w:p>
        </w:tc>
        <w:tc>
          <w:tcPr>
            <w:tcW w:w="10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40" w:type="dxa"/>
            <w:vAlign w:val="bottom"/>
            <w:tcBorders>
              <w:right w:val="single" w:sz="8" w:color="auto"/>
            </w:tcBorders>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2,659,858</w:t>
            </w:r>
          </w:p>
        </w:tc>
        <w:tc>
          <w:tcPr>
            <w:tcW w:w="5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80"/>
              <w:spacing w:after="0" w:line="200"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2"/>
              <w:spacing w:after="0" w:line="200"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3480" w:type="dxa"/>
            <w:vAlign w:val="bottom"/>
          </w:tcPr>
          <w:p>
            <w:pPr>
              <w:ind w:left="220"/>
              <w:spacing w:after="0" w:line="206" w:lineRule="exact"/>
              <w:rPr>
                <w:sz w:val="20"/>
                <w:szCs w:val="20"/>
                <w:color w:val="auto"/>
              </w:rPr>
            </w:pPr>
            <w:r>
              <w:rPr>
                <w:rFonts w:ascii="Arial" w:cs="Arial" w:eastAsia="Arial" w:hAnsi="Arial"/>
                <w:sz w:val="18"/>
                <w:szCs w:val="18"/>
                <w:color w:val="auto"/>
              </w:rPr>
              <w:t>Vesting of early exercised stock options</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80" w:type="dxa"/>
            <w:vAlign w:val="bottom"/>
          </w:tcPr>
          <w:p>
            <w:pPr>
              <w:ind w:left="420"/>
              <w:spacing w:after="0" w:line="200" w:lineRule="exact"/>
              <w:rPr>
                <w:sz w:val="20"/>
                <w:szCs w:val="20"/>
                <w:color w:val="auto"/>
              </w:rPr>
            </w:pPr>
            <w:r>
              <w:rPr>
                <w:rFonts w:ascii="Arial" w:cs="Arial" w:eastAsia="Arial" w:hAnsi="Arial"/>
                <w:sz w:val="18"/>
                <w:szCs w:val="18"/>
                <w:color w:val="auto"/>
              </w:rPr>
              <w:t>and restricted stock</w:t>
            </w:r>
          </w:p>
        </w:tc>
        <w:tc>
          <w:tcPr>
            <w:tcW w:w="10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40" w:type="dxa"/>
            <w:vAlign w:val="bottom"/>
            <w:tcBorders>
              <w:right w:val="single" w:sz="8" w:color="auto"/>
            </w:tcBorders>
            <w:gridSpan w:val="2"/>
          </w:tcPr>
          <w:p>
            <w:pPr>
              <w:jc w:val="right"/>
              <w:ind w:right="100"/>
              <w:spacing w:after="0" w:line="200"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06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300" w:type="dxa"/>
            <w:vAlign w:val="bottom"/>
            <w:gridSpan w:val="2"/>
          </w:tcPr>
          <w:p>
            <w:pPr>
              <w:jc w:val="right"/>
              <w:ind w:right="80"/>
              <w:spacing w:after="0" w:line="200" w:lineRule="exact"/>
              <w:rPr>
                <w:sz w:val="20"/>
                <w:szCs w:val="20"/>
                <w:color w:val="auto"/>
              </w:rPr>
            </w:pPr>
            <w:r>
              <w:rPr>
                <w:rFonts w:ascii="Arial" w:cs="Arial" w:eastAsia="Arial" w:hAnsi="Arial"/>
                <w:sz w:val="18"/>
                <w:szCs w:val="18"/>
                <w:color w:val="auto"/>
              </w:rPr>
              <w:t>1</w:t>
            </w:r>
          </w:p>
        </w:tc>
        <w:tc>
          <w:tcPr>
            <w:tcW w:w="180" w:type="dxa"/>
            <w:vAlign w:val="bottom"/>
          </w:tcPr>
          <w:p>
            <w:pPr>
              <w:spacing w:after="0"/>
              <w:rPr>
                <w:sz w:val="17"/>
                <w:szCs w:val="17"/>
                <w:color w:val="auto"/>
              </w:rPr>
            </w:pPr>
          </w:p>
        </w:tc>
        <w:tc>
          <w:tcPr>
            <w:tcW w:w="820" w:type="dxa"/>
            <w:vAlign w:val="bottom"/>
          </w:tcPr>
          <w:p>
            <w:pPr>
              <w:jc w:val="right"/>
              <w:spacing w:after="0" w:line="200" w:lineRule="exact"/>
              <w:rPr>
                <w:sz w:val="20"/>
                <w:szCs w:val="20"/>
                <w:color w:val="auto"/>
              </w:rPr>
            </w:pPr>
            <w:r>
              <w:rPr>
                <w:rFonts w:ascii="Arial" w:cs="Arial" w:eastAsia="Arial" w:hAnsi="Arial"/>
                <w:sz w:val="18"/>
                <w:szCs w:val="18"/>
                <w:color w:val="auto"/>
              </w:rPr>
              <w:t>181</w:t>
            </w:r>
          </w:p>
        </w:tc>
        <w:tc>
          <w:tcPr>
            <w:tcW w:w="260" w:type="dxa"/>
            <w:vAlign w:val="bottom"/>
          </w:tcPr>
          <w:p>
            <w:pPr>
              <w:spacing w:after="0"/>
              <w:rPr>
                <w:sz w:val="17"/>
                <w:szCs w:val="17"/>
                <w:color w:val="auto"/>
              </w:rPr>
            </w:pPr>
          </w:p>
        </w:tc>
        <w:tc>
          <w:tcPr>
            <w:tcW w:w="1040" w:type="dxa"/>
            <w:vAlign w:val="bottom"/>
          </w:tcPr>
          <w:p>
            <w:pPr>
              <w:jc w:val="right"/>
              <w:ind w:right="52"/>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6"/>
        </w:trPr>
        <w:tc>
          <w:tcPr>
            <w:tcW w:w="3480" w:type="dxa"/>
            <w:vAlign w:val="bottom"/>
            <w:shd w:val="clear" w:color="auto" w:fill="CCEEFF"/>
          </w:tcPr>
          <w:p>
            <w:pPr>
              <w:ind w:left="220"/>
              <w:spacing w:after="0" w:line="206" w:lineRule="exact"/>
              <w:rPr>
                <w:sz w:val="20"/>
                <w:szCs w:val="20"/>
                <w:color w:val="auto"/>
              </w:rPr>
            </w:pPr>
            <w:r>
              <w:rPr>
                <w:rFonts w:ascii="Arial" w:cs="Arial" w:eastAsia="Arial" w:hAnsi="Arial"/>
                <w:sz w:val="18"/>
                <w:szCs w:val="18"/>
                <w:color w:val="auto"/>
              </w:rPr>
              <w:t>Repurchases of early exercised stock</w:t>
            </w: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80" w:type="dxa"/>
            <w:vAlign w:val="bottom"/>
            <w:shd w:val="clear" w:color="auto" w:fill="CCEEFF"/>
          </w:tcPr>
          <w:p>
            <w:pPr>
              <w:ind w:left="420"/>
              <w:spacing w:after="0" w:line="200" w:lineRule="exact"/>
              <w:rPr>
                <w:sz w:val="20"/>
                <w:szCs w:val="20"/>
                <w:color w:val="auto"/>
              </w:rPr>
            </w:pPr>
            <w:r>
              <w:rPr>
                <w:rFonts w:ascii="Arial" w:cs="Arial" w:eastAsia="Arial" w:hAnsi="Arial"/>
                <w:sz w:val="18"/>
                <w:szCs w:val="18"/>
                <w:color w:val="auto"/>
              </w:rPr>
              <w:t>options</w:t>
            </w:r>
          </w:p>
        </w:tc>
        <w:tc>
          <w:tcPr>
            <w:tcW w:w="10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40" w:type="dxa"/>
            <w:vAlign w:val="bottom"/>
            <w:tcBorders>
              <w:right w:val="single" w:sz="8" w:color="auto"/>
            </w:tcBorders>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(577,614)</w:t>
            </w:r>
          </w:p>
        </w:tc>
        <w:tc>
          <w:tcPr>
            <w:tcW w:w="5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80"/>
              <w:spacing w:after="0" w:line="200"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480" w:type="dxa"/>
            <w:vAlign w:val="bottom"/>
          </w:tcPr>
          <w:p>
            <w:pPr>
              <w:ind w:left="220"/>
              <w:spacing w:after="0" w:line="202" w:lineRule="exact"/>
              <w:rPr>
                <w:sz w:val="20"/>
                <w:szCs w:val="20"/>
                <w:color w:val="auto"/>
              </w:rPr>
            </w:pPr>
            <w:r>
              <w:rPr>
                <w:rFonts w:ascii="Arial" w:cs="Arial" w:eastAsia="Arial" w:hAnsi="Arial"/>
                <w:sz w:val="18"/>
                <w:szCs w:val="18"/>
                <w:color w:val="auto"/>
              </w:rPr>
              <w:t>Stock-based compensation expense</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40" w:type="dxa"/>
            <w:vAlign w:val="bottom"/>
            <w:tcBorders>
              <w:right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3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855</w:t>
            </w:r>
          </w:p>
        </w:tc>
        <w:tc>
          <w:tcPr>
            <w:tcW w:w="260" w:type="dxa"/>
            <w:vAlign w:val="bottom"/>
          </w:tcPr>
          <w:p>
            <w:pPr>
              <w:spacing w:after="0"/>
              <w:rPr>
                <w:sz w:val="17"/>
                <w:szCs w:val="17"/>
                <w:color w:val="auto"/>
              </w:rPr>
            </w:pPr>
          </w:p>
        </w:tc>
        <w:tc>
          <w:tcPr>
            <w:tcW w:w="10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03"/>
        </w:trPr>
        <w:tc>
          <w:tcPr>
            <w:tcW w:w="34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Net loss</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40" w:type="dxa"/>
            <w:vAlign w:val="bottom"/>
            <w:tcBorders>
              <w:right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(41,789)</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(41,789)</w:t>
            </w: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Arial" w:cs="Arial" w:eastAsia="Arial" w:hAnsi="Arial"/>
                <w:sz w:val="18"/>
                <w:szCs w:val="18"/>
                <w:b w:val="1"/>
                <w:bCs w:val="1"/>
                <w:color w:val="auto"/>
              </w:rPr>
              <w:t>Balance at December 31, 2018</w:t>
            </w: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8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144,016,937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205,081</w:t>
            </w:r>
          </w:p>
        </w:tc>
        <w:tc>
          <w:tcPr>
            <w:tcW w:w="1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8"/>
                <w:szCs w:val="18"/>
                <w:color w:val="auto"/>
              </w:rPr>
              <w:t>15,615,007</w:t>
            </w:r>
          </w:p>
        </w:tc>
        <w:tc>
          <w:tcPr>
            <w:tcW w:w="5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(109,722)</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(108,422)</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right="5020"/>
        <w:spacing w:after="0" w:line="259" w:lineRule="auto"/>
        <w:rPr>
          <w:sz w:val="20"/>
          <w:szCs w:val="20"/>
          <w:color w:val="auto"/>
        </w:rPr>
      </w:pPr>
      <w:r>
        <w:rPr>
          <w:rFonts w:ascii="Arial" w:cs="Arial" w:eastAsia="Arial" w:hAnsi="Arial"/>
          <w:sz w:val="32"/>
          <w:szCs w:val="32"/>
          <w:b w:val="1"/>
          <w:bCs w:val="1"/>
          <w:color w:val="auto"/>
        </w:rPr>
        <w:t>Revolution Medicines, Inc. Consolidated statements of cash flows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3" w:lineRule="exact"/>
        <w:rPr>
          <w:sz w:val="20"/>
          <w:szCs w:val="20"/>
          <w:color w:val="auto"/>
        </w:rPr>
      </w:pPr>
    </w:p>
    <w:p>
      <w:pPr>
        <w:jc w:val="center"/>
        <w:ind w:left="9040"/>
        <w:spacing w:after="0"/>
        <w:rPr>
          <w:sz w:val="20"/>
          <w:szCs w:val="20"/>
          <w:color w:val="auto"/>
        </w:rPr>
      </w:pPr>
      <w:r>
        <w:rPr>
          <w:rFonts w:ascii="Arial" w:cs="Arial" w:eastAsia="Arial" w:hAnsi="Arial"/>
          <w:sz w:val="18"/>
          <w:szCs w:val="18"/>
          <w:b w:val="1"/>
          <w:bCs w:val="1"/>
          <w:color w:val="auto"/>
        </w:rPr>
        <w:t>Year ended</w:t>
      </w:r>
    </w:p>
    <w:p>
      <w:pPr>
        <w:spacing w:after="0" w:line="18" w:lineRule="exact"/>
        <w:rPr>
          <w:sz w:val="20"/>
          <w:szCs w:val="20"/>
          <w:color w:val="auto"/>
        </w:rPr>
      </w:pPr>
    </w:p>
    <w:p>
      <w:pPr>
        <w:jc w:val="center"/>
        <w:ind w:left="90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-4445</wp:posOffset>
            </wp:positionV>
            <wp:extent cx="11144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221"/>
        </w:trPr>
        <w:tc>
          <w:tcPr>
            <w:tcW w:w="9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19"/>
                <w:szCs w:val="19"/>
                <w:color w:val="auto"/>
              </w:rPr>
            </w:pPr>
          </w:p>
        </w:tc>
      </w:tr>
      <w:tr>
        <w:trPr>
          <w:trHeight w:val="196"/>
        </w:trPr>
        <w:tc>
          <w:tcPr>
            <w:tcW w:w="9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4"/>
        </w:trPr>
        <w:tc>
          <w:tcPr>
            <w:tcW w:w="914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52"/>
              <w:spacing w:after="0"/>
              <w:rPr>
                <w:sz w:val="20"/>
                <w:szCs w:val="20"/>
                <w:color w:val="auto"/>
              </w:rPr>
            </w:pPr>
            <w:r>
              <w:rPr>
                <w:rFonts w:ascii="Arial" w:cs="Arial" w:eastAsia="Arial" w:hAnsi="Arial"/>
                <w:sz w:val="18"/>
                <w:szCs w:val="18"/>
                <w:color w:val="auto"/>
                <w:w w:val="95"/>
              </w:rPr>
              <w:t>(31,127)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(41,789)</w:t>
            </w:r>
          </w:p>
        </w:tc>
      </w:tr>
      <w:tr>
        <w:trPr>
          <w:trHeight w:val="56"/>
        </w:trPr>
        <w:tc>
          <w:tcPr>
            <w:tcW w:w="9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9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provided by operating activities: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9140" w:type="dxa"/>
            <w:vAlign w:val="bottom"/>
          </w:tcPr>
          <w:p>
            <w:pPr>
              <w:ind w:left="220"/>
              <w:spacing w:after="0" w:line="202" w:lineRule="exact"/>
              <w:rPr>
                <w:sz w:val="20"/>
                <w:szCs w:val="20"/>
                <w:color w:val="auto"/>
              </w:rPr>
            </w:pPr>
            <w:r>
              <w:rPr>
                <w:rFonts w:ascii="Arial" w:cs="Arial" w:eastAsia="Arial" w:hAnsi="Arial"/>
                <w:sz w:val="18"/>
                <w:szCs w:val="18"/>
                <w:color w:val="auto"/>
              </w:rPr>
              <w:t>Amortization of intangible assets</w:t>
            </w:r>
          </w:p>
        </w:tc>
        <w:tc>
          <w:tcPr>
            <w:tcW w:w="120" w:type="dxa"/>
            <w:vAlign w:val="bottom"/>
          </w:tcPr>
          <w:p>
            <w:pPr>
              <w:spacing w:after="0"/>
              <w:rPr>
                <w:sz w:val="17"/>
                <w:szCs w:val="17"/>
                <w:color w:val="auto"/>
              </w:rPr>
            </w:pPr>
          </w:p>
        </w:tc>
        <w:tc>
          <w:tcPr>
            <w:tcW w:w="8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198</w:t>
            </w:r>
          </w:p>
        </w:tc>
      </w:tr>
      <w:tr>
        <w:trPr>
          <w:trHeight w:val="203"/>
        </w:trPr>
        <w:tc>
          <w:tcPr>
            <w:tcW w:w="91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Stock-based compensation expense</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141</w:t>
            </w: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855</w:t>
            </w:r>
          </w:p>
        </w:tc>
      </w:tr>
      <w:tr>
        <w:trPr>
          <w:trHeight w:val="203"/>
        </w:trPr>
        <w:tc>
          <w:tcPr>
            <w:tcW w:w="9140" w:type="dxa"/>
            <w:vAlign w:val="bottom"/>
          </w:tcPr>
          <w:p>
            <w:pPr>
              <w:ind w:left="220"/>
              <w:spacing w:after="0" w:line="202" w:lineRule="exact"/>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7"/>
                <w:szCs w:val="17"/>
                <w:color w:val="auto"/>
              </w:rPr>
            </w:pPr>
          </w:p>
        </w:tc>
        <w:tc>
          <w:tcPr>
            <w:tcW w:w="8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1,188</w:t>
            </w:r>
          </w:p>
        </w:tc>
        <w:tc>
          <w:tcPr>
            <w:tcW w:w="240" w:type="dxa"/>
            <w:vAlign w:val="bottom"/>
          </w:tcPr>
          <w:p>
            <w:pPr>
              <w:spacing w:after="0"/>
              <w:rPr>
                <w:sz w:val="17"/>
                <w:szCs w:val="17"/>
                <w:color w:val="auto"/>
              </w:rPr>
            </w:pP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1,566</w:t>
            </w:r>
          </w:p>
        </w:tc>
      </w:tr>
      <w:tr>
        <w:trPr>
          <w:trHeight w:val="203"/>
        </w:trPr>
        <w:tc>
          <w:tcPr>
            <w:tcW w:w="91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Loss on disposal of property and equipment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201</w:t>
            </w:r>
          </w:p>
        </w:tc>
      </w:tr>
      <w:tr>
        <w:trPr>
          <w:trHeight w:val="203"/>
        </w:trPr>
        <w:tc>
          <w:tcPr>
            <w:tcW w:w="9140" w:type="dxa"/>
            <w:vAlign w:val="bottom"/>
          </w:tcPr>
          <w:p>
            <w:pPr>
              <w:ind w:left="220"/>
              <w:spacing w:after="0" w:line="202" w:lineRule="exact"/>
              <w:rPr>
                <w:sz w:val="20"/>
                <w:szCs w:val="20"/>
                <w:color w:val="auto"/>
              </w:rPr>
            </w:pPr>
            <w:r>
              <w:rPr>
                <w:rFonts w:ascii="Arial" w:cs="Arial" w:eastAsia="Arial" w:hAnsi="Arial"/>
                <w:sz w:val="18"/>
                <w:szCs w:val="18"/>
                <w:color w:val="auto"/>
              </w:rPr>
              <w:t>Change in fair value of redeemable convertible preferred stock liability</w:t>
            </w:r>
          </w:p>
        </w:tc>
        <w:tc>
          <w:tcPr>
            <w:tcW w:w="120" w:type="dxa"/>
            <w:vAlign w:val="bottom"/>
          </w:tcPr>
          <w:p>
            <w:pPr>
              <w:spacing w:after="0"/>
              <w:rPr>
                <w:sz w:val="17"/>
                <w:szCs w:val="17"/>
                <w:color w:val="auto"/>
              </w:rPr>
            </w:pPr>
          </w:p>
        </w:tc>
        <w:tc>
          <w:tcPr>
            <w:tcW w:w="8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2,121</w:t>
            </w:r>
          </w:p>
        </w:tc>
      </w:tr>
      <w:tr>
        <w:trPr>
          <w:trHeight w:val="203"/>
        </w:trPr>
        <w:tc>
          <w:tcPr>
            <w:tcW w:w="91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Changes in operating assets and liabilities, net of impact of acquisition:</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9140" w:type="dxa"/>
            <w:vAlign w:val="bottom"/>
          </w:tcPr>
          <w:p>
            <w:pPr>
              <w:ind w:left="420"/>
              <w:spacing w:after="0" w:line="202" w:lineRule="exact"/>
              <w:rPr>
                <w:sz w:val="20"/>
                <w:szCs w:val="20"/>
                <w:color w:val="auto"/>
              </w:rPr>
            </w:pPr>
            <w:r>
              <w:rPr>
                <w:rFonts w:ascii="Arial" w:cs="Arial" w:eastAsia="Arial" w:hAnsi="Arial"/>
                <w:sz w:val="18"/>
                <w:szCs w:val="18"/>
                <w:color w:val="auto"/>
              </w:rPr>
              <w:t>Receivable from related party</w:t>
            </w:r>
          </w:p>
        </w:tc>
        <w:tc>
          <w:tcPr>
            <w:tcW w:w="120" w:type="dxa"/>
            <w:vAlign w:val="bottom"/>
          </w:tcPr>
          <w:p>
            <w:pPr>
              <w:spacing w:after="0"/>
              <w:rPr>
                <w:sz w:val="17"/>
                <w:szCs w:val="17"/>
                <w:color w:val="auto"/>
              </w:rPr>
            </w:pPr>
          </w:p>
        </w:tc>
        <w:tc>
          <w:tcPr>
            <w:tcW w:w="8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(7,303)</w:t>
            </w:r>
          </w:p>
        </w:tc>
      </w:tr>
      <w:tr>
        <w:trPr>
          <w:trHeight w:val="203"/>
        </w:trPr>
        <w:tc>
          <w:tcPr>
            <w:tcW w:w="91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553</w:t>
            </w: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(909)</w:t>
            </w:r>
          </w:p>
        </w:tc>
      </w:tr>
      <w:tr>
        <w:trPr>
          <w:trHeight w:val="203"/>
        </w:trPr>
        <w:tc>
          <w:tcPr>
            <w:tcW w:w="9140" w:type="dxa"/>
            <w:vAlign w:val="bottom"/>
          </w:tcPr>
          <w:p>
            <w:pPr>
              <w:ind w:left="420"/>
              <w:spacing w:after="0" w:line="202" w:lineRule="exact"/>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7"/>
                <w:szCs w:val="17"/>
                <w:color w:val="auto"/>
              </w:rPr>
            </w:pPr>
          </w:p>
        </w:tc>
        <w:tc>
          <w:tcPr>
            <w:tcW w:w="8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1,968</w:t>
            </w:r>
          </w:p>
        </w:tc>
        <w:tc>
          <w:tcPr>
            <w:tcW w:w="240" w:type="dxa"/>
            <w:vAlign w:val="bottom"/>
          </w:tcPr>
          <w:p>
            <w:pPr>
              <w:spacing w:after="0"/>
              <w:rPr>
                <w:sz w:val="17"/>
                <w:szCs w:val="17"/>
                <w:color w:val="auto"/>
              </w:rPr>
            </w:pP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109</w:t>
            </w:r>
          </w:p>
        </w:tc>
      </w:tr>
      <w:tr>
        <w:trPr>
          <w:trHeight w:val="203"/>
        </w:trPr>
        <w:tc>
          <w:tcPr>
            <w:tcW w:w="91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2,029</w:t>
            </w: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1,906</w:t>
            </w:r>
          </w:p>
        </w:tc>
      </w:tr>
      <w:tr>
        <w:trPr>
          <w:trHeight w:val="203"/>
        </w:trPr>
        <w:tc>
          <w:tcPr>
            <w:tcW w:w="9140" w:type="dxa"/>
            <w:vAlign w:val="bottom"/>
          </w:tcPr>
          <w:p>
            <w:pPr>
              <w:ind w:left="420"/>
              <w:spacing w:after="0" w:line="202" w:lineRule="exact"/>
              <w:rPr>
                <w:sz w:val="20"/>
                <w:szCs w:val="20"/>
                <w:color w:val="auto"/>
              </w:rPr>
            </w:pPr>
            <w:r>
              <w:rPr>
                <w:rFonts w:ascii="Arial" w:cs="Arial" w:eastAsia="Arial" w:hAnsi="Arial"/>
                <w:sz w:val="18"/>
                <w:szCs w:val="18"/>
                <w:color w:val="auto"/>
              </w:rPr>
              <w:t>Deferred revenue, related party</w:t>
            </w:r>
          </w:p>
        </w:tc>
        <w:tc>
          <w:tcPr>
            <w:tcW w:w="120" w:type="dxa"/>
            <w:vAlign w:val="bottom"/>
          </w:tcPr>
          <w:p>
            <w:pPr>
              <w:spacing w:after="0"/>
              <w:rPr>
                <w:sz w:val="17"/>
                <w:szCs w:val="17"/>
                <w:color w:val="auto"/>
              </w:rPr>
            </w:pPr>
          </w:p>
        </w:tc>
        <w:tc>
          <w:tcPr>
            <w:tcW w:w="8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44,499</w:t>
            </w:r>
          </w:p>
        </w:tc>
      </w:tr>
      <w:tr>
        <w:trPr>
          <w:trHeight w:val="203"/>
        </w:trPr>
        <w:tc>
          <w:tcPr>
            <w:tcW w:w="91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Deferred rent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(552)</w:t>
            </w:r>
          </w:p>
        </w:tc>
      </w:tr>
      <w:tr>
        <w:trPr>
          <w:trHeight w:val="203"/>
        </w:trPr>
        <w:tc>
          <w:tcPr>
            <w:tcW w:w="9140" w:type="dxa"/>
            <w:vAlign w:val="bottom"/>
          </w:tcPr>
          <w:p>
            <w:pPr>
              <w:ind w:left="420"/>
              <w:spacing w:after="0" w:line="202" w:lineRule="exact"/>
              <w:rPr>
                <w:sz w:val="20"/>
                <w:szCs w:val="20"/>
                <w:color w:val="auto"/>
              </w:rPr>
            </w:pPr>
            <w:r>
              <w:rPr>
                <w:rFonts w:ascii="Arial" w:cs="Arial" w:eastAsia="Arial" w:hAnsi="Arial"/>
                <w:sz w:val="18"/>
                <w:szCs w:val="18"/>
                <w:color w:val="auto"/>
              </w:rPr>
              <w:t>Other noncurrent liabilities</w:t>
            </w:r>
          </w:p>
        </w:tc>
        <w:tc>
          <w:tcPr>
            <w:tcW w:w="120" w:type="dxa"/>
            <w:vAlign w:val="bottom"/>
          </w:tcPr>
          <w:p>
            <w:pPr>
              <w:spacing w:after="0"/>
              <w:rPr>
                <w:sz w:val="17"/>
                <w:szCs w:val="17"/>
                <w:color w:val="auto"/>
              </w:rPr>
            </w:pPr>
          </w:p>
        </w:tc>
        <w:tc>
          <w:tcPr>
            <w:tcW w:w="8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311</w:t>
            </w:r>
          </w:p>
        </w:tc>
      </w:tr>
      <w:tr>
        <w:trPr>
          <w:trHeight w:val="27"/>
        </w:trPr>
        <w:tc>
          <w:tcPr>
            <w:tcW w:w="9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914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Net cash provided by (used in) operating activities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w w:val="95"/>
              </w:rPr>
              <w:t>(25,148)</w:t>
            </w: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1,213</w:t>
            </w:r>
          </w:p>
        </w:tc>
      </w:tr>
      <w:tr>
        <w:trPr>
          <w:trHeight w:val="277"/>
        </w:trPr>
        <w:tc>
          <w:tcPr>
            <w:tcW w:w="91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9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Purchases of property and equipment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(1,575)</w:t>
            </w: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(1,499)</w:t>
            </w:r>
          </w:p>
        </w:tc>
      </w:tr>
      <w:tr>
        <w:trPr>
          <w:trHeight w:val="203"/>
        </w:trPr>
        <w:tc>
          <w:tcPr>
            <w:tcW w:w="9140" w:type="dxa"/>
            <w:vAlign w:val="bottom"/>
          </w:tcPr>
          <w:p>
            <w:pPr>
              <w:spacing w:after="0" w:line="202" w:lineRule="exact"/>
              <w:rPr>
                <w:sz w:val="20"/>
                <w:szCs w:val="20"/>
                <w:color w:val="auto"/>
              </w:rPr>
            </w:pPr>
            <w:r>
              <w:rPr>
                <w:rFonts w:ascii="Arial" w:cs="Arial" w:eastAsia="Arial" w:hAnsi="Arial"/>
                <w:sz w:val="18"/>
                <w:szCs w:val="18"/>
                <w:color w:val="auto"/>
              </w:rPr>
              <w:t>Cash acquired in Warp Drive acquisition, net</w:t>
            </w:r>
          </w:p>
        </w:tc>
        <w:tc>
          <w:tcPr>
            <w:tcW w:w="120" w:type="dxa"/>
            <w:vAlign w:val="bottom"/>
          </w:tcPr>
          <w:p>
            <w:pPr>
              <w:spacing w:after="0"/>
              <w:rPr>
                <w:sz w:val="17"/>
                <w:szCs w:val="17"/>
                <w:color w:val="auto"/>
              </w:rPr>
            </w:pPr>
          </w:p>
        </w:tc>
        <w:tc>
          <w:tcPr>
            <w:tcW w:w="8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160</w:t>
            </w:r>
          </w:p>
        </w:tc>
      </w:tr>
      <w:tr>
        <w:trPr>
          <w:trHeight w:val="27"/>
        </w:trPr>
        <w:tc>
          <w:tcPr>
            <w:tcW w:w="9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914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(1,575)</w:t>
            </w: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(1,339)</w:t>
            </w:r>
          </w:p>
        </w:tc>
      </w:tr>
      <w:tr>
        <w:trPr>
          <w:trHeight w:val="277"/>
        </w:trPr>
        <w:tc>
          <w:tcPr>
            <w:tcW w:w="91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9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issuance of redeemable convertible preferred stock, net of issuance costs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22,588</w:t>
            </w: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60,558</w:t>
            </w:r>
          </w:p>
        </w:tc>
      </w:tr>
      <w:tr>
        <w:trPr>
          <w:trHeight w:val="203"/>
        </w:trPr>
        <w:tc>
          <w:tcPr>
            <w:tcW w:w="9140" w:type="dxa"/>
            <w:vAlign w:val="bottom"/>
          </w:tcPr>
          <w:p>
            <w:pPr>
              <w:spacing w:after="0" w:line="202" w:lineRule="exact"/>
              <w:rPr>
                <w:sz w:val="20"/>
                <w:szCs w:val="20"/>
                <w:color w:val="auto"/>
              </w:rPr>
            </w:pPr>
            <w:r>
              <w:rPr>
                <w:rFonts w:ascii="Arial" w:cs="Arial" w:eastAsia="Arial" w:hAnsi="Arial"/>
                <w:sz w:val="18"/>
                <w:szCs w:val="18"/>
                <w:color w:val="auto"/>
              </w:rPr>
              <w:t>Proceeds from issuance of common stock under equity incentive plans</w:t>
            </w:r>
          </w:p>
        </w:tc>
        <w:tc>
          <w:tcPr>
            <w:tcW w:w="120" w:type="dxa"/>
            <w:vAlign w:val="bottom"/>
          </w:tcPr>
          <w:p>
            <w:pPr>
              <w:spacing w:after="0"/>
              <w:rPr>
                <w:sz w:val="17"/>
                <w:szCs w:val="17"/>
                <w:color w:val="auto"/>
              </w:rPr>
            </w:pPr>
          </w:p>
        </w:tc>
        <w:tc>
          <w:tcPr>
            <w:tcW w:w="8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74</w:t>
            </w:r>
          </w:p>
        </w:tc>
        <w:tc>
          <w:tcPr>
            <w:tcW w:w="240" w:type="dxa"/>
            <w:vAlign w:val="bottom"/>
          </w:tcPr>
          <w:p>
            <w:pPr>
              <w:spacing w:after="0"/>
              <w:rPr>
                <w:sz w:val="17"/>
                <w:szCs w:val="17"/>
                <w:color w:val="auto"/>
              </w:rPr>
            </w:pP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420</w:t>
            </w:r>
          </w:p>
        </w:tc>
      </w:tr>
      <w:tr>
        <w:trPr>
          <w:trHeight w:val="203"/>
        </w:trPr>
        <w:tc>
          <w:tcPr>
            <w:tcW w:w="9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Repurchases of early exercised stock options and restricted stock</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(131)</w:t>
            </w:r>
          </w:p>
        </w:tc>
      </w:tr>
      <w:tr>
        <w:trPr>
          <w:trHeight w:val="20"/>
        </w:trPr>
        <w:tc>
          <w:tcPr>
            <w:tcW w:w="9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140" w:type="dxa"/>
            <w:vAlign w:val="bottom"/>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Pr>
          <w:p>
            <w:pPr>
              <w:spacing w:after="0"/>
              <w:rPr>
                <w:sz w:val="18"/>
                <w:szCs w:val="18"/>
                <w:color w:val="auto"/>
              </w:rPr>
            </w:pP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22,662</w:t>
            </w:r>
          </w:p>
        </w:tc>
        <w:tc>
          <w:tcPr>
            <w:tcW w:w="2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60,847</w:t>
            </w:r>
          </w:p>
        </w:tc>
      </w:tr>
      <w:tr>
        <w:trPr>
          <w:trHeight w:val="27"/>
        </w:trPr>
        <w:tc>
          <w:tcPr>
            <w:tcW w:w="9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9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(decrease) increase in cash, cash equivalents and restricted cash</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(4,061)</w:t>
            </w: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60,721</w:t>
            </w:r>
          </w:p>
        </w:tc>
      </w:tr>
      <w:tr>
        <w:trPr>
          <w:trHeight w:val="20"/>
        </w:trPr>
        <w:tc>
          <w:tcPr>
            <w:tcW w:w="9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140" w:type="dxa"/>
            <w:vAlign w:val="bottom"/>
          </w:tcPr>
          <w:p>
            <w:pPr>
              <w:spacing w:after="0"/>
              <w:rPr>
                <w:sz w:val="20"/>
                <w:szCs w:val="20"/>
                <w:color w:val="auto"/>
              </w:rPr>
            </w:pPr>
            <w:r>
              <w:rPr>
                <w:rFonts w:ascii="Arial" w:cs="Arial" w:eastAsia="Arial" w:hAnsi="Arial"/>
                <w:sz w:val="18"/>
                <w:szCs w:val="18"/>
                <w:color w:val="auto"/>
              </w:rPr>
              <w:t>Cash, cash equivalents and restricted cash—beginning of year</w:t>
            </w:r>
          </w:p>
        </w:tc>
        <w:tc>
          <w:tcPr>
            <w:tcW w:w="120" w:type="dxa"/>
            <w:vAlign w:val="bottom"/>
          </w:tcPr>
          <w:p>
            <w:pPr>
              <w:spacing w:after="0"/>
              <w:rPr>
                <w:sz w:val="18"/>
                <w:szCs w:val="18"/>
                <w:color w:val="auto"/>
              </w:rPr>
            </w:pP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13,140</w:t>
            </w:r>
          </w:p>
        </w:tc>
        <w:tc>
          <w:tcPr>
            <w:tcW w:w="2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9,079</w:t>
            </w:r>
          </w:p>
        </w:tc>
      </w:tr>
      <w:tr>
        <w:trPr>
          <w:trHeight w:val="27"/>
        </w:trPr>
        <w:tc>
          <w:tcPr>
            <w:tcW w:w="9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9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restricted cash—end of year</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9,079</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69,800</w:t>
            </w:r>
          </w:p>
        </w:tc>
      </w:tr>
      <w:tr>
        <w:trPr>
          <w:trHeight w:val="270"/>
        </w:trPr>
        <w:tc>
          <w:tcPr>
            <w:tcW w:w="9140" w:type="dxa"/>
            <w:vAlign w:val="bottom"/>
          </w:tcPr>
          <w:p>
            <w:pPr>
              <w:spacing w:after="0"/>
              <w:rPr>
                <w:sz w:val="20"/>
                <w:szCs w:val="20"/>
                <w:color w:val="auto"/>
              </w:rPr>
            </w:pPr>
            <w:r>
              <w:rPr>
                <w:rFonts w:ascii="Arial" w:cs="Arial" w:eastAsia="Arial" w:hAnsi="Arial"/>
                <w:sz w:val="18"/>
                <w:szCs w:val="18"/>
                <w:b w:val="1"/>
                <w:bCs w:val="1"/>
                <w:color w:val="auto"/>
              </w:rPr>
              <w:t>Reconciliation of cash, cash equivalents and restricted cash to consolidated balance sheets</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03"/>
        </w:trPr>
        <w:tc>
          <w:tcPr>
            <w:tcW w:w="9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9,079</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69,586</w:t>
            </w:r>
          </w:p>
        </w:tc>
      </w:tr>
      <w:tr>
        <w:trPr>
          <w:trHeight w:val="203"/>
        </w:trPr>
        <w:tc>
          <w:tcPr>
            <w:tcW w:w="9140" w:type="dxa"/>
            <w:vAlign w:val="bottom"/>
          </w:tcPr>
          <w:p>
            <w:pPr>
              <w:spacing w:after="0" w:line="202" w:lineRule="exact"/>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7"/>
                <w:szCs w:val="17"/>
                <w:color w:val="auto"/>
              </w:rPr>
            </w:pPr>
          </w:p>
        </w:tc>
        <w:tc>
          <w:tcPr>
            <w:tcW w:w="8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214</w:t>
            </w:r>
          </w:p>
        </w:tc>
      </w:tr>
      <w:tr>
        <w:trPr>
          <w:trHeight w:val="27"/>
        </w:trPr>
        <w:tc>
          <w:tcPr>
            <w:tcW w:w="9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9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restricted cash—end of year</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9,079</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69,800</w:t>
            </w:r>
          </w:p>
        </w:tc>
      </w:tr>
      <w:tr>
        <w:trPr>
          <w:trHeight w:val="210"/>
        </w:trPr>
        <w:tc>
          <w:tcPr>
            <w:tcW w:w="914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9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Vesting of early exercised options and restricted stock</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182</w:t>
            </w:r>
          </w:p>
        </w:tc>
      </w:tr>
      <w:tr>
        <w:trPr>
          <w:trHeight w:val="203"/>
        </w:trPr>
        <w:tc>
          <w:tcPr>
            <w:tcW w:w="9140" w:type="dxa"/>
            <w:vAlign w:val="bottom"/>
          </w:tcPr>
          <w:p>
            <w:pPr>
              <w:spacing w:after="0" w:line="202" w:lineRule="exact"/>
              <w:rPr>
                <w:sz w:val="20"/>
                <w:szCs w:val="20"/>
                <w:color w:val="auto"/>
              </w:rPr>
            </w:pPr>
            <w:r>
              <w:rPr>
                <w:rFonts w:ascii="Arial" w:cs="Arial" w:eastAsia="Arial" w:hAnsi="Arial"/>
                <w:sz w:val="18"/>
                <w:szCs w:val="18"/>
                <w:color w:val="auto"/>
              </w:rPr>
              <w:t>Purchases of property and equipment within accounts payable and accrued expenses and other current liabilities</w:t>
            </w:r>
          </w:p>
        </w:tc>
        <w:tc>
          <w:tcPr>
            <w:tcW w:w="120" w:type="dxa"/>
            <w:vAlign w:val="bottom"/>
          </w:tcPr>
          <w:p>
            <w:pPr>
              <w:spacing w:after="0"/>
              <w:rPr>
                <w:sz w:val="17"/>
                <w:szCs w:val="17"/>
                <w:color w:val="auto"/>
              </w:rPr>
            </w:pPr>
          </w:p>
        </w:tc>
        <w:tc>
          <w:tcPr>
            <w:tcW w:w="8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317</w:t>
            </w:r>
          </w:p>
        </w:tc>
        <w:tc>
          <w:tcPr>
            <w:tcW w:w="240" w:type="dxa"/>
            <w:vAlign w:val="bottom"/>
          </w:tcPr>
          <w:p>
            <w:pPr>
              <w:spacing w:after="0"/>
              <w:rPr>
                <w:sz w:val="17"/>
                <w:szCs w:val="17"/>
                <w:color w:val="auto"/>
              </w:rPr>
            </w:pP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233</w:t>
            </w:r>
          </w:p>
        </w:tc>
      </w:tr>
      <w:tr>
        <w:trPr>
          <w:trHeight w:val="203"/>
        </w:trPr>
        <w:tc>
          <w:tcPr>
            <w:tcW w:w="9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Redeemable convertible preferred stock issued in Warp Drive acquisition</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68,144</w:t>
            </w:r>
          </w:p>
        </w:tc>
      </w:tr>
      <w:tr>
        <w:trPr>
          <w:trHeight w:val="203"/>
        </w:trPr>
        <w:tc>
          <w:tcPr>
            <w:tcW w:w="9140" w:type="dxa"/>
            <w:vAlign w:val="bottom"/>
          </w:tcPr>
          <w:p>
            <w:pPr>
              <w:spacing w:after="0" w:line="202" w:lineRule="exact"/>
              <w:rPr>
                <w:sz w:val="20"/>
                <w:szCs w:val="20"/>
                <w:color w:val="auto"/>
              </w:rPr>
            </w:pPr>
            <w:r>
              <w:rPr>
                <w:rFonts w:ascii="Arial" w:cs="Arial" w:eastAsia="Arial" w:hAnsi="Arial"/>
                <w:sz w:val="18"/>
                <w:szCs w:val="18"/>
                <w:color w:val="auto"/>
              </w:rPr>
              <w:t>Extinguishment of redeemable convertible preferred stock liability</w:t>
            </w:r>
          </w:p>
        </w:tc>
        <w:tc>
          <w:tcPr>
            <w:tcW w:w="120" w:type="dxa"/>
            <w:vAlign w:val="bottom"/>
          </w:tcPr>
          <w:p>
            <w:pPr>
              <w:spacing w:after="0"/>
              <w:rPr>
                <w:sz w:val="17"/>
                <w:szCs w:val="17"/>
                <w:color w:val="auto"/>
              </w:rPr>
            </w:pPr>
          </w:p>
        </w:tc>
        <w:tc>
          <w:tcPr>
            <w:tcW w:w="8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2,314</w:t>
            </w:r>
          </w:p>
        </w:tc>
      </w:tr>
      <w:tr>
        <w:trPr>
          <w:trHeight w:val="203"/>
        </w:trPr>
        <w:tc>
          <w:tcPr>
            <w:tcW w:w="9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Unpaid consideration for Warp Drive acquisition included within accrued expenses and other current liabilities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102</w:t>
            </w:r>
          </w:p>
        </w:tc>
      </w:tr>
      <w:tr>
        <w:trPr>
          <w:trHeight w:val="203"/>
        </w:trPr>
        <w:tc>
          <w:tcPr>
            <w:tcW w:w="91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Conversion of convertible note payable into Series B redeemable convertible preferred stock</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right"/>
              <w:ind w:right="120"/>
              <w:spacing w:after="0" w:line="202" w:lineRule="exact"/>
              <w:rPr>
                <w:sz w:val="20"/>
                <w:szCs w:val="20"/>
                <w:color w:val="auto"/>
              </w:rPr>
            </w:pPr>
            <w:r>
              <w:rPr>
                <w:rFonts w:ascii="Arial" w:cs="Arial" w:eastAsia="Arial" w:hAnsi="Arial"/>
                <w:sz w:val="18"/>
                <w:szCs w:val="18"/>
                <w:color w:val="auto"/>
              </w:rPr>
              <w:t>2,010</w:t>
            </w:r>
          </w:p>
        </w:tc>
      </w:tr>
    </w:tbl>
    <w:p>
      <w:pPr>
        <w:spacing w:after="0" w:line="93"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Revolution Medicines, Inc.</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Notes to the consolidated financial statements</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 Company and liquidity</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124" w:lineRule="exact"/>
        <w:rPr>
          <w:sz w:val="20"/>
          <w:szCs w:val="20"/>
          <w:color w:val="auto"/>
        </w:rPr>
      </w:pPr>
    </w:p>
    <w:p>
      <w:pPr>
        <w:jc w:val="both"/>
        <w:ind w:left="120" w:right="160"/>
        <w:spacing w:after="0" w:line="238" w:lineRule="auto"/>
        <w:rPr>
          <w:sz w:val="20"/>
          <w:szCs w:val="20"/>
          <w:color w:val="auto"/>
        </w:rPr>
      </w:pPr>
      <w:r>
        <w:rPr>
          <w:rFonts w:ascii="Arial" w:cs="Arial" w:eastAsia="Arial" w:hAnsi="Arial"/>
          <w:sz w:val="18"/>
          <w:szCs w:val="18"/>
          <w:color w:val="auto"/>
        </w:rPr>
        <w:t>Revolution Medicines, Inc. (the Company) is a clinical-stage precision oncology company focused on developing novel targeted therapies to inhibit targets primarily within the RAS and mTOR signaling pathways. The Company was founded in October 2014 and is headquartered in Redwood City, California.</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w:t>
      </w:r>
    </w:p>
    <w:p>
      <w:pPr>
        <w:spacing w:after="0" w:line="12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The Company has incurred net operating losses in each year since inception. The Company’s net losses were $31.1 million and $41.8 million during the years ended December 31, 2017 and 2018, respectively. As of December 31, 2018, the Company had an accumulated deficit of $109.7 million. Management believes that its cash and cash equivalents are sufficient to continue operating activities for at least 12 months following the issuance date of these consolidated financial statements. To date, the Company has been able to fund its operations through the issuance and sale of redeemable convertible preferred stock in addition to proceeds received under the Company’s collaboration agreement with Sanofi. Future capital requirements will depend on many factors, including the timing and extent of spending on research and development and payments the Company may receive under the Sanofi collaboration agreement or future collaboration agreements, if any. There can be no assurance that, in the event the Company requires additional financing, such financing will be available at terms acceptable to the Company if at all. Failure to generate sufficient cash flows from operations, raise additional capital, and reduce discretionary spending should additional capital not become available could have a material adverse effect on the Company’s ability to achieve its intended business objectives.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24" w:lineRule="exact"/>
        <w:rPr>
          <w:sz w:val="20"/>
          <w:szCs w:val="20"/>
          <w:color w:val="auto"/>
        </w:rPr>
      </w:pPr>
    </w:p>
    <w:p>
      <w:pPr>
        <w:jc w:val="both"/>
        <w:ind w:left="120" w:right="240"/>
        <w:spacing w:after="0" w:line="236" w:lineRule="auto"/>
        <w:rPr>
          <w:sz w:val="20"/>
          <w:szCs w:val="20"/>
          <w:color w:val="auto"/>
        </w:rPr>
      </w:pPr>
      <w:r>
        <w:rPr>
          <w:rFonts w:ascii="Arial" w:cs="Arial" w:eastAsia="Arial" w:hAnsi="Arial"/>
          <w:sz w:val="18"/>
          <w:szCs w:val="18"/>
          <w:color w:val="auto"/>
        </w:rPr>
        <w:t>The consolidated financial statements have been prepared in conformity with generally accepted accounting principles in the United States (GAAP). The consolidated financial statements for the year ended December 31, 2018 include the accounts of the Company and its wholly owned subsidiary, Warp Drive Bio, Inc. (Warp Drive). The consolidated financial statements for the year ended December 31, 2017 include only the accounts of the Revolution Medicines, Inc. All intercompany balances and transactions have been eliminated in consolidation. The functional and reporting currency of the Company and its subsidiary is the U.S. dollar.</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4" w:lineRule="exact"/>
        <w:rPr>
          <w:sz w:val="20"/>
          <w:szCs w:val="20"/>
          <w:color w:val="auto"/>
        </w:rPr>
      </w:pPr>
    </w:p>
    <w:p>
      <w:pPr>
        <w:ind w:left="120" w:right="20"/>
        <w:spacing w:after="0" w:line="271"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On an ongoing basis, management evaluates its estimates, including those related to revenue recognition, clinical accruals, valuation of in-process research and development and developed technologies, valuation of the redeemable convertible preferred stock liability, income taxes, useful lives of property and equipment and intangible assets, impairment of goodwill, and stock-based compensation. Actual results could materially differ from those estimates</w:t>
      </w:r>
      <w:r>
        <w:rPr>
          <w:rFonts w:ascii="Arial" w:cs="Arial" w:eastAsia="Arial" w:hAnsi="Arial"/>
          <w:sz w:val="16"/>
          <w:szCs w:val="16"/>
          <w:i w:val="1"/>
          <w:iCs w:val="1"/>
          <w:color w:val="auto"/>
        </w:rPr>
        <w:t>.</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20"/>
          </w:cols>
          <w:pgMar w:left="320" w:top="459" w:right="4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Unaudited pro forma financial information</w:t>
      </w:r>
    </w:p>
    <w:p>
      <w:pPr>
        <w:spacing w:after="0" w:line="124"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The unaudited pro forma information as of December 31, 2018 has been prepared to give effect to the automatic conversion of all of the outstanding redeemable convertible preferred stock of the Company on a one-to-one basis into 144,016,937 shares of common stock, which will occur upon the closing of an initial public offering (IPO) of common stock resulting in at least $50 million in gross proceeds at a minimum price of $2.06 per share of common stock, subject to adjustment for stock dividends, stock splits, combinations or other similar recapitalizations (a Qualified IPO). The unaudited pro forma information does not assume any proceeds from an IPO.</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unaudited pro forma basic and diluted net loss per share for the year ended December 31, 2018 has been computed to give effect to</w:t>
      </w:r>
    </w:p>
    <w:p>
      <w:pPr>
        <w:ind w:left="120" w:hanging="4"/>
        <w:spacing w:after="0" w:line="236" w:lineRule="auto"/>
        <w:tabs>
          <w:tab w:leader="none" w:pos="38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 adjustment to the denominator in the pro forma basic and diluted net loss per share calculation for the automatic conversion of the redeemable convertible preferred stock into shares of common stock, which will occur upon the closing of a Qualified IPO, as of the beginning of the period or the date of issuance, if later, (2) an adjustment to the numerator in the pro forma basic and diluted net loss per share calculation to remove the redeemable cumulative but undeclared convertible preferred stock dividends and (3) an adjustment to the numerator in the pro forma basic and diluted net loss per share calculation to remove losses from the remeasurement of the redeemable convertible preferred stock liability.</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24" w:lineRule="exact"/>
        <w:rPr>
          <w:sz w:val="20"/>
          <w:szCs w:val="20"/>
          <w:color w:val="auto"/>
        </w:rPr>
      </w:pPr>
    </w:p>
    <w:p>
      <w:pPr>
        <w:ind w:left="120" w:right="140"/>
        <w:spacing w:after="0" w:line="239" w:lineRule="auto"/>
        <w:rPr>
          <w:sz w:val="20"/>
          <w:szCs w:val="20"/>
          <w:color w:val="auto"/>
        </w:rPr>
      </w:pPr>
      <w:r>
        <w:rPr>
          <w:rFonts w:ascii="Arial" w:cs="Arial" w:eastAsia="Arial" w:hAnsi="Arial"/>
          <w:sz w:val="18"/>
          <w:szCs w:val="18"/>
          <w:color w:val="auto"/>
        </w:rPr>
        <w:t>The Company considers all highly liquid investments purchased with original maturities of three months or less at the date of purchase to be cash equivalents. As of December 31, 2017 and 2018, cash equivalents consist of amounts invested in money market funds.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24" w:lineRule="exact"/>
        <w:rPr>
          <w:sz w:val="20"/>
          <w:szCs w:val="20"/>
          <w:color w:val="auto"/>
        </w:rPr>
      </w:pPr>
    </w:p>
    <w:p>
      <w:pPr>
        <w:ind w:left="120" w:right="620"/>
        <w:spacing w:after="0" w:line="238" w:lineRule="auto"/>
        <w:rPr>
          <w:sz w:val="20"/>
          <w:szCs w:val="20"/>
          <w:color w:val="auto"/>
        </w:rPr>
      </w:pPr>
      <w:r>
        <w:rPr>
          <w:rFonts w:ascii="Arial" w:cs="Arial" w:eastAsia="Arial" w:hAnsi="Arial"/>
          <w:sz w:val="18"/>
          <w:szCs w:val="18"/>
          <w:color w:val="auto"/>
        </w:rPr>
        <w:t>As of December 31, 2018, the Company had $0.2 million of noncurrent restricted cash related to a Company issued letter of credit in connection with a lease. The entire amount is held in a separate bank account to support a letter of credit agreement for the lease. No restricted cash was outstanding as of December 31, 2017.</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24"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and cash equivalents. The Company’s cash is held by one financial institution in the United States, which management believes to be of high credit quality. The Company’s money market funds are invested in highly rated funds. Deposits at this financial institution may at times exceed federally insured limits. The Company has not experienced any losses on its deposits of cash and cash equivalents.</w:t>
      </w:r>
    </w:p>
    <w:p>
      <w:pPr>
        <w:spacing w:after="0" w:line="100" w:lineRule="exact"/>
        <w:rPr>
          <w:sz w:val="20"/>
          <w:szCs w:val="20"/>
          <w:color w:val="auto"/>
        </w:rPr>
      </w:pPr>
    </w:p>
    <w:p>
      <w:pPr>
        <w:ind w:left="120" w:right="700"/>
        <w:spacing w:after="0" w:line="239" w:lineRule="auto"/>
        <w:rPr>
          <w:sz w:val="20"/>
          <w:szCs w:val="20"/>
          <w:color w:val="auto"/>
        </w:rPr>
      </w:pPr>
      <w:r>
        <w:rPr>
          <w:rFonts w:ascii="Arial" w:cs="Arial" w:eastAsia="Arial" w:hAnsi="Arial"/>
          <w:sz w:val="18"/>
          <w:szCs w:val="18"/>
          <w:color w:val="auto"/>
        </w:rPr>
        <w:t>The Company is subject to credit risk as its receivable and collaboration revenue, related party are entirely related to its collaboration agreement with Sanofi. See Note 6 “Sanofi collaboration agreement.”</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24" w:lineRule="exact"/>
        <w:rPr>
          <w:sz w:val="20"/>
          <w:szCs w:val="20"/>
          <w:color w:val="auto"/>
        </w:rPr>
      </w:pPr>
    </w:p>
    <w:p>
      <w:pPr>
        <w:ind w:left="120" w:right="220"/>
        <w:spacing w:after="0" w:line="299" w:lineRule="auto"/>
        <w:rPr>
          <w:sz w:val="20"/>
          <w:szCs w:val="20"/>
          <w:color w:val="auto"/>
        </w:rPr>
      </w:pPr>
      <w:r>
        <w:rPr>
          <w:rFonts w:ascii="Arial" w:cs="Arial" w:eastAsia="Arial" w:hAnsi="Arial"/>
          <w:sz w:val="16"/>
          <w:szCs w:val="16"/>
          <w:color w:val="auto"/>
        </w:rPr>
        <w:t>The carrying amounts of the Company’s certain financial instruments, including cash equivalents, accounts payable and accrued expenses and other current liabilities approximate fair value due to their relatively short maturities and market interest rates, if applicable.</w:t>
      </w:r>
    </w:p>
    <w:p>
      <w:pPr>
        <w:spacing w:after="0" w:line="55" w:lineRule="exact"/>
        <w:rPr>
          <w:sz w:val="20"/>
          <w:szCs w:val="20"/>
          <w:color w:val="auto"/>
        </w:rPr>
      </w:pPr>
    </w:p>
    <w:p>
      <w:pPr>
        <w:ind w:left="120" w:right="260"/>
        <w:spacing w:after="0" w:line="239" w:lineRule="auto"/>
        <w:rPr>
          <w:sz w:val="20"/>
          <w:szCs w:val="20"/>
          <w:color w:val="auto"/>
        </w:rPr>
      </w:pPr>
      <w:r>
        <w:rPr>
          <w:rFonts w:ascii="Arial" w:cs="Arial" w:eastAsia="Arial" w:hAnsi="Arial"/>
          <w:sz w:val="18"/>
          <w:szCs w:val="18"/>
          <w:color w:val="auto"/>
        </w:rPr>
        <w:t>Assets and liabilities recorded at fair value on a recurring basis in the consolidated balance sheets are categorized based upon the level of judgment associated with the inputs used to measure their fair values. Fair</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00"/>
          </w:cols>
          <w:pgMar w:left="320" w:top="459" w:right="47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380"/>
        <w:spacing w:after="0" w:line="236" w:lineRule="auto"/>
        <w:rPr>
          <w:sz w:val="20"/>
          <w:szCs w:val="20"/>
          <w:color w:val="auto"/>
        </w:rPr>
      </w:pPr>
      <w:r>
        <w:rPr>
          <w:rFonts w:ascii="Arial" w:cs="Arial" w:eastAsia="Arial" w:hAnsi="Arial"/>
          <w:sz w:val="18"/>
          <w:szCs w:val="18"/>
          <w:color w:val="auto"/>
        </w:rPr>
        <w:t>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Level 1—Observable inputs such as unadjusted, quoted prices in active markets for identical assets or liabilities at the measurement date;</w:t>
      </w:r>
    </w:p>
    <w:p>
      <w:pPr>
        <w:spacing w:after="0" w:line="127" w:lineRule="exact"/>
        <w:rPr>
          <w:sz w:val="20"/>
          <w:szCs w:val="20"/>
          <w:color w:val="auto"/>
        </w:rPr>
      </w:pPr>
    </w:p>
    <w:p>
      <w:pPr>
        <w:ind w:left="340" w:right="20"/>
        <w:spacing w:after="0" w:line="238" w:lineRule="auto"/>
        <w:rPr>
          <w:sz w:val="20"/>
          <w:szCs w:val="20"/>
          <w:color w:val="auto"/>
        </w:rPr>
      </w:pPr>
      <w:r>
        <w:rPr>
          <w:rFonts w:ascii="Arial" w:cs="Arial" w:eastAsia="Arial" w:hAnsi="Arial"/>
          <w:sz w:val="18"/>
          <w:szCs w:val="18"/>
          <w:color w:val="auto"/>
        </w:rPr>
        <w:t>Level 2—Inputs (other than quoted prices included in Level 1) are either directly or indirectly observable for the asset or liability. These include quoted prices for similar assets or liabilities in active markets and quoted prices for identical or similar assets or liabilities in markets that are not active; and</w:t>
      </w:r>
    </w:p>
    <w:p>
      <w:pPr>
        <w:spacing w:after="0" w:line="100" w:lineRule="exact"/>
        <w:rPr>
          <w:sz w:val="20"/>
          <w:szCs w:val="20"/>
          <w:color w:val="auto"/>
        </w:rPr>
      </w:pPr>
    </w:p>
    <w:p>
      <w:pPr>
        <w:ind w:left="340" w:right="420"/>
        <w:spacing w:after="0" w:line="239"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24" w:lineRule="exact"/>
        <w:rPr>
          <w:sz w:val="20"/>
          <w:szCs w:val="20"/>
          <w:color w:val="auto"/>
        </w:rPr>
      </w:pPr>
    </w:p>
    <w:p>
      <w:pPr>
        <w:ind w:left="120" w:right="120"/>
        <w:spacing w:after="0" w:line="272" w:lineRule="auto"/>
        <w:rPr>
          <w:sz w:val="20"/>
          <w:szCs w:val="20"/>
          <w:color w:val="auto"/>
        </w:rPr>
      </w:pPr>
      <w:r>
        <w:rPr>
          <w:rFonts w:ascii="Arial" w:cs="Arial" w:eastAsia="Arial" w:hAnsi="Arial"/>
          <w:sz w:val="16"/>
          <w:szCs w:val="16"/>
          <w:color w:val="auto"/>
        </w:rPr>
        <w:t>Property and equipment are stated at cost less accumulated depreciation and amortization. Depreciation is computed on a straight-line basis over the estimated useful lives of the related assets, which is generally three to five years. Leasehold improvements are amortized using the straight-line method over the shorter of the assets’ estimated useful lives or the remaining term of the lease. Maintenance and repairs are charged to operations as incurred. Upon sale or retirement of assets, the cost and related accumulated depreciation are removed from the consolidated balance sheet and the resulting gain or loss is reflected in the consolidated statement of operations and comprehensive loss.</w:t>
      </w:r>
    </w:p>
    <w:p>
      <w:pPr>
        <w:spacing w:after="0" w:line="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Useful lives of property and equipment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Property and equipment</w:t>
            </w:r>
          </w:p>
        </w:tc>
        <w:tc>
          <w:tcPr>
            <w:tcW w:w="7140" w:type="dxa"/>
            <w:vAlign w:val="bottom"/>
            <w:tcBorders>
              <w:bottom w:val="single" w:sz="8" w:color="auto"/>
            </w:tcBorders>
          </w:tcPr>
          <w:p>
            <w:pPr>
              <w:ind w:left="1200"/>
              <w:spacing w:after="0"/>
              <w:rPr>
                <w:sz w:val="20"/>
                <w:szCs w:val="20"/>
                <w:color w:val="auto"/>
              </w:rPr>
            </w:pPr>
            <w:r>
              <w:rPr>
                <w:rFonts w:ascii="Arial" w:cs="Arial" w:eastAsia="Arial" w:hAnsi="Arial"/>
                <w:sz w:val="18"/>
                <w:szCs w:val="18"/>
                <w:b w:val="1"/>
                <w:bCs w:val="1"/>
                <w:color w:val="auto"/>
              </w:rPr>
              <w:t>Estimated useful life</w:t>
            </w:r>
          </w:p>
        </w:tc>
      </w:tr>
      <w:tr>
        <w:trPr>
          <w:trHeight w:val="199"/>
        </w:trPr>
        <w:tc>
          <w:tcPr>
            <w:tcW w:w="3880" w:type="dxa"/>
            <w:vAlign w:val="bottom"/>
          </w:tcPr>
          <w:p>
            <w:pPr>
              <w:spacing w:after="0" w:line="199" w:lineRule="exact"/>
              <w:rPr>
                <w:sz w:val="20"/>
                <w:szCs w:val="20"/>
                <w:color w:val="auto"/>
              </w:rPr>
            </w:pPr>
            <w:r>
              <w:rPr>
                <w:rFonts w:ascii="Arial" w:cs="Arial" w:eastAsia="Arial" w:hAnsi="Arial"/>
                <w:sz w:val="18"/>
                <w:szCs w:val="18"/>
                <w:color w:val="auto"/>
              </w:rPr>
              <w:t>Laboratory equipment</w:t>
            </w:r>
          </w:p>
        </w:tc>
        <w:tc>
          <w:tcPr>
            <w:tcW w:w="7140" w:type="dxa"/>
            <w:vAlign w:val="bottom"/>
          </w:tcPr>
          <w:p>
            <w:pPr>
              <w:ind w:left="1200"/>
              <w:spacing w:after="0" w:line="199" w:lineRule="exact"/>
              <w:rPr>
                <w:sz w:val="20"/>
                <w:szCs w:val="20"/>
                <w:color w:val="auto"/>
              </w:rPr>
            </w:pPr>
            <w:r>
              <w:rPr>
                <w:rFonts w:ascii="Arial" w:cs="Arial" w:eastAsia="Arial" w:hAnsi="Arial"/>
                <w:sz w:val="18"/>
                <w:szCs w:val="18"/>
                <w:color w:val="auto"/>
              </w:rPr>
              <w:t>4-5 years</w:t>
            </w: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7140" w:type="dxa"/>
            <w:vAlign w:val="bottom"/>
          </w:tcPr>
          <w:p>
            <w:pPr>
              <w:ind w:left="1200"/>
              <w:spacing w:after="0" w:line="202" w:lineRule="exact"/>
              <w:rPr>
                <w:sz w:val="20"/>
                <w:szCs w:val="20"/>
                <w:color w:val="auto"/>
              </w:rPr>
            </w:pPr>
            <w:r>
              <w:rPr>
                <w:rFonts w:ascii="Arial" w:cs="Arial" w:eastAsia="Arial" w:hAnsi="Arial"/>
                <w:sz w:val="18"/>
                <w:szCs w:val="18"/>
                <w:color w:val="auto"/>
              </w:rPr>
              <w:t>Lesser of estimated useful life or remaining lease term</w:t>
            </w: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Computer equipment and software</w:t>
            </w:r>
          </w:p>
        </w:tc>
        <w:tc>
          <w:tcPr>
            <w:tcW w:w="7140" w:type="dxa"/>
            <w:vAlign w:val="bottom"/>
          </w:tcPr>
          <w:p>
            <w:pPr>
              <w:ind w:left="1200"/>
              <w:spacing w:after="0" w:line="202" w:lineRule="exact"/>
              <w:rPr>
                <w:sz w:val="20"/>
                <w:szCs w:val="20"/>
                <w:color w:val="auto"/>
              </w:rPr>
            </w:pPr>
            <w:r>
              <w:rPr>
                <w:rFonts w:ascii="Arial" w:cs="Arial" w:eastAsia="Arial" w:hAnsi="Arial"/>
                <w:sz w:val="18"/>
                <w:szCs w:val="18"/>
                <w:color w:val="auto"/>
              </w:rPr>
              <w:t>3 years</w:t>
            </w:r>
          </w:p>
        </w:tc>
      </w:tr>
      <w:tr>
        <w:trPr>
          <w:trHeight w:val="212"/>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Furniture and fixtures</w:t>
            </w:r>
          </w:p>
        </w:tc>
        <w:tc>
          <w:tcPr>
            <w:tcW w:w="714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5 years</w:t>
            </w:r>
          </w:p>
        </w:tc>
      </w:tr>
    </w:tbl>
    <w:p>
      <w:pPr>
        <w:spacing w:after="0" w:line="19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24"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Long-lived assets are reviewed for indications of possible impairment whenever events or changes in circumstances indicate that the carrying amount of an asset or asset group may not be recoverable. Recoverability is measured by comparison of the carrying amounts of the asset group to the future undiscounted cash flows attributable to these assets. An impairment loss is recognized to the extent an asset group is not recoverable, and the carrying amount exceeds the projected discounted future cash flows arising from these assets. There were no impairments of long-lived assets for any of the periods presented.</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Acquired intangible assets</w:t>
      </w:r>
    </w:p>
    <w:p>
      <w:pPr>
        <w:spacing w:after="0" w:line="124"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Indefinite-lived intangible assets represent the estimated fair value assigned to in-process research and development (IPR&amp;D) acquired in a business combination. The Company reviews indefinite-lived intangible assets for impairment at least annually or more frequently if events or changes in circumstances indicate that the carrying value of the assets might not be recoverable. If the carrying value of an indefinite-lived intangible</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59"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asset exceeds its fair value, then it is written down to its adjusted fair value. As of December 31, 2018, there have been no such impairments. For IPR&amp;D, if a product candidate derived from the indefinite-lived intangible asset is developed and commercialized, the useful life will be determined, and the carrying value will be amortized prospectively over that estimated useful life. Alternatively, if a product candidate is abandoned, the carrying value of the intangible asset will be charged to research and development expenses in the consolidated statements of operations and comprehensive loss.</w:t>
      </w:r>
    </w:p>
    <w:p>
      <w:pPr>
        <w:spacing w:after="0" w:line="103" w:lineRule="exact"/>
        <w:rPr>
          <w:sz w:val="20"/>
          <w:szCs w:val="20"/>
          <w:color w:val="auto"/>
        </w:rPr>
      </w:pPr>
    </w:p>
    <w:p>
      <w:pPr>
        <w:ind w:left="120" w:right="140"/>
        <w:spacing w:after="0" w:line="237" w:lineRule="auto"/>
        <w:rPr>
          <w:sz w:val="20"/>
          <w:szCs w:val="20"/>
          <w:color w:val="auto"/>
        </w:rPr>
      </w:pPr>
      <w:r>
        <w:rPr>
          <w:rFonts w:ascii="Arial" w:cs="Arial" w:eastAsia="Arial" w:hAnsi="Arial"/>
          <w:sz w:val="18"/>
          <w:szCs w:val="18"/>
          <w:color w:val="auto"/>
        </w:rPr>
        <w:t>Finite-lived intangible assets acquired in a business combination are recognized separately from goodwill and are initially recognized at their fair value at the acquisition date. Amortization is computed using the straight-line method over the estimated useful lives of the respective finite-lived intangible assets. Intangible assets are reviewed for impairment at least annually or more frequently if indicators of potential impairment exist.</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Goodwill</w:t>
      </w:r>
    </w:p>
    <w:p>
      <w:pPr>
        <w:spacing w:after="0" w:line="124" w:lineRule="exact"/>
        <w:rPr>
          <w:sz w:val="20"/>
          <w:szCs w:val="20"/>
          <w:color w:val="auto"/>
        </w:rPr>
      </w:pPr>
    </w:p>
    <w:p>
      <w:pPr>
        <w:ind w:left="120" w:right="40"/>
        <w:spacing w:after="0" w:line="268" w:lineRule="auto"/>
        <w:rPr>
          <w:sz w:val="20"/>
          <w:szCs w:val="20"/>
          <w:color w:val="auto"/>
        </w:rPr>
      </w:pPr>
      <w:r>
        <w:rPr>
          <w:rFonts w:ascii="Arial" w:cs="Arial" w:eastAsia="Arial" w:hAnsi="Arial"/>
          <w:sz w:val="16"/>
          <w:szCs w:val="16"/>
          <w:color w:val="auto"/>
        </w:rPr>
        <w:t>Goodwill represents the excess of the purchase price over the estimated fair value of the net tangible and intangible assets acquired in a business combination. The Company reviews goodwill for impairment at least annually or more frequently if events or changes in circumstances indicate that the carrying value of goodwill may not be recoverable. Goodwill is tested for impairment at the reporting unit level by first assessing the qualitative factors to determine whether it is more likely than not that the fair value of the Company’s single reporting unit is less than its carrying amount. Qualitative indicators assessed include consideration of macroeconomic, industry and market conditions, the Company’s overall financial performance and personnel or strategy changes. Based on the qualitative assessment, if it is determined that it is more likely than not that its fair value is less than its carrying amount, the fair value of the Company’s single reporting unit is compared to its carrying value. Any excess of the goodwill carrying amount over the fair value is recognized as an impairment loss, and the carrying value of goodwill is written down to fair value. As of December 31, 2018, no goodwill impairment has been identified.</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2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The Company records all shares of redeemable convertible preferred stock at their respective fair values on the dates of issuance, net of issuance costs. The redeemable convertible preferred stock is recorded outside of permanent equity because while it is not mandatorily redeemable, in the event of certain events considered not solely within the Company’s control, such as a merger, acquisition or sale of all or substantially all of the Company’s assets (each, a “deemed liquidation event”), the redeemable convertible preferred stock will become redeemable at the option of the holders of at least a majority of the then outstanding such shares. The Company has not adjusted the carrying values of the redeemable convertible preferred stock to the liquidation preferences of such shares because it is uncertain whether or when a deemed liquidation event would occur that would obligate the Company to pay the liquidation preferences to holders of shares of redeemable convertible preferred stock. Subsequent adjustments to the carrying values to the liquidation preferences will be made only when it becomes probable that such a deemed liquidation event will occur.</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Redeemable convertible preferred stock liability</w:t>
      </w:r>
    </w:p>
    <w:p>
      <w:pPr>
        <w:spacing w:after="0" w:line="124" w:lineRule="exact"/>
        <w:rPr>
          <w:sz w:val="20"/>
          <w:szCs w:val="20"/>
          <w:color w:val="auto"/>
        </w:rPr>
      </w:pPr>
    </w:p>
    <w:p>
      <w:pPr>
        <w:jc w:val="both"/>
        <w:ind w:left="120" w:right="200"/>
        <w:spacing w:after="0" w:line="275" w:lineRule="auto"/>
        <w:rPr>
          <w:sz w:val="20"/>
          <w:szCs w:val="20"/>
          <w:color w:val="auto"/>
        </w:rPr>
      </w:pPr>
      <w:r>
        <w:rPr>
          <w:rFonts w:ascii="Arial" w:cs="Arial" w:eastAsia="Arial" w:hAnsi="Arial"/>
          <w:sz w:val="16"/>
          <w:szCs w:val="16"/>
          <w:color w:val="auto"/>
        </w:rPr>
        <w:t>The Company’s March 2018 issuance and sale of Series B redeemable convertible preferred stock was tranched into two funding dates, a first closing in March 2018, and a second closing to purchase additional shares in June 2018. The Company classified the obligation for the future purchase of additional shares under the second closing as a liability on the Company’s consolidated balance sheets as the obligation met the definition of a freestanding financial instrument. This redeemable convertible preferred stock tranche liability was initially</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59" w:right="4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recorded at a fair value of $0.2 million upon the date of issuance and was subsequently remeasured to fair value at each reporting date using Level 3 fair value inputs. Changes in the fair value of the redeemable convertible preferred stock tranche obligation of $2.1 million were recognized as a component of other income (expense), net in the consolidated statements of operations and comprehensive loss until the tranche obligation was fulfilled and extinguished upon the second closing in June 2018.</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Effective January 1, 2018, the Company adopted Accounting Standards Codification Topic 606, </w:t>
      </w:r>
      <w:r>
        <w:rPr>
          <w:rFonts w:ascii="Arial" w:cs="Arial" w:eastAsia="Arial" w:hAnsi="Arial"/>
          <w:sz w:val="18"/>
          <w:szCs w:val="18"/>
          <w:i w:val="1"/>
          <w:iCs w:val="1"/>
          <w:color w:val="auto"/>
        </w:rPr>
        <w:t>Revenue from Contracts with</w:t>
      </w:r>
    </w:p>
    <w:p>
      <w:pPr>
        <w:spacing w:after="0" w:line="14"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i w:val="1"/>
          <w:iCs w:val="1"/>
          <w:color w:val="auto"/>
        </w:rPr>
        <w:t xml:space="preserve">Customers </w:t>
      </w:r>
      <w:r>
        <w:rPr>
          <w:rFonts w:ascii="Arial" w:cs="Arial" w:eastAsia="Arial" w:hAnsi="Arial"/>
          <w:sz w:val="18"/>
          <w:szCs w:val="18"/>
          <w:color w:val="auto"/>
        </w:rPr>
        <w:t>(ASC 606) using the full retrospective transition method. The Company did not have any effective contracts within the scope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guidance prior to January 1, 2018. Accordingly, the Company did not elect to use any of the practical expedients permitted related to adoption, and the adoption of ASC 606 had no impact on the Company’s financial position, results of operations or liquidity. Under ASC 606, the Company recognizes revenue when its customer obtains control of promised goods or services, in an amount that reflects the consideration which the Company expects to receive in exchange for those goods or services. 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06" w:lineRule="exact"/>
        <w:rPr>
          <w:sz w:val="20"/>
          <w:szCs w:val="20"/>
          <w:color w:val="auto"/>
        </w:rPr>
      </w:pPr>
    </w:p>
    <w:p>
      <w:pPr>
        <w:ind w:left="120" w:right="200"/>
        <w:spacing w:after="0" w:line="237" w:lineRule="auto"/>
        <w:rPr>
          <w:sz w:val="20"/>
          <w:szCs w:val="20"/>
          <w:color w:val="auto"/>
        </w:rPr>
      </w:pPr>
      <w:r>
        <w:rPr>
          <w:rFonts w:ascii="Arial" w:cs="Arial" w:eastAsia="Arial" w:hAnsi="Arial"/>
          <w:sz w:val="18"/>
          <w:szCs w:val="18"/>
          <w:color w:val="auto"/>
        </w:rPr>
        <w:t>The Company enters into collaboration agreements under which it may obtain upfront license fees, research and development funding, and development, regulatory and commercial milestone payments and royalty payments. The Company’s performance obligations under these arrangements may include licenses of intellectual property, sales and distribution rights, research and development services, delivery of manufactured product and/or participation on joint steering committees.</w:t>
      </w:r>
    </w:p>
    <w:p>
      <w:pPr>
        <w:spacing w:after="0" w:line="82"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i w:val="1"/>
          <w:iCs w:val="1"/>
          <w:color w:val="auto"/>
        </w:rPr>
        <w:t xml:space="preserve">Licenses of intellectual property: </w:t>
      </w:r>
      <w:r>
        <w:rPr>
          <w:rFonts w:ascii="Arial" w:cs="Arial" w:eastAsia="Arial" w:hAnsi="Arial"/>
          <w:sz w:val="18"/>
          <w:szCs w:val="18"/>
          <w:color w:val="auto"/>
        </w:rPr>
        <w:t>If the license to the Company’s intellectual property is determined to be distinct from the other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identified in the arrangement, the Company recognizes revenue from upfront license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proportional performance for purposes of recognizing revenue from non-refundable, upfront fees. The Company evaluates the measure of proportional performance each reporting period and, if necessary, adjusts the measure of performance and related revenue recognition.</w:t>
      </w:r>
    </w:p>
    <w:p>
      <w:pPr>
        <w:spacing w:after="0" w:line="83"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i w:val="1"/>
          <w:iCs w:val="1"/>
          <w:color w:val="auto"/>
        </w:rPr>
        <w:t xml:space="preserve">Research, development and regulatory milestone payments: </w:t>
      </w:r>
      <w:r>
        <w:rPr>
          <w:rFonts w:ascii="Arial" w:cs="Arial" w:eastAsia="Arial" w:hAnsi="Arial"/>
          <w:sz w:val="18"/>
          <w:szCs w:val="18"/>
          <w:color w:val="auto"/>
        </w:rPr>
        <w:t>At the inception of each arrangement that includes research, development, or</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regulatory milestone payments, the Company evaluates whether the milestones are considered probable of being reached and estimates the amount to be included in the transaction price. The Company uses the most likely amount method for research, development and regulatory milestone payments. Under the most likely amount method, an entity considers the single most likely amount in a range of possible consideration amounts. If it is probable that a significant revenue reversal would not occur, the associated milestone value is included in the transaction price.</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00"/>
          </w:cols>
          <w:pgMar w:left="320" w:top="459" w:right="47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41" w:lineRule="auto"/>
        <w:rPr>
          <w:sz w:val="20"/>
          <w:szCs w:val="20"/>
          <w:color w:val="auto"/>
        </w:rPr>
      </w:pPr>
      <w:r>
        <w:rPr>
          <w:rFonts w:ascii="Arial" w:cs="Arial" w:eastAsia="Arial" w:hAnsi="Arial"/>
          <w:sz w:val="18"/>
          <w:szCs w:val="18"/>
          <w:i w:val="1"/>
          <w:iCs w:val="1"/>
          <w:color w:val="auto"/>
        </w:rPr>
        <w:t xml:space="preserve">Sales-based milestones and royalties: </w:t>
      </w:r>
      <w:r>
        <w:rPr>
          <w:rFonts w:ascii="Arial" w:cs="Arial" w:eastAsia="Arial" w:hAnsi="Arial"/>
          <w:sz w:val="18"/>
          <w:szCs w:val="18"/>
          <w:color w:val="auto"/>
        </w:rPr>
        <w:t>For arrangements that include sales-based milestone or royalty payments based on the level of</w:t>
      </w:r>
      <w:r>
        <w:rPr>
          <w:rFonts w:ascii="Arial" w:cs="Arial" w:eastAsia="Arial" w:hAnsi="Arial"/>
          <w:sz w:val="18"/>
          <w:szCs w:val="18"/>
          <w:i w:val="1"/>
          <w:iCs w:val="1"/>
          <w:color w:val="auto"/>
        </w:rPr>
        <w:t xml:space="preserve"> </w:t>
      </w:r>
      <w:r>
        <w:rPr>
          <w:rFonts w:ascii="Arial" w:cs="Arial" w:eastAsia="Arial" w:hAnsi="Arial"/>
          <w:sz w:val="18"/>
          <w:szCs w:val="18"/>
          <w:color w:val="auto"/>
        </w:rPr>
        <w:t>sales, and in which the license is deemed to be the predominant item to which the sales-based milestone or royalties relate to, the Company recognizes revenue in the period in which the sales-based milestone is achieved and in the period in which the sales associated with the royalty occur. To date, the Company has not recognized any or sales-based milestone or royalty revenue resulting from its collaboration arrangements.</w:t>
      </w:r>
    </w:p>
    <w:p>
      <w:pPr>
        <w:spacing w:after="0" w:line="99"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Deferred revenue represents amounts received by the Company for which the related revenues have not been recognized because one or more of the revenue recognition criteria have not been met. The current portion of deferred revenue represents the amount to be recognized within one year from the balance sheet date based on the estimated performance period of the underlying performance obligation. The noncurrent portion of deferred revenue represents amounts to be recognized after one year through the end of the performance period of the performance obligation.</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expenditures</w:t>
      </w:r>
    </w:p>
    <w:p>
      <w:pPr>
        <w:spacing w:after="0" w:line="124" w:lineRule="exact"/>
        <w:rPr>
          <w:sz w:val="20"/>
          <w:szCs w:val="20"/>
          <w:color w:val="auto"/>
        </w:rPr>
      </w:pPr>
    </w:p>
    <w:p>
      <w:pPr>
        <w:ind w:left="120" w:right="160"/>
        <w:spacing w:after="0" w:line="235" w:lineRule="auto"/>
        <w:rPr>
          <w:sz w:val="20"/>
          <w:szCs w:val="20"/>
          <w:color w:val="auto"/>
        </w:rPr>
      </w:pPr>
      <w:r>
        <w:rPr>
          <w:rFonts w:ascii="Arial" w:cs="Arial" w:eastAsia="Arial" w:hAnsi="Arial"/>
          <w:sz w:val="18"/>
          <w:szCs w:val="18"/>
          <w:color w:val="auto"/>
        </w:rPr>
        <w:t>Research and development expenses consist of costs incurred for the Company’s own and for collaborative research and development activities. Research and development costs are expensed as incurred. Research and development costs consist of salaries and benefits, including associated stock-based compensation, and laboratory supplies and facility costs, as well as fees paid to other entities that conduct certain research and development activities on the Company’s behalf. The Company estimates preclinical study and clinical trial expenses based on the services performed pursuant to contracts with research institutions and contract research organizations, or CROs, and clinical manufacturing organizations, or CMOs, that conduct and manage preclinical studies and clinical trials on the Company’s behalf based on actual time and expenses incurred by them. Further, the Company accrues expenses related to clinical trials based on the level of patient activity according to the related agreement. The Company monitors patient enrollment levels and related activity to the extent reasonably possible and adjusts estimates accordingly.</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Company measures its stock-based awards granted to employees and directors based on the estimated fair values of the awards and recognizes the compensation over the requisite service period. The Company uses the Black-Scholes option-pricing model to estimate the fair value of its stock-based awards. Stock-based compensation is recognized on a straight-line basis over the vesting period. Stock options granted to non-employees are recorded at their fair value on the measurement date and are subject to periodic adjustments as such options vest and at the end of each reporting period, and the resulting change in fair value, if any, is recognized in the Company’s consolidated statements of operations and comprehensive loss during the period the related services are rendered.</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24"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Income taxes are accounted for under the asset and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Management makes an assessment of the likelihood that the resulting deferred tax assets will be realized. A valuation allowance is provided when it is more likely than not that some portion or all of a deferred tax asset will not be realized. Due to the Company’s historical operating performance and the recorded cumulative net losses in prior fiscal periods, the net deferred tax assets have been fully offset by a valuation allowance.</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59" w:right="4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80"/>
        <w:spacing w:after="0" w:line="237" w:lineRule="auto"/>
        <w:rPr>
          <w:sz w:val="20"/>
          <w:szCs w:val="20"/>
          <w:color w:val="auto"/>
        </w:rPr>
      </w:pPr>
      <w:r>
        <w:rPr>
          <w:rFonts w:ascii="Arial" w:cs="Arial" w:eastAsia="Arial" w:hAnsi="Arial"/>
          <w:sz w:val="18"/>
          <w:szCs w:val="18"/>
          <w:color w:val="auto"/>
        </w:rPr>
        <w:t>The Company recognizes uncertain income tax positions at the largest amount that is more likely than not to be sustained upon audit by the relevant taxing authority. An uncertain income tax position will not be recognized if it has less than a 50% likelihood of being sustained. Changes in recognition or measurement are reflected in the period in which judgment occurs. The Company’s policy is to recognize interest and penalties related to the underpayment of income taxes as a component of interest and other expense.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24" w:lineRule="exact"/>
        <w:rPr>
          <w:sz w:val="20"/>
          <w:szCs w:val="20"/>
          <w:color w:val="auto"/>
        </w:rPr>
      </w:pPr>
    </w:p>
    <w:p>
      <w:pPr>
        <w:ind w:left="120" w:right="900"/>
        <w:spacing w:after="0" w:line="239" w:lineRule="auto"/>
        <w:rPr>
          <w:sz w:val="20"/>
          <w:szCs w:val="20"/>
          <w:color w:val="auto"/>
        </w:rPr>
      </w:pPr>
      <w:r>
        <w:rPr>
          <w:rFonts w:ascii="Arial" w:cs="Arial" w:eastAsia="Arial" w:hAnsi="Arial"/>
          <w:sz w:val="18"/>
          <w:szCs w:val="18"/>
          <w:color w:val="auto"/>
        </w:rPr>
        <w:t>For the years ended December 31, 2017 and 2018, there are no components of other comprehensive loss for the Company. Thus, comprehensive loss is the same as the net loss for the periods presented.</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24" w:lineRule="exact"/>
        <w:rPr>
          <w:sz w:val="20"/>
          <w:szCs w:val="20"/>
          <w:color w:val="auto"/>
        </w:rPr>
      </w:pPr>
    </w:p>
    <w:p>
      <w:pPr>
        <w:ind w:left="120"/>
        <w:spacing w:after="0" w:line="267" w:lineRule="auto"/>
        <w:rPr>
          <w:sz w:val="20"/>
          <w:szCs w:val="20"/>
          <w:color w:val="auto"/>
        </w:rPr>
      </w:pPr>
      <w:r>
        <w:rPr>
          <w:rFonts w:ascii="Arial" w:cs="Arial" w:eastAsia="Arial" w:hAnsi="Arial"/>
          <w:sz w:val="16"/>
          <w:szCs w:val="16"/>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 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redeemable convertible preferred stock, stock options, common stock subject to repurchase related to unvested restricted stock awards and early exercise of stock options are considered to be potentially dilutive securities. Basic and diluted net loss attributable to common stockholders per share is presented in conformity with the two-class method required for participating securities as the redeemable convertible preferred stock is considered a participating security because it participates in dividends with common stock. The Company also considers the shares issued upon the early exercise of stock options subject to repurchase to be participating securities because holders of such shares have non-forfeitable dividend rights in the event a dividend is paid on common stock. The holders of all series of redeemable convertible preferred stock and the holders of early exercised shares subject to repurchase do not have a contractual obligation to share in the Company’s losses. As such, the net loss was attributed entirely to common stockholders. Because the Company has reported a net loss for all periods presented, diluted net loss per share is the same as basic net loss per share for those periods.</w:t>
      </w:r>
    </w:p>
    <w:p>
      <w:pPr>
        <w:spacing w:after="0" w:line="3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24" w:lineRule="exact"/>
        <w:rPr>
          <w:sz w:val="20"/>
          <w:szCs w:val="20"/>
          <w:color w:val="auto"/>
        </w:rPr>
      </w:pPr>
    </w:p>
    <w:p>
      <w:pPr>
        <w:ind w:left="120" w:right="220"/>
        <w:spacing w:after="0" w:line="238" w:lineRule="auto"/>
        <w:rPr>
          <w:sz w:val="20"/>
          <w:szCs w:val="20"/>
          <w:color w:val="auto"/>
        </w:rPr>
      </w:pPr>
      <w:r>
        <w:rPr>
          <w:rFonts w:ascii="Arial" w:cs="Arial" w:eastAsia="Arial" w:hAnsi="Arial"/>
          <w:sz w:val="18"/>
          <w:szCs w:val="18"/>
          <w:color w:val="auto"/>
        </w:rPr>
        <w:t>The Company has one operating and reportable segment. The Company’s chief operating decision maker, its Chief Executive Officer, manages the Company’s operations on a consolidated basis for the purposes of allocating resources and evaluating financial performance. All of the Company’s long-lived assets are located in the United States.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Retirement plans</w:t>
      </w:r>
    </w:p>
    <w:p>
      <w:pPr>
        <w:spacing w:after="0" w:line="124"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The Company maintains a 401(k) retirement plan for its employees. The Company is responsible for administrative costs of the 401(k) plan. The Company may, at its discretion, make matching or profit-sharing contributions to the 401(k) plan. For the years ended December 31, 2017 and 2018, the Company made no matching contributions under the plan.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issued and adopted accounting pronouncements</w:t>
      </w:r>
    </w:p>
    <w:p>
      <w:pPr>
        <w:spacing w:after="0" w:line="106" w:lineRule="exact"/>
        <w:rPr>
          <w:sz w:val="20"/>
          <w:szCs w:val="20"/>
          <w:color w:val="auto"/>
        </w:rPr>
      </w:pPr>
    </w:p>
    <w:p>
      <w:pPr>
        <w:ind w:left="120" w:right="500"/>
        <w:spacing w:after="0" w:line="260" w:lineRule="auto"/>
        <w:rPr>
          <w:sz w:val="20"/>
          <w:szCs w:val="20"/>
          <w:color w:val="auto"/>
        </w:rPr>
      </w:pPr>
      <w:r>
        <w:rPr>
          <w:rFonts w:ascii="Arial" w:cs="Arial" w:eastAsia="Arial" w:hAnsi="Arial"/>
          <w:sz w:val="18"/>
          <w:szCs w:val="18"/>
          <w:color w:val="auto"/>
        </w:rPr>
        <w:t xml:space="preserve">In May 2014, the FASB issued Accounting Standards Update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Subsequently, the FASB also issued ASU No. 2015-14, </w:t>
      </w:r>
      <w:r>
        <w:rPr>
          <w:rFonts w:ascii="Arial" w:cs="Arial" w:eastAsia="Arial" w:hAnsi="Arial"/>
          <w:sz w:val="18"/>
          <w:szCs w:val="18"/>
          <w:i w:val="1"/>
          <w:iCs w:val="1"/>
          <w:color w:val="auto"/>
        </w:rPr>
        <w:t>Revenue from Contracts with</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4" w:lineRule="auto"/>
        <w:rPr>
          <w:sz w:val="20"/>
          <w:szCs w:val="20"/>
          <w:color w:val="auto"/>
        </w:rPr>
      </w:pPr>
      <w:r>
        <w:rPr>
          <w:rFonts w:ascii="Arial" w:cs="Arial" w:eastAsia="Arial" w:hAnsi="Arial"/>
          <w:sz w:val="16"/>
          <w:szCs w:val="16"/>
          <w:i w:val="1"/>
          <w:iCs w:val="1"/>
          <w:color w:val="auto"/>
        </w:rPr>
        <w:t>Customers (Topic 606)</w:t>
      </w:r>
      <w:r>
        <w:rPr>
          <w:rFonts w:ascii="Arial" w:cs="Arial" w:eastAsia="Arial" w:hAnsi="Arial"/>
          <w:sz w:val="16"/>
          <w:szCs w:val="16"/>
          <w:color w:val="auto"/>
        </w:rPr>
        <w:t>, which adjusted the effective date of ASU No. 2014-09; ASU No. 2016-08,</w:t>
      </w:r>
      <w:r>
        <w:rPr>
          <w:rFonts w:ascii="Arial" w:cs="Arial" w:eastAsia="Arial" w:hAnsi="Arial"/>
          <w:sz w:val="16"/>
          <w:szCs w:val="16"/>
          <w:i w:val="1"/>
          <w:iCs w:val="1"/>
          <w:color w:val="auto"/>
        </w:rPr>
        <w:t xml:space="preserve"> Revenue from Contracts with Customers (Topic 606): Principal versus Agent Considerations (Reporting Revenue Gross versus Net)</w:t>
      </w:r>
      <w:r>
        <w:rPr>
          <w:rFonts w:ascii="Arial" w:cs="Arial" w:eastAsia="Arial" w:hAnsi="Arial"/>
          <w:sz w:val="16"/>
          <w:szCs w:val="16"/>
          <w:color w:val="auto"/>
        </w:rPr>
        <w:t>, which amends the principal-versus-agent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implementation guidance and illustrations in ASU No. 2014-09; ASU No. 2016-10,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w:t>
      </w:r>
      <w:r>
        <w:rPr>
          <w:rFonts w:ascii="Arial" w:cs="Arial" w:eastAsia="Arial" w:hAnsi="Arial"/>
          <w:sz w:val="16"/>
          <w:szCs w:val="16"/>
          <w:i w:val="1"/>
          <w:iCs w:val="1"/>
          <w:color w:val="auto"/>
        </w:rPr>
        <w:t>Identifying Performance Obligations and Licensing</w:t>
      </w:r>
      <w:r>
        <w:rPr>
          <w:rFonts w:ascii="Arial" w:cs="Arial" w:eastAsia="Arial" w:hAnsi="Arial"/>
          <w:sz w:val="16"/>
          <w:szCs w:val="16"/>
          <w:color w:val="auto"/>
        </w:rPr>
        <w:t>, which clarifies identifying performance obligation and licensing implementation guidance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illustrations in ASU No. 2014-09; and ASU No. 2016-12, </w:t>
      </w:r>
      <w:r>
        <w:rPr>
          <w:rFonts w:ascii="Arial" w:cs="Arial" w:eastAsia="Arial" w:hAnsi="Arial"/>
          <w:sz w:val="16"/>
          <w:szCs w:val="16"/>
          <w:i w:val="1"/>
          <w:iCs w:val="1"/>
          <w:color w:val="auto"/>
        </w:rPr>
        <w:t>Revenue from Contracts with Customers (Topic 606): Narrow-Scope</w:t>
      </w:r>
      <w:r>
        <w:rPr>
          <w:rFonts w:ascii="Arial" w:cs="Arial" w:eastAsia="Arial" w:hAnsi="Arial"/>
          <w:sz w:val="16"/>
          <w:szCs w:val="16"/>
          <w:color w:val="auto"/>
        </w:rPr>
        <w:t xml:space="preserve"> </w:t>
      </w:r>
      <w:r>
        <w:rPr>
          <w:rFonts w:ascii="Arial" w:cs="Arial" w:eastAsia="Arial" w:hAnsi="Arial"/>
          <w:sz w:val="16"/>
          <w:szCs w:val="16"/>
          <w:i w:val="1"/>
          <w:iCs w:val="1"/>
          <w:color w:val="auto"/>
        </w:rPr>
        <w:t>Improvements and Practical Expedients</w:t>
      </w:r>
      <w:r>
        <w:rPr>
          <w:rFonts w:ascii="Arial" w:cs="Arial" w:eastAsia="Arial" w:hAnsi="Arial"/>
          <w:sz w:val="16"/>
          <w:szCs w:val="16"/>
          <w:color w:val="auto"/>
        </w:rPr>
        <w:t>, which addresses implementation issues and is intended to reduce the cost and complexity of</w:t>
      </w:r>
      <w:r>
        <w:rPr>
          <w:rFonts w:ascii="Arial" w:cs="Arial" w:eastAsia="Arial" w:hAnsi="Arial"/>
          <w:sz w:val="16"/>
          <w:szCs w:val="16"/>
          <w:i w:val="1"/>
          <w:iCs w:val="1"/>
          <w:color w:val="auto"/>
        </w:rPr>
        <w:t xml:space="preserve"> </w:t>
      </w:r>
      <w:r>
        <w:rPr>
          <w:rFonts w:ascii="Arial" w:cs="Arial" w:eastAsia="Arial" w:hAnsi="Arial"/>
          <w:sz w:val="16"/>
          <w:szCs w:val="16"/>
          <w:color w:val="auto"/>
        </w:rPr>
        <w:t>applying the new revenue standard in ASU No. 2014-09 (collectively, the Revenue ASUs).</w:t>
      </w:r>
    </w:p>
    <w:p>
      <w:pPr>
        <w:spacing w:after="0" w:line="283"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The Revenue ASUs provide an accounting standard for a single comprehensive model for use in accounting for revenue arising from contracts with customers and supersedes most current revenue recognition guidance. The guidance permits two methods of adoption: retrospectively to each prior reporting period presented (the full retrospective method), or retrospectively with the cumulative effect of initially applying the guidance recognized at the date of initial application (the modified retrospective method).</w:t>
      </w:r>
    </w:p>
    <w:p>
      <w:pPr>
        <w:spacing w:after="0" w:line="100"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On January 1, 2018, the Company early adopted ASC 606 using the full retrospective method. The Company did not have any arrangements with customers prior to 2018 and, accordingly, there was no impact from the adoption of ASC 606 on its consolidated financial statements as of and for the year ended December 31, 2017.</w:t>
      </w:r>
    </w:p>
    <w:p>
      <w:pPr>
        <w:spacing w:after="0" w:line="82" w:lineRule="exact"/>
        <w:rPr>
          <w:sz w:val="20"/>
          <w:szCs w:val="20"/>
          <w:color w:val="auto"/>
        </w:rPr>
      </w:pPr>
    </w:p>
    <w:p>
      <w:pPr>
        <w:ind w:left="120" w:right="340"/>
        <w:spacing w:after="0" w:line="239"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Instruments—Overall (Subtopic 825-10): Recognition and Measurement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Assets and Financial Liabilities </w:t>
      </w:r>
      <w:r>
        <w:rPr>
          <w:rFonts w:ascii="Arial" w:cs="Arial" w:eastAsia="Arial" w:hAnsi="Arial"/>
          <w:sz w:val="18"/>
          <w:szCs w:val="18"/>
          <w:color w:val="auto"/>
        </w:rPr>
        <w:t>(ASU 2016-01). ASU 2016-01 enhances the reporting model for financial instruments, which</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amendments to address aspects of recognition, measurement, presentation and disclosure of financial instruments. In February 2018, the FASB issued ASU 2018-03</w:t>
      </w:r>
      <w:r>
        <w:rPr>
          <w:rFonts w:ascii="Arial" w:cs="Arial" w:eastAsia="Arial" w:hAnsi="Arial"/>
          <w:sz w:val="18"/>
          <w:szCs w:val="18"/>
          <w:i w:val="1"/>
          <w:iCs w:val="1"/>
          <w:color w:val="auto"/>
        </w:rPr>
        <w:t>, Technical Corrections and Improvements to Financial Instruments—Overall (Subtopic 825-10):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Recognition and Measurement of Financial Assets and Financial Liabilities </w:t>
      </w:r>
      <w:r>
        <w:rPr>
          <w:rFonts w:ascii="Arial" w:cs="Arial" w:eastAsia="Arial" w:hAnsi="Arial"/>
          <w:sz w:val="18"/>
          <w:szCs w:val="18"/>
          <w:color w:val="auto"/>
        </w:rPr>
        <w:t>(ASC 2018-03). The adoption of this guidance during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2018 did not have an impact on the Company’s consolidated financial statements.</w:t>
      </w:r>
    </w:p>
    <w:p>
      <w:pPr>
        <w:spacing w:after="0" w:line="86" w:lineRule="exact"/>
        <w:rPr>
          <w:sz w:val="20"/>
          <w:szCs w:val="20"/>
          <w:color w:val="auto"/>
        </w:rPr>
      </w:pPr>
    </w:p>
    <w:p>
      <w:pPr>
        <w:ind w:left="120" w:right="40"/>
        <w:spacing w:after="0" w:line="272" w:lineRule="auto"/>
        <w:rPr>
          <w:sz w:val="20"/>
          <w:szCs w:val="20"/>
          <w:color w:val="auto"/>
        </w:rPr>
      </w:pPr>
      <w:r>
        <w:rPr>
          <w:rFonts w:ascii="Arial" w:cs="Arial" w:eastAsia="Arial" w:hAnsi="Arial"/>
          <w:sz w:val="16"/>
          <w:szCs w:val="16"/>
          <w:color w:val="auto"/>
        </w:rPr>
        <w:t xml:space="preserve">In March 2016, the FASB issued ASU No. 2016-09, </w:t>
      </w:r>
      <w:r>
        <w:rPr>
          <w:rFonts w:ascii="Arial" w:cs="Arial" w:eastAsia="Arial" w:hAnsi="Arial"/>
          <w:sz w:val="16"/>
          <w:szCs w:val="16"/>
          <w:i w:val="1"/>
          <w:iCs w:val="1"/>
          <w:color w:val="auto"/>
        </w:rPr>
        <w:t>Stock Compensation—Improvements to Employee Share-Based Payment Accounting</w:t>
      </w:r>
      <w:r>
        <w:rPr>
          <w:rFonts w:ascii="Arial" w:cs="Arial" w:eastAsia="Arial" w:hAnsi="Arial"/>
          <w:sz w:val="16"/>
          <w:szCs w:val="16"/>
          <w:color w:val="auto"/>
        </w:rPr>
        <w:t xml:space="preserve"> (ASU 2016-09). ASU 2016-09 was issued to simplify accounting guidance by identifying, evaluating, and improving areas for which cost and complexity can be reduced while maintaining or improving the usefulness of the information provided to users of financial statements. The areas affected by ASU 2016-09 include accounting for income taxes, classification of excess tax benefits on the statement of cash flows, minimum statutory tax withholding requirements, and classification of employee taxes paid on the statement of cash flows when an employer withholds shares for tax-withholding purposes. In addition, under this guidance, an entity can make an accounting policy election to either estimate the number of awards that are expected to vest or account for forfeitures when they occur. The adoption of this guidance during the year ended December 31, 2017 did not have a material impact on the Company’s consolidated financial statements.</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In August 2016, the FASB issued ASU No. 2016-18, </w:t>
      </w:r>
      <w:r>
        <w:rPr>
          <w:rFonts w:ascii="Arial" w:cs="Arial" w:eastAsia="Arial" w:hAnsi="Arial"/>
          <w:sz w:val="18"/>
          <w:szCs w:val="18"/>
          <w:i w:val="1"/>
          <w:iCs w:val="1"/>
          <w:color w:val="auto"/>
        </w:rPr>
        <w:t>Restricted Cash, Statement of Cash Flows (Topic 230): Restricted</w:t>
      </w:r>
    </w:p>
    <w:p>
      <w:pPr>
        <w:spacing w:after="0" w:line="14"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i w:val="1"/>
          <w:iCs w:val="1"/>
          <w:color w:val="auto"/>
        </w:rPr>
        <w:t xml:space="preserve">Cash </w:t>
      </w:r>
      <w:r>
        <w:rPr>
          <w:rFonts w:ascii="Arial" w:cs="Arial" w:eastAsia="Arial" w:hAnsi="Arial"/>
          <w:sz w:val="18"/>
          <w:szCs w:val="18"/>
          <w:color w:val="auto"/>
        </w:rPr>
        <w:t>(ASU 2016-18). ASU 2016-18 requires that a statement of cash flows explain the change during the period in the total of cash,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and amounts generally described as restricted cash or restricted cash equivalents. Amounts generally described as restricted cash and restricted cash equivalents should be included with cash and cash equivalents when reconciling the beginning-of-period and end-of-period total amounts shown on the statement of cash flows. The adoption of this guidance during the year ended December 31, 2018 did not have a material impact on the Company’s consolidated financial statements.</w:t>
      </w:r>
    </w:p>
    <w:p>
      <w:pPr>
        <w:spacing w:after="0" w:line="85" w:lineRule="exact"/>
        <w:rPr>
          <w:sz w:val="20"/>
          <w:szCs w:val="20"/>
          <w:color w:val="auto"/>
        </w:rPr>
      </w:pPr>
    </w:p>
    <w:p>
      <w:pPr>
        <w:ind w:left="120" w:right="320"/>
        <w:spacing w:after="0" w:line="247"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Intangibles—Goodwill and Other (Topic 350): Simplifying the Test for Goodwill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Impairment </w:t>
      </w:r>
      <w:r>
        <w:rPr>
          <w:rFonts w:ascii="Arial" w:cs="Arial" w:eastAsia="Arial" w:hAnsi="Arial"/>
          <w:sz w:val="18"/>
          <w:szCs w:val="18"/>
          <w:color w:val="auto"/>
        </w:rPr>
        <w:t>(ASU 2017-04). ASU 2017-04 simplifies the measurement of goodwill by eliminating step two of the two-step impairment test.</w:t>
      </w:r>
      <w:r>
        <w:rPr>
          <w:rFonts w:ascii="Arial" w:cs="Arial" w:eastAsia="Arial" w:hAnsi="Arial"/>
          <w:sz w:val="18"/>
          <w:szCs w:val="18"/>
          <w:i w:val="1"/>
          <w:iCs w:val="1"/>
          <w:color w:val="auto"/>
        </w:rPr>
        <w:t xml:space="preserve"> </w:t>
      </w:r>
      <w:r>
        <w:rPr>
          <w:rFonts w:ascii="Arial" w:cs="Arial" w:eastAsia="Arial" w:hAnsi="Arial"/>
          <w:sz w:val="18"/>
          <w:szCs w:val="18"/>
          <w:color w:val="auto"/>
        </w:rPr>
        <w:t>Step two measures a goodwill impairment loss by</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060"/>
          </w:cols>
          <w:pgMar w:left="320" w:top="459" w:right="51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72" w:lineRule="auto"/>
        <w:rPr>
          <w:sz w:val="20"/>
          <w:szCs w:val="20"/>
          <w:color w:val="auto"/>
        </w:rPr>
      </w:pPr>
      <w:r>
        <w:rPr>
          <w:rFonts w:ascii="Arial" w:cs="Arial" w:eastAsia="Arial" w:hAnsi="Arial"/>
          <w:sz w:val="16"/>
          <w:szCs w:val="16"/>
          <w:color w:val="auto"/>
        </w:rPr>
        <w:t>comparing the implied fair value of a reporting unit’s goodwill with the carrying amount of that goodwill. The new guidance requires an entity to compare the fair value of a reporting unit with its carrying amount and recognize an impairment charge for the amount by which the carrying amount exceeds the reporting unit’s fair value. Additionally, an entity should consider income tax effects from any tax-deductible goodwill on the carrying amount of the reporting unit when measuring the goodwill impairment loss, if applicable. The early adoption of this guidance during the year ended December 31, 2018 did not have an impact on the Company’s consolidated financial statements.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06"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(ASU 2016-02). ASU 2016-02 provides accounting guidance for both lessee and lessor accounting models. The principle of ASU 2016-02 is that a lessee should recognize the assets and liabilities that arise from leases. Lessees will need to recognize a right-of-use asset and a lease liability for virtually all of their leases (other than leases that meet the definition of a short-term lease). The liability will be equal to the present value of lease payments. The asset will be based on the liability. For income statement purposes, ASU 2016-02 requires leases to be classified as either operating or finance. Operating leases will result in straight-line expense while finance leases will result in a front-loaded expense pattern. ASU 2016-02 is applicable to the Company for the fiscal year beginning after December 15, 2019, and interim periods within fiscal years beginning after December 15, 2020. Early adoption is permitted. In July 2018, the FASB issued supplemental adoption guidance and clarification to ASC 842 within ASU 2018-10, </w:t>
      </w:r>
      <w:r>
        <w:rPr>
          <w:rFonts w:ascii="Arial" w:cs="Arial" w:eastAsia="Arial" w:hAnsi="Arial"/>
          <w:sz w:val="18"/>
          <w:szCs w:val="18"/>
          <w:i w:val="1"/>
          <w:iCs w:val="1"/>
          <w:color w:val="auto"/>
        </w:rPr>
        <w:t>Codification 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Topic 842, Leases</w:t>
      </w:r>
      <w:r>
        <w:rPr>
          <w:rFonts w:ascii="Arial" w:cs="Arial" w:eastAsia="Arial" w:hAnsi="Arial"/>
          <w:sz w:val="18"/>
          <w:szCs w:val="18"/>
          <w:color w:val="auto"/>
        </w:rPr>
        <w:t>, ASU 2018-11,</w:t>
      </w:r>
      <w:r>
        <w:rPr>
          <w:rFonts w:ascii="Arial" w:cs="Arial" w:eastAsia="Arial" w:hAnsi="Arial"/>
          <w:sz w:val="18"/>
          <w:szCs w:val="18"/>
          <w:i w:val="1"/>
          <w:iCs w:val="1"/>
          <w:color w:val="auto"/>
        </w:rPr>
        <w:t xml:space="preserve"> Leases (Topic 842): Targeted Improvements </w:t>
      </w:r>
      <w:r>
        <w:rPr>
          <w:rFonts w:ascii="Arial" w:cs="Arial" w:eastAsia="Arial" w:hAnsi="Arial"/>
          <w:sz w:val="18"/>
          <w:szCs w:val="18"/>
          <w:color w:val="auto"/>
        </w:rPr>
        <w:t>and ASU 2019-01,</w:t>
      </w:r>
      <w:r>
        <w:rPr>
          <w:rFonts w:ascii="Arial" w:cs="Arial" w:eastAsia="Arial" w:hAnsi="Arial"/>
          <w:sz w:val="18"/>
          <w:szCs w:val="18"/>
          <w:i w:val="1"/>
          <w:iCs w:val="1"/>
          <w:color w:val="auto"/>
        </w:rPr>
        <w:t xml:space="preserve"> Leases (Topic 842): Codification Improvements. </w:t>
      </w:r>
      <w:r>
        <w:rPr>
          <w:rFonts w:ascii="Arial" w:cs="Arial" w:eastAsia="Arial" w:hAnsi="Arial"/>
          <w:sz w:val="18"/>
          <w:szCs w:val="18"/>
          <w:color w:val="auto"/>
        </w:rPr>
        <w:t>ASU 2018-11 provides another transition method in addition to the existing modified retrospective transition method by</w:t>
      </w:r>
      <w:r>
        <w:rPr>
          <w:rFonts w:ascii="Arial" w:cs="Arial" w:eastAsia="Arial" w:hAnsi="Arial"/>
          <w:sz w:val="18"/>
          <w:szCs w:val="18"/>
          <w:i w:val="1"/>
          <w:iCs w:val="1"/>
          <w:color w:val="auto"/>
        </w:rPr>
        <w:t xml:space="preserve"> </w:t>
      </w:r>
      <w:r>
        <w:rPr>
          <w:rFonts w:ascii="Arial" w:cs="Arial" w:eastAsia="Arial" w:hAnsi="Arial"/>
          <w:sz w:val="18"/>
          <w:szCs w:val="18"/>
          <w:color w:val="auto"/>
        </w:rPr>
        <w:t>allowing entities to initially apply the new leasing standard at the adoption date and recognize a cumulative-effect adjustment to the opening balance of retained earnings in the period of adoption. The Company plans to adopt these ASUs on January 1, 2020. While the Company continues to review its current accounting policies and practices to identify potential differences that would result from applying the new guidance, the Company currently believes the most significant changes will be related to the recognition of new right-of-use assets and lease liabilities in the Company’s consolidated balance sheet for operating leases. The Company expects to elect transitional practical expedients such that the Company will not need to reassess whether contracts are leases and will retain lease classification and initial direct costs for leases existing prior to the adoption of the new lease standard.</w:t>
      </w:r>
    </w:p>
    <w:p>
      <w:pPr>
        <w:spacing w:after="0" w:line="90" w:lineRule="exact"/>
        <w:rPr>
          <w:sz w:val="20"/>
          <w:szCs w:val="20"/>
          <w:color w:val="auto"/>
        </w:rPr>
      </w:pPr>
    </w:p>
    <w:p>
      <w:pPr>
        <w:ind w:left="120" w:right="120"/>
        <w:spacing w:after="0" w:line="267"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 Measurement of Credit Losses 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Instruments </w:t>
      </w:r>
      <w:r>
        <w:rPr>
          <w:rFonts w:ascii="Arial" w:cs="Arial" w:eastAsia="Arial" w:hAnsi="Arial"/>
          <w:sz w:val="16"/>
          <w:szCs w:val="16"/>
          <w:color w:val="auto"/>
        </w:rPr>
        <w:t>(ASU 2016-13), which requires the measurement and recognition of expected credit losses for financial assets held at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amortized cost. ASU 2016-13 replaces the existing incurred loss impairment model with an expected loss model. It also eliminates the concept of other-than-temporary impairment and requires credit losses related to available-for-sale debt securities to be recorded through an allowance for credit losses rather than as a reduction in the amortized cost basis of the securities. These changes will result in earlier recognition of credit losses. In November 2018, the FASB issued ASU No. 2018-19, </w:t>
      </w:r>
      <w:r>
        <w:rPr>
          <w:rFonts w:ascii="Arial" w:cs="Arial" w:eastAsia="Arial" w:hAnsi="Arial"/>
          <w:sz w:val="16"/>
          <w:szCs w:val="16"/>
          <w:i w:val="1"/>
          <w:iCs w:val="1"/>
          <w:color w:val="auto"/>
        </w:rPr>
        <w:t>Codification Improvements to Topic 326,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Instruments—Credit Losses </w:t>
      </w:r>
      <w:r>
        <w:rPr>
          <w:rFonts w:ascii="Arial" w:cs="Arial" w:eastAsia="Arial" w:hAnsi="Arial"/>
          <w:sz w:val="16"/>
          <w:szCs w:val="16"/>
          <w:color w:val="auto"/>
        </w:rPr>
        <w:t>(ASU 2018-19) which narrowed the scope and changed the effective date for non-public entities for ASU</w:t>
      </w:r>
    </w:p>
    <w:p>
      <w:pPr>
        <w:spacing w:after="0" w:line="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 xml:space="preserve">2016-13. The FASB subsequently issued supplemental guidance within ASU No. 2019-05, </w:t>
      </w:r>
      <w:r>
        <w:rPr>
          <w:rFonts w:ascii="Arial" w:cs="Arial" w:eastAsia="Arial" w:hAnsi="Arial"/>
          <w:sz w:val="18"/>
          <w:szCs w:val="18"/>
          <w:i w:val="1"/>
          <w:iCs w:val="1"/>
          <w:color w:val="auto"/>
        </w:rPr>
        <w:t>Financial Instruments—Credit Losses (Topic 326):</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Targeted Transition Relief </w:t>
      </w:r>
      <w:r>
        <w:rPr>
          <w:rFonts w:ascii="Arial" w:cs="Arial" w:eastAsia="Arial" w:hAnsi="Arial"/>
          <w:sz w:val="18"/>
          <w:szCs w:val="18"/>
          <w:color w:val="auto"/>
        </w:rPr>
        <w:t>(ASU 2019-05). ASU 2019-05 provides an option to irrevocably elect the fair value option for certain financial assets</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measured at amortized cost basis. ASU 2016-13 is applicable to the Company for the fiscal year beginning after December 15, 2021. Early adoption is permitted. The Company is currently evaluating the impact the adoption of these ASUs will have on its consolidated financial statements and related disclosures.</w:t>
      </w:r>
    </w:p>
    <w:p>
      <w:pPr>
        <w:spacing w:after="0" w:line="85"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 xml:space="preserve">Compensation—Stock Compensation (Topic 718): Improvements to Nonemployee Share-Based Payment Accounting </w:t>
      </w:r>
      <w:r>
        <w:rPr>
          <w:rFonts w:ascii="Arial" w:cs="Arial" w:eastAsia="Arial" w:hAnsi="Arial"/>
          <w:sz w:val="18"/>
          <w:szCs w:val="18"/>
          <w:color w:val="auto"/>
        </w:rPr>
        <w:t>(ASU 2018-07). ASU 2018-07 simplifies the accounting for</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59" w:right="4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share-based payments to nonemployees by aligning it with the accounting for share-based payments to employees, with certain exceptions. ASU 2018-07 is applicable to the Company for the fiscal year beginning after December 15, 2019, and interim periods within fiscal years beginning after December 15, 2020. Early adoption is permitted. The Company is currently evaluating the impact the adoption of this ASU will have on its consolidated financial statements and related disclosures.</w:t>
      </w:r>
    </w:p>
    <w:p>
      <w:pPr>
        <w:spacing w:after="0" w:line="82" w:lineRule="exact"/>
        <w:rPr>
          <w:sz w:val="20"/>
          <w:szCs w:val="20"/>
          <w:color w:val="auto"/>
        </w:rPr>
      </w:pPr>
    </w:p>
    <w:p>
      <w:pPr>
        <w:ind w:left="120" w:right="120"/>
        <w:spacing w:after="0" w:line="241"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Disclosure Framework</w:t>
      </w:r>
      <w:r>
        <w:rPr>
          <w:rFonts w:ascii="Arial" w:cs="Arial" w:eastAsia="Arial" w:hAnsi="Arial"/>
          <w:sz w:val="18"/>
          <w:szCs w:val="18"/>
          <w:color w:val="auto"/>
        </w:rPr>
        <w:t xml:space="preserve"> (ASU 2018-13). ASU 2018-13 is part of a broader disclosure framework project by the FASB to improve the effectiveness of disclosures by more clearly communicating the information to the user. ASU 2018-13 is applicable to the Company for the fiscal year beginning after December 15, 2019. Early adoption is permitted. The Company is currently evaluating the impact the adoption of this ASU will have on its consolidated financial statement disclosures.</w:t>
      </w:r>
    </w:p>
    <w:p>
      <w:pPr>
        <w:spacing w:after="0" w:line="81" w:lineRule="exact"/>
        <w:rPr>
          <w:sz w:val="20"/>
          <w:szCs w:val="20"/>
          <w:color w:val="auto"/>
        </w:rPr>
      </w:pPr>
    </w:p>
    <w:p>
      <w:pPr>
        <w:ind w:left="120" w:right="120"/>
        <w:spacing w:after="0" w:line="239"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Other-Internal-Use Software (Subtopic 350-40):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for Implementation Costs Incurred in a Cloud Computing Arrangement That Is a Service Contract </w:t>
      </w:r>
      <w:r>
        <w:rPr>
          <w:rFonts w:ascii="Arial" w:cs="Arial" w:eastAsia="Arial" w:hAnsi="Arial"/>
          <w:sz w:val="18"/>
          <w:szCs w:val="18"/>
          <w:color w:val="auto"/>
        </w:rPr>
        <w:t>(ASU 2018-15). ASU 2018-15</w:t>
      </w:r>
      <w:r>
        <w:rPr>
          <w:rFonts w:ascii="Arial" w:cs="Arial" w:eastAsia="Arial" w:hAnsi="Arial"/>
          <w:sz w:val="18"/>
          <w:szCs w:val="18"/>
          <w:i w:val="1"/>
          <w:iCs w:val="1"/>
          <w:color w:val="auto"/>
        </w:rPr>
        <w:t xml:space="preserve"> </w:t>
      </w:r>
      <w:r>
        <w:rPr>
          <w:rFonts w:ascii="Arial" w:cs="Arial" w:eastAsia="Arial" w:hAnsi="Arial"/>
          <w:sz w:val="18"/>
          <w:szCs w:val="18"/>
          <w:color w:val="auto"/>
        </w:rPr>
        <w:t>aligns the requirements for capitalizing implementation costs incurred in a cloud computing arrangement that is a service contract with the requirements for capitalizing implementation costs incurred to develop or obtain internal-use-software. This ASU is effective for the Company for the fiscal year beginning after December 31, 2020, and interim periods within fiscal years beginning after December 31, 2021. The Company is currently evaluating the impact of this ASU on the Company’s consolidated financial statements.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3. Fair value measurements</w:t>
      </w:r>
    </w:p>
    <w:p>
      <w:pPr>
        <w:spacing w:after="0" w:line="134" w:lineRule="exact"/>
        <w:rPr>
          <w:sz w:val="20"/>
          <w:szCs w:val="20"/>
          <w:color w:val="auto"/>
        </w:rPr>
      </w:pPr>
    </w:p>
    <w:p>
      <w:pPr>
        <w:ind w:left="120" w:right="400"/>
        <w:spacing w:after="0" w:line="239" w:lineRule="auto"/>
        <w:rPr>
          <w:sz w:val="20"/>
          <w:szCs w:val="20"/>
          <w:color w:val="auto"/>
        </w:rPr>
      </w:pPr>
      <w:r>
        <w:rPr>
          <w:rFonts w:ascii="Arial" w:cs="Arial" w:eastAsia="Arial" w:hAnsi="Arial"/>
          <w:sz w:val="18"/>
          <w:szCs w:val="18"/>
          <w:color w:val="auto"/>
        </w:rPr>
        <w:t>The following table presents information about the Company’s financial assets that are measured at fair value and indicates the fair value hierarchy of the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45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7"/>
              </w:rPr>
              <w:t>December 31, 2017</w:t>
            </w:r>
          </w:p>
        </w:tc>
        <w:tc>
          <w:tcPr>
            <w:tcW w:w="5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452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b w:val="1"/>
                <w:bCs w:val="1"/>
                <w:color w:val="auto"/>
                <w:w w:val="92"/>
              </w:rPr>
              <w:t>Total</w:t>
            </w:r>
          </w:p>
        </w:tc>
        <w:tc>
          <w:tcPr>
            <w:tcW w:w="10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Level 1</w:t>
            </w:r>
          </w:p>
        </w:tc>
        <w:tc>
          <w:tcPr>
            <w:tcW w:w="104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Level 2</w:t>
            </w:r>
          </w:p>
        </w:tc>
        <w:tc>
          <w:tcPr>
            <w:tcW w:w="900" w:type="dxa"/>
            <w:vAlign w:val="bottom"/>
            <w:tcBorders>
              <w:bottom w:val="single" w:sz="8" w:color="auto"/>
            </w:tcBorders>
            <w:gridSpan w:val="4"/>
          </w:tcPr>
          <w:p>
            <w:pPr>
              <w:ind w:left="240"/>
              <w:spacing w:after="0"/>
              <w:rPr>
                <w:sz w:val="20"/>
                <w:szCs w:val="20"/>
                <w:color w:val="auto"/>
              </w:rPr>
            </w:pPr>
            <w:r>
              <w:rPr>
                <w:rFonts w:ascii="Arial" w:cs="Arial" w:eastAsia="Arial" w:hAnsi="Arial"/>
                <w:sz w:val="18"/>
                <w:szCs w:val="18"/>
                <w:b w:val="1"/>
                <w:bCs w:val="1"/>
                <w:color w:val="auto"/>
              </w:rPr>
              <w:t>Level 3</w:t>
            </w:r>
          </w:p>
        </w:tc>
      </w:tr>
      <w:tr>
        <w:trPr>
          <w:trHeight w:val="226"/>
        </w:trPr>
        <w:tc>
          <w:tcPr>
            <w:tcW w:w="45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00" w:type="dxa"/>
            <w:vAlign w:val="bottom"/>
            <w:gridSpan w:val="2"/>
          </w:tcPr>
          <w:p>
            <w:pPr>
              <w:jc w:val="center"/>
              <w:ind w:left="372"/>
              <w:spacing w:after="0"/>
              <w:rPr>
                <w:sz w:val="20"/>
                <w:szCs w:val="20"/>
                <w:color w:val="auto"/>
              </w:rPr>
            </w:pPr>
            <w:r>
              <w:rPr>
                <w:rFonts w:ascii="Arial" w:cs="Arial" w:eastAsia="Arial" w:hAnsi="Arial"/>
                <w:sz w:val="18"/>
                <w:szCs w:val="18"/>
                <w:b w:val="1"/>
                <w:bCs w:val="1"/>
                <w:color w:val="auto"/>
                <w:w w:val="96"/>
              </w:rPr>
              <w:t>(in thousands)</w:t>
            </w: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7"/>
        </w:trPr>
        <w:tc>
          <w:tcPr>
            <w:tcW w:w="4520" w:type="dxa"/>
            <w:vAlign w:val="bottom"/>
          </w:tcPr>
          <w:p>
            <w:pPr>
              <w:spacing w:after="0"/>
              <w:rPr>
                <w:sz w:val="3"/>
                <w:szCs w:val="3"/>
                <w:color w:val="auto"/>
              </w:rPr>
            </w:pPr>
          </w:p>
        </w:tc>
        <w:tc>
          <w:tcPr>
            <w:tcW w:w="2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02"/>
        </w:trPr>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Money market funds(1)</w:t>
            </w:r>
          </w:p>
        </w:tc>
        <w:tc>
          <w:tcPr>
            <w:tcW w:w="272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center"/>
              <w:ind w:right="132"/>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9,054</w:t>
            </w:r>
          </w:p>
        </w:tc>
        <w:tc>
          <w:tcPr>
            <w:tcW w:w="1060" w:type="dxa"/>
            <w:vAlign w:val="bottom"/>
            <w:tcBorders>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$ 9,054</w:t>
            </w:r>
          </w:p>
        </w:tc>
        <w:tc>
          <w:tcPr>
            <w:tcW w:w="640" w:type="dxa"/>
            <w:vAlign w:val="bottom"/>
            <w:tcBorders>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ind w:left="160"/>
              <w:spacing w:after="0" w:line="202" w:lineRule="exact"/>
              <w:rPr>
                <w:sz w:val="20"/>
                <w:szCs w:val="20"/>
                <w:color w:val="auto"/>
              </w:rPr>
            </w:pPr>
            <w:r>
              <w:rPr>
                <w:rFonts w:ascii="Arial" w:cs="Arial" w:eastAsia="Arial" w:hAnsi="Arial"/>
                <w:sz w:val="18"/>
                <w:szCs w:val="18"/>
                <w:color w:val="auto"/>
                <w:w w:val="88"/>
              </w:rPr>
              <w:t>—</w:t>
            </w:r>
          </w:p>
        </w:tc>
        <w:tc>
          <w:tcPr>
            <w:tcW w:w="60" w:type="dxa"/>
            <w:vAlign w:val="bottom"/>
            <w:gridSpan w:val="2"/>
            <w:shd w:val="clear" w:color="auto" w:fill="CCEEFF"/>
          </w:tcPr>
          <w:p>
            <w:pPr>
              <w:spacing w:after="0"/>
              <w:rPr>
                <w:sz w:val="17"/>
                <w:szCs w:val="17"/>
                <w:color w:val="auto"/>
              </w:rPr>
            </w:pPr>
          </w:p>
        </w:tc>
      </w:tr>
      <w:tr>
        <w:trPr>
          <w:trHeight w:val="222"/>
        </w:trPr>
        <w:tc>
          <w:tcPr>
            <w:tcW w:w="4520" w:type="dxa"/>
            <w:vAlign w:val="bottom"/>
          </w:tcPr>
          <w:p>
            <w:pPr>
              <w:ind w:left="220"/>
              <w:spacing w:after="0"/>
              <w:rPr>
                <w:sz w:val="20"/>
                <w:szCs w:val="20"/>
                <w:color w:val="auto"/>
              </w:rPr>
            </w:pPr>
            <w:r>
              <w:rPr>
                <w:rFonts w:ascii="Arial" w:cs="Arial" w:eastAsia="Arial" w:hAnsi="Arial"/>
                <w:sz w:val="18"/>
                <w:szCs w:val="18"/>
                <w:color w:val="auto"/>
              </w:rPr>
              <w:t>Total</w:t>
            </w:r>
          </w:p>
        </w:tc>
        <w:tc>
          <w:tcPr>
            <w:tcW w:w="3500" w:type="dxa"/>
            <w:vAlign w:val="bottom"/>
            <w:gridSpan w:val="2"/>
          </w:tcPr>
          <w:p>
            <w:pPr>
              <w:jc w:val="center"/>
              <w:ind w:left="2412"/>
              <w:spacing w:after="0"/>
              <w:rPr>
                <w:sz w:val="20"/>
                <w:szCs w:val="20"/>
                <w:color w:val="auto"/>
              </w:rPr>
            </w:pPr>
            <w:r>
              <w:rPr>
                <w:rFonts w:ascii="Arial" w:cs="Arial" w:eastAsia="Arial" w:hAnsi="Arial"/>
                <w:sz w:val="18"/>
                <w:szCs w:val="18"/>
                <w:color w:val="auto"/>
              </w:rPr>
              <w:t>$9,054</w:t>
            </w:r>
          </w:p>
        </w:tc>
        <w:tc>
          <w:tcPr>
            <w:tcW w:w="1060" w:type="dxa"/>
            <w:vAlign w:val="bottom"/>
          </w:tcPr>
          <w:p>
            <w:pPr>
              <w:ind w:left="220"/>
              <w:spacing w:after="0"/>
              <w:rPr>
                <w:sz w:val="20"/>
                <w:szCs w:val="20"/>
                <w:color w:val="auto"/>
              </w:rPr>
            </w:pPr>
            <w:r>
              <w:rPr>
                <w:rFonts w:ascii="Arial" w:cs="Arial" w:eastAsia="Arial" w:hAnsi="Arial"/>
                <w:sz w:val="18"/>
                <w:szCs w:val="18"/>
                <w:color w:val="auto"/>
              </w:rPr>
              <w:t>$ 9,054</w:t>
            </w:r>
          </w:p>
        </w:tc>
        <w:tc>
          <w:tcPr>
            <w:tcW w:w="640" w:type="dxa"/>
            <w:vAlign w:val="bottom"/>
          </w:tcPr>
          <w:p>
            <w:pPr>
              <w:ind w:lef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400" w:type="dxa"/>
            <w:vAlign w:val="bottom"/>
            <w:gridSpan w:val="3"/>
          </w:tcPr>
          <w:p>
            <w:pPr>
              <w:ind w:left="160"/>
              <w:spacing w:after="0"/>
              <w:rPr>
                <w:sz w:val="20"/>
                <w:szCs w:val="20"/>
                <w:color w:val="auto"/>
              </w:rPr>
            </w:pPr>
            <w:r>
              <w:rPr>
                <w:rFonts w:ascii="Arial" w:cs="Arial" w:eastAsia="Arial" w:hAnsi="Arial"/>
                <w:sz w:val="18"/>
                <w:szCs w:val="18"/>
                <w:color w:val="auto"/>
              </w:rPr>
              <w:t>—</w:t>
            </w:r>
          </w:p>
        </w:tc>
      </w:tr>
      <w:tr>
        <w:trPr>
          <w:trHeight w:val="123"/>
        </w:trPr>
        <w:tc>
          <w:tcPr>
            <w:tcW w:w="4520" w:type="dxa"/>
            <w:vAlign w:val="bottom"/>
            <w:tcBorders>
              <w:top w:val="single" w:sz="8" w:color="auto"/>
              <w:bottom w:val="single" w:sz="8" w:color="auto"/>
            </w:tcBorders>
          </w:tcPr>
          <w:p>
            <w:pPr>
              <w:spacing w:after="0"/>
              <w:rPr>
                <w:sz w:val="10"/>
                <w:szCs w:val="10"/>
                <w:color w:val="auto"/>
              </w:rPr>
            </w:pPr>
          </w:p>
        </w:tc>
        <w:tc>
          <w:tcPr>
            <w:tcW w:w="2720" w:type="dxa"/>
            <w:vAlign w:val="bottom"/>
            <w:tcBorders>
              <w:top w:val="single" w:sz="8" w:color="auto"/>
              <w:bottom w:val="single" w:sz="8" w:color="auto"/>
            </w:tcBorders>
          </w:tcPr>
          <w:p>
            <w:pPr>
              <w:spacing w:after="0"/>
              <w:rPr>
                <w:sz w:val="10"/>
                <w:szCs w:val="10"/>
                <w:color w:val="auto"/>
              </w:rPr>
            </w:pPr>
          </w:p>
        </w:tc>
        <w:tc>
          <w:tcPr>
            <w:tcW w:w="780" w:type="dxa"/>
            <w:vAlign w:val="bottom"/>
            <w:tcBorders>
              <w:top w:val="single" w:sz="8" w:color="auto"/>
              <w:bottom w:val="single" w:sz="8" w:color="auto"/>
            </w:tcBorders>
          </w:tcPr>
          <w:p>
            <w:pPr>
              <w:spacing w:after="0"/>
              <w:rPr>
                <w:sz w:val="10"/>
                <w:szCs w:val="10"/>
                <w:color w:val="auto"/>
              </w:rPr>
            </w:pPr>
          </w:p>
        </w:tc>
        <w:tc>
          <w:tcPr>
            <w:tcW w:w="106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r>
    </w:tbl>
    <w:p>
      <w:pPr>
        <w:spacing w:after="0" w:line="22"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740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8"/>
                <w:szCs w:val="18"/>
                <w:b w:val="1"/>
                <w:bCs w:val="1"/>
                <w:color w:val="auto"/>
              </w:rPr>
              <w:t>December 31, 2018</w:t>
            </w:r>
          </w:p>
        </w:tc>
        <w:tc>
          <w:tcPr>
            <w:tcW w:w="3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7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Total</w:t>
            </w: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Level 1</w:t>
            </w:r>
          </w:p>
        </w:tc>
        <w:tc>
          <w:tcPr>
            <w:tcW w:w="96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b w:val="1"/>
                <w:bCs w:val="1"/>
                <w:color w:val="auto"/>
              </w:rPr>
              <w:t>Level 2</w:t>
            </w:r>
          </w:p>
        </w:tc>
        <w:tc>
          <w:tcPr>
            <w:tcW w:w="84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Level 3</w:t>
            </w:r>
          </w:p>
        </w:tc>
      </w:tr>
      <w:tr>
        <w:trPr>
          <w:trHeight w:val="226"/>
        </w:trPr>
        <w:tc>
          <w:tcPr>
            <w:tcW w:w="7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7"/>
        </w:trPr>
        <w:tc>
          <w:tcPr>
            <w:tcW w:w="74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03"/>
        </w:trPr>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Money market funds(1)</w:t>
            </w:r>
          </w:p>
        </w:tc>
        <w:tc>
          <w:tcPr>
            <w:tcW w:w="8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w w:val="95"/>
              </w:rPr>
              <w:t>$69,353</w:t>
            </w:r>
          </w:p>
        </w:tc>
        <w:tc>
          <w:tcPr>
            <w:tcW w:w="10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$69,353</w:t>
            </w:r>
          </w:p>
        </w:tc>
        <w:tc>
          <w:tcPr>
            <w:tcW w:w="58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77"/>
        </w:trPr>
        <w:tc>
          <w:tcPr>
            <w:tcW w:w="7400" w:type="dxa"/>
            <w:vAlign w:val="bottom"/>
          </w:tcPr>
          <w:p>
            <w:pPr>
              <w:spacing w:after="0"/>
              <w:rPr>
                <w:sz w:val="20"/>
                <w:szCs w:val="20"/>
                <w:color w:val="auto"/>
              </w:rPr>
            </w:pPr>
            <w:r>
              <w:rPr>
                <w:rFonts w:ascii="Arial" w:cs="Arial" w:eastAsia="Arial" w:hAnsi="Arial"/>
                <w:sz w:val="18"/>
                <w:szCs w:val="18"/>
                <w:color w:val="auto"/>
              </w:rPr>
              <w:t>Contingently returnable consideration asset(2)</w:t>
            </w: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310</w:t>
            </w: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60" w:type="dxa"/>
            <w:vAlign w:val="bottom"/>
          </w:tcPr>
          <w:p>
            <w:pPr>
              <w:spacing w:after="0"/>
              <w:rPr>
                <w:sz w:val="24"/>
                <w:szCs w:val="24"/>
                <w:color w:val="auto"/>
              </w:rPr>
            </w:pPr>
          </w:p>
        </w:tc>
      </w:tr>
      <w:tr>
        <w:trPr>
          <w:trHeight w:val="203"/>
        </w:trPr>
        <w:tc>
          <w:tcPr>
            <w:tcW w:w="7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Total</w:t>
            </w:r>
          </w:p>
        </w:tc>
        <w:tc>
          <w:tcPr>
            <w:tcW w:w="8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w w:val="95"/>
              </w:rPr>
              <w:t>$69,663</w:t>
            </w:r>
          </w:p>
        </w:tc>
        <w:tc>
          <w:tcPr>
            <w:tcW w:w="10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$69,353</w:t>
            </w:r>
          </w:p>
        </w:tc>
        <w:tc>
          <w:tcPr>
            <w:tcW w:w="58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310</w:t>
            </w:r>
          </w:p>
        </w:tc>
      </w:tr>
      <w:tr>
        <w:trPr>
          <w:trHeight w:val="20"/>
        </w:trPr>
        <w:tc>
          <w:tcPr>
            <w:tcW w:w="7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7" w:lineRule="exact"/>
        <w:rPr>
          <w:sz w:val="20"/>
          <w:szCs w:val="20"/>
          <w:color w:val="auto"/>
        </w:rPr>
      </w:pPr>
    </w:p>
    <w:p>
      <w:pPr>
        <w:ind w:left="440" w:hanging="324"/>
        <w:spacing w:after="0"/>
        <w:tabs>
          <w:tab w:leader="none" w:pos="44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Included in cash and cash equivalents on the consolidated balance sheets.</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Included in prepaid expenses and other current assets on the consolidated balance sheets.</w:t>
      </w:r>
    </w:p>
    <w:p>
      <w:pPr>
        <w:spacing w:after="0" w:line="57"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Money market funds are measured at fair value on a recurring basis using quoted prices. The contingently returnable consideration asset relates to the fair value of the Warp Drive acquisition holdback, which was determined using an income-based approach. The key assumptions in determining the fair value are the discount rate and the probability assigned to the potential holdback. There were no transfers between Levels 1, 2 or 3 for any of the periods presented. There were no changes in the fair value of the contingently returnable consideration asset between the date of the Warp Drive acquisition and December 31, 2018.</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40"/>
          </w:cols>
          <w:pgMar w:left="320" w:top="459" w:right="4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4. Consolidated balance sheet components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Intangible assets, net consists of the following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center"/>
              <w:ind w:left="132"/>
              <w:spacing w:after="0"/>
              <w:rPr>
                <w:sz w:val="20"/>
                <w:szCs w:val="20"/>
                <w:color w:val="auto"/>
              </w:rPr>
            </w:pPr>
            <w:r>
              <w:rPr>
                <w:rFonts w:ascii="Arial" w:cs="Arial" w:eastAsia="Arial" w:hAnsi="Arial"/>
                <w:sz w:val="18"/>
                <w:szCs w:val="18"/>
                <w:b w:val="1"/>
                <w:bCs w:val="1"/>
                <w:color w:val="auto"/>
                <w:w w:val="96"/>
              </w:rPr>
              <w:t>Weighted-</w:t>
            </w:r>
          </w:p>
        </w:tc>
      </w:tr>
      <w:tr>
        <w:trPr>
          <w:trHeight w:val="203"/>
        </w:trPr>
        <w:tc>
          <w:tcPr>
            <w:tcW w:w="4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center"/>
              <w:ind w:left="112"/>
              <w:spacing w:after="0" w:line="202" w:lineRule="exact"/>
              <w:rPr>
                <w:sz w:val="20"/>
                <w:szCs w:val="20"/>
                <w:color w:val="auto"/>
              </w:rPr>
            </w:pPr>
            <w:r>
              <w:rPr>
                <w:rFonts w:ascii="Arial" w:cs="Arial" w:eastAsia="Arial" w:hAnsi="Arial"/>
                <w:sz w:val="18"/>
                <w:szCs w:val="18"/>
                <w:b w:val="1"/>
                <w:bCs w:val="1"/>
                <w:color w:val="auto"/>
                <w:w w:val="96"/>
              </w:rPr>
              <w:t>average</w:t>
            </w:r>
          </w:p>
        </w:tc>
      </w:tr>
      <w:tr>
        <w:trPr>
          <w:trHeight w:val="203"/>
        </w:trPr>
        <w:tc>
          <w:tcPr>
            <w:tcW w:w="4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20" w:type="dxa"/>
            <w:vAlign w:val="bottom"/>
            <w:gridSpan w:val="2"/>
          </w:tcPr>
          <w:p>
            <w:pPr>
              <w:ind w:left="300"/>
              <w:spacing w:after="0" w:line="202" w:lineRule="exact"/>
              <w:rPr>
                <w:sz w:val="20"/>
                <w:szCs w:val="20"/>
                <w:color w:val="auto"/>
              </w:rPr>
            </w:pPr>
            <w:r>
              <w:rPr>
                <w:rFonts w:ascii="Arial" w:cs="Arial" w:eastAsia="Arial" w:hAnsi="Arial"/>
                <w:sz w:val="18"/>
                <w:szCs w:val="18"/>
                <w:b w:val="1"/>
                <w:bCs w:val="1"/>
                <w:color w:val="auto"/>
              </w:rPr>
              <w:t>Accumulated</w:t>
            </w:r>
          </w:p>
        </w:tc>
        <w:tc>
          <w:tcPr>
            <w:tcW w:w="480" w:type="dxa"/>
            <w:vAlign w:val="bottom"/>
          </w:tcPr>
          <w:p>
            <w:pPr>
              <w:spacing w:after="0"/>
              <w:rPr>
                <w:sz w:val="17"/>
                <w:szCs w:val="17"/>
                <w:color w:val="auto"/>
              </w:rPr>
            </w:pPr>
          </w:p>
        </w:tc>
        <w:tc>
          <w:tcPr>
            <w:tcW w:w="960" w:type="dxa"/>
            <w:vAlign w:val="bottom"/>
            <w:gridSpan w:val="2"/>
          </w:tcPr>
          <w:p>
            <w:pPr>
              <w:jc w:val="right"/>
              <w:ind w:right="580"/>
              <w:spacing w:after="0" w:line="202" w:lineRule="exact"/>
              <w:rPr>
                <w:sz w:val="20"/>
                <w:szCs w:val="20"/>
                <w:color w:val="auto"/>
              </w:rPr>
            </w:pPr>
            <w:r>
              <w:rPr>
                <w:rFonts w:ascii="Arial" w:cs="Arial" w:eastAsia="Arial" w:hAnsi="Arial"/>
                <w:sz w:val="18"/>
                <w:szCs w:val="18"/>
                <w:b w:val="1"/>
                <w:bCs w:val="1"/>
                <w:color w:val="auto"/>
              </w:rPr>
              <w:t>Net</w:t>
            </w:r>
          </w:p>
        </w:tc>
        <w:tc>
          <w:tcPr>
            <w:tcW w:w="1180" w:type="dxa"/>
            <w:vAlign w:val="bottom"/>
            <w:gridSpan w:val="2"/>
          </w:tcPr>
          <w:p>
            <w:pPr>
              <w:jc w:val="center"/>
              <w:ind w:left="132"/>
              <w:spacing w:after="0" w:line="202" w:lineRule="exact"/>
              <w:rPr>
                <w:sz w:val="20"/>
                <w:szCs w:val="20"/>
                <w:color w:val="auto"/>
              </w:rPr>
            </w:pPr>
            <w:r>
              <w:rPr>
                <w:rFonts w:ascii="Arial" w:cs="Arial" w:eastAsia="Arial" w:hAnsi="Arial"/>
                <w:sz w:val="18"/>
                <w:szCs w:val="18"/>
                <w:b w:val="1"/>
                <w:bCs w:val="1"/>
                <w:color w:val="auto"/>
                <w:w w:val="97"/>
              </w:rPr>
              <w:t>remaining</w:t>
            </w:r>
          </w:p>
        </w:tc>
      </w:tr>
      <w:tr>
        <w:trPr>
          <w:trHeight w:val="221"/>
        </w:trPr>
        <w:tc>
          <w:tcPr>
            <w:tcW w:w="4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Gross value</w:t>
            </w: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amortization</w:t>
            </w:r>
          </w:p>
        </w:tc>
        <w:tc>
          <w:tcPr>
            <w:tcW w:w="144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b w:val="1"/>
                <w:bCs w:val="1"/>
                <w:color w:val="auto"/>
              </w:rPr>
              <w:t>book value</w:t>
            </w:r>
          </w:p>
        </w:tc>
        <w:tc>
          <w:tcPr>
            <w:tcW w:w="1180" w:type="dxa"/>
            <w:vAlign w:val="bottom"/>
            <w:tcBorders>
              <w:bottom w:val="single" w:sz="8" w:color="auto"/>
            </w:tcBorders>
            <w:gridSpan w:val="2"/>
          </w:tcPr>
          <w:p>
            <w:pPr>
              <w:jc w:val="center"/>
              <w:ind w:left="112"/>
              <w:spacing w:after="0"/>
              <w:rPr>
                <w:sz w:val="20"/>
                <w:szCs w:val="20"/>
                <w:color w:val="auto"/>
              </w:rPr>
            </w:pPr>
            <w:r>
              <w:rPr>
                <w:rFonts w:ascii="Arial" w:cs="Arial" w:eastAsia="Arial" w:hAnsi="Arial"/>
                <w:sz w:val="18"/>
                <w:szCs w:val="18"/>
                <w:b w:val="1"/>
                <w:bCs w:val="1"/>
                <w:color w:val="auto"/>
                <w:w w:val="97"/>
              </w:rPr>
              <w:t>useful life</w:t>
            </w:r>
          </w:p>
        </w:tc>
      </w:tr>
      <w:tr>
        <w:trPr>
          <w:trHeight w:val="196"/>
        </w:trPr>
        <w:tc>
          <w:tcPr>
            <w:tcW w:w="4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20" w:type="dxa"/>
            <w:vAlign w:val="bottom"/>
            <w:gridSpan w:val="2"/>
          </w:tcPr>
          <w:p>
            <w:pPr>
              <w:jc w:val="center"/>
              <w:spacing w:after="0" w:line="196" w:lineRule="exact"/>
              <w:rPr>
                <w:sz w:val="20"/>
                <w:szCs w:val="20"/>
                <w:color w:val="auto"/>
              </w:rPr>
            </w:pPr>
            <w:r>
              <w:rPr>
                <w:rFonts w:ascii="Arial" w:cs="Arial" w:eastAsia="Arial" w:hAnsi="Arial"/>
                <w:sz w:val="18"/>
                <w:szCs w:val="18"/>
                <w:b w:val="1"/>
                <w:bCs w:val="1"/>
                <w:color w:val="auto"/>
                <w:w w:val="98"/>
              </w:rPr>
              <w:t>(in thousands)</w:t>
            </w: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center"/>
              <w:ind w:left="112"/>
              <w:spacing w:after="0" w:line="196" w:lineRule="exact"/>
              <w:rPr>
                <w:sz w:val="20"/>
                <w:szCs w:val="20"/>
                <w:color w:val="auto"/>
              </w:rPr>
            </w:pPr>
            <w:r>
              <w:rPr>
                <w:rFonts w:ascii="Arial" w:cs="Arial" w:eastAsia="Arial" w:hAnsi="Arial"/>
                <w:sz w:val="18"/>
                <w:szCs w:val="18"/>
                <w:b w:val="1"/>
                <w:bCs w:val="1"/>
                <w:color w:val="auto"/>
                <w:w w:val="97"/>
              </w:rPr>
              <w:t>(in years)</w:t>
            </w:r>
          </w:p>
        </w:tc>
      </w:tr>
      <w:tr>
        <w:trPr>
          <w:trHeight w:val="203"/>
        </w:trPr>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In-process research and development—RAS programs</w:t>
            </w:r>
          </w:p>
        </w:tc>
        <w:tc>
          <w:tcPr>
            <w:tcW w:w="860" w:type="dxa"/>
            <w:vAlign w:val="bottom"/>
            <w:gridSpan w:val="2"/>
            <w:shd w:val="clear" w:color="auto" w:fill="CCEEFF"/>
          </w:tcPr>
          <w:p>
            <w:pPr>
              <w:ind w:left="58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55,800</w:t>
            </w:r>
          </w:p>
        </w:tc>
        <w:tc>
          <w:tcPr>
            <w:tcW w:w="7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55,800</w:t>
            </w:r>
          </w:p>
        </w:tc>
        <w:tc>
          <w:tcPr>
            <w:tcW w:w="1180" w:type="dxa"/>
            <w:vAlign w:val="bottom"/>
            <w:gridSpan w:val="2"/>
            <w:shd w:val="clear" w:color="auto" w:fill="CCEEFF"/>
          </w:tcPr>
          <w:p>
            <w:pPr>
              <w:ind w:left="880"/>
              <w:spacing w:after="0" w:line="202" w:lineRule="exact"/>
              <w:rPr>
                <w:sz w:val="20"/>
                <w:szCs w:val="20"/>
                <w:color w:val="auto"/>
              </w:rPr>
            </w:pPr>
            <w:r>
              <w:rPr>
                <w:rFonts w:ascii="Arial" w:cs="Arial" w:eastAsia="Arial" w:hAnsi="Arial"/>
                <w:sz w:val="18"/>
                <w:szCs w:val="18"/>
                <w:color w:val="auto"/>
              </w:rPr>
              <w:t>n/a</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Developed technology—tri-complex platform</w:t>
            </w: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7,480</w:t>
            </w:r>
          </w:p>
        </w:tc>
        <w:tc>
          <w:tcPr>
            <w:tcW w:w="720" w:type="dxa"/>
            <w:vAlign w:val="bottom"/>
          </w:tcPr>
          <w:p>
            <w:pPr>
              <w:spacing w:after="0"/>
              <w:rPr>
                <w:sz w:val="17"/>
                <w:szCs w:val="17"/>
                <w:color w:val="auto"/>
              </w:rPr>
            </w:pPr>
          </w:p>
        </w:tc>
        <w:tc>
          <w:tcPr>
            <w:tcW w:w="10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(198)</w:t>
            </w:r>
          </w:p>
        </w:tc>
        <w:tc>
          <w:tcPr>
            <w:tcW w:w="480" w:type="dxa"/>
            <w:vAlign w:val="bottom"/>
          </w:tcPr>
          <w:p>
            <w:pPr>
              <w:spacing w:after="0"/>
              <w:rPr>
                <w:sz w:val="17"/>
                <w:szCs w:val="17"/>
                <w:color w:val="auto"/>
              </w:rPr>
            </w:pPr>
          </w:p>
        </w:tc>
        <w:tc>
          <w:tcPr>
            <w:tcW w:w="9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7,282</w:t>
            </w:r>
          </w:p>
        </w:tc>
        <w:tc>
          <w:tcPr>
            <w:tcW w:w="1180" w:type="dxa"/>
            <w:vAlign w:val="bottom"/>
            <w:gridSpan w:val="2"/>
          </w:tcPr>
          <w:p>
            <w:pPr>
              <w:ind w:left="880"/>
              <w:spacing w:after="0" w:line="202" w:lineRule="exact"/>
              <w:rPr>
                <w:sz w:val="20"/>
                <w:szCs w:val="20"/>
                <w:color w:val="auto"/>
              </w:rPr>
            </w:pPr>
            <w:r>
              <w:rPr>
                <w:rFonts w:ascii="Arial" w:cs="Arial" w:eastAsia="Arial" w:hAnsi="Arial"/>
                <w:sz w:val="18"/>
                <w:szCs w:val="18"/>
                <w:color w:val="auto"/>
              </w:rPr>
              <w:t>6.8</w:t>
            </w:r>
          </w:p>
        </w:tc>
      </w:tr>
      <w:tr>
        <w:trPr>
          <w:trHeight w:val="27"/>
        </w:trPr>
        <w:tc>
          <w:tcPr>
            <w:tcW w:w="4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48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Total</w:t>
            </w:r>
          </w:p>
        </w:tc>
        <w:tc>
          <w:tcPr>
            <w:tcW w:w="860" w:type="dxa"/>
            <w:vAlign w:val="bottom"/>
            <w:gridSpan w:val="2"/>
            <w:shd w:val="clear" w:color="auto" w:fill="CCEEFF"/>
          </w:tcPr>
          <w:p>
            <w:pPr>
              <w:ind w:left="58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63,280</w:t>
            </w:r>
          </w:p>
        </w:tc>
        <w:tc>
          <w:tcPr>
            <w:tcW w:w="7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(198)</w:t>
            </w:r>
          </w:p>
        </w:tc>
        <w:tc>
          <w:tcPr>
            <w:tcW w:w="48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63,082</w:t>
            </w: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The Company had no intangible assets as of December 31, 2017. See Note 7, “Acquisition of Warp Drive,” for a description of the assets acquired as part of the Warp Drive acquisition. Amortization expense for the year ended December 31, 2018 was $0.2 million. There was no amortization expense for the year ended December 31, 2017.</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expected future amortization related to intangible assets as of December 31, 2018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ending December 31,</w:t>
            </w:r>
          </w:p>
        </w:tc>
        <w:tc>
          <w:tcPr>
            <w:tcW w:w="4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Amount</w:t>
            </w:r>
          </w:p>
        </w:tc>
      </w:tr>
      <w:tr>
        <w:trPr>
          <w:trHeight w:val="196"/>
        </w:trPr>
        <w:tc>
          <w:tcPr>
            <w:tcW w:w="398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(in thousands)</w:t>
            </w:r>
          </w:p>
        </w:tc>
      </w:tr>
      <w:tr>
        <w:trPr>
          <w:trHeight w:val="203"/>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2019</w:t>
            </w:r>
          </w:p>
        </w:tc>
        <w:tc>
          <w:tcPr>
            <w:tcW w:w="4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ind w:left="90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1,069</w:t>
            </w:r>
          </w:p>
        </w:tc>
      </w:tr>
      <w:tr>
        <w:trPr>
          <w:trHeight w:val="203"/>
        </w:trPr>
        <w:tc>
          <w:tcPr>
            <w:tcW w:w="3980" w:type="dxa"/>
            <w:vAlign w:val="bottom"/>
          </w:tcPr>
          <w:p>
            <w:pPr>
              <w:spacing w:after="0" w:line="202" w:lineRule="exact"/>
              <w:rPr>
                <w:sz w:val="20"/>
                <w:szCs w:val="20"/>
                <w:color w:val="auto"/>
              </w:rPr>
            </w:pPr>
            <w:r>
              <w:rPr>
                <w:rFonts w:ascii="Arial" w:cs="Arial" w:eastAsia="Arial" w:hAnsi="Arial"/>
                <w:sz w:val="18"/>
                <w:szCs w:val="18"/>
                <w:color w:val="auto"/>
              </w:rPr>
              <w:t>2020</w:t>
            </w:r>
          </w:p>
        </w:tc>
        <w:tc>
          <w:tcPr>
            <w:tcW w:w="4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1,069</w:t>
            </w:r>
          </w:p>
        </w:tc>
      </w:tr>
      <w:tr>
        <w:trPr>
          <w:trHeight w:val="203"/>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2021</w:t>
            </w:r>
          </w:p>
        </w:tc>
        <w:tc>
          <w:tcPr>
            <w:tcW w:w="4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1,069</w:t>
            </w:r>
          </w:p>
        </w:tc>
      </w:tr>
      <w:tr>
        <w:trPr>
          <w:trHeight w:val="203"/>
        </w:trPr>
        <w:tc>
          <w:tcPr>
            <w:tcW w:w="398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4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1,069</w:t>
            </w:r>
          </w:p>
        </w:tc>
      </w:tr>
      <w:tr>
        <w:trPr>
          <w:trHeight w:val="203"/>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4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1,069</w:t>
            </w:r>
          </w:p>
        </w:tc>
      </w:tr>
      <w:tr>
        <w:trPr>
          <w:trHeight w:val="210"/>
        </w:trPr>
        <w:tc>
          <w:tcPr>
            <w:tcW w:w="398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1,937</w:t>
            </w:r>
          </w:p>
        </w:tc>
        <w:tc>
          <w:tcPr>
            <w:tcW w:w="60" w:type="dxa"/>
            <w:vAlign w:val="bottom"/>
          </w:tcPr>
          <w:p>
            <w:pPr>
              <w:spacing w:after="0"/>
              <w:rPr>
                <w:sz w:val="18"/>
                <w:szCs w:val="18"/>
                <w:color w:val="auto"/>
              </w:rPr>
            </w:pPr>
          </w:p>
        </w:tc>
      </w:tr>
      <w:tr>
        <w:trPr>
          <w:trHeight w:val="203"/>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4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ind w:left="90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7,282</w:t>
            </w:r>
          </w:p>
        </w:tc>
      </w:tr>
      <w:tr>
        <w:trPr>
          <w:trHeight w:val="20"/>
        </w:trPr>
        <w:tc>
          <w:tcPr>
            <w:tcW w:w="3980" w:type="dxa"/>
            <w:vAlign w:val="bottom"/>
            <w:tcBorders>
              <w:bottom w:val="single" w:sz="8" w:color="auto"/>
            </w:tcBorders>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7"/>
        </w:trPr>
        <w:tc>
          <w:tcPr>
            <w:tcW w:w="3980" w:type="dxa"/>
            <w:vAlign w:val="bottom"/>
          </w:tcPr>
          <w:p>
            <w:pPr>
              <w:spacing w:after="0"/>
              <w:rPr>
                <w:sz w:val="20"/>
                <w:szCs w:val="20"/>
                <w:color w:val="auto"/>
              </w:rPr>
            </w:pPr>
            <w:r>
              <w:rPr>
                <w:rFonts w:ascii="Arial" w:cs="Arial" w:eastAsia="Arial" w:hAnsi="Arial"/>
                <w:sz w:val="18"/>
                <w:szCs w:val="18"/>
                <w:b w:val="1"/>
                <w:bCs w:val="1"/>
                <w:i w:val="1"/>
                <w:iCs w:val="1"/>
                <w:color w:val="auto"/>
              </w:rPr>
              <w:t>Goodwill</w:t>
            </w:r>
          </w:p>
        </w:tc>
        <w:tc>
          <w:tcPr>
            <w:tcW w:w="4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0"/>
        </w:trPr>
        <w:tc>
          <w:tcPr>
            <w:tcW w:w="3980" w:type="dxa"/>
            <w:vAlign w:val="bottom"/>
          </w:tcPr>
          <w:p>
            <w:pPr>
              <w:spacing w:after="0"/>
              <w:rPr>
                <w:sz w:val="20"/>
                <w:szCs w:val="20"/>
                <w:color w:val="auto"/>
              </w:rPr>
            </w:pPr>
            <w:r>
              <w:rPr>
                <w:rFonts w:ascii="Arial" w:cs="Arial" w:eastAsia="Arial" w:hAnsi="Arial"/>
                <w:sz w:val="18"/>
                <w:szCs w:val="18"/>
                <w:color w:val="auto"/>
              </w:rPr>
              <w:t>Goodwill consists of the following:</w:t>
            </w:r>
          </w:p>
        </w:tc>
        <w:tc>
          <w:tcPr>
            <w:tcW w:w="4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7"/>
        </w:trPr>
        <w:tc>
          <w:tcPr>
            <w:tcW w:w="3980" w:type="dxa"/>
            <w:vAlign w:val="bottom"/>
            <w:tcBorders>
              <w:bottom w:val="single" w:sz="8" w:color="auto"/>
            </w:tcBorders>
          </w:tcPr>
          <w:p>
            <w:pPr>
              <w:spacing w:after="0"/>
              <w:rPr>
                <w:sz w:val="10"/>
                <w:szCs w:val="10"/>
                <w:color w:val="auto"/>
              </w:rPr>
            </w:pPr>
          </w:p>
        </w:tc>
        <w:tc>
          <w:tcPr>
            <w:tcW w:w="4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740" w:type="dxa"/>
            <w:vAlign w:val="bottom"/>
            <w:tcBorders>
              <w:bottom w:val="single" w:sz="8" w:color="auto"/>
            </w:tcBorders>
            <w:gridSpan w:val="6"/>
          </w:tcPr>
          <w:p>
            <w:pPr>
              <w:spacing w:after="0"/>
              <w:rPr>
                <w:sz w:val="10"/>
                <w:szCs w:val="10"/>
                <w:color w:val="auto"/>
              </w:rPr>
            </w:pPr>
          </w:p>
        </w:tc>
      </w:tr>
      <w:tr>
        <w:trPr>
          <w:trHeight w:val="243"/>
        </w:trPr>
        <w:tc>
          <w:tcPr>
            <w:tcW w:w="398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40" w:type="dxa"/>
            <w:vAlign w:val="bottom"/>
            <w:gridSpan w:val="6"/>
          </w:tcPr>
          <w:p>
            <w:pPr>
              <w:jc w:val="center"/>
              <w:ind w:right="180"/>
              <w:spacing w:after="0"/>
              <w:rPr>
                <w:sz w:val="20"/>
                <w:szCs w:val="20"/>
                <w:color w:val="auto"/>
              </w:rPr>
            </w:pPr>
            <w:r>
              <w:rPr>
                <w:rFonts w:ascii="Arial" w:cs="Arial" w:eastAsia="Arial" w:hAnsi="Arial"/>
                <w:sz w:val="18"/>
                <w:szCs w:val="18"/>
                <w:b w:val="1"/>
                <w:bCs w:val="1"/>
                <w:color w:val="auto"/>
                <w:w w:val="96"/>
              </w:rPr>
              <w:t>Year ended December 31,</w:t>
            </w:r>
          </w:p>
        </w:tc>
      </w:tr>
      <w:tr>
        <w:trPr>
          <w:trHeight w:val="223"/>
        </w:trPr>
        <w:tc>
          <w:tcPr>
            <w:tcW w:w="3980" w:type="dxa"/>
            <w:vAlign w:val="bottom"/>
            <w:tcBorders>
              <w:bottom w:val="single" w:sz="8" w:color="auto"/>
            </w:tcBorders>
          </w:tcPr>
          <w:p>
            <w:pPr>
              <w:spacing w:after="0"/>
              <w:rPr>
                <w:sz w:val="19"/>
                <w:szCs w:val="19"/>
                <w:color w:val="auto"/>
              </w:rPr>
            </w:pPr>
          </w:p>
        </w:tc>
        <w:tc>
          <w:tcPr>
            <w:tcW w:w="418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9"/>
              </w:rPr>
              <w:t>2017</w:t>
            </w:r>
          </w:p>
        </w:tc>
        <w:tc>
          <w:tcPr>
            <w:tcW w:w="86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bottom w:val="single" w:sz="8" w:color="auto"/>
            </w:tcBorders>
          </w:tcPr>
          <w:p>
            <w:pPr>
              <w:spacing w:after="0"/>
              <w:rPr>
                <w:sz w:val="19"/>
                <w:szCs w:val="19"/>
                <w:color w:val="auto"/>
              </w:rPr>
            </w:pPr>
          </w:p>
        </w:tc>
      </w:tr>
      <w:tr>
        <w:trPr>
          <w:trHeight w:val="196"/>
        </w:trPr>
        <w:tc>
          <w:tcPr>
            <w:tcW w:w="398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180" w:type="dxa"/>
            <w:vAlign w:val="bottom"/>
            <w:gridSpan w:val="5"/>
          </w:tcPr>
          <w:p>
            <w:pPr>
              <w:jc w:val="center"/>
              <w:ind w:right="740"/>
              <w:spacing w:after="0" w:line="196" w:lineRule="exact"/>
              <w:rPr>
                <w:sz w:val="20"/>
                <w:szCs w:val="20"/>
                <w:color w:val="auto"/>
              </w:rPr>
            </w:pPr>
            <w:r>
              <w:rPr>
                <w:rFonts w:ascii="Arial" w:cs="Arial" w:eastAsia="Arial" w:hAnsi="Arial"/>
                <w:sz w:val="18"/>
                <w:szCs w:val="18"/>
                <w:b w:val="1"/>
                <w:bCs w:val="1"/>
                <w:color w:val="auto"/>
                <w:w w:val="96"/>
              </w:rPr>
              <w:t>(in thousands)</w:t>
            </w:r>
          </w:p>
        </w:tc>
      </w:tr>
      <w:tr>
        <w:trPr>
          <w:trHeight w:val="203"/>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4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w w:val="88"/>
              </w:rPr>
              <w:t>—</w:t>
            </w:r>
          </w:p>
        </w:tc>
        <w:tc>
          <w:tcPr>
            <w:tcW w:w="1080" w:type="dxa"/>
            <w:vAlign w:val="bottom"/>
            <w:gridSpan w:val="3"/>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10"/>
        </w:trPr>
        <w:tc>
          <w:tcPr>
            <w:tcW w:w="3980" w:type="dxa"/>
            <w:vAlign w:val="bottom"/>
          </w:tcPr>
          <w:p>
            <w:pPr>
              <w:spacing w:after="0" w:line="202" w:lineRule="exact"/>
              <w:rPr>
                <w:sz w:val="20"/>
                <w:szCs w:val="20"/>
                <w:color w:val="auto"/>
              </w:rPr>
            </w:pPr>
            <w:r>
              <w:rPr>
                <w:rFonts w:ascii="Arial" w:cs="Arial" w:eastAsia="Arial" w:hAnsi="Arial"/>
                <w:sz w:val="18"/>
                <w:szCs w:val="18"/>
                <w:color w:val="auto"/>
              </w:rPr>
              <w:t>Goodwill acquired (Note 7)</w:t>
            </w:r>
          </w:p>
        </w:tc>
        <w:tc>
          <w:tcPr>
            <w:tcW w:w="4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380"/>
              <w:spacing w:after="0" w:line="202" w:lineRule="exact"/>
              <w:rPr>
                <w:sz w:val="20"/>
                <w:szCs w:val="20"/>
                <w:color w:val="auto"/>
              </w:rPr>
            </w:pPr>
            <w:r>
              <w:rPr>
                <w:rFonts w:ascii="Arial" w:cs="Arial" w:eastAsia="Arial" w:hAnsi="Arial"/>
                <w:sz w:val="18"/>
                <w:szCs w:val="18"/>
                <w:color w:val="auto"/>
                <w:w w:val="88"/>
              </w:rPr>
              <w:t>—</w:t>
            </w:r>
          </w:p>
        </w:tc>
        <w:tc>
          <w:tcPr>
            <w:tcW w:w="8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14,608</w:t>
            </w:r>
          </w:p>
        </w:tc>
        <w:tc>
          <w:tcPr>
            <w:tcW w:w="60" w:type="dxa"/>
            <w:vAlign w:val="bottom"/>
          </w:tcPr>
          <w:p>
            <w:pPr>
              <w:spacing w:after="0"/>
              <w:rPr>
                <w:sz w:val="18"/>
                <w:szCs w:val="18"/>
                <w:color w:val="auto"/>
              </w:rPr>
            </w:pPr>
          </w:p>
        </w:tc>
      </w:tr>
      <w:tr>
        <w:trPr>
          <w:trHeight w:val="203"/>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Ending balance</w:t>
            </w:r>
          </w:p>
        </w:tc>
        <w:tc>
          <w:tcPr>
            <w:tcW w:w="4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w w:val="88"/>
              </w:rPr>
              <w:t>—</w:t>
            </w:r>
          </w:p>
        </w:tc>
        <w:tc>
          <w:tcPr>
            <w:tcW w:w="1080" w:type="dxa"/>
            <w:vAlign w:val="bottom"/>
            <w:gridSpan w:val="3"/>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14,608</w:t>
            </w:r>
          </w:p>
        </w:tc>
      </w:tr>
      <w:tr>
        <w:trPr>
          <w:trHeight w:val="20"/>
        </w:trPr>
        <w:tc>
          <w:tcPr>
            <w:tcW w:w="3980" w:type="dxa"/>
            <w:vAlign w:val="bottom"/>
            <w:tcBorders>
              <w:bottom w:val="single" w:sz="8" w:color="auto"/>
            </w:tcBorders>
          </w:tcPr>
          <w:p>
            <w:pPr>
              <w:spacing w:after="0" w:line="20" w:lineRule="exact"/>
              <w:rPr>
                <w:sz w:val="1"/>
                <w:szCs w:val="1"/>
                <w:color w:val="auto"/>
              </w:rPr>
            </w:pPr>
          </w:p>
        </w:tc>
        <w:tc>
          <w:tcPr>
            <w:tcW w:w="430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0"/>
        </w:trPr>
        <w:tc>
          <w:tcPr>
            <w:tcW w:w="3980" w:type="dxa"/>
            <w:vAlign w:val="bottom"/>
          </w:tcPr>
          <w:p>
            <w:pPr>
              <w:spacing w:after="0"/>
              <w:rPr>
                <w:sz w:val="24"/>
                <w:szCs w:val="24"/>
                <w:color w:val="auto"/>
              </w:rPr>
            </w:pPr>
          </w:p>
        </w:tc>
        <w:tc>
          <w:tcPr>
            <w:tcW w:w="4300" w:type="dxa"/>
            <w:vAlign w:val="bottom"/>
            <w:gridSpan w:val="2"/>
          </w:tcPr>
          <w:p>
            <w:pPr>
              <w:jc w:val="right"/>
              <w:ind w:right="2600"/>
              <w:spacing w:after="0"/>
              <w:rPr>
                <w:sz w:val="20"/>
                <w:szCs w:val="20"/>
                <w:color w:val="auto"/>
              </w:rPr>
            </w:pPr>
            <w:r>
              <w:rPr>
                <w:rFonts w:ascii="Arial" w:cs="Arial" w:eastAsia="Arial" w:hAnsi="Arial"/>
                <w:sz w:val="18"/>
                <w:szCs w:val="18"/>
                <w:color w:val="auto"/>
              </w:rPr>
              <w:t>F-17</w:t>
            </w: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Property and equipment, net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9120" w:type="dxa"/>
            <w:vAlign w:val="bottom"/>
          </w:tcPr>
          <w:p>
            <w:pPr>
              <w:spacing w:after="0"/>
              <w:rPr>
                <w:sz w:val="19"/>
                <w:szCs w:val="19"/>
                <w:color w:val="auto"/>
              </w:rPr>
            </w:pPr>
          </w:p>
        </w:tc>
        <w:tc>
          <w:tcPr>
            <w:tcW w:w="190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9120" w:type="dxa"/>
            <w:vAlign w:val="bottom"/>
            <w:tcBorders>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9"/>
              </w:rPr>
              <w:t>2018</w:t>
            </w:r>
          </w:p>
        </w:tc>
        <w:tc>
          <w:tcPr>
            <w:tcW w:w="120" w:type="dxa"/>
            <w:vAlign w:val="bottom"/>
            <w:tcBorders>
              <w:bottom w:val="single" w:sz="8" w:color="auto"/>
            </w:tcBorders>
          </w:tcPr>
          <w:p>
            <w:pPr>
              <w:spacing w:after="0"/>
              <w:rPr>
                <w:sz w:val="19"/>
                <w:szCs w:val="19"/>
                <w:color w:val="auto"/>
              </w:rPr>
            </w:pPr>
          </w:p>
        </w:tc>
      </w:tr>
      <w:tr>
        <w:trPr>
          <w:trHeight w:val="196"/>
        </w:trPr>
        <w:tc>
          <w:tcPr>
            <w:tcW w:w="9120" w:type="dxa"/>
            <w:vAlign w:val="bottom"/>
          </w:tcPr>
          <w:p>
            <w:pPr>
              <w:spacing w:after="0"/>
              <w:rPr>
                <w:sz w:val="17"/>
                <w:szCs w:val="17"/>
                <w:color w:val="auto"/>
              </w:rPr>
            </w:pPr>
          </w:p>
        </w:tc>
        <w:tc>
          <w:tcPr>
            <w:tcW w:w="1900" w:type="dxa"/>
            <w:vAlign w:val="bottom"/>
            <w:gridSpan w:val="4"/>
          </w:tcPr>
          <w:p>
            <w:pPr>
              <w:jc w:val="right"/>
              <w:ind w:right="400"/>
              <w:spacing w:after="0" w:line="196" w:lineRule="exact"/>
              <w:rPr>
                <w:sz w:val="20"/>
                <w:szCs w:val="20"/>
                <w:color w:val="auto"/>
              </w:rPr>
            </w:pPr>
            <w:r>
              <w:rPr>
                <w:rFonts w:ascii="Arial" w:cs="Arial" w:eastAsia="Arial" w:hAnsi="Arial"/>
                <w:sz w:val="18"/>
                <w:szCs w:val="18"/>
                <w:b w:val="1"/>
                <w:bCs w:val="1"/>
                <w:color w:val="auto"/>
              </w:rPr>
              <w:t>(in thousands)</w:t>
            </w:r>
          </w:p>
        </w:tc>
      </w:tr>
      <w:tr>
        <w:trPr>
          <w:trHeight w:val="203"/>
        </w:trPr>
        <w:tc>
          <w:tcPr>
            <w:tcW w:w="9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Laboratory equipment</w:t>
            </w:r>
          </w:p>
        </w:tc>
        <w:tc>
          <w:tcPr>
            <w:tcW w:w="9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w w:val="96"/>
              </w:rPr>
              <w:t>$ 3,587</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6,181</w:t>
            </w:r>
          </w:p>
        </w:tc>
      </w:tr>
      <w:tr>
        <w:trPr>
          <w:trHeight w:val="203"/>
        </w:trPr>
        <w:tc>
          <w:tcPr>
            <w:tcW w:w="912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9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3,217</w:t>
            </w:r>
          </w:p>
        </w:tc>
        <w:tc>
          <w:tcPr>
            <w:tcW w:w="340" w:type="dxa"/>
            <w:vAlign w:val="bottom"/>
          </w:tcPr>
          <w:p>
            <w:pPr>
              <w:spacing w:after="0"/>
              <w:rPr>
                <w:sz w:val="17"/>
                <w:szCs w:val="17"/>
                <w:color w:val="auto"/>
              </w:rPr>
            </w:pP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3,304</w:t>
            </w:r>
          </w:p>
        </w:tc>
      </w:tr>
      <w:tr>
        <w:trPr>
          <w:trHeight w:val="203"/>
        </w:trPr>
        <w:tc>
          <w:tcPr>
            <w:tcW w:w="9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Computer equipment and software</w:t>
            </w:r>
          </w:p>
        </w:tc>
        <w:tc>
          <w:tcPr>
            <w:tcW w:w="9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617</w:t>
            </w:r>
          </w:p>
        </w:tc>
        <w:tc>
          <w:tcPr>
            <w:tcW w:w="3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978</w:t>
            </w:r>
          </w:p>
        </w:tc>
      </w:tr>
      <w:tr>
        <w:trPr>
          <w:trHeight w:val="203"/>
        </w:trPr>
        <w:tc>
          <w:tcPr>
            <w:tcW w:w="9120" w:type="dxa"/>
            <w:vAlign w:val="bottom"/>
          </w:tcPr>
          <w:p>
            <w:pPr>
              <w:spacing w:after="0" w:line="202" w:lineRule="exact"/>
              <w:rPr>
                <w:sz w:val="20"/>
                <w:szCs w:val="20"/>
                <w:color w:val="auto"/>
              </w:rPr>
            </w:pPr>
            <w:r>
              <w:rPr>
                <w:rFonts w:ascii="Arial" w:cs="Arial" w:eastAsia="Arial" w:hAnsi="Arial"/>
                <w:sz w:val="18"/>
                <w:szCs w:val="18"/>
                <w:color w:val="auto"/>
              </w:rPr>
              <w:t>Furniture and fixtures</w:t>
            </w:r>
          </w:p>
        </w:tc>
        <w:tc>
          <w:tcPr>
            <w:tcW w:w="9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16</w:t>
            </w:r>
          </w:p>
        </w:tc>
        <w:tc>
          <w:tcPr>
            <w:tcW w:w="340" w:type="dxa"/>
            <w:vAlign w:val="bottom"/>
          </w:tcPr>
          <w:p>
            <w:pPr>
              <w:spacing w:after="0"/>
              <w:rPr>
                <w:sz w:val="17"/>
                <w:szCs w:val="17"/>
                <w:color w:val="auto"/>
              </w:rPr>
            </w:pP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32</w:t>
            </w:r>
          </w:p>
        </w:tc>
      </w:tr>
      <w:tr>
        <w:trPr>
          <w:trHeight w:val="27"/>
        </w:trPr>
        <w:tc>
          <w:tcPr>
            <w:tcW w:w="9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9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7,437</w:t>
            </w:r>
          </w:p>
        </w:tc>
        <w:tc>
          <w:tcPr>
            <w:tcW w:w="3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4"/>
              </w:rPr>
              <w:t>10,495</w:t>
            </w:r>
          </w:p>
        </w:tc>
      </w:tr>
      <w:tr>
        <w:trPr>
          <w:trHeight w:val="203"/>
        </w:trPr>
        <w:tc>
          <w:tcPr>
            <w:tcW w:w="912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90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(2,184)</w:t>
            </w:r>
          </w:p>
        </w:tc>
        <w:tc>
          <w:tcPr>
            <w:tcW w:w="340" w:type="dxa"/>
            <w:vAlign w:val="bottom"/>
          </w:tcPr>
          <w:p>
            <w:pPr>
              <w:spacing w:after="0"/>
              <w:rPr>
                <w:sz w:val="17"/>
                <w:szCs w:val="17"/>
                <w:color w:val="auto"/>
              </w:rPr>
            </w:pP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(3,623)</w:t>
            </w:r>
          </w:p>
        </w:tc>
      </w:tr>
      <w:tr>
        <w:trPr>
          <w:trHeight w:val="27"/>
        </w:trPr>
        <w:tc>
          <w:tcPr>
            <w:tcW w:w="9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9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9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w w:val="96"/>
              </w:rPr>
              <w:t>$ 5,253</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6,872</w:t>
            </w:r>
          </w:p>
        </w:tc>
      </w:tr>
      <w:tr>
        <w:trPr>
          <w:trHeight w:val="20"/>
        </w:trPr>
        <w:tc>
          <w:tcPr>
            <w:tcW w:w="9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1" w:lineRule="exact"/>
        <w:rPr>
          <w:sz w:val="20"/>
          <w:szCs w:val="20"/>
          <w:color w:val="auto"/>
        </w:rPr>
      </w:pPr>
    </w:p>
    <w:p>
      <w:pPr>
        <w:ind w:left="120" w:right="260"/>
        <w:spacing w:after="0" w:line="239" w:lineRule="auto"/>
        <w:rPr>
          <w:sz w:val="20"/>
          <w:szCs w:val="20"/>
          <w:color w:val="auto"/>
        </w:rPr>
      </w:pPr>
      <w:r>
        <w:rPr>
          <w:rFonts w:ascii="Arial" w:cs="Arial" w:eastAsia="Arial" w:hAnsi="Arial"/>
          <w:sz w:val="18"/>
          <w:szCs w:val="18"/>
          <w:color w:val="auto"/>
        </w:rPr>
        <w:t>During the year ended December 31, 2018, the Company acquired $2.2 million of property and equipment as part of its acquisition of Warp Drive.</w:t>
      </w:r>
    </w:p>
    <w:p>
      <w:pPr>
        <w:spacing w:after="0" w:line="101" w:lineRule="exact"/>
        <w:rPr>
          <w:sz w:val="20"/>
          <w:szCs w:val="20"/>
          <w:color w:val="auto"/>
        </w:rPr>
      </w:pPr>
    </w:p>
    <w:p>
      <w:pPr>
        <w:ind w:left="120" w:right="1020"/>
        <w:spacing w:after="0" w:line="239" w:lineRule="auto"/>
        <w:rPr>
          <w:sz w:val="20"/>
          <w:szCs w:val="20"/>
          <w:color w:val="auto"/>
        </w:rPr>
      </w:pPr>
      <w:r>
        <w:rPr>
          <w:rFonts w:ascii="Arial" w:cs="Arial" w:eastAsia="Arial" w:hAnsi="Arial"/>
          <w:sz w:val="18"/>
          <w:szCs w:val="18"/>
          <w:color w:val="auto"/>
        </w:rPr>
        <w:t>Depreciation and amortization expense for property and equipment amounted to $1.2 million and $1.6 million for the years ended December 31, 2017 and 2018, respectively.</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9480" w:type="dxa"/>
            <w:vAlign w:val="bottom"/>
          </w:tcPr>
          <w:p>
            <w:pPr>
              <w:spacing w:after="0"/>
              <w:rPr>
                <w:sz w:val="19"/>
                <w:szCs w:val="19"/>
                <w:color w:val="auto"/>
              </w:rPr>
            </w:pPr>
          </w:p>
        </w:tc>
        <w:tc>
          <w:tcPr>
            <w:tcW w:w="15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7"/>
              </w:rPr>
              <w:t>December 31,</w:t>
            </w:r>
          </w:p>
        </w:tc>
      </w:tr>
      <w:tr>
        <w:trPr>
          <w:trHeight w:val="223"/>
        </w:trPr>
        <w:tc>
          <w:tcPr>
            <w:tcW w:w="9480" w:type="dxa"/>
            <w:vAlign w:val="bottom"/>
            <w:tcBorders>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2017</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bottom w:val="single" w:sz="8" w:color="auto"/>
            </w:tcBorders>
          </w:tcPr>
          <w:p>
            <w:pPr>
              <w:spacing w:after="0"/>
              <w:rPr>
                <w:sz w:val="19"/>
                <w:szCs w:val="19"/>
                <w:color w:val="auto"/>
              </w:rPr>
            </w:pPr>
          </w:p>
        </w:tc>
      </w:tr>
      <w:tr>
        <w:trPr>
          <w:trHeight w:val="196"/>
        </w:trPr>
        <w:tc>
          <w:tcPr>
            <w:tcW w:w="9480" w:type="dxa"/>
            <w:vAlign w:val="bottom"/>
          </w:tcPr>
          <w:p>
            <w:pPr>
              <w:spacing w:after="0"/>
              <w:rPr>
                <w:sz w:val="17"/>
                <w:szCs w:val="17"/>
                <w:color w:val="auto"/>
              </w:rPr>
            </w:pPr>
          </w:p>
        </w:tc>
        <w:tc>
          <w:tcPr>
            <w:tcW w:w="1540" w:type="dxa"/>
            <w:vAlign w:val="bottom"/>
            <w:gridSpan w:val="3"/>
          </w:tcPr>
          <w:p>
            <w:pPr>
              <w:jc w:val="center"/>
              <w:ind w:right="60"/>
              <w:spacing w:after="0" w:line="196" w:lineRule="exact"/>
              <w:rPr>
                <w:sz w:val="20"/>
                <w:szCs w:val="20"/>
                <w:color w:val="auto"/>
              </w:rPr>
            </w:pPr>
            <w:r>
              <w:rPr>
                <w:rFonts w:ascii="Arial" w:cs="Arial" w:eastAsia="Arial" w:hAnsi="Arial"/>
                <w:sz w:val="18"/>
                <w:szCs w:val="18"/>
                <w:b w:val="1"/>
                <w:bCs w:val="1"/>
                <w:color w:val="auto"/>
                <w:w w:val="96"/>
              </w:rPr>
              <w:t>(in thousands)</w:t>
            </w:r>
          </w:p>
        </w:tc>
      </w:tr>
      <w:tr>
        <w:trPr>
          <w:trHeight w:val="203"/>
        </w:trPr>
        <w:tc>
          <w:tcPr>
            <w:tcW w:w="9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compensation</w:t>
            </w:r>
          </w:p>
        </w:tc>
        <w:tc>
          <w:tcPr>
            <w:tcW w:w="7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w w:val="94"/>
              </w:rPr>
              <w:t>$1,468</w:t>
            </w: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$4,861</w:t>
            </w:r>
          </w:p>
        </w:tc>
      </w:tr>
      <w:tr>
        <w:trPr>
          <w:trHeight w:val="203"/>
        </w:trPr>
        <w:tc>
          <w:tcPr>
            <w:tcW w:w="9480" w:type="dxa"/>
            <w:vAlign w:val="bottom"/>
          </w:tcPr>
          <w:p>
            <w:pPr>
              <w:spacing w:after="0" w:line="202" w:lineRule="exact"/>
              <w:rPr>
                <w:sz w:val="20"/>
                <w:szCs w:val="20"/>
                <w:color w:val="auto"/>
              </w:rPr>
            </w:pPr>
            <w:r>
              <w:rPr>
                <w:rFonts w:ascii="Arial" w:cs="Arial" w:eastAsia="Arial" w:hAnsi="Arial"/>
                <w:sz w:val="18"/>
                <w:szCs w:val="18"/>
                <w:color w:val="auto"/>
              </w:rPr>
              <w:t>Accrued research and development</w:t>
            </w:r>
          </w:p>
        </w:tc>
        <w:tc>
          <w:tcPr>
            <w:tcW w:w="7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1,525</w:t>
            </w: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2,016</w:t>
            </w:r>
          </w:p>
        </w:tc>
      </w:tr>
      <w:tr>
        <w:trPr>
          <w:trHeight w:val="203"/>
        </w:trPr>
        <w:tc>
          <w:tcPr>
            <w:tcW w:w="9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rent, current</w:t>
            </w:r>
          </w:p>
        </w:tc>
        <w:tc>
          <w:tcPr>
            <w:tcW w:w="7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496</w:t>
            </w: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552</w:t>
            </w:r>
          </w:p>
        </w:tc>
      </w:tr>
      <w:tr>
        <w:trPr>
          <w:trHeight w:val="203"/>
        </w:trPr>
        <w:tc>
          <w:tcPr>
            <w:tcW w:w="9480" w:type="dxa"/>
            <w:vAlign w:val="bottom"/>
          </w:tcPr>
          <w:p>
            <w:pPr>
              <w:spacing w:after="0" w:line="202" w:lineRule="exact"/>
              <w:rPr>
                <w:sz w:val="20"/>
                <w:szCs w:val="20"/>
                <w:color w:val="auto"/>
              </w:rPr>
            </w:pPr>
            <w:r>
              <w:rPr>
                <w:rFonts w:ascii="Arial" w:cs="Arial" w:eastAsia="Arial" w:hAnsi="Arial"/>
                <w:sz w:val="18"/>
                <w:szCs w:val="18"/>
                <w:color w:val="auto"/>
              </w:rPr>
              <w:t>Accrued professional services</w:t>
            </w:r>
          </w:p>
        </w:tc>
        <w:tc>
          <w:tcPr>
            <w:tcW w:w="7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173</w:t>
            </w: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264</w:t>
            </w:r>
          </w:p>
        </w:tc>
      </w:tr>
      <w:tr>
        <w:trPr>
          <w:trHeight w:val="203"/>
        </w:trPr>
        <w:tc>
          <w:tcPr>
            <w:tcW w:w="9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Capital lease, current</w:t>
            </w:r>
          </w:p>
        </w:tc>
        <w:tc>
          <w:tcPr>
            <w:tcW w:w="7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147</w:t>
            </w:r>
          </w:p>
        </w:tc>
      </w:tr>
      <w:tr>
        <w:trPr>
          <w:trHeight w:val="209"/>
        </w:trPr>
        <w:tc>
          <w:tcPr>
            <w:tcW w:w="948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74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583</w:t>
            </w: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646</w:t>
            </w:r>
          </w:p>
        </w:tc>
        <w:tc>
          <w:tcPr>
            <w:tcW w:w="60" w:type="dxa"/>
            <w:vAlign w:val="bottom"/>
          </w:tcPr>
          <w:p>
            <w:pPr>
              <w:spacing w:after="0"/>
              <w:rPr>
                <w:sz w:val="18"/>
                <w:szCs w:val="18"/>
                <w:color w:val="auto"/>
              </w:rPr>
            </w:pPr>
          </w:p>
        </w:tc>
      </w:tr>
      <w:tr>
        <w:trPr>
          <w:trHeight w:val="203"/>
        </w:trPr>
        <w:tc>
          <w:tcPr>
            <w:tcW w:w="9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accrued expenses and other current liabilities</w:t>
            </w:r>
          </w:p>
        </w:tc>
        <w:tc>
          <w:tcPr>
            <w:tcW w:w="7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w w:val="94"/>
              </w:rPr>
              <w:t>$4,245</w:t>
            </w: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$8,486</w:t>
            </w:r>
          </w:p>
        </w:tc>
      </w:tr>
      <w:tr>
        <w:trPr>
          <w:trHeight w:val="20"/>
        </w:trPr>
        <w:tc>
          <w:tcPr>
            <w:tcW w:w="9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5. Commitments and contingencies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24"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In January 2015, as amended in September 2016, the Company entered into a facility lease for office and laboratory space located in Redwood City, California (Redwood City Lease) which expires in April 2023. The landlord provided the Company with tenant improvement allowances of $3.4 million. The Company has assessed the tenant improvement allowance to be a lease incentive and has capitalized the full amount to property and equipment and recognized a corresponding lease financing obligation included in deferred rent on the consolidated balance sheets. The lease financing obligation is amortized as an offset to rent expense over the lease term in the consolidated statements of operations and comprehensive loss.</w:t>
      </w:r>
    </w:p>
    <w:p>
      <w:pPr>
        <w:spacing w:after="0" w:line="102" w:lineRule="exact"/>
        <w:rPr>
          <w:sz w:val="20"/>
          <w:szCs w:val="20"/>
          <w:color w:val="auto"/>
        </w:rPr>
      </w:pPr>
    </w:p>
    <w:p>
      <w:pPr>
        <w:ind w:left="120" w:right="160"/>
        <w:spacing w:after="0" w:line="239" w:lineRule="auto"/>
        <w:rPr>
          <w:sz w:val="20"/>
          <w:szCs w:val="20"/>
          <w:color w:val="auto"/>
        </w:rPr>
      </w:pPr>
      <w:r>
        <w:rPr>
          <w:rFonts w:ascii="Arial" w:cs="Arial" w:eastAsia="Arial" w:hAnsi="Arial"/>
          <w:sz w:val="18"/>
          <w:szCs w:val="18"/>
          <w:color w:val="auto"/>
        </w:rPr>
        <w:t>In conjunction with the lease agreement, the Company paid a security deposit of $0.3 million which is included in other noncurrent assets on the consolidated balance sheets as of December 31, 2017 and 2018.</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40"/>
          </w:cols>
          <w:pgMar w:left="320" w:top="459" w:right="4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500"/>
        <w:spacing w:after="0" w:line="237" w:lineRule="auto"/>
        <w:rPr>
          <w:sz w:val="20"/>
          <w:szCs w:val="20"/>
          <w:color w:val="auto"/>
        </w:rPr>
      </w:pPr>
      <w:r>
        <w:rPr>
          <w:rFonts w:ascii="Arial" w:cs="Arial" w:eastAsia="Arial" w:hAnsi="Arial"/>
          <w:sz w:val="18"/>
          <w:szCs w:val="18"/>
          <w:color w:val="auto"/>
        </w:rPr>
        <w:t>In July 2015, as amended in March 2016 and September 2016, the Company subleased a portion of the Redwood City Lease to Pliant Therapeutics, Inc., a related party, which expired in June 2018. Sublease income of $0.9 million and $0.5 million for the years ended December 31, 2017 and 2018, respectively, was recorded as an offset to rent expense in the consolidated statements of operations and comprehensive loss.</w:t>
      </w:r>
    </w:p>
    <w:p>
      <w:pPr>
        <w:spacing w:after="0" w:line="100" w:lineRule="exact"/>
        <w:rPr>
          <w:sz w:val="20"/>
          <w:szCs w:val="20"/>
          <w:color w:val="auto"/>
        </w:rPr>
      </w:pPr>
    </w:p>
    <w:p>
      <w:pPr>
        <w:ind w:left="120" w:right="80"/>
        <w:spacing w:after="0" w:line="271" w:lineRule="auto"/>
        <w:rPr>
          <w:sz w:val="20"/>
          <w:szCs w:val="20"/>
          <w:color w:val="auto"/>
        </w:rPr>
      </w:pPr>
      <w:r>
        <w:rPr>
          <w:rFonts w:ascii="Arial" w:cs="Arial" w:eastAsia="Arial" w:hAnsi="Arial"/>
          <w:sz w:val="16"/>
          <w:szCs w:val="16"/>
          <w:color w:val="auto"/>
        </w:rPr>
        <w:t>As part of the Warp Drive acquisition in October 2018, the Company assumed a facility lease for office and laboratory space located in Cambridge, Massachusetts (Cambridge Lease) which expires in February 2023. In March 2019, the Company fully subleased the Cambridge Lease to Casma Therapeutics, Inc. (Casma), a related party, on financial terms substantially the same as the original lease. The sublease term with Casma is through the remainder of the Cambridge Lease term. The sublease by Casma and related sublease payments by Casma to the Company are fully guaranteed by Third Rock Ventures, LLC, a related party. In conjunction with the Cambridge Lease, the Company issued a letter of credit for $0.2 million, which is included in restricted cash on the consolidated balance sheet as of December 31, 2018.</w:t>
      </w:r>
    </w:p>
    <w:p>
      <w:pPr>
        <w:spacing w:after="0" w:line="76"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Rent expense for the years ended December 31, 2017 and 2018 was $0.7 million and $1.5 million, respectively, net of sublease income and tenant improvement allowance credits. The terms of the facility leases provide for rental payments on a graduated scale; however, rent expense is recognized on a straight-line basis over the lease term. At December 31, 2017 and 2018, $3.3 million and $2.8 million was included as deferred rent, respectively, which includes the deferred tenant improvement allowance and straight-line rent. The current portion of deferred rent is included in accrued expenses and other current liabilities and the noncurrent portion of deferred rent is included in deferred rent, noncurrent on the consolidated balance sheets.</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2018, future minimum payments under the Company’s operating and capital leases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9740" w:type="dxa"/>
            <w:vAlign w:val="bottom"/>
          </w:tcPr>
          <w:p>
            <w:pPr>
              <w:spacing w:after="0"/>
              <w:rPr>
                <w:sz w:val="19"/>
                <w:szCs w:val="19"/>
                <w:color w:val="auto"/>
              </w:rPr>
            </w:pP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rPr>
              <w:t>(in thousands)</w:t>
            </w:r>
          </w:p>
        </w:tc>
      </w:tr>
      <w:tr>
        <w:trPr>
          <w:trHeight w:val="203"/>
        </w:trPr>
        <w:tc>
          <w:tcPr>
            <w:tcW w:w="9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2019</w:t>
            </w:r>
          </w:p>
        </w:tc>
        <w:tc>
          <w:tcPr>
            <w:tcW w:w="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3,714</w:t>
            </w:r>
          </w:p>
        </w:tc>
        <w:tc>
          <w:tcPr>
            <w:tcW w:w="60" w:type="dxa"/>
            <w:vAlign w:val="bottom"/>
            <w:shd w:val="clear" w:color="auto" w:fill="CCEEFF"/>
          </w:tcPr>
          <w:p>
            <w:pPr>
              <w:spacing w:after="0"/>
              <w:rPr>
                <w:sz w:val="17"/>
                <w:szCs w:val="17"/>
                <w:color w:val="auto"/>
              </w:rPr>
            </w:pPr>
          </w:p>
        </w:tc>
      </w:tr>
      <w:tr>
        <w:trPr>
          <w:trHeight w:val="203"/>
        </w:trPr>
        <w:tc>
          <w:tcPr>
            <w:tcW w:w="9740" w:type="dxa"/>
            <w:vAlign w:val="bottom"/>
          </w:tcPr>
          <w:p>
            <w:pPr>
              <w:spacing w:after="0" w:line="202" w:lineRule="exact"/>
              <w:rPr>
                <w:sz w:val="20"/>
                <w:szCs w:val="20"/>
                <w:color w:val="auto"/>
              </w:rPr>
            </w:pPr>
            <w:r>
              <w:rPr>
                <w:rFonts w:ascii="Arial" w:cs="Arial" w:eastAsia="Arial" w:hAnsi="Arial"/>
                <w:sz w:val="18"/>
                <w:szCs w:val="18"/>
                <w:color w:val="auto"/>
              </w:rPr>
              <w:t>2020</w:t>
            </w:r>
          </w:p>
        </w:tc>
        <w:tc>
          <w:tcPr>
            <w:tcW w:w="4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3,820</w:t>
            </w:r>
          </w:p>
        </w:tc>
        <w:tc>
          <w:tcPr>
            <w:tcW w:w="60" w:type="dxa"/>
            <w:vAlign w:val="bottom"/>
          </w:tcPr>
          <w:p>
            <w:pPr>
              <w:spacing w:after="0"/>
              <w:rPr>
                <w:sz w:val="17"/>
                <w:szCs w:val="17"/>
                <w:color w:val="auto"/>
              </w:rPr>
            </w:pPr>
          </w:p>
        </w:tc>
      </w:tr>
      <w:tr>
        <w:trPr>
          <w:trHeight w:val="203"/>
        </w:trPr>
        <w:tc>
          <w:tcPr>
            <w:tcW w:w="9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2021</w:t>
            </w: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3,786</w:t>
            </w:r>
          </w:p>
        </w:tc>
        <w:tc>
          <w:tcPr>
            <w:tcW w:w="60" w:type="dxa"/>
            <w:vAlign w:val="bottom"/>
            <w:shd w:val="clear" w:color="auto" w:fill="CCEEFF"/>
          </w:tcPr>
          <w:p>
            <w:pPr>
              <w:spacing w:after="0"/>
              <w:rPr>
                <w:sz w:val="17"/>
                <w:szCs w:val="17"/>
                <w:color w:val="auto"/>
              </w:rPr>
            </w:pPr>
          </w:p>
        </w:tc>
      </w:tr>
      <w:tr>
        <w:trPr>
          <w:trHeight w:val="203"/>
        </w:trPr>
        <w:tc>
          <w:tcPr>
            <w:tcW w:w="974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4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3,886</w:t>
            </w:r>
          </w:p>
        </w:tc>
        <w:tc>
          <w:tcPr>
            <w:tcW w:w="60" w:type="dxa"/>
            <w:vAlign w:val="bottom"/>
          </w:tcPr>
          <w:p>
            <w:pPr>
              <w:spacing w:after="0"/>
              <w:rPr>
                <w:sz w:val="17"/>
                <w:szCs w:val="17"/>
                <w:color w:val="auto"/>
              </w:rPr>
            </w:pPr>
          </w:p>
        </w:tc>
      </w:tr>
      <w:tr>
        <w:trPr>
          <w:trHeight w:val="203"/>
        </w:trPr>
        <w:tc>
          <w:tcPr>
            <w:tcW w:w="9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4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1,003</w:t>
            </w:r>
          </w:p>
        </w:tc>
        <w:tc>
          <w:tcPr>
            <w:tcW w:w="60" w:type="dxa"/>
            <w:vAlign w:val="bottom"/>
            <w:shd w:val="clear" w:color="auto" w:fill="CCEEFF"/>
          </w:tcPr>
          <w:p>
            <w:pPr>
              <w:spacing w:after="0"/>
              <w:rPr>
                <w:sz w:val="17"/>
                <w:szCs w:val="17"/>
                <w:color w:val="auto"/>
              </w:rPr>
            </w:pPr>
          </w:p>
        </w:tc>
      </w:tr>
      <w:tr>
        <w:trPr>
          <w:trHeight w:val="222"/>
        </w:trPr>
        <w:tc>
          <w:tcPr>
            <w:tcW w:w="9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future minimum lease payments</w:t>
            </w: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16,209</w:t>
            </w:r>
          </w:p>
        </w:tc>
        <w:tc>
          <w:tcPr>
            <w:tcW w:w="60" w:type="dxa"/>
            <w:vAlign w:val="bottom"/>
          </w:tcPr>
          <w:p>
            <w:pPr>
              <w:spacing w:after="0"/>
              <w:rPr>
                <w:sz w:val="19"/>
                <w:szCs w:val="19"/>
                <w:color w:val="auto"/>
              </w:rPr>
            </w:pPr>
          </w:p>
        </w:tc>
      </w:tr>
    </w:tbl>
    <w:p>
      <w:pPr>
        <w:spacing w:after="0" w:line="1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Included in the amounts above are $0.3 million of capital lease obligations.</w:t>
      </w:r>
    </w:p>
    <w:p>
      <w:pPr>
        <w:spacing w:after="0" w:line="104" w:lineRule="exact"/>
        <w:rPr>
          <w:sz w:val="20"/>
          <w:szCs w:val="20"/>
          <w:color w:val="auto"/>
        </w:rPr>
      </w:pPr>
    </w:p>
    <w:p>
      <w:pPr>
        <w:ind w:left="120" w:right="240"/>
        <w:spacing w:after="0" w:line="239" w:lineRule="auto"/>
        <w:rPr>
          <w:sz w:val="20"/>
          <w:szCs w:val="20"/>
          <w:color w:val="auto"/>
        </w:rPr>
      </w:pPr>
      <w:r>
        <w:rPr>
          <w:rFonts w:ascii="Arial" w:cs="Arial" w:eastAsia="Arial" w:hAnsi="Arial"/>
          <w:sz w:val="18"/>
          <w:szCs w:val="18"/>
          <w:color w:val="auto"/>
        </w:rPr>
        <w:t>The amounts reflected in the table above incorporate the Company’s lease payments for the Cambridge Lease, but do not reflect any offset for the sublease payments the Company will receive from Casma.</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Legal matters</w:t>
      </w:r>
    </w:p>
    <w:p>
      <w:pPr>
        <w:spacing w:after="0" w:line="124" w:lineRule="exact"/>
        <w:rPr>
          <w:sz w:val="20"/>
          <w:szCs w:val="20"/>
          <w:color w:val="auto"/>
        </w:rPr>
      </w:pPr>
    </w:p>
    <w:p>
      <w:pPr>
        <w:ind w:left="120" w:right="200"/>
        <w:spacing w:after="0" w:line="275" w:lineRule="auto"/>
        <w:rPr>
          <w:sz w:val="20"/>
          <w:szCs w:val="20"/>
          <w:color w:val="auto"/>
        </w:rPr>
      </w:pPr>
      <w:r>
        <w:rPr>
          <w:rFonts w:ascii="Arial" w:cs="Arial" w:eastAsia="Arial" w:hAnsi="Arial"/>
          <w:sz w:val="16"/>
          <w:szCs w:val="16"/>
          <w:color w:val="auto"/>
        </w:rPr>
        <w:t>From time to time, the Company may be involved in litigation related to claims that arise in the ordinary course of its business activities. The Company accrues for these matters when it is probable that future expenditures will be made and these expenditures can be reasonably estimated. As of December 31, 2017 and December 31, 2018, the Company does not believe that any such matters, individually or in the aggregate, will have a material adverse effect on the Company’s financial position, results of operations or cash flows.</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24" w:lineRule="exact"/>
        <w:rPr>
          <w:sz w:val="20"/>
          <w:szCs w:val="20"/>
          <w:color w:val="auto"/>
        </w:rPr>
      </w:pPr>
    </w:p>
    <w:p>
      <w:pPr>
        <w:ind w:left="120" w:right="360"/>
        <w:spacing w:after="0" w:line="239" w:lineRule="auto"/>
        <w:rPr>
          <w:sz w:val="20"/>
          <w:szCs w:val="20"/>
          <w:color w:val="auto"/>
        </w:rPr>
      </w:pPr>
      <w:r>
        <w:rPr>
          <w:rFonts w:ascii="Arial" w:cs="Arial" w:eastAsia="Arial" w:hAnsi="Arial"/>
          <w:sz w:val="18"/>
          <w:szCs w:val="18"/>
          <w:color w:val="auto"/>
        </w:rPr>
        <w:t>The Company enters into standard indemnification arrangements in the ordinary course of business. Pursuant to these arrangements, the Company indemnifies, holds harmless and agrees to reimburse the indemnified</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40"/>
          </w:cols>
          <w:pgMar w:left="320" w:top="459" w:right="4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the Company could be required to make under these arrangements is not determinable. The Company has never incurred costs to defend lawsuits or settle claims related to these indemnification agreements. As a result, the Company believes the fair value of these agreements is minimal.</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6. Sanofi collaboration agreement</w:t>
      </w:r>
    </w:p>
    <w:p>
      <w:pPr>
        <w:spacing w:after="0" w:line="134" w:lineRule="exact"/>
        <w:rPr>
          <w:sz w:val="20"/>
          <w:szCs w:val="20"/>
          <w:color w:val="auto"/>
        </w:rPr>
      </w:pPr>
    </w:p>
    <w:p>
      <w:pPr>
        <w:ind w:left="120" w:right="140"/>
        <w:spacing w:after="0" w:line="236" w:lineRule="auto"/>
        <w:rPr>
          <w:sz w:val="20"/>
          <w:szCs w:val="20"/>
          <w:color w:val="auto"/>
        </w:rPr>
      </w:pPr>
      <w:r>
        <w:rPr>
          <w:rFonts w:ascii="Arial" w:cs="Arial" w:eastAsia="Arial" w:hAnsi="Arial"/>
          <w:sz w:val="18"/>
          <w:szCs w:val="18"/>
          <w:color w:val="auto"/>
        </w:rPr>
        <w:t>In June 2018, the Company entered into a collaborative research, development and commercialization agreement with Aventis, Inc. (an affiliate of Sanofi), or the Sanofi Agreement, to research and develop SHP2 inhibitors, including RMC-4630 for any indications. Pursuant to the Sanofi Agreement, the Company granted Sanofi a worldwide, exclusive, sublicensable (subject to the Company’s consent in certain circumstances) license under certain of the Company’s patents and know-how to research, develop, manufacture, use, sell, offer for sale, import and otherwise commercialize SHP2 inhibitors, including RMC-4630, for any and all uses, subject to the Company’s exercise of rights and performance obligations under the Sanofi Agreement.</w:t>
      </w:r>
    </w:p>
    <w:p>
      <w:pPr>
        <w:spacing w:after="0" w:line="102" w:lineRule="exact"/>
        <w:rPr>
          <w:sz w:val="20"/>
          <w:szCs w:val="20"/>
          <w:color w:val="auto"/>
        </w:rPr>
      </w:pPr>
    </w:p>
    <w:p>
      <w:pPr>
        <w:ind w:left="120" w:right="300"/>
        <w:spacing w:after="0" w:line="238" w:lineRule="auto"/>
        <w:rPr>
          <w:sz w:val="20"/>
          <w:szCs w:val="20"/>
          <w:color w:val="auto"/>
        </w:rPr>
      </w:pPr>
      <w:r>
        <w:rPr>
          <w:rFonts w:ascii="Arial" w:cs="Arial" w:eastAsia="Arial" w:hAnsi="Arial"/>
          <w:sz w:val="18"/>
          <w:szCs w:val="18"/>
          <w:color w:val="auto"/>
        </w:rPr>
        <w:t>In October 2018, the Company acquired Warp Drive in exchange for the Company’s Series B redeemable convertible preferred stock and cash. Sanofi was a stockholder of Warp Drive and received the Company’s Series B redeemable convertible preferred stock during the transaction and accordingly became an investor and related party of the Company.</w:t>
      </w:r>
    </w:p>
    <w:p>
      <w:pPr>
        <w:spacing w:after="0" w:line="100"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Under the Sanofi Agreement, the Company received a non-refundable, upfront cash payment of $50 million in July 2018 and could also receive up to $520 million in development and regulatory milestone payments, including up to $235 million upon the achievement of specified development milestones and up to $285 million upon the achievement of certain marketing approval milestones. Sanofi also agreed to reimburse the Company for 80% of all internal and external research costs and expenses incurred under the research plan for 2019 and 2020, and for all other internal and external costs and expenses incurred to perform activities under the research and development plans for the SHP2 program. In the United States, the Company will share equally with Sanofi the profits and losses applicable to commercialization of SHP2 inhibitor products, pursuant to a profit/loss share agreement that the parties will negotiate based on key terms agreed in the Sanofi Agreement. On a product-by-product basis, Sanofi will also be required to pay the Company tiered royalties on annual net sales of each product outside the United States ranging from high single digit to mid-teen percentages.</w:t>
      </w:r>
    </w:p>
    <w:p>
      <w:pPr>
        <w:spacing w:after="0" w:line="106" w:lineRule="exact"/>
        <w:rPr>
          <w:sz w:val="20"/>
          <w:szCs w:val="20"/>
          <w:color w:val="auto"/>
        </w:rPr>
      </w:pPr>
    </w:p>
    <w:p>
      <w:pPr>
        <w:ind w:left="120" w:right="320"/>
        <w:spacing w:after="0" w:line="238" w:lineRule="auto"/>
        <w:rPr>
          <w:sz w:val="20"/>
          <w:szCs w:val="20"/>
          <w:color w:val="auto"/>
        </w:rPr>
      </w:pPr>
      <w:r>
        <w:rPr>
          <w:rFonts w:ascii="Arial" w:cs="Arial" w:eastAsia="Arial" w:hAnsi="Arial"/>
          <w:sz w:val="18"/>
          <w:szCs w:val="18"/>
          <w:color w:val="auto"/>
        </w:rPr>
        <w:t>The Company has primary responsibility for early clinical development of RMC-4630 pursuant to an initial development plan and also has primary responsibility for the manufacture of SHP2 inhibitors for Phase 1 and Phase 2 non-registrational clinical trials, while Sanofi is responsible for manufacturing SHP2 inhibitors for all other clinical trials and commercial supply.</w:t>
      </w:r>
    </w:p>
    <w:p>
      <w:pPr>
        <w:spacing w:after="0" w:line="100"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Unless terminated earlier, the Sanofi Agreement will continue in effect until the later of the expiration of all of Sanofi’s milestone and royalty payment obligations and the expiration of the profit/loss share agreement. Sanofi may terminate the Sanofi Agreement in its entirety or on a country-by-country or product-by-product basis for any reason or for significant safety concerns, upon prior notice to the Company. Sanofi may terminate the Sanofi Agreement in its entirety upon a change of control in the Company, with prior notice. Either party may terminate the Sanofi Agreement if an undisputed material breach by the other party is not cured within a defined period of time, or immediately upon notice for insolvency-related events of the other party. The Company may terminate the Sanofi Agreement after a certain number of years if Sanofi develops a competing program without commencing a registrational clinical trial for a SHP2 inhibitor product candidate, and subject to certain other conditions. The Company may also terminate the Sanofi Agreement at any time, if Sanofi ceases certain critical</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060"/>
          </w:cols>
          <w:pgMar w:left="320" w:top="459" w:right="51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activities for SHP2 inhibitor product candidates for more than a specified period of time, provided that such cessations of critical activity were not a result of certain specified factors, and subject to certain other conditions. Upon any termination of the Sanofi Agreement with respect to any product or country, all licenses to Sanofi with respect to such product or country shall automatically terminate and all rights generally revert back to the Company.</w:t>
      </w:r>
    </w:p>
    <w:p>
      <w:pPr>
        <w:spacing w:after="0" w:line="100"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The Company identified the following promises in the agreement (1) the license related to SHP2 inhibitors, (2) the performance of research and development services for Phase 1 clinical studies and Phase 2 clinical trials that are non-registrational clinical trials and (3) the performance of manufacturing services for the non-registrational clinical trials. The Company determined that the license is not distinct from the services within the context of the agreement because the research, development and manufacturing significantly increase the utility of the intellectual property. The intellectual property (IP) related to SHP2 inhibitors, which is proprietary to the Company, is the foundation for the research and development activities. The manufacturing services are a necessary and integral part of the research and development services as they could only be conducted utilizing the outcomes of these services. Given the research and development services under the Sanofi Agreement are expected to involve significant further development of the initial IP, the Company has concluded that the research, development and manufacturing services are not distinct from the license, and thus the license, research and development services and manufacturing services are combined into a single performance obligation.</w:t>
      </w:r>
    </w:p>
    <w:p>
      <w:pPr>
        <w:spacing w:after="0" w:line="106" w:lineRule="exact"/>
        <w:rPr>
          <w:sz w:val="20"/>
          <w:szCs w:val="20"/>
          <w:color w:val="auto"/>
        </w:rPr>
      </w:pPr>
    </w:p>
    <w:p>
      <w:pPr>
        <w:ind w:left="120" w:right="280"/>
        <w:spacing w:after="0" w:line="275" w:lineRule="auto"/>
        <w:rPr>
          <w:sz w:val="20"/>
          <w:szCs w:val="20"/>
          <w:color w:val="auto"/>
        </w:rPr>
      </w:pPr>
      <w:r>
        <w:rPr>
          <w:rFonts w:ascii="Arial" w:cs="Arial" w:eastAsia="Arial" w:hAnsi="Arial"/>
          <w:sz w:val="16"/>
          <w:szCs w:val="16"/>
          <w:color w:val="auto"/>
        </w:rPr>
        <w:t>For revenue recognition purposes, the Company determined that the duration of the contract begins on the effective date of the Sanofi Agreement in July 2018 and ends upon completion of the non-registrational clinical trials. The contract duration is defined as the period in which parties to the contract have present enforceable rights and obligations. The Company analyzed the impact of Sanofi terminating the agreement prior to the completion of these trials and determined that there were significant economic costs to Sanofi for doing so.</w:t>
      </w:r>
    </w:p>
    <w:p>
      <w:pPr>
        <w:spacing w:after="0" w:line="75"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The Company determined that the transaction price of the Sanofi Agreement was $197.2 million as of December 31, 2018. In order to determine the transaction price, the Company evaluated all the payments to be received during the duration of the contract. The Company determined that the $50.0 million upfront payment and $147.2 million of estimated variable consideration for expense reimbursements from Sanofi for agreed upon research and development services as of December 31, 2018 constituted consideration to be included in the transaction price, which is to be allocated to the combined performance obligation. Development and regulatory milestones under the Sanofi Agreement were considered but not included in the transaction price, as it is probable that a significant revenue reversal could occur if they were included. The Company will re-evaluate the transaction price in each reporting period and as uncertain events are resolved or other changes in circumstances occur.</w:t>
      </w:r>
    </w:p>
    <w:p>
      <w:pPr>
        <w:spacing w:after="0" w:line="100"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The license, research, development and manufacturing services are combined as one performance obligation that will be performed over the duration of the contract, which is from the effective date of the Sanofi Agreement through to the completion of studies. The Company concluded that it will utilize a cost-based input method to measure proportional performance and to calculate the corresponding amount of revenue to recognize. In applying the cost-based input method of revenue recognition, the Company uses actual costs incurred relative to estimated costs to fulfill the combined performance obligation. These costs consist primarily of internal full-time equivalent efforts and third-party costs. Revenue is recognized based on actual costs incurred as a percentage of total estimated costs as the Company completes its performance obligations. The cumulative effect of revisions to estimated costs to complete the Company’s performance obligations will be recorded in the period in which changes are identified and amounts can be reasonably estimated.</w:t>
      </w:r>
    </w:p>
    <w:p>
      <w:pPr>
        <w:spacing w:after="0" w:line="100" w:lineRule="exact"/>
        <w:rPr>
          <w:sz w:val="20"/>
          <w:szCs w:val="20"/>
          <w:color w:val="auto"/>
        </w:rPr>
      </w:pPr>
    </w:p>
    <w:p>
      <w:pPr>
        <w:jc w:val="center"/>
        <w:spacing w:after="0" w:line="411" w:lineRule="auto"/>
        <w:rPr>
          <w:sz w:val="20"/>
          <w:szCs w:val="20"/>
          <w:color w:val="auto"/>
        </w:rPr>
      </w:pPr>
      <w:r>
        <w:rPr>
          <w:rFonts w:ascii="Arial" w:cs="Arial" w:eastAsia="Arial" w:hAnsi="Arial"/>
          <w:sz w:val="18"/>
          <w:szCs w:val="18"/>
          <w:color w:val="auto"/>
        </w:rPr>
        <w:t>During the year ended December 31, 2018, the Company recognized $19.4 million of collaboration revenue associated with this agreement. F-21</w:t>
      </w:r>
    </w:p>
    <w:p>
      <w:pPr>
        <w:sectPr>
          <w:pgSz w:w="11900" w:h="16838" w:orient="portrait"/>
          <w:cols w:equalWidth="0" w:num="1">
            <w:col w:w="11080"/>
          </w:cols>
          <w:pgMar w:left="320" w:top="459" w:right="49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December 31, 2018, $16.8 million of deferred revenue, related party is classified as current and $28.4 million is classified as noncurrent.</w:t>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7. Acquisition of Warp Drive</w:t>
      </w:r>
    </w:p>
    <w:p>
      <w:pPr>
        <w:spacing w:after="0" w:line="134" w:lineRule="exact"/>
        <w:rPr>
          <w:sz w:val="20"/>
          <w:szCs w:val="20"/>
          <w:color w:val="auto"/>
        </w:rPr>
      </w:pPr>
    </w:p>
    <w:p>
      <w:pPr>
        <w:jc w:val="both"/>
        <w:ind w:left="120" w:right="280"/>
        <w:spacing w:after="0" w:line="238" w:lineRule="auto"/>
        <w:rPr>
          <w:sz w:val="20"/>
          <w:szCs w:val="20"/>
          <w:color w:val="auto"/>
        </w:rPr>
      </w:pPr>
      <w:r>
        <w:rPr>
          <w:rFonts w:ascii="Arial" w:cs="Arial" w:eastAsia="Arial" w:hAnsi="Arial"/>
          <w:sz w:val="18"/>
          <w:szCs w:val="18"/>
          <w:color w:val="auto"/>
        </w:rPr>
        <w:t>In October 2018, the Company acquired all outstanding shares of Warp Drive in exchange for issuing 33,079,554 shares of the Company’s Series B redeemable convertible preferred stock and $0.9 million in other consideration, for total consideration of $69.0 million. Warp Drive was a privately held biotechnology company based in Cambridge, Massachusetts.</w:t>
      </w:r>
    </w:p>
    <w:p>
      <w:pPr>
        <w:spacing w:after="0" w:line="100" w:lineRule="exact"/>
        <w:rPr>
          <w:sz w:val="20"/>
          <w:szCs w:val="20"/>
          <w:color w:val="auto"/>
        </w:rPr>
      </w:pPr>
    </w:p>
    <w:p>
      <w:pPr>
        <w:jc w:val="both"/>
        <w:ind w:left="120" w:right="260"/>
        <w:spacing w:after="0" w:line="281" w:lineRule="auto"/>
        <w:rPr>
          <w:sz w:val="20"/>
          <w:szCs w:val="20"/>
          <w:color w:val="auto"/>
        </w:rPr>
      </w:pPr>
      <w:r>
        <w:rPr>
          <w:rFonts w:ascii="Arial" w:cs="Arial" w:eastAsia="Arial" w:hAnsi="Arial"/>
          <w:sz w:val="16"/>
          <w:szCs w:val="16"/>
          <w:color w:val="auto"/>
        </w:rPr>
        <w:t>Warp Drive’s RAS programs include compounds targeting various cancer indications, while its tri-complex platform is targeted at identifying presenter proteins for binding with small molecules and a target. Additionally, Warp Drive had a genome mining platform that is subject to a collaboration agreement with Hoffman-La Roche Ltd. (Roche) involving research in the area of neomorph antibiotics.</w:t>
      </w:r>
    </w:p>
    <w:p>
      <w:pPr>
        <w:spacing w:after="0" w:line="51" w:lineRule="exact"/>
        <w:rPr>
          <w:sz w:val="20"/>
          <w:szCs w:val="20"/>
          <w:color w:val="auto"/>
        </w:rPr>
      </w:pPr>
    </w:p>
    <w:p>
      <w:pPr>
        <w:jc w:val="both"/>
        <w:ind w:left="120" w:right="260"/>
        <w:spacing w:after="0" w:line="322" w:lineRule="auto"/>
        <w:rPr>
          <w:sz w:val="20"/>
          <w:szCs w:val="20"/>
          <w:color w:val="auto"/>
        </w:rPr>
      </w:pPr>
      <w:r>
        <w:rPr>
          <w:rFonts w:ascii="Arial" w:cs="Arial" w:eastAsia="Arial" w:hAnsi="Arial"/>
          <w:sz w:val="16"/>
          <w:szCs w:val="16"/>
          <w:color w:val="auto"/>
        </w:rPr>
        <w:t xml:space="preserve">Pursuant to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transaction was determined to be a business combination and was accounted for using the acquisition method of accounting. The following table presents a summary of the purchase price consideration for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30480</wp:posOffset>
            </wp:positionV>
            <wp:extent cx="699516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76"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968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(in thousands)</w:t>
            </w:r>
          </w:p>
        </w:tc>
      </w:tr>
      <w:tr>
        <w:trPr>
          <w:trHeight w:val="203"/>
        </w:trPr>
        <w:tc>
          <w:tcPr>
            <w:tcW w:w="9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B redeemable convertible preferred stock</w:t>
            </w:r>
          </w:p>
        </w:tc>
        <w:tc>
          <w:tcPr>
            <w:tcW w:w="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68,144</w:t>
            </w:r>
          </w:p>
        </w:tc>
      </w:tr>
      <w:tr>
        <w:trPr>
          <w:trHeight w:val="203"/>
        </w:trPr>
        <w:tc>
          <w:tcPr>
            <w:tcW w:w="9680" w:type="dxa"/>
            <w:vAlign w:val="bottom"/>
          </w:tcPr>
          <w:p>
            <w:pPr>
              <w:spacing w:after="0" w:line="202" w:lineRule="exact"/>
              <w:rPr>
                <w:sz w:val="20"/>
                <w:szCs w:val="20"/>
                <w:color w:val="auto"/>
              </w:rPr>
            </w:pPr>
            <w:r>
              <w:rPr>
                <w:rFonts w:ascii="Arial" w:cs="Arial" w:eastAsia="Arial" w:hAnsi="Arial"/>
                <w:sz w:val="18"/>
                <w:szCs w:val="18"/>
                <w:color w:val="auto"/>
              </w:rPr>
              <w:t>Cash</w:t>
            </w:r>
          </w:p>
        </w:tc>
        <w:tc>
          <w:tcPr>
            <w:tcW w:w="4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1,172</w:t>
            </w:r>
          </w:p>
        </w:tc>
        <w:tc>
          <w:tcPr>
            <w:tcW w:w="120" w:type="dxa"/>
            <w:vAlign w:val="bottom"/>
          </w:tcPr>
          <w:p>
            <w:pPr>
              <w:spacing w:after="0"/>
              <w:rPr>
                <w:sz w:val="17"/>
                <w:szCs w:val="17"/>
                <w:color w:val="auto"/>
              </w:rPr>
            </w:pPr>
          </w:p>
        </w:tc>
      </w:tr>
      <w:tr>
        <w:trPr>
          <w:trHeight w:val="203"/>
        </w:trPr>
        <w:tc>
          <w:tcPr>
            <w:tcW w:w="9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Contingently returnable consideration asset</w:t>
            </w:r>
          </w:p>
        </w:tc>
        <w:tc>
          <w:tcPr>
            <w:tcW w:w="4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(310)</w:t>
            </w:r>
          </w:p>
        </w:tc>
      </w:tr>
      <w:tr>
        <w:trPr>
          <w:trHeight w:val="222"/>
        </w:trPr>
        <w:tc>
          <w:tcPr>
            <w:tcW w:w="96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consideration</w:t>
            </w: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69,006</w:t>
            </w:r>
          </w:p>
        </w:tc>
        <w:tc>
          <w:tcPr>
            <w:tcW w:w="120" w:type="dxa"/>
            <w:vAlign w:val="bottom"/>
          </w:tcPr>
          <w:p>
            <w:pPr>
              <w:spacing w:after="0"/>
              <w:rPr>
                <w:sz w:val="19"/>
                <w:szCs w:val="19"/>
                <w:color w:val="auto"/>
              </w:rPr>
            </w:pPr>
          </w:p>
        </w:tc>
      </w:tr>
    </w:tbl>
    <w:p>
      <w:pPr>
        <w:spacing w:after="0" w:line="111"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The fair value of $2.06 per share of Series B redeemable convertible preferred stock was determined using a discounted cash flow model to estimate the value of the Company’s equity, and subsequently allocated to the Series B redeemable convertible preferred stock using an option pricing method.</w:t>
      </w:r>
    </w:p>
    <w:p>
      <w:pPr>
        <w:spacing w:after="0" w:line="100" w:lineRule="exact"/>
        <w:rPr>
          <w:sz w:val="20"/>
          <w:szCs w:val="20"/>
          <w:color w:val="auto"/>
        </w:rPr>
      </w:pPr>
    </w:p>
    <w:p>
      <w:pPr>
        <w:ind w:left="120" w:right="140"/>
        <w:spacing w:after="0" w:line="269" w:lineRule="auto"/>
        <w:rPr>
          <w:sz w:val="20"/>
          <w:szCs w:val="20"/>
          <w:color w:val="auto"/>
        </w:rPr>
      </w:pPr>
      <w:r>
        <w:rPr>
          <w:rFonts w:ascii="Arial" w:cs="Arial" w:eastAsia="Arial" w:hAnsi="Arial"/>
          <w:sz w:val="16"/>
          <w:szCs w:val="16"/>
          <w:color w:val="auto"/>
        </w:rPr>
        <w:t>The shares and cash issued as part of the transaction include 2,407,619 shares and less than $0.1 million of cash subject to a holdback based on certain events associated with Warp Drive’s agreement with Roche. The shares and cash subject to the holdback were issued on closing of the acquisition, but would be required to be returned to the Company if the holdback events did not occur. On the acquisition date, the Company determined the fair value of the holdback provision was $0.3 million and recorded it as a contingently returnable consideration asset on its consolidated balance sheet. The shares subject to the holdback retained their voting rights. In March 2019, the events subject to the holdback occurred and the issued shares and cash were no longer subject to the holdback provision. See Note 3, “Fair value measurements,” for a description of the determination of the fair value of the contingently returnable consideration asset.</w:t>
      </w:r>
    </w:p>
    <w:p>
      <w:pPr>
        <w:spacing w:after="0" w:line="82"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During the year ended December 31, 2018, the Company incurred $0.4 million of acquisition-related costs as a result of the Warp Drive acquisition, which were recorded as general and administrative expenses in the consolidated statements of operations and comprehensive loss. The Company also paid $0.6 million in transaction costs incurred by Warp Drive related to Warp Drive’s advisors, which was included as part of the purchase price consideration.</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320" w:top="459" w:right="4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fair values of the assets acquired and liabilities assumed at the acquisition date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233"/>
        </w:trPr>
        <w:tc>
          <w:tcPr>
            <w:tcW w:w="9740" w:type="dxa"/>
            <w:vAlign w:val="bottom"/>
          </w:tcPr>
          <w:p>
            <w:pPr>
              <w:spacing w:after="0"/>
              <w:rPr>
                <w:sz w:val="20"/>
                <w:szCs w:val="20"/>
                <w:color w:val="auto"/>
              </w:rPr>
            </w:pP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rPr>
              <w:t>(in thousands)</w:t>
            </w:r>
          </w:p>
        </w:tc>
      </w:tr>
      <w:tr>
        <w:trPr>
          <w:trHeight w:val="56"/>
        </w:trPr>
        <w:tc>
          <w:tcPr>
            <w:tcW w:w="9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9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 acquired:</w:t>
            </w: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9740" w:type="dxa"/>
            <w:vAlign w:val="bottom"/>
          </w:tcPr>
          <w:p>
            <w:pPr>
              <w:ind w:left="220"/>
              <w:spacing w:after="0" w:line="202" w:lineRule="exact"/>
              <w:rPr>
                <w:sz w:val="20"/>
                <w:szCs w:val="20"/>
                <w:color w:val="auto"/>
              </w:rPr>
            </w:pPr>
            <w:r>
              <w:rPr>
                <w:rFonts w:ascii="Arial" w:cs="Arial" w:eastAsia="Arial" w:hAnsi="Arial"/>
                <w:sz w:val="18"/>
                <w:szCs w:val="18"/>
                <w:color w:val="auto"/>
              </w:rPr>
              <w:t>Cash and other current assets</w:t>
            </w:r>
          </w:p>
        </w:tc>
        <w:tc>
          <w:tcPr>
            <w:tcW w:w="4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1,594</w:t>
            </w:r>
          </w:p>
        </w:tc>
      </w:tr>
      <w:tr>
        <w:trPr>
          <w:trHeight w:val="203"/>
        </w:trPr>
        <w:tc>
          <w:tcPr>
            <w:tcW w:w="97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Property and equipment</w:t>
            </w:r>
          </w:p>
        </w:tc>
        <w:tc>
          <w:tcPr>
            <w:tcW w:w="4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2,151</w:t>
            </w:r>
          </w:p>
        </w:tc>
      </w:tr>
      <w:tr>
        <w:trPr>
          <w:trHeight w:val="203"/>
        </w:trPr>
        <w:tc>
          <w:tcPr>
            <w:tcW w:w="9740" w:type="dxa"/>
            <w:vAlign w:val="bottom"/>
          </w:tcPr>
          <w:p>
            <w:pPr>
              <w:ind w:left="220"/>
              <w:spacing w:after="0" w:line="202" w:lineRule="exact"/>
              <w:rPr>
                <w:sz w:val="20"/>
                <w:szCs w:val="20"/>
                <w:color w:val="auto"/>
              </w:rPr>
            </w:pPr>
            <w:r>
              <w:rPr>
                <w:rFonts w:ascii="Arial" w:cs="Arial" w:eastAsia="Arial" w:hAnsi="Arial"/>
                <w:sz w:val="18"/>
                <w:szCs w:val="18"/>
                <w:color w:val="auto"/>
              </w:rPr>
              <w:t>In-process research and development—RAS programs</w:t>
            </w:r>
          </w:p>
        </w:tc>
        <w:tc>
          <w:tcPr>
            <w:tcW w:w="40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55,800</w:t>
            </w:r>
          </w:p>
        </w:tc>
      </w:tr>
      <w:tr>
        <w:trPr>
          <w:trHeight w:val="203"/>
        </w:trPr>
        <w:tc>
          <w:tcPr>
            <w:tcW w:w="97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Developed technology—tri-complex platform</w:t>
            </w:r>
          </w:p>
        </w:tc>
        <w:tc>
          <w:tcPr>
            <w:tcW w:w="4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7,480</w:t>
            </w:r>
          </w:p>
        </w:tc>
      </w:tr>
      <w:tr>
        <w:trPr>
          <w:trHeight w:val="209"/>
        </w:trPr>
        <w:tc>
          <w:tcPr>
            <w:tcW w:w="9740" w:type="dxa"/>
            <w:vAlign w:val="bottom"/>
          </w:tcPr>
          <w:p>
            <w:pPr>
              <w:ind w:left="220"/>
              <w:spacing w:after="0" w:line="202" w:lineRule="exact"/>
              <w:rPr>
                <w:sz w:val="20"/>
                <w:szCs w:val="20"/>
                <w:color w:val="auto"/>
              </w:rPr>
            </w:pPr>
            <w:r>
              <w:rPr>
                <w:rFonts w:ascii="Arial" w:cs="Arial" w:eastAsia="Arial" w:hAnsi="Arial"/>
                <w:sz w:val="18"/>
                <w:szCs w:val="18"/>
                <w:color w:val="auto"/>
              </w:rPr>
              <w:t>Developed technology—genome mining platform</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6,100</w:t>
            </w:r>
          </w:p>
        </w:tc>
        <w:tc>
          <w:tcPr>
            <w:tcW w:w="60" w:type="dxa"/>
            <w:vAlign w:val="bottom"/>
          </w:tcPr>
          <w:p>
            <w:pPr>
              <w:spacing w:after="0"/>
              <w:rPr>
                <w:sz w:val="18"/>
                <w:szCs w:val="18"/>
                <w:color w:val="auto"/>
              </w:rPr>
            </w:pPr>
          </w:p>
        </w:tc>
      </w:tr>
      <w:tr>
        <w:trPr>
          <w:trHeight w:val="203"/>
        </w:trPr>
        <w:tc>
          <w:tcPr>
            <w:tcW w:w="97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assets acquired</w:t>
            </w:r>
          </w:p>
        </w:tc>
        <w:tc>
          <w:tcPr>
            <w:tcW w:w="4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73,125</w:t>
            </w:r>
          </w:p>
        </w:tc>
      </w:tr>
      <w:tr>
        <w:trPr>
          <w:trHeight w:val="270"/>
        </w:trPr>
        <w:tc>
          <w:tcPr>
            <w:tcW w:w="9740" w:type="dxa"/>
            <w:vAlign w:val="bottom"/>
          </w:tcPr>
          <w:p>
            <w:pPr>
              <w:spacing w:after="0"/>
              <w:rPr>
                <w:sz w:val="20"/>
                <w:szCs w:val="20"/>
                <w:color w:val="auto"/>
              </w:rPr>
            </w:pPr>
            <w:r>
              <w:rPr>
                <w:rFonts w:ascii="Arial" w:cs="Arial" w:eastAsia="Arial" w:hAnsi="Arial"/>
                <w:sz w:val="18"/>
                <w:szCs w:val="18"/>
                <w:color w:val="auto"/>
              </w:rPr>
              <w:t>Liabilities assumed:</w:t>
            </w: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03"/>
        </w:trPr>
        <w:tc>
          <w:tcPr>
            <w:tcW w:w="97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Accounts payable and other accrued liabilities</w:t>
            </w:r>
          </w:p>
        </w:tc>
        <w:tc>
          <w:tcPr>
            <w:tcW w:w="4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3,790</w:t>
            </w:r>
          </w:p>
        </w:tc>
      </w:tr>
      <w:tr>
        <w:trPr>
          <w:trHeight w:val="203"/>
        </w:trPr>
        <w:tc>
          <w:tcPr>
            <w:tcW w:w="9740" w:type="dxa"/>
            <w:vAlign w:val="bottom"/>
          </w:tcPr>
          <w:p>
            <w:pPr>
              <w:ind w:left="220"/>
              <w:spacing w:after="0" w:line="202" w:lineRule="exact"/>
              <w:rPr>
                <w:sz w:val="20"/>
                <w:szCs w:val="20"/>
                <w:color w:val="auto"/>
              </w:rPr>
            </w:pPr>
            <w:r>
              <w:rPr>
                <w:rFonts w:ascii="Arial" w:cs="Arial" w:eastAsia="Arial" w:hAnsi="Arial"/>
                <w:sz w:val="18"/>
                <w:szCs w:val="18"/>
                <w:color w:val="auto"/>
              </w:rPr>
              <w:t>Convertible note payable, related party</w:t>
            </w:r>
          </w:p>
        </w:tc>
        <w:tc>
          <w:tcPr>
            <w:tcW w:w="40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2,000</w:t>
            </w:r>
          </w:p>
        </w:tc>
      </w:tr>
      <w:tr>
        <w:trPr>
          <w:trHeight w:val="203"/>
        </w:trPr>
        <w:tc>
          <w:tcPr>
            <w:tcW w:w="97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Deferred revenue</w:t>
            </w:r>
          </w:p>
        </w:tc>
        <w:tc>
          <w:tcPr>
            <w:tcW w:w="4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745</w:t>
            </w:r>
          </w:p>
        </w:tc>
      </w:tr>
      <w:tr>
        <w:trPr>
          <w:trHeight w:val="209"/>
        </w:trPr>
        <w:tc>
          <w:tcPr>
            <w:tcW w:w="9740" w:type="dxa"/>
            <w:vAlign w:val="bottom"/>
          </w:tcPr>
          <w:p>
            <w:pPr>
              <w:ind w:left="220"/>
              <w:spacing w:after="0" w:line="202" w:lineRule="exact"/>
              <w:rPr>
                <w:sz w:val="20"/>
                <w:szCs w:val="20"/>
                <w:color w:val="auto"/>
              </w:rPr>
            </w:pPr>
            <w:r>
              <w:rPr>
                <w:rFonts w:ascii="Arial" w:cs="Arial" w:eastAsia="Arial" w:hAnsi="Arial"/>
                <w:sz w:val="18"/>
                <w:szCs w:val="18"/>
                <w:color w:val="auto"/>
              </w:rPr>
              <w:t>Deferred tax liability</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12,192</w:t>
            </w:r>
          </w:p>
        </w:tc>
        <w:tc>
          <w:tcPr>
            <w:tcW w:w="60" w:type="dxa"/>
            <w:vAlign w:val="bottom"/>
          </w:tcPr>
          <w:p>
            <w:pPr>
              <w:spacing w:after="0"/>
              <w:rPr>
                <w:sz w:val="18"/>
                <w:szCs w:val="18"/>
                <w:color w:val="auto"/>
              </w:rPr>
            </w:pPr>
          </w:p>
        </w:tc>
      </w:tr>
      <w:tr>
        <w:trPr>
          <w:trHeight w:val="203"/>
        </w:trPr>
        <w:tc>
          <w:tcPr>
            <w:tcW w:w="97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liabilities assumed</w:t>
            </w:r>
          </w:p>
        </w:tc>
        <w:tc>
          <w:tcPr>
            <w:tcW w:w="4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18,727</w:t>
            </w:r>
          </w:p>
        </w:tc>
      </w:tr>
      <w:tr>
        <w:trPr>
          <w:trHeight w:val="210"/>
        </w:trPr>
        <w:tc>
          <w:tcPr>
            <w:tcW w:w="974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14,608</w:t>
            </w:r>
          </w:p>
        </w:tc>
        <w:tc>
          <w:tcPr>
            <w:tcW w:w="60" w:type="dxa"/>
            <w:vAlign w:val="bottom"/>
          </w:tcPr>
          <w:p>
            <w:pPr>
              <w:spacing w:after="0"/>
              <w:rPr>
                <w:sz w:val="18"/>
                <w:szCs w:val="18"/>
                <w:color w:val="auto"/>
              </w:rPr>
            </w:pPr>
          </w:p>
        </w:tc>
      </w:tr>
      <w:tr>
        <w:trPr>
          <w:trHeight w:val="203"/>
        </w:trPr>
        <w:tc>
          <w:tcPr>
            <w:tcW w:w="9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69,006</w:t>
            </w:r>
          </w:p>
        </w:tc>
      </w:tr>
      <w:tr>
        <w:trPr>
          <w:trHeight w:val="20"/>
        </w:trPr>
        <w:tc>
          <w:tcPr>
            <w:tcW w:w="9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The valuations of the IPR&amp;D—RAS programs and developed technology—genome mining platform were determined using the income approach, which discounts expected future cash flows to present value. The discount rates used were between 13% and 14%. The projected cash flows were based on key assumptions such as: estimates of revenues and operating profits related to each program or platform considering its stage of development on the acquisition date; the time and resources needed to complete the development and approval of product candidates; the life of the potential commercialized products and associated risks, including the inherent difficulties and uncertainties in developing a product candidate such as obtaining marketing approval from the FDA and other regulatory agencies; and risks related to the viability of and potential alternative treatments in any future target markets.</w:t>
      </w:r>
    </w:p>
    <w:p>
      <w:pPr>
        <w:spacing w:after="0" w:line="101"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Intangible assets associated with acquired IPR&amp;D relate to the RAS programs. Management determined that the estimated acquisition-date fair value of the intangible asset related to IPR&amp;D was $55.8 million. The acquired IPR&amp;D is considered to be an indefinite-lived asset until the completion or abandonment of the research and development efforts. The acquired IPR&amp;D will not be amortized until completion of the related products, which is determined by when the underlying programs reach technological feasibility and commence commercial production. Upon completion, the acquired IPR&amp;D will be amortized over its useful life.</w:t>
      </w:r>
    </w:p>
    <w:p>
      <w:pPr>
        <w:spacing w:after="0" w:line="103"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The valuation of the developed technology—tri-complex platform was based on a replacement cost approach as the Company’s management intends to leverage the platform internally, but does not have the ability to assign a specific income stream to the asset. The tri-complex platform was accounted for as developed technology and is being amortized over 7 years. Amortization expense for the year ended December 31, 2018 was $0.2 million.</w:t>
      </w:r>
    </w:p>
    <w:p>
      <w:pPr>
        <w:spacing w:after="0" w:line="100" w:lineRule="exact"/>
        <w:rPr>
          <w:sz w:val="20"/>
          <w:szCs w:val="20"/>
          <w:color w:val="auto"/>
        </w:rPr>
      </w:pPr>
    </w:p>
    <w:p>
      <w:pPr>
        <w:ind w:left="120" w:right="720"/>
        <w:spacing w:after="0" w:line="239" w:lineRule="auto"/>
        <w:rPr>
          <w:sz w:val="20"/>
          <w:szCs w:val="20"/>
          <w:color w:val="auto"/>
        </w:rPr>
      </w:pPr>
      <w:r>
        <w:rPr>
          <w:rFonts w:ascii="Arial" w:cs="Arial" w:eastAsia="Arial" w:hAnsi="Arial"/>
          <w:sz w:val="18"/>
          <w:szCs w:val="18"/>
          <w:color w:val="auto"/>
        </w:rPr>
        <w:t>The genome mining platform, including the associated Roche collaboration agreement, was accounted for as held for sale developed technology and was divested in January 2019.</w:t>
      </w:r>
    </w:p>
    <w:p>
      <w:pPr>
        <w:spacing w:after="0" w:line="101" w:lineRule="exact"/>
        <w:rPr>
          <w:sz w:val="20"/>
          <w:szCs w:val="20"/>
          <w:color w:val="auto"/>
        </w:rPr>
      </w:pPr>
    </w:p>
    <w:p>
      <w:pPr>
        <w:ind w:left="120" w:right="240"/>
        <w:spacing w:after="0" w:line="239" w:lineRule="auto"/>
        <w:rPr>
          <w:sz w:val="20"/>
          <w:szCs w:val="20"/>
          <w:color w:val="auto"/>
        </w:rPr>
      </w:pPr>
      <w:r>
        <w:rPr>
          <w:rFonts w:ascii="Arial" w:cs="Arial" w:eastAsia="Arial" w:hAnsi="Arial"/>
          <w:sz w:val="18"/>
          <w:szCs w:val="18"/>
          <w:color w:val="auto"/>
        </w:rPr>
        <w:t>The Company assumed a convertible promissory note (Convertible Note) as part of the Company’s acquisition of Warp Drive. See Note 13, “Related party relationships.”</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40"/>
          </w:cols>
          <w:pgMar w:left="320" w:top="459"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120" w:right="160"/>
        <w:spacing w:after="0" w:line="238" w:lineRule="auto"/>
        <w:rPr>
          <w:sz w:val="20"/>
          <w:szCs w:val="20"/>
          <w:color w:val="auto"/>
        </w:rPr>
      </w:pPr>
      <w:r>
        <w:rPr>
          <w:rFonts w:ascii="Arial" w:cs="Arial" w:eastAsia="Arial" w:hAnsi="Arial"/>
          <w:sz w:val="18"/>
          <w:szCs w:val="18"/>
          <w:color w:val="auto"/>
        </w:rPr>
        <w:t>Deferred revenue consists of the remaining estimated cost obligations, including mark-up, associated with the collaboration with Roche. The entire amount was recognized as revenue during the year ended December 31, 2018 and included under collaboration revenue, other in the consolidated statements of operations and comprehensive loss.</w:t>
      </w:r>
    </w:p>
    <w:p>
      <w:pPr>
        <w:spacing w:after="0" w:line="100"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The Company recorded $14.6 million in goodwill associated with this acquisition, which relates to the establishment of a deferred tax liability for the non-deductible in-process research and development intangible assets acquired and synergies resulting from the acquisition. Goodwill will not be amortized but will be tested at least annually for impairment. No impairment has been recognized as of December 31, 2018. Goodwill recorded is not deductible for income tax purposes.</w:t>
      </w:r>
    </w:p>
    <w:p>
      <w:pPr>
        <w:spacing w:after="0" w:line="100" w:lineRule="exact"/>
        <w:rPr>
          <w:sz w:val="20"/>
          <w:szCs w:val="20"/>
          <w:color w:val="auto"/>
        </w:rPr>
      </w:pPr>
    </w:p>
    <w:p>
      <w:pPr>
        <w:ind w:left="120" w:right="560"/>
        <w:spacing w:after="0" w:line="239" w:lineRule="auto"/>
        <w:rPr>
          <w:sz w:val="20"/>
          <w:szCs w:val="20"/>
          <w:color w:val="auto"/>
        </w:rPr>
      </w:pPr>
      <w:r>
        <w:rPr>
          <w:rFonts w:ascii="Arial" w:cs="Arial" w:eastAsia="Arial" w:hAnsi="Arial"/>
          <w:sz w:val="18"/>
          <w:szCs w:val="18"/>
          <w:color w:val="auto"/>
        </w:rPr>
        <w:t>Subsequent to the acquisition, the Company recorded $1.4 million of severance costs during the year ended December 31, 2018 in the consolidated statement of operations and comprehensive loss.</w:t>
      </w:r>
    </w:p>
    <w:p>
      <w:pPr>
        <w:spacing w:after="0" w:line="101" w:lineRule="exact"/>
        <w:rPr>
          <w:sz w:val="20"/>
          <w:szCs w:val="20"/>
          <w:color w:val="auto"/>
        </w:rPr>
      </w:pPr>
    </w:p>
    <w:p>
      <w:pPr>
        <w:ind w:left="120" w:right="80"/>
        <w:spacing w:after="0" w:line="264" w:lineRule="auto"/>
        <w:rPr>
          <w:sz w:val="20"/>
          <w:szCs w:val="20"/>
          <w:color w:val="auto"/>
        </w:rPr>
      </w:pPr>
      <w:r>
        <w:rPr>
          <w:rFonts w:ascii="Arial" w:cs="Arial" w:eastAsia="Arial" w:hAnsi="Arial"/>
          <w:sz w:val="16"/>
          <w:szCs w:val="16"/>
          <w:color w:val="auto"/>
        </w:rPr>
        <w:t>The acquisition is considered a material business combination and accordingly unaudited pro forma information presented below for the year ended December 31, 2018, includes the effects of pro forma adjustments as if the acquisition of Warp Drive occurred on January 1, 2017, the beginning of the comparable prior annual reporting period. The unaudited pro forma results include adjustments related to the following: (i) amortization expense related to the fair value of identifiable intangible assets acquired, (ii) impact of the genome mining deposition,</w:t>
      </w:r>
    </w:p>
    <w:p>
      <w:pPr>
        <w:ind w:left="120" w:right="220" w:hanging="4"/>
        <w:spacing w:after="0" w:line="264" w:lineRule="auto"/>
        <w:tabs>
          <w:tab w:leader="none" w:pos="403" w:val="left"/>
        </w:tabs>
        <w:numPr>
          <w:ilvl w:val="0"/>
          <w:numId w:val="132"/>
        </w:numPr>
        <w:rPr>
          <w:rFonts w:ascii="Arial" w:cs="Arial" w:eastAsia="Arial" w:hAnsi="Arial"/>
          <w:sz w:val="16"/>
          <w:szCs w:val="16"/>
          <w:color w:val="auto"/>
        </w:rPr>
      </w:pPr>
      <w:r>
        <w:rPr>
          <w:rFonts w:ascii="Arial" w:cs="Arial" w:eastAsia="Arial" w:hAnsi="Arial"/>
          <w:sz w:val="16"/>
          <w:szCs w:val="16"/>
          <w:color w:val="auto"/>
        </w:rPr>
        <w:t>alignment of Warp Drive’s revenue recognition policy to the Company’s adoption method and adoption date of ASC 606, (iv) inclusion of incurred acquisition-related and severance costs as of the earliest period presented, (v) elimination of interest expense and gain related to Warp Drive’s convertible note payable, which was converted into Warp Drive common stock immediately prior to the acquisition and subsequently converted into the Company’s Series B redeemable convertible preferred stock in connection with the acquisition, and</w:t>
      </w:r>
    </w:p>
    <w:p>
      <w:pPr>
        <w:ind w:left="400" w:hanging="284"/>
        <w:spacing w:after="0"/>
        <w:tabs>
          <w:tab w:leader="none" w:pos="4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adjustment of depreciation expense related to the estimated useful lives of property and equipment acquired.</w:t>
      </w:r>
    </w:p>
    <w:p>
      <w:pPr>
        <w:spacing w:after="0" w:line="104"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The pro forma financial information presented below is not necessarily indicative of the results of operations that would have been achieved if the acquisition occurred at the beginning of the earliest period presented, nor is it intended to be a projection of future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8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w w:val="96"/>
              </w:rPr>
              <w:t>Year ended December 31,</w:t>
            </w:r>
          </w:p>
        </w:tc>
      </w:tr>
      <w:tr>
        <w:trPr>
          <w:trHeight w:val="223"/>
        </w:trPr>
        <w:tc>
          <w:tcPr>
            <w:tcW w:w="850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2017</w:t>
            </w:r>
          </w:p>
        </w:tc>
        <w:tc>
          <w:tcPr>
            <w:tcW w:w="4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19"/>
                <w:szCs w:val="19"/>
                <w:color w:val="auto"/>
              </w:rPr>
            </w:pPr>
          </w:p>
        </w:tc>
      </w:tr>
      <w:tr>
        <w:trPr>
          <w:trHeight w:val="196"/>
        </w:trPr>
        <w:tc>
          <w:tcPr>
            <w:tcW w:w="8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gridSpan w:val="4"/>
          </w:tcPr>
          <w:p>
            <w:pPr>
              <w:jc w:val="right"/>
              <w:ind w:right="240"/>
              <w:spacing w:after="0" w:line="196" w:lineRule="exact"/>
              <w:rPr>
                <w:sz w:val="20"/>
                <w:szCs w:val="20"/>
                <w:color w:val="auto"/>
              </w:rPr>
            </w:pPr>
            <w:r>
              <w:rPr>
                <w:rFonts w:ascii="Arial" w:cs="Arial" w:eastAsia="Arial" w:hAnsi="Arial"/>
                <w:sz w:val="18"/>
                <w:szCs w:val="18"/>
                <w:b w:val="1"/>
                <w:bCs w:val="1"/>
                <w:color w:val="auto"/>
                <w:w w:val="97"/>
              </w:rPr>
              <w:t>(unaudited, in thousands)</w:t>
            </w:r>
          </w:p>
        </w:tc>
      </w:tr>
      <w:tr>
        <w:trPr>
          <w:trHeight w:val="203"/>
        </w:trPr>
        <w:tc>
          <w:tcPr>
            <w:tcW w:w="8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revenue</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13,318</w:t>
            </w:r>
          </w:p>
        </w:tc>
        <w:tc>
          <w:tcPr>
            <w:tcW w:w="4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20,302</w:t>
            </w:r>
          </w:p>
        </w:tc>
      </w:tr>
      <w:tr>
        <w:trPr>
          <w:trHeight w:val="215"/>
        </w:trPr>
        <w:tc>
          <w:tcPr>
            <w:tcW w:w="850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8"/>
                <w:szCs w:val="18"/>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(49,887)</w:t>
            </w:r>
          </w:p>
        </w:tc>
        <w:tc>
          <w:tcPr>
            <w:tcW w:w="4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(57,151)</w:t>
            </w:r>
          </w:p>
        </w:tc>
      </w:tr>
      <w:tr>
        <w:trPr>
          <w:trHeight w:val="20"/>
        </w:trPr>
        <w:tc>
          <w:tcPr>
            <w:tcW w:w="8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1" w:lineRule="exact"/>
        <w:rPr>
          <w:sz w:val="20"/>
          <w:szCs w:val="20"/>
          <w:color w:val="auto"/>
        </w:rPr>
      </w:pPr>
    </w:p>
    <w:p>
      <w:pPr>
        <w:ind w:left="120" w:right="40"/>
        <w:spacing w:after="0" w:line="281" w:lineRule="auto"/>
        <w:rPr>
          <w:sz w:val="20"/>
          <w:szCs w:val="20"/>
          <w:color w:val="auto"/>
        </w:rPr>
      </w:pPr>
      <w:r>
        <w:rPr>
          <w:rFonts w:ascii="Arial" w:cs="Arial" w:eastAsia="Arial" w:hAnsi="Arial"/>
          <w:sz w:val="16"/>
          <w:szCs w:val="16"/>
          <w:color w:val="auto"/>
        </w:rPr>
        <w:t>Revenues associated with Warp Drive included in the Company’s consolidated statement of operations and comprehensive loss were $0.7 million for the period from acquisition date to December 31, 2018. Net loss associated with Warp Drive included in the Company’s consolidated statement of operations and comprehensive loss was $4.2 million for the period from the acquisition date to December 31, 2018.</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8. Redeemable convertible preferred stock</w:t>
      </w:r>
    </w:p>
    <w:p>
      <w:pPr>
        <w:spacing w:after="0" w:line="134"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From December 2014 to May 2017, the Company issued a total of 70,221,732 shares of Series A redeemable convertible preferred stock at a price per share of $1.00 for proceeds of $70.1 million, net of issuance costs. In March and June 2018, the Company issued a total of 37,620,613 shares of Series B redeemable convertible preferred stock at a price per share of $1.50 for proceeds of $56.2 million, net of issuance costs. In October 2018, the Company issued 33,079,554 shares of Series B redeemable convertible preferred stock in conjunction with acquiring Warp Drive. As part of the Warp Drive acquisition, the Company assumed $2.0 million in</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40"/>
          </w:cols>
          <w:pgMar w:left="320" w:top="459" w:right="4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convertible notes payable, which was fully converted into 975,620 shares of Series B redeemable convertible preferred stock in October 2018. In November 2018, the Company issued 2,119,418 shares of Series B redeemable convertible preferred stock at a price per share of $2.06 for proceeds of $4.3 million, net of issuance costs.</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Redeemable convertible preferred stock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5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3"/>
          </w:tcPr>
          <w:p>
            <w:pPr>
              <w:jc w:val="right"/>
              <w:ind w:right="332"/>
              <w:spacing w:after="0"/>
              <w:rPr>
                <w:sz w:val="20"/>
                <w:szCs w:val="20"/>
                <w:color w:val="auto"/>
              </w:rPr>
            </w:pPr>
            <w:r>
              <w:rPr>
                <w:rFonts w:ascii="Arial" w:cs="Arial" w:eastAsia="Arial" w:hAnsi="Arial"/>
                <w:sz w:val="18"/>
                <w:szCs w:val="18"/>
                <w:b w:val="1"/>
                <w:bCs w:val="1"/>
                <w:color w:val="auto"/>
              </w:rPr>
              <w:t>As of December 31, 2017</w:t>
            </w: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77"/>
        </w:trPr>
        <w:tc>
          <w:tcPr>
            <w:tcW w:w="5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60" w:type="dxa"/>
            <w:vAlign w:val="bottom"/>
          </w:tcPr>
          <w:p>
            <w:pPr>
              <w:jc w:val="right"/>
              <w:ind w:right="32"/>
              <w:spacing w:after="0" w:line="177" w:lineRule="exact"/>
              <w:rPr>
                <w:sz w:val="20"/>
                <w:szCs w:val="20"/>
                <w:color w:val="auto"/>
              </w:rPr>
            </w:pPr>
            <w:r>
              <w:rPr>
                <w:rFonts w:ascii="Arial" w:cs="Arial" w:eastAsia="Arial" w:hAnsi="Arial"/>
                <w:sz w:val="18"/>
                <w:szCs w:val="18"/>
                <w:b w:val="1"/>
                <w:bCs w:val="1"/>
                <w:color w:val="auto"/>
              </w:rPr>
              <w:t>Shares issued</w:t>
            </w: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gridSpan w:val="3"/>
          </w:tcPr>
          <w:p>
            <w:pPr>
              <w:ind w:left="120"/>
              <w:spacing w:after="0" w:line="177" w:lineRule="exact"/>
              <w:rPr>
                <w:sz w:val="20"/>
                <w:szCs w:val="20"/>
                <w:color w:val="auto"/>
              </w:rPr>
            </w:pPr>
            <w:r>
              <w:rPr>
                <w:rFonts w:ascii="Arial" w:cs="Arial" w:eastAsia="Arial" w:hAnsi="Arial"/>
                <w:sz w:val="18"/>
                <w:szCs w:val="18"/>
                <w:b w:val="1"/>
                <w:bCs w:val="1"/>
                <w:color w:val="auto"/>
                <w:w w:val="96"/>
              </w:rPr>
              <w:t>Aggregate</w:t>
            </w:r>
          </w:p>
        </w:tc>
        <w:tc>
          <w:tcPr>
            <w:tcW w:w="60" w:type="dxa"/>
            <w:vAlign w:val="bottom"/>
          </w:tcPr>
          <w:p>
            <w:pPr>
              <w:spacing w:after="0"/>
              <w:rPr>
                <w:sz w:val="15"/>
                <w:szCs w:val="15"/>
                <w:color w:val="auto"/>
              </w:rPr>
            </w:pPr>
          </w:p>
        </w:tc>
      </w:tr>
      <w:tr>
        <w:trPr>
          <w:trHeight w:val="203"/>
        </w:trPr>
        <w:tc>
          <w:tcPr>
            <w:tcW w:w="5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112"/>
              <w:spacing w:after="0" w:line="202" w:lineRule="exact"/>
              <w:rPr>
                <w:sz w:val="20"/>
                <w:szCs w:val="20"/>
                <w:color w:val="auto"/>
              </w:rPr>
            </w:pPr>
            <w:r>
              <w:rPr>
                <w:rFonts w:ascii="Arial" w:cs="Arial" w:eastAsia="Arial" w:hAnsi="Arial"/>
                <w:sz w:val="18"/>
                <w:szCs w:val="18"/>
                <w:b w:val="1"/>
                <w:bCs w:val="1"/>
                <w:color w:val="auto"/>
              </w:rPr>
              <w:t>Shares</w:t>
            </w:r>
          </w:p>
        </w:tc>
        <w:tc>
          <w:tcPr>
            <w:tcW w:w="1560" w:type="dxa"/>
            <w:vAlign w:val="bottom"/>
          </w:tcPr>
          <w:p>
            <w:pPr>
              <w:jc w:val="right"/>
              <w:ind w:right="472"/>
              <w:spacing w:after="0" w:line="202" w:lineRule="exact"/>
              <w:rPr>
                <w:sz w:val="20"/>
                <w:szCs w:val="20"/>
                <w:color w:val="auto"/>
              </w:rPr>
            </w:pPr>
            <w:r>
              <w:rPr>
                <w:rFonts w:ascii="Arial" w:cs="Arial" w:eastAsia="Arial" w:hAnsi="Arial"/>
                <w:sz w:val="18"/>
                <w:szCs w:val="18"/>
                <w:b w:val="1"/>
                <w:bCs w:val="1"/>
                <w:color w:val="auto"/>
              </w:rPr>
              <w:t>and</w:t>
            </w:r>
          </w:p>
        </w:tc>
        <w:tc>
          <w:tcPr>
            <w:tcW w:w="1360" w:type="dxa"/>
            <w:vAlign w:val="bottom"/>
            <w:gridSpan w:val="2"/>
          </w:tcPr>
          <w:p>
            <w:pPr>
              <w:jc w:val="right"/>
              <w:ind w:right="92"/>
              <w:spacing w:after="0" w:line="202" w:lineRule="exact"/>
              <w:rPr>
                <w:sz w:val="20"/>
                <w:szCs w:val="20"/>
                <w:color w:val="auto"/>
              </w:rPr>
            </w:pPr>
            <w:r>
              <w:rPr>
                <w:rFonts w:ascii="Arial" w:cs="Arial" w:eastAsia="Arial" w:hAnsi="Arial"/>
                <w:sz w:val="18"/>
                <w:szCs w:val="18"/>
                <w:b w:val="1"/>
                <w:bCs w:val="1"/>
                <w:color w:val="auto"/>
              </w:rPr>
              <w:t>Net carrying</w:t>
            </w:r>
          </w:p>
        </w:tc>
        <w:tc>
          <w:tcPr>
            <w:tcW w:w="1060" w:type="dxa"/>
            <w:vAlign w:val="bottom"/>
            <w:gridSpan w:val="4"/>
          </w:tcPr>
          <w:p>
            <w:pPr>
              <w:ind w:left="100"/>
              <w:spacing w:after="0" w:line="202" w:lineRule="exact"/>
              <w:rPr>
                <w:sz w:val="20"/>
                <w:szCs w:val="20"/>
                <w:color w:val="auto"/>
              </w:rPr>
            </w:pPr>
            <w:r>
              <w:rPr>
                <w:rFonts w:ascii="Arial" w:cs="Arial" w:eastAsia="Arial" w:hAnsi="Arial"/>
                <w:sz w:val="18"/>
                <w:szCs w:val="18"/>
                <w:b w:val="1"/>
                <w:bCs w:val="1"/>
                <w:color w:val="auto"/>
              </w:rPr>
              <w:t>liquidation</w:t>
            </w:r>
          </w:p>
        </w:tc>
      </w:tr>
      <w:tr>
        <w:trPr>
          <w:trHeight w:val="221"/>
        </w:trPr>
        <w:tc>
          <w:tcPr>
            <w:tcW w:w="59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authorized</w:t>
            </w:r>
          </w:p>
        </w:tc>
        <w:tc>
          <w:tcPr>
            <w:tcW w:w="15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outstanding</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value</w:t>
            </w:r>
          </w:p>
        </w:tc>
        <w:tc>
          <w:tcPr>
            <w:tcW w:w="106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preference</w:t>
            </w:r>
          </w:p>
        </w:tc>
      </w:tr>
      <w:tr>
        <w:trPr>
          <w:trHeight w:val="196"/>
        </w:trPr>
        <w:tc>
          <w:tcPr>
            <w:tcW w:w="5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92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99"/>
              </w:rPr>
              <w:t>(in thousands, except share data)</w:t>
            </w: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A</w:t>
            </w:r>
          </w:p>
        </w:tc>
        <w:tc>
          <w:tcPr>
            <w:tcW w:w="14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70,221,732</w:t>
            </w:r>
          </w:p>
        </w:tc>
        <w:tc>
          <w:tcPr>
            <w:tcW w:w="156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70,221,732</w:t>
            </w:r>
          </w:p>
        </w:tc>
        <w:tc>
          <w:tcPr>
            <w:tcW w:w="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72,248</w:t>
            </w:r>
          </w:p>
        </w:tc>
        <w:tc>
          <w:tcPr>
            <w:tcW w:w="280" w:type="dxa"/>
            <w:vAlign w:val="bottom"/>
            <w:tcBorders>
              <w:bottom w:val="single" w:sz="8" w:color="auto"/>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181,760</w:t>
            </w:r>
          </w:p>
        </w:tc>
        <w:tc>
          <w:tcPr>
            <w:tcW w:w="60" w:type="dxa"/>
            <w:vAlign w:val="bottom"/>
            <w:shd w:val="clear" w:color="auto" w:fill="CCEEFF"/>
          </w:tcPr>
          <w:p>
            <w:pPr>
              <w:spacing w:after="0"/>
              <w:rPr>
                <w:sz w:val="17"/>
                <w:szCs w:val="17"/>
                <w:color w:val="auto"/>
              </w:rPr>
            </w:pPr>
          </w:p>
        </w:tc>
      </w:tr>
      <w:tr>
        <w:trPr>
          <w:trHeight w:val="222"/>
        </w:trPr>
        <w:tc>
          <w:tcPr>
            <w:tcW w:w="59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70,221,732</w:t>
            </w: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70,221,732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72,248</w:t>
            </w: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181,760</w:t>
            </w:r>
          </w:p>
        </w:tc>
      </w:tr>
      <w:tr>
        <w:trPr>
          <w:trHeight w:val="123"/>
        </w:trPr>
        <w:tc>
          <w:tcPr>
            <w:tcW w:w="594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960" w:type="dxa"/>
            <w:vAlign w:val="bottom"/>
            <w:tcBorders>
              <w:top w:val="single" w:sz="8" w:color="auto"/>
              <w:bottom w:val="single" w:sz="8" w:color="auto"/>
            </w:tcBorders>
          </w:tcPr>
          <w:p>
            <w:pPr>
              <w:spacing w:after="0"/>
              <w:rPr>
                <w:sz w:val="10"/>
                <w:szCs w:val="10"/>
                <w:color w:val="auto"/>
              </w:rPr>
            </w:pPr>
          </w:p>
        </w:tc>
        <w:tc>
          <w:tcPr>
            <w:tcW w:w="2920" w:type="dxa"/>
            <w:vAlign w:val="bottom"/>
            <w:tcBorders>
              <w:top w:val="single" w:sz="8" w:color="auto"/>
              <w:bottom w:val="single" w:sz="8" w:color="auto"/>
            </w:tcBorders>
            <w:gridSpan w:val="3"/>
          </w:tcPr>
          <w:p>
            <w:pPr>
              <w:spacing w:after="0"/>
              <w:rPr>
                <w:sz w:val="10"/>
                <w:szCs w:val="10"/>
                <w:color w:val="auto"/>
              </w:rPr>
            </w:pPr>
          </w:p>
        </w:tc>
        <w:tc>
          <w:tcPr>
            <w:tcW w:w="280" w:type="dxa"/>
            <w:vAlign w:val="bottom"/>
            <w:tcBorders>
              <w:top w:val="single" w:sz="8" w:color="auto"/>
              <w:bottom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r>
      <w:tr>
        <w:trPr>
          <w:trHeight w:val="243"/>
        </w:trPr>
        <w:tc>
          <w:tcPr>
            <w:tcW w:w="59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gridSpan w:val="3"/>
          </w:tcPr>
          <w:p>
            <w:pPr>
              <w:jc w:val="right"/>
              <w:ind w:right="392"/>
              <w:spacing w:after="0"/>
              <w:rPr>
                <w:sz w:val="20"/>
                <w:szCs w:val="20"/>
                <w:color w:val="auto"/>
              </w:rPr>
            </w:pPr>
            <w:r>
              <w:rPr>
                <w:rFonts w:ascii="Arial" w:cs="Arial" w:eastAsia="Arial" w:hAnsi="Arial"/>
                <w:sz w:val="18"/>
                <w:szCs w:val="18"/>
                <w:b w:val="1"/>
                <w:bCs w:val="1"/>
                <w:color w:val="auto"/>
              </w:rPr>
              <w:t>As of December 31, 2018</w:t>
            </w:r>
          </w:p>
        </w:tc>
        <w:tc>
          <w:tcPr>
            <w:tcW w:w="2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177"/>
        </w:trPr>
        <w:tc>
          <w:tcPr>
            <w:tcW w:w="5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6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6"/>
              </w:rPr>
              <w:t>Shares issued</w:t>
            </w: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gridSpan w:val="2"/>
          </w:tcPr>
          <w:p>
            <w:pPr>
              <w:ind w:left="100"/>
              <w:spacing w:after="0" w:line="177" w:lineRule="exact"/>
              <w:rPr>
                <w:sz w:val="20"/>
                <w:szCs w:val="20"/>
                <w:color w:val="auto"/>
              </w:rPr>
            </w:pPr>
            <w:r>
              <w:rPr>
                <w:rFonts w:ascii="Arial" w:cs="Arial" w:eastAsia="Arial" w:hAnsi="Arial"/>
                <w:sz w:val="18"/>
                <w:szCs w:val="18"/>
                <w:b w:val="1"/>
                <w:bCs w:val="1"/>
                <w:color w:val="auto"/>
                <w:w w:val="96"/>
              </w:rPr>
              <w:t>Aggregate</w:t>
            </w:r>
          </w:p>
        </w:tc>
        <w:tc>
          <w:tcPr>
            <w:tcW w:w="80" w:type="dxa"/>
            <w:vAlign w:val="bottom"/>
            <w:gridSpan w:val="2"/>
          </w:tcPr>
          <w:p>
            <w:pPr>
              <w:spacing w:after="0"/>
              <w:rPr>
                <w:sz w:val="15"/>
                <w:szCs w:val="15"/>
                <w:color w:val="auto"/>
              </w:rPr>
            </w:pPr>
          </w:p>
        </w:tc>
      </w:tr>
      <w:tr>
        <w:trPr>
          <w:trHeight w:val="203"/>
        </w:trPr>
        <w:tc>
          <w:tcPr>
            <w:tcW w:w="5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212"/>
              <w:spacing w:after="0" w:line="202" w:lineRule="exact"/>
              <w:rPr>
                <w:sz w:val="20"/>
                <w:szCs w:val="20"/>
                <w:color w:val="auto"/>
              </w:rPr>
            </w:pPr>
            <w:r>
              <w:rPr>
                <w:rFonts w:ascii="Arial" w:cs="Arial" w:eastAsia="Arial" w:hAnsi="Arial"/>
                <w:sz w:val="18"/>
                <w:szCs w:val="18"/>
                <w:b w:val="1"/>
                <w:bCs w:val="1"/>
                <w:color w:val="auto"/>
              </w:rPr>
              <w:t>Shares</w:t>
            </w:r>
          </w:p>
        </w:tc>
        <w:tc>
          <w:tcPr>
            <w:tcW w:w="15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3"/>
              </w:rPr>
              <w:t>and</w:t>
            </w:r>
          </w:p>
        </w:tc>
        <w:tc>
          <w:tcPr>
            <w:tcW w:w="1360" w:type="dxa"/>
            <w:vAlign w:val="bottom"/>
            <w:gridSpan w:val="2"/>
          </w:tcPr>
          <w:p>
            <w:pPr>
              <w:ind w:left="140"/>
              <w:spacing w:after="0" w:line="202" w:lineRule="exact"/>
              <w:rPr>
                <w:sz w:val="20"/>
                <w:szCs w:val="20"/>
                <w:color w:val="auto"/>
              </w:rPr>
            </w:pPr>
            <w:r>
              <w:rPr>
                <w:rFonts w:ascii="Arial" w:cs="Arial" w:eastAsia="Arial" w:hAnsi="Arial"/>
                <w:sz w:val="18"/>
                <w:szCs w:val="18"/>
                <w:b w:val="1"/>
                <w:bCs w:val="1"/>
                <w:color w:val="auto"/>
              </w:rPr>
              <w:t>Net carrying</w:t>
            </w:r>
          </w:p>
        </w:tc>
        <w:tc>
          <w:tcPr>
            <w:tcW w:w="1060" w:type="dxa"/>
            <w:vAlign w:val="bottom"/>
            <w:gridSpan w:val="4"/>
          </w:tcPr>
          <w:p>
            <w:pPr>
              <w:ind w:left="80"/>
              <w:spacing w:after="0" w:line="202" w:lineRule="exact"/>
              <w:rPr>
                <w:sz w:val="20"/>
                <w:szCs w:val="20"/>
                <w:color w:val="auto"/>
              </w:rPr>
            </w:pPr>
            <w:r>
              <w:rPr>
                <w:rFonts w:ascii="Arial" w:cs="Arial" w:eastAsia="Arial" w:hAnsi="Arial"/>
                <w:sz w:val="18"/>
                <w:szCs w:val="18"/>
                <w:b w:val="1"/>
                <w:bCs w:val="1"/>
                <w:color w:val="auto"/>
              </w:rPr>
              <w:t>liquidation</w:t>
            </w:r>
          </w:p>
        </w:tc>
      </w:tr>
      <w:tr>
        <w:trPr>
          <w:trHeight w:val="221"/>
        </w:trPr>
        <w:tc>
          <w:tcPr>
            <w:tcW w:w="59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b w:val="1"/>
                <w:bCs w:val="1"/>
                <w:color w:val="auto"/>
              </w:rPr>
              <w:t>authorized</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outstanding</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value</w:t>
            </w:r>
          </w:p>
        </w:tc>
        <w:tc>
          <w:tcPr>
            <w:tcW w:w="106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rPr>
              <w:t>preference</w:t>
            </w:r>
          </w:p>
        </w:tc>
      </w:tr>
      <w:tr>
        <w:trPr>
          <w:trHeight w:val="196"/>
        </w:trPr>
        <w:tc>
          <w:tcPr>
            <w:tcW w:w="5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920" w:type="dxa"/>
            <w:vAlign w:val="bottom"/>
            <w:gridSpan w:val="3"/>
          </w:tcPr>
          <w:p>
            <w:pPr>
              <w:jc w:val="right"/>
              <w:ind w:right="32"/>
              <w:spacing w:after="0" w:line="196" w:lineRule="exact"/>
              <w:rPr>
                <w:sz w:val="20"/>
                <w:szCs w:val="20"/>
                <w:color w:val="auto"/>
              </w:rPr>
            </w:pPr>
            <w:r>
              <w:rPr>
                <w:rFonts w:ascii="Arial" w:cs="Arial" w:eastAsia="Arial" w:hAnsi="Arial"/>
                <w:sz w:val="18"/>
                <w:szCs w:val="18"/>
                <w:b w:val="1"/>
                <w:bCs w:val="1"/>
                <w:color w:val="auto"/>
                <w:w w:val="97"/>
              </w:rPr>
              <w:t>(in thousands, except share data)</w:t>
            </w: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A</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70,221,732</w:t>
            </w:r>
          </w:p>
        </w:tc>
        <w:tc>
          <w:tcPr>
            <w:tcW w:w="15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70,221,732</w:t>
            </w:r>
          </w:p>
        </w:tc>
        <w:tc>
          <w:tcPr>
            <w:tcW w:w="34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72,248</w:t>
            </w:r>
          </w:p>
        </w:tc>
        <w:tc>
          <w:tcPr>
            <w:tcW w:w="2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80,641</w:t>
            </w:r>
          </w:p>
        </w:tc>
        <w:tc>
          <w:tcPr>
            <w:tcW w:w="60" w:type="dxa"/>
            <w:vAlign w:val="bottom"/>
            <w:shd w:val="clear" w:color="auto" w:fill="CCEEFF"/>
          </w:tcPr>
          <w:p>
            <w:pPr>
              <w:spacing w:after="0"/>
              <w:rPr>
                <w:sz w:val="17"/>
                <w:szCs w:val="17"/>
                <w:color w:val="auto"/>
              </w:rPr>
            </w:pPr>
          </w:p>
        </w:tc>
      </w:tr>
      <w:tr>
        <w:trPr>
          <w:trHeight w:val="209"/>
        </w:trPr>
        <w:tc>
          <w:tcPr>
            <w:tcW w:w="5940" w:type="dxa"/>
            <w:vAlign w:val="bottom"/>
          </w:tcPr>
          <w:p>
            <w:pPr>
              <w:spacing w:after="0" w:line="202" w:lineRule="exact"/>
              <w:rPr>
                <w:sz w:val="20"/>
                <w:szCs w:val="20"/>
                <w:color w:val="auto"/>
              </w:rPr>
            </w:pPr>
            <w:r>
              <w:rPr>
                <w:rFonts w:ascii="Arial" w:cs="Arial" w:eastAsia="Arial" w:hAnsi="Arial"/>
                <w:sz w:val="18"/>
                <w:szCs w:val="18"/>
                <w:color w:val="auto"/>
              </w:rPr>
              <w:t>Series B</w:t>
            </w:r>
          </w:p>
        </w:tc>
        <w:tc>
          <w:tcPr>
            <w:tcW w:w="11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76,000,000</w:t>
            </w:r>
          </w:p>
        </w:tc>
        <w:tc>
          <w:tcPr>
            <w:tcW w:w="156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73,795,205</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132,833</w:t>
            </w: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113,492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59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146,221,732</w:t>
            </w:r>
          </w:p>
        </w:tc>
        <w:tc>
          <w:tcPr>
            <w:tcW w:w="15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144,016,937</w:t>
            </w:r>
          </w:p>
        </w:tc>
        <w:tc>
          <w:tcPr>
            <w:tcW w:w="34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205,081</w:t>
            </w:r>
          </w:p>
        </w:tc>
        <w:tc>
          <w:tcPr>
            <w:tcW w:w="2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194,133</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5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ind w:left="120" w:right="100"/>
        <w:spacing w:after="0" w:line="272" w:lineRule="auto"/>
        <w:rPr>
          <w:sz w:val="20"/>
          <w:szCs w:val="20"/>
          <w:color w:val="auto"/>
        </w:rPr>
      </w:pPr>
      <w:r>
        <w:rPr>
          <w:rFonts w:ascii="Arial" w:cs="Arial" w:eastAsia="Arial" w:hAnsi="Arial"/>
          <w:sz w:val="16"/>
          <w:szCs w:val="16"/>
          <w:color w:val="auto"/>
        </w:rPr>
        <w:t>The net carrying value of Series A redeemable convertible preferred stock as of December 31, 2017 and 2018 includes $2.2 million of accretion of the redemption value and cumulative dividends on convertible preferred stock prior to January 1, 2017. No accretion of the redemption value was recorded for the years ended December 31, 2017 and 2018 as the redemption provisions were changed on December 1, 2016. The net carrying value of Series B redeemable convertible preferred stock as of December 31, 2018 includes $2.1 million related to the change in the fair value of the redeemable convertible preferred stock tranche liability during the year ended December 31, 2018.</w:t>
      </w:r>
    </w:p>
    <w:p>
      <w:pPr>
        <w:spacing w:after="0" w:line="78" w:lineRule="exact"/>
        <w:rPr>
          <w:sz w:val="20"/>
          <w:szCs w:val="20"/>
          <w:color w:val="auto"/>
        </w:rPr>
      </w:pPr>
    </w:p>
    <w:p>
      <w:pPr>
        <w:ind w:left="120" w:right="260"/>
        <w:spacing w:after="0" w:line="281" w:lineRule="auto"/>
        <w:rPr>
          <w:sz w:val="20"/>
          <w:szCs w:val="20"/>
          <w:color w:val="auto"/>
        </w:rPr>
      </w:pPr>
      <w:r>
        <w:rPr>
          <w:rFonts w:ascii="Arial" w:cs="Arial" w:eastAsia="Arial" w:hAnsi="Arial"/>
          <w:sz w:val="16"/>
          <w:szCs w:val="16"/>
          <w:color w:val="auto"/>
        </w:rPr>
        <w:t>The redeemable convertible preferred stock is recorded outside of permanent equity because while it is not mandatorily redeemable, it will become redeemable upon the occurrence of certain liquidation events that are considered not solely within the Company’s control. Accordingly, the redeemable convertible preferred stock has been presented in the mezzanine section on the consolidated balance sheets.</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holders of the Company’s redeemable convertible preferred stock have various rights, preferences, and privileges as follows: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24"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Each share of redeemable convertible preferred stock shall be convertible, at the option of the holder, into such number of fully paid shares of common stock as is determined by dividing the original issue price by the conversion price in effect at the time of conversion. As of December 31, 2017 and 2018, the initial conversion price per share of redeemable convertible preferred stock is equivalent to the original issue price. The original issuance price was $1.00 per share for the Series A redeemable convertible preferred stock and $1.50 per share for the Series B redeemable convertible preferred stock.</w:t>
      </w:r>
    </w:p>
    <w:p>
      <w:pPr>
        <w:spacing w:after="0" w:line="103" w:lineRule="exact"/>
        <w:rPr>
          <w:sz w:val="20"/>
          <w:szCs w:val="20"/>
          <w:color w:val="auto"/>
        </w:rPr>
      </w:pPr>
    </w:p>
    <w:p>
      <w:pPr>
        <w:ind w:left="120" w:right="360"/>
        <w:spacing w:after="0" w:line="239" w:lineRule="auto"/>
        <w:rPr>
          <w:sz w:val="20"/>
          <w:szCs w:val="20"/>
          <w:color w:val="auto"/>
        </w:rPr>
      </w:pPr>
      <w:r>
        <w:rPr>
          <w:rFonts w:ascii="Arial" w:cs="Arial" w:eastAsia="Arial" w:hAnsi="Arial"/>
          <w:sz w:val="18"/>
          <w:szCs w:val="18"/>
          <w:color w:val="auto"/>
        </w:rPr>
        <w:t>The respective applicable conversion price is subject to adjustment upon any future stock splits or stock combinations, reclassifications or exchanges of similar stock, upon a reorganization, recapitalization, merger or</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40"/>
          </w:cols>
          <w:pgMar w:left="320" w:top="459" w:right="4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60"/>
        <w:spacing w:after="0" w:line="239" w:lineRule="auto"/>
        <w:rPr>
          <w:sz w:val="20"/>
          <w:szCs w:val="20"/>
          <w:color w:val="auto"/>
        </w:rPr>
      </w:pPr>
      <w:r>
        <w:rPr>
          <w:rFonts w:ascii="Arial" w:cs="Arial" w:eastAsia="Arial" w:hAnsi="Arial"/>
          <w:sz w:val="18"/>
          <w:szCs w:val="18"/>
          <w:color w:val="auto"/>
        </w:rPr>
        <w:t>consolidation of the Company, or upon the issuance or sale by the Company of common stock for consideration less than the applicable conversion price.</w:t>
      </w:r>
    </w:p>
    <w:p>
      <w:pPr>
        <w:spacing w:after="0" w:line="101" w:lineRule="exact"/>
        <w:rPr>
          <w:sz w:val="20"/>
          <w:szCs w:val="20"/>
          <w:color w:val="auto"/>
        </w:rPr>
      </w:pPr>
    </w:p>
    <w:p>
      <w:pPr>
        <w:ind w:left="120" w:right="320"/>
        <w:spacing w:after="0" w:line="237" w:lineRule="auto"/>
        <w:rPr>
          <w:sz w:val="20"/>
          <w:szCs w:val="20"/>
          <w:color w:val="auto"/>
        </w:rPr>
      </w:pPr>
      <w:r>
        <w:rPr>
          <w:rFonts w:ascii="Arial" w:cs="Arial" w:eastAsia="Arial" w:hAnsi="Arial"/>
          <w:sz w:val="18"/>
          <w:szCs w:val="18"/>
          <w:color w:val="auto"/>
        </w:rPr>
        <w:t>Each share of Series A and B redeemable convertible preferred stock automatically converts into the number of shares of common stock determined in accordance with the conversion rate upon the earlier of (a) written consent of a majority of the then outstanding shares of Series A and B redeemable convertible preferred stock, voting together as a single class or (b) the closing of a public offering in which the gross cash proceeds are at least $50.0 million. See Note 14, “Subsequent events.”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24" w:lineRule="exact"/>
        <w:rPr>
          <w:sz w:val="20"/>
          <w:szCs w:val="20"/>
          <w:color w:val="auto"/>
        </w:rPr>
      </w:pPr>
    </w:p>
    <w:p>
      <w:pPr>
        <w:ind w:left="120" w:right="160"/>
        <w:spacing w:after="0" w:line="236" w:lineRule="auto"/>
        <w:rPr>
          <w:sz w:val="20"/>
          <w:szCs w:val="20"/>
          <w:color w:val="auto"/>
        </w:rPr>
      </w:pPr>
      <w:r>
        <w:rPr>
          <w:rFonts w:ascii="Arial" w:cs="Arial" w:eastAsia="Arial" w:hAnsi="Arial"/>
          <w:sz w:val="18"/>
          <w:szCs w:val="18"/>
          <w:color w:val="auto"/>
        </w:rPr>
        <w:t>The holders of the outstanding shares of each series of redeemable convertible preferred stock are entitled to receive, when and if declared by the Board of Directors, a cumulative cash dividend at the rate of 6% of the applicable original issue price per annum on each outstanding share of redeemable convertible preferred stock. Such dividends are payable in preference to any dividends for common stock declared by the Board of Directors. In the case of a dividend on common stock, the dividend per share of redeemable convertible preferred stock would also include the dividend payable on each share determined, if applicable, as if all redeemable convertible preferred stock had been converted to common stock. No dividends had been declared or paid to holders of redeemable convertible preferred stock as of December 31, 2018.</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In the event of any liquidation, dissolution, winding up, or deemed liquidation event of the Company, either voluntary or involuntary, the holders of redeemable convertible preferred stock shall be entitled to receive pro rata, prior and in preference to any distribution to the holders of the common stock, an amount equal to the original issuance prices of each series (in each case, as adjusted for stock splits, stock dividends or distributions, recapitalizations, and similar events) and all declared but unpaid dividends, if any. If the assets and funds to be distributed among the holders of redeemable convertible preferred stock are insufficient to permit the payment to such holders, then the entire assets and funds of the Company legally available for distribution will be distributed ratably among the holders of redeemable convertible preferred stock in proportion to the preferential amount each such holder is otherwise entitled to receive.</w:t>
      </w:r>
    </w:p>
    <w:p>
      <w:pPr>
        <w:spacing w:after="0" w:line="101" w:lineRule="exact"/>
        <w:rPr>
          <w:sz w:val="20"/>
          <w:szCs w:val="20"/>
          <w:color w:val="auto"/>
        </w:rPr>
      </w:pPr>
    </w:p>
    <w:p>
      <w:pPr>
        <w:ind w:left="120" w:right="240"/>
        <w:spacing w:after="0" w:line="239" w:lineRule="auto"/>
        <w:rPr>
          <w:sz w:val="20"/>
          <w:szCs w:val="20"/>
          <w:color w:val="auto"/>
        </w:rPr>
      </w:pPr>
      <w:r>
        <w:rPr>
          <w:rFonts w:ascii="Arial" w:cs="Arial" w:eastAsia="Arial" w:hAnsi="Arial"/>
          <w:sz w:val="18"/>
          <w:szCs w:val="18"/>
          <w:color w:val="auto"/>
        </w:rPr>
        <w:t>Upon the payment of the full liquidation preference of redeemable convertible preferred stock, the remaining assets of the Company, if any, shall be distributed ratably to the holders of common stock.</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24"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Each share of redeemable convertible preferred stock has a number of votes equal to the number of shares of common stock into which it is convertible. The holders of Series A redeemable convertible preferred stock have the right to elect two members of the Company’s Board of Directors. The holders of Series B redeemable convertible preferred stock have the right to elect one member of the Company’s Board of Directors. The holders of common stock have the right to elect one member of the Company’s Board of Directors. The holders of common stock and redeemable convertible preferred stock, voting together as a single class on an as-converted basis, are entitled to elect one member of the Board of Directors.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9. Common stock</w:t>
      </w:r>
    </w:p>
    <w:p>
      <w:pPr>
        <w:spacing w:after="0" w:line="134" w:lineRule="exact"/>
        <w:rPr>
          <w:sz w:val="20"/>
          <w:szCs w:val="20"/>
          <w:color w:val="auto"/>
        </w:rPr>
      </w:pPr>
    </w:p>
    <w:p>
      <w:pPr>
        <w:ind w:left="120" w:right="200"/>
        <w:spacing w:after="0" w:line="239" w:lineRule="auto"/>
        <w:rPr>
          <w:sz w:val="20"/>
          <w:szCs w:val="20"/>
          <w:color w:val="auto"/>
        </w:rPr>
      </w:pPr>
      <w:r>
        <w:rPr>
          <w:rFonts w:ascii="Arial" w:cs="Arial" w:eastAsia="Arial" w:hAnsi="Arial"/>
          <w:sz w:val="18"/>
          <w:szCs w:val="18"/>
          <w:color w:val="auto"/>
        </w:rPr>
        <w:t>As of December 31, 2017 and December 31, 2018, the Company’s certificate of incorporation authorized the Company to issue 94,695,000 and 172,000,000 shares of common stock, respectively, at a par value of</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00"/>
          </w:cols>
          <w:pgMar w:left="320" w:top="459" w:right="47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80"/>
        <w:spacing w:after="0" w:line="236" w:lineRule="auto"/>
        <w:rPr>
          <w:sz w:val="20"/>
          <w:szCs w:val="20"/>
          <w:color w:val="auto"/>
        </w:rPr>
      </w:pPr>
      <w:r>
        <w:rPr>
          <w:rFonts w:ascii="Arial" w:cs="Arial" w:eastAsia="Arial" w:hAnsi="Arial"/>
          <w:sz w:val="18"/>
          <w:szCs w:val="18"/>
          <w:color w:val="auto"/>
        </w:rPr>
        <w:t>$0.0001 per share. As of December 31, 2018, the Company has reserved shares of common stock for issuance upon conversion of redeemable convertible preferred stock and exercise of stock options. Each share of common stock is entitled to one vote. The holders of common stock are also entitled to receive dividends whenever funds are legally available and when declared by the Board of Directors, subject to prior rights of the redeemable convertible preferred stockholders. As of December 31, 2018, no dividends have been declared to date.</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has reserved shares of common stock, on an as-converted basis, for future issuance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8360" w:type="dxa"/>
            <w:vAlign w:val="bottom"/>
          </w:tcPr>
          <w:p>
            <w:pPr>
              <w:spacing w:after="0"/>
              <w:rPr>
                <w:sz w:val="19"/>
                <w:szCs w:val="19"/>
                <w:color w:val="auto"/>
              </w:rPr>
            </w:pPr>
          </w:p>
        </w:tc>
        <w:tc>
          <w:tcPr>
            <w:tcW w:w="2660" w:type="dxa"/>
            <w:vAlign w:val="bottom"/>
            <w:gridSpan w:val="3"/>
          </w:tcPr>
          <w:p>
            <w:pPr>
              <w:ind w:left="72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8360" w:type="dxa"/>
            <w:vAlign w:val="bottom"/>
            <w:tcBorders>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2017</w:t>
            </w:r>
          </w:p>
        </w:tc>
        <w:tc>
          <w:tcPr>
            <w:tcW w:w="12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auto"/>
            </w:tcBorders>
          </w:tcPr>
          <w:p>
            <w:pPr>
              <w:spacing w:after="0"/>
              <w:rPr>
                <w:sz w:val="19"/>
                <w:szCs w:val="19"/>
                <w:color w:val="auto"/>
              </w:rPr>
            </w:pPr>
          </w:p>
        </w:tc>
      </w:tr>
      <w:tr>
        <w:trPr>
          <w:trHeight w:val="196"/>
        </w:trPr>
        <w:tc>
          <w:tcPr>
            <w:tcW w:w="8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Redeemable convertible preferred stock</w:t>
            </w:r>
          </w:p>
        </w:tc>
        <w:tc>
          <w:tcPr>
            <w:tcW w:w="1380" w:type="dxa"/>
            <w:vAlign w:val="bottom"/>
            <w:shd w:val="clear" w:color="auto" w:fill="CCEEFF"/>
          </w:tcPr>
          <w:p>
            <w:pPr>
              <w:jc w:val="right"/>
              <w:ind w:right="152"/>
              <w:spacing w:after="0" w:line="196" w:lineRule="exact"/>
              <w:rPr>
                <w:sz w:val="20"/>
                <w:szCs w:val="20"/>
                <w:color w:val="auto"/>
              </w:rPr>
            </w:pPr>
            <w:r>
              <w:rPr>
                <w:rFonts w:ascii="Arial" w:cs="Arial" w:eastAsia="Arial" w:hAnsi="Arial"/>
                <w:sz w:val="18"/>
                <w:szCs w:val="18"/>
                <w:color w:val="auto"/>
              </w:rPr>
              <w:t>70,221,732</w:t>
            </w: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146,221,732</w:t>
            </w:r>
          </w:p>
        </w:tc>
        <w:tc>
          <w:tcPr>
            <w:tcW w:w="80" w:type="dxa"/>
            <w:vAlign w:val="bottom"/>
            <w:shd w:val="clear" w:color="auto" w:fill="CCEEFF"/>
          </w:tcPr>
          <w:p>
            <w:pPr>
              <w:spacing w:after="0"/>
              <w:rPr>
                <w:sz w:val="17"/>
                <w:szCs w:val="17"/>
                <w:color w:val="auto"/>
              </w:rPr>
            </w:pP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Outstanding options to purchase common stock</w:t>
            </w:r>
          </w:p>
        </w:tc>
        <w:tc>
          <w:tcPr>
            <w:tcW w:w="13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4,774,667</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7,945,533</w:t>
            </w:r>
          </w:p>
        </w:tc>
        <w:tc>
          <w:tcPr>
            <w:tcW w:w="80" w:type="dxa"/>
            <w:vAlign w:val="bottom"/>
          </w:tcPr>
          <w:p>
            <w:pPr>
              <w:spacing w:after="0"/>
              <w:rPr>
                <w:sz w:val="17"/>
                <w:szCs w:val="17"/>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Available for future issuance under the 2014 Equity Incentive Plan</w:t>
            </w:r>
          </w:p>
        </w:tc>
        <w:tc>
          <w:tcPr>
            <w:tcW w:w="1380" w:type="dxa"/>
            <w:vAlign w:val="bottom"/>
            <w:tcBorders>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728,294</w:t>
            </w: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1,953,480</w:t>
            </w:r>
          </w:p>
        </w:tc>
        <w:tc>
          <w:tcPr>
            <w:tcW w:w="80" w:type="dxa"/>
            <w:vAlign w:val="bottom"/>
            <w:shd w:val="clear" w:color="auto" w:fill="CCEEFF"/>
          </w:tcPr>
          <w:p>
            <w:pPr>
              <w:spacing w:after="0"/>
              <w:rPr>
                <w:sz w:val="17"/>
                <w:szCs w:val="17"/>
                <w:color w:val="auto"/>
              </w:rPr>
            </w:pPr>
          </w:p>
        </w:tc>
      </w:tr>
      <w:tr>
        <w:trPr>
          <w:trHeight w:val="222"/>
        </w:trPr>
        <w:tc>
          <w:tcPr>
            <w:tcW w:w="83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75,724,693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156,120,745</w:t>
            </w:r>
          </w:p>
        </w:tc>
        <w:tc>
          <w:tcPr>
            <w:tcW w:w="80" w:type="dxa"/>
            <w:vAlign w:val="bottom"/>
          </w:tcPr>
          <w:p>
            <w:pPr>
              <w:spacing w:after="0"/>
              <w:rPr>
                <w:sz w:val="19"/>
                <w:szCs w:val="19"/>
                <w:color w:val="auto"/>
              </w:rPr>
            </w:pPr>
          </w:p>
        </w:tc>
      </w:tr>
    </w:tbl>
    <w:p>
      <w:pPr>
        <w:spacing w:after="0" w:line="18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10. Stock-based compensation</w:t>
      </w:r>
    </w:p>
    <w:p>
      <w:pPr>
        <w:spacing w:after="0" w:line="134" w:lineRule="exact"/>
        <w:rPr>
          <w:sz w:val="20"/>
          <w:szCs w:val="20"/>
          <w:color w:val="auto"/>
        </w:rPr>
      </w:pPr>
    </w:p>
    <w:p>
      <w:pPr>
        <w:ind w:left="120" w:right="260"/>
        <w:spacing w:after="0" w:line="236" w:lineRule="auto"/>
        <w:rPr>
          <w:sz w:val="20"/>
          <w:szCs w:val="20"/>
          <w:color w:val="auto"/>
        </w:rPr>
      </w:pPr>
      <w:r>
        <w:rPr>
          <w:rFonts w:ascii="Arial" w:cs="Arial" w:eastAsia="Arial" w:hAnsi="Arial"/>
          <w:sz w:val="18"/>
          <w:szCs w:val="18"/>
          <w:color w:val="auto"/>
        </w:rPr>
        <w:t>In December 2014, the Company adopted the 2014 Equity Incentive Plan (2014 Plan). The 2014 Plan provides for the Company to issue restricted common stock, or to grant incentive stock options or nonqualified stock options for the purchase of common stock, to employees, members of the Board of Directors and consultants of the Company under terms and provisions established by the Board of Directors. The Company generally grants stock-based awards with service-based vesting conditions only. Options granted typically vest over a four-year period but may be granted with different vesting terms.</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summarizes option activity under the 2014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6"/>
              </w:rPr>
              <w:t>Weighted-</w:t>
            </w: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average</w:t>
            </w: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jc w:val="right"/>
              <w:ind w:right="332"/>
              <w:spacing w:after="0" w:line="202" w:lineRule="exact"/>
              <w:rPr>
                <w:sz w:val="20"/>
                <w:szCs w:val="20"/>
                <w:color w:val="auto"/>
              </w:rPr>
            </w:pPr>
            <w:r>
              <w:rPr>
                <w:rFonts w:ascii="Arial" w:cs="Arial" w:eastAsia="Arial" w:hAnsi="Arial"/>
                <w:sz w:val="18"/>
                <w:szCs w:val="18"/>
                <w:b w:val="1"/>
                <w:bCs w:val="1"/>
                <w:color w:val="auto"/>
                <w:w w:val="98"/>
              </w:rPr>
              <w:t>Weighted-</w:t>
            </w:r>
          </w:p>
        </w:tc>
        <w:tc>
          <w:tcPr>
            <w:tcW w:w="14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remaining</w:t>
            </w: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200" w:type="dxa"/>
            <w:vAlign w:val="bottom"/>
          </w:tcPr>
          <w:p>
            <w:pPr>
              <w:spacing w:after="0"/>
              <w:rPr>
                <w:sz w:val="17"/>
                <w:szCs w:val="17"/>
                <w:color w:val="auto"/>
              </w:rPr>
            </w:pPr>
          </w:p>
        </w:tc>
        <w:tc>
          <w:tcPr>
            <w:tcW w:w="1200" w:type="dxa"/>
            <w:vAlign w:val="bottom"/>
            <w:gridSpan w:val="2"/>
          </w:tcPr>
          <w:p>
            <w:pPr>
              <w:jc w:val="right"/>
              <w:ind w:right="300"/>
              <w:spacing w:after="0" w:line="202" w:lineRule="exact"/>
              <w:rPr>
                <w:sz w:val="20"/>
                <w:szCs w:val="20"/>
                <w:color w:val="auto"/>
              </w:rPr>
            </w:pPr>
            <w:r>
              <w:rPr>
                <w:rFonts w:ascii="Arial" w:cs="Arial" w:eastAsia="Arial" w:hAnsi="Arial"/>
                <w:sz w:val="18"/>
                <w:szCs w:val="18"/>
                <w:b w:val="1"/>
                <w:bCs w:val="1"/>
                <w:color w:val="auto"/>
                <w:w w:val="97"/>
              </w:rPr>
              <w:t>Number of</w:t>
            </w:r>
          </w:p>
        </w:tc>
        <w:tc>
          <w:tcPr>
            <w:tcW w:w="360" w:type="dxa"/>
            <w:vAlign w:val="bottom"/>
          </w:tcPr>
          <w:p>
            <w:pPr>
              <w:spacing w:after="0"/>
              <w:rPr>
                <w:sz w:val="17"/>
                <w:szCs w:val="17"/>
                <w:color w:val="auto"/>
              </w:rPr>
            </w:pPr>
          </w:p>
        </w:tc>
        <w:tc>
          <w:tcPr>
            <w:tcW w:w="1300" w:type="dxa"/>
            <w:vAlign w:val="bottom"/>
          </w:tcPr>
          <w:p>
            <w:pPr>
              <w:jc w:val="right"/>
              <w:ind w:right="412"/>
              <w:spacing w:after="0" w:line="202" w:lineRule="exact"/>
              <w:rPr>
                <w:sz w:val="20"/>
                <w:szCs w:val="20"/>
                <w:color w:val="auto"/>
              </w:rPr>
            </w:pPr>
            <w:r>
              <w:rPr>
                <w:rFonts w:ascii="Arial" w:cs="Arial" w:eastAsia="Arial" w:hAnsi="Arial"/>
                <w:sz w:val="18"/>
                <w:szCs w:val="18"/>
                <w:b w:val="1"/>
                <w:bCs w:val="1"/>
                <w:color w:val="auto"/>
              </w:rPr>
              <w:t>average</w:t>
            </w:r>
          </w:p>
        </w:tc>
        <w:tc>
          <w:tcPr>
            <w:tcW w:w="14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contractual</w:t>
            </w:r>
          </w:p>
        </w:tc>
        <w:tc>
          <w:tcPr>
            <w:tcW w:w="380" w:type="dxa"/>
            <w:vAlign w:val="bottom"/>
          </w:tcPr>
          <w:p>
            <w:pPr>
              <w:spacing w:after="0"/>
              <w:rPr>
                <w:sz w:val="17"/>
                <w:szCs w:val="17"/>
                <w:color w:val="auto"/>
              </w:rPr>
            </w:pPr>
          </w:p>
        </w:tc>
        <w:tc>
          <w:tcPr>
            <w:tcW w:w="1140" w:type="dxa"/>
            <w:vAlign w:val="bottom"/>
            <w:gridSpan w:val="2"/>
          </w:tcPr>
          <w:p>
            <w:pPr>
              <w:ind w:left="40"/>
              <w:spacing w:after="0" w:line="202" w:lineRule="exact"/>
              <w:rPr>
                <w:sz w:val="20"/>
                <w:szCs w:val="20"/>
                <w:color w:val="auto"/>
              </w:rPr>
            </w:pPr>
            <w:r>
              <w:rPr>
                <w:rFonts w:ascii="Arial" w:cs="Arial" w:eastAsia="Arial" w:hAnsi="Arial"/>
                <w:sz w:val="18"/>
                <w:szCs w:val="18"/>
                <w:b w:val="1"/>
                <w:bCs w:val="1"/>
                <w:color w:val="auto"/>
              </w:rPr>
              <w:t>Aggregate</w:t>
            </w:r>
          </w:p>
        </w:tc>
      </w:tr>
      <w:tr>
        <w:trPr>
          <w:trHeight w:val="221"/>
        </w:trPr>
        <w:tc>
          <w:tcPr>
            <w:tcW w:w="5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options</w:t>
            </w:r>
          </w:p>
        </w:tc>
        <w:tc>
          <w:tcPr>
            <w:tcW w:w="166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exercise price</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term</w:t>
            </w:r>
          </w:p>
        </w:tc>
        <w:tc>
          <w:tcPr>
            <w:tcW w:w="152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b w:val="1"/>
                <w:bCs w:val="1"/>
                <w:color w:val="auto"/>
              </w:rPr>
              <w:t>intrinsic value</w:t>
            </w:r>
          </w:p>
        </w:tc>
      </w:tr>
      <w:tr>
        <w:trPr>
          <w:trHeight w:val="196"/>
        </w:trPr>
        <w:tc>
          <w:tcPr>
            <w:tcW w:w="5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4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7"/>
              </w:rPr>
              <w:t>(in years)</w:t>
            </w:r>
          </w:p>
        </w:tc>
        <w:tc>
          <w:tcPr>
            <w:tcW w:w="1520" w:type="dxa"/>
            <w:vAlign w:val="bottom"/>
            <w:gridSpan w:val="3"/>
          </w:tcPr>
          <w:p>
            <w:pPr>
              <w:ind w:left="240"/>
              <w:spacing w:after="0" w:line="196" w:lineRule="exact"/>
              <w:rPr>
                <w:sz w:val="20"/>
                <w:szCs w:val="20"/>
                <w:color w:val="auto"/>
              </w:rPr>
            </w:pPr>
            <w:r>
              <w:rPr>
                <w:rFonts w:ascii="Arial" w:cs="Arial" w:eastAsia="Arial" w:hAnsi="Arial"/>
                <w:sz w:val="18"/>
                <w:szCs w:val="18"/>
                <w:b w:val="1"/>
                <w:bCs w:val="1"/>
                <w:color w:val="auto"/>
              </w:rPr>
              <w:t>(in thousands)</w:t>
            </w:r>
          </w:p>
        </w:tc>
      </w:tr>
      <w:tr>
        <w:trPr>
          <w:trHeight w:val="203"/>
        </w:trPr>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2017</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2,539,041</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0.08</w:t>
            </w:r>
          </w:p>
        </w:tc>
        <w:tc>
          <w:tcPr>
            <w:tcW w:w="1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200" w:type="dxa"/>
            <w:vAlign w:val="bottom"/>
          </w:tcPr>
          <w:p>
            <w:pPr>
              <w:ind w:left="220"/>
              <w:spacing w:after="0" w:line="202" w:lineRule="exact"/>
              <w:rPr>
                <w:sz w:val="20"/>
                <w:szCs w:val="20"/>
                <w:color w:val="auto"/>
              </w:rPr>
            </w:pPr>
            <w:r>
              <w:rPr>
                <w:rFonts w:ascii="Arial" w:cs="Arial" w:eastAsia="Arial" w:hAnsi="Arial"/>
                <w:sz w:val="18"/>
                <w:szCs w:val="18"/>
                <w:color w:val="auto"/>
              </w:rPr>
              <w:t>Options granted</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5,252,000</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0.10</w:t>
            </w:r>
          </w:p>
        </w:tc>
        <w:tc>
          <w:tcPr>
            <w:tcW w:w="1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2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Options exercised</w:t>
            </w: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(2,810,957)</w:t>
            </w: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0.08</w:t>
            </w:r>
          </w:p>
        </w:tc>
        <w:tc>
          <w:tcPr>
            <w:tcW w:w="1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5200" w:type="dxa"/>
            <w:vAlign w:val="bottom"/>
          </w:tcPr>
          <w:p>
            <w:pPr>
              <w:ind w:left="220"/>
              <w:spacing w:after="0" w:line="202" w:lineRule="exact"/>
              <w:rPr>
                <w:sz w:val="20"/>
                <w:szCs w:val="20"/>
                <w:color w:val="auto"/>
              </w:rPr>
            </w:pPr>
            <w:r>
              <w:rPr>
                <w:rFonts w:ascii="Arial" w:cs="Arial" w:eastAsia="Arial" w:hAnsi="Arial"/>
                <w:sz w:val="18"/>
                <w:szCs w:val="18"/>
                <w:color w:val="auto"/>
              </w:rPr>
              <w:t>Options cancelled</w:t>
            </w: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(205,417)</w:t>
            </w:r>
          </w:p>
        </w:tc>
        <w:tc>
          <w:tcPr>
            <w:tcW w:w="360" w:type="dxa"/>
            <w:vAlign w:val="bottom"/>
          </w:tcPr>
          <w:p>
            <w:pPr>
              <w:spacing w:after="0"/>
              <w:rPr>
                <w:sz w:val="18"/>
                <w:szCs w:val="18"/>
                <w:color w:val="auto"/>
              </w:rPr>
            </w:pPr>
          </w:p>
        </w:tc>
        <w:tc>
          <w:tcPr>
            <w:tcW w:w="130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0.09</w:t>
            </w: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December 31, 2017</w:t>
            </w:r>
          </w:p>
        </w:tc>
        <w:tc>
          <w:tcPr>
            <w:tcW w:w="9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4,774,667</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0.09</w:t>
            </w:r>
          </w:p>
        </w:tc>
        <w:tc>
          <w:tcPr>
            <w:tcW w:w="14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8.94</w:t>
            </w:r>
          </w:p>
        </w:tc>
        <w:tc>
          <w:tcPr>
            <w:tcW w:w="38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95</w:t>
            </w:r>
          </w:p>
        </w:tc>
      </w:tr>
      <w:tr>
        <w:trPr>
          <w:trHeight w:val="210"/>
        </w:trPr>
        <w:tc>
          <w:tcPr>
            <w:tcW w:w="5200" w:type="dxa"/>
            <w:vAlign w:val="bottom"/>
          </w:tcPr>
          <w:p>
            <w:pPr>
              <w:ind w:left="220"/>
              <w:spacing w:after="0"/>
              <w:rPr>
                <w:sz w:val="20"/>
                <w:szCs w:val="20"/>
                <w:color w:val="auto"/>
              </w:rPr>
            </w:pPr>
            <w:r>
              <w:rPr>
                <w:rFonts w:ascii="Arial" w:cs="Arial" w:eastAsia="Arial" w:hAnsi="Arial"/>
                <w:sz w:val="18"/>
                <w:szCs w:val="18"/>
                <w:color w:val="auto"/>
              </w:rPr>
              <w:t>Options 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7,006,374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0.24</w:t>
            </w: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52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Options exercised</w:t>
            </w: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(3,181,562)</w:t>
            </w: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0.13</w:t>
            </w:r>
          </w:p>
        </w:tc>
        <w:tc>
          <w:tcPr>
            <w:tcW w:w="1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9"/>
        </w:trPr>
        <w:tc>
          <w:tcPr>
            <w:tcW w:w="5200" w:type="dxa"/>
            <w:vAlign w:val="bottom"/>
          </w:tcPr>
          <w:p>
            <w:pPr>
              <w:ind w:left="220"/>
              <w:spacing w:after="0" w:line="202" w:lineRule="exact"/>
              <w:rPr>
                <w:sz w:val="20"/>
                <w:szCs w:val="20"/>
                <w:color w:val="auto"/>
              </w:rPr>
            </w:pPr>
            <w:r>
              <w:rPr>
                <w:rFonts w:ascii="Arial" w:cs="Arial" w:eastAsia="Arial" w:hAnsi="Arial"/>
                <w:sz w:val="18"/>
                <w:szCs w:val="18"/>
                <w:color w:val="auto"/>
              </w:rPr>
              <w:t>Options cancelled</w:t>
            </w: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(653,946)</w:t>
            </w:r>
          </w:p>
        </w:tc>
        <w:tc>
          <w:tcPr>
            <w:tcW w:w="360" w:type="dxa"/>
            <w:vAlign w:val="bottom"/>
          </w:tcPr>
          <w:p>
            <w:pPr>
              <w:spacing w:after="0"/>
              <w:rPr>
                <w:sz w:val="18"/>
                <w:szCs w:val="18"/>
                <w:color w:val="auto"/>
              </w:rPr>
            </w:pPr>
          </w:p>
        </w:tc>
        <w:tc>
          <w:tcPr>
            <w:tcW w:w="130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0.19</w:t>
            </w: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December 31, 2018</w:t>
            </w:r>
          </w:p>
        </w:tc>
        <w:tc>
          <w:tcPr>
            <w:tcW w:w="9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7,945,533</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0.20</w:t>
            </w:r>
          </w:p>
        </w:tc>
        <w:tc>
          <w:tcPr>
            <w:tcW w:w="14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8.76</w:t>
            </w:r>
          </w:p>
        </w:tc>
        <w:tc>
          <w:tcPr>
            <w:tcW w:w="38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5,085</w:t>
            </w:r>
          </w:p>
        </w:tc>
      </w:tr>
      <w:tr>
        <w:trPr>
          <w:trHeight w:val="213"/>
        </w:trPr>
        <w:tc>
          <w:tcPr>
            <w:tcW w:w="5200" w:type="dxa"/>
            <w:vAlign w:val="bottom"/>
          </w:tcPr>
          <w:p>
            <w:pPr>
              <w:spacing w:after="0"/>
              <w:rPr>
                <w:sz w:val="20"/>
                <w:szCs w:val="20"/>
                <w:color w:val="auto"/>
              </w:rPr>
            </w:pPr>
            <w:r>
              <w:rPr>
                <w:rFonts w:ascii="Arial" w:cs="Arial" w:eastAsia="Arial" w:hAnsi="Arial"/>
                <w:sz w:val="18"/>
                <w:szCs w:val="18"/>
                <w:color w:val="auto"/>
              </w:rPr>
              <w:t>Options vested and expected to vest as of December 31,</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9"/>
        </w:trPr>
        <w:tc>
          <w:tcPr>
            <w:tcW w:w="5200" w:type="dxa"/>
            <w:vAlign w:val="bottom"/>
          </w:tcPr>
          <w:p>
            <w:pPr>
              <w:ind w:left="220"/>
              <w:spacing w:after="0" w:line="200" w:lineRule="exact"/>
              <w:rPr>
                <w:sz w:val="20"/>
                <w:szCs w:val="20"/>
                <w:color w:val="auto"/>
              </w:rPr>
            </w:pPr>
            <w:r>
              <w:rPr>
                <w:rFonts w:ascii="Arial" w:cs="Arial" w:eastAsia="Arial" w:hAnsi="Arial"/>
                <w:sz w:val="18"/>
                <w:szCs w:val="18"/>
                <w:color w:val="auto"/>
              </w:rPr>
              <w:t>2018</w:t>
            </w:r>
          </w:p>
        </w:tc>
        <w:tc>
          <w:tcPr>
            <w:tcW w:w="920" w:type="dxa"/>
            <w:vAlign w:val="bottom"/>
          </w:tcPr>
          <w:p>
            <w:pPr>
              <w:jc w:val="right"/>
              <w:spacing w:after="0" w:line="200" w:lineRule="exact"/>
              <w:rPr>
                <w:sz w:val="20"/>
                <w:szCs w:val="20"/>
                <w:color w:val="auto"/>
              </w:rPr>
            </w:pPr>
            <w:r>
              <w:rPr>
                <w:rFonts w:ascii="Arial" w:cs="Arial" w:eastAsia="Arial" w:hAnsi="Arial"/>
                <w:sz w:val="18"/>
                <w:szCs w:val="18"/>
                <w:color w:val="auto"/>
              </w:rPr>
              <w:t>7,945,533</w:t>
            </w:r>
          </w:p>
        </w:tc>
        <w:tc>
          <w:tcPr>
            <w:tcW w:w="280" w:type="dxa"/>
            <w:vAlign w:val="bottom"/>
          </w:tcPr>
          <w:p>
            <w:pPr>
              <w:spacing w:after="0"/>
              <w:rPr>
                <w:sz w:val="17"/>
                <w:szCs w:val="17"/>
                <w:color w:val="auto"/>
              </w:rPr>
            </w:pPr>
          </w:p>
        </w:tc>
        <w:tc>
          <w:tcPr>
            <w:tcW w:w="360" w:type="dxa"/>
            <w:vAlign w:val="bottom"/>
          </w:tcPr>
          <w:p>
            <w:pPr>
              <w:ind w:left="240"/>
              <w:spacing w:after="0" w:line="200" w:lineRule="exact"/>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2"/>
              <w:spacing w:after="0" w:line="200" w:lineRule="exact"/>
              <w:rPr>
                <w:sz w:val="20"/>
                <w:szCs w:val="20"/>
                <w:color w:val="auto"/>
              </w:rPr>
            </w:pPr>
            <w:r>
              <w:rPr>
                <w:rFonts w:ascii="Arial" w:cs="Arial" w:eastAsia="Arial" w:hAnsi="Arial"/>
                <w:sz w:val="18"/>
                <w:szCs w:val="18"/>
                <w:color w:val="auto"/>
              </w:rPr>
              <w:t>0.20</w:t>
            </w:r>
          </w:p>
        </w:tc>
        <w:tc>
          <w:tcPr>
            <w:tcW w:w="1440" w:type="dxa"/>
            <w:vAlign w:val="bottom"/>
          </w:tcPr>
          <w:p>
            <w:pPr>
              <w:jc w:val="right"/>
              <w:ind w:right="152"/>
              <w:spacing w:after="0" w:line="200" w:lineRule="exact"/>
              <w:rPr>
                <w:sz w:val="20"/>
                <w:szCs w:val="20"/>
                <w:color w:val="auto"/>
              </w:rPr>
            </w:pPr>
            <w:r>
              <w:rPr>
                <w:rFonts w:ascii="Arial" w:cs="Arial" w:eastAsia="Arial" w:hAnsi="Arial"/>
                <w:sz w:val="18"/>
                <w:szCs w:val="18"/>
                <w:color w:val="auto"/>
              </w:rPr>
              <w:t>8.76</w:t>
            </w:r>
          </w:p>
        </w:tc>
        <w:tc>
          <w:tcPr>
            <w:tcW w:w="380" w:type="dxa"/>
            <w:vAlign w:val="bottom"/>
          </w:tcPr>
          <w:p>
            <w:pPr>
              <w:ind w:left="240"/>
              <w:spacing w:after="0" w:line="200"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5,085</w:t>
            </w:r>
          </w:p>
        </w:tc>
      </w:tr>
      <w:tr>
        <w:trPr>
          <w:trHeight w:val="203"/>
        </w:trPr>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vested and exercisable as of December 31, 2018</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2,366,860</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0.11</w:t>
            </w:r>
          </w:p>
        </w:tc>
        <w:tc>
          <w:tcPr>
            <w:tcW w:w="14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8.10</w:t>
            </w:r>
          </w:p>
        </w:tc>
        <w:tc>
          <w:tcPr>
            <w:tcW w:w="38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1,734</w:t>
            </w:r>
          </w:p>
        </w:tc>
      </w:tr>
      <w:tr>
        <w:trPr>
          <w:trHeight w:val="20"/>
        </w:trPr>
        <w:tc>
          <w:tcPr>
            <w:tcW w:w="5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jc w:val="both"/>
        <w:ind w:left="120" w:right="40"/>
        <w:spacing w:after="0" w:line="239" w:lineRule="auto"/>
        <w:rPr>
          <w:sz w:val="20"/>
          <w:szCs w:val="20"/>
          <w:color w:val="auto"/>
        </w:rPr>
      </w:pPr>
      <w:r>
        <w:rPr>
          <w:rFonts w:ascii="Arial" w:cs="Arial" w:eastAsia="Arial" w:hAnsi="Arial"/>
          <w:sz w:val="18"/>
          <w:szCs w:val="18"/>
          <w:color w:val="auto"/>
        </w:rPr>
        <w:t>The aggregate intrinsic values of options outstanding, exercisable, vested and expected to vest were calculated as the difference between the exercise price of the options and the estimated fair value of the Company’s</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40"/>
          </w:cols>
          <w:pgMar w:left="320" w:top="459" w:right="4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common stock, as determined by the Board of Directors. The intrinsic value of options exercised for the years ended December 31, 2017 and 2018 was less than $0.1 million and $0.4 million, respectively.</w:t>
      </w:r>
    </w:p>
    <w:p>
      <w:pPr>
        <w:spacing w:after="0" w:line="101" w:lineRule="exact"/>
        <w:rPr>
          <w:sz w:val="20"/>
          <w:szCs w:val="20"/>
          <w:color w:val="auto"/>
        </w:rPr>
      </w:pPr>
    </w:p>
    <w:p>
      <w:pPr>
        <w:ind w:left="120" w:right="300"/>
        <w:spacing w:after="0" w:line="238" w:lineRule="auto"/>
        <w:rPr>
          <w:sz w:val="20"/>
          <w:szCs w:val="20"/>
          <w:color w:val="auto"/>
        </w:rPr>
      </w:pPr>
      <w:r>
        <w:rPr>
          <w:rFonts w:ascii="Arial" w:cs="Arial" w:eastAsia="Arial" w:hAnsi="Arial"/>
          <w:sz w:val="18"/>
          <w:szCs w:val="18"/>
          <w:color w:val="auto"/>
        </w:rPr>
        <w:t>During the years ended December 31, 2017 and 2018, the weighted-average grant-date fair value of options granted was $0.07 and $0.39 per share, respectively. As of December 31, 2018, there was $2.1 million of unrecognized stock-based compensation expense related to unvested stock options that is expected to be recognized over a weighted-average period of 2.7 years.</w:t>
      </w:r>
    </w:p>
    <w:p>
      <w:pPr>
        <w:spacing w:after="0" w:line="100" w:lineRule="exact"/>
        <w:rPr>
          <w:sz w:val="20"/>
          <w:szCs w:val="20"/>
          <w:color w:val="auto"/>
        </w:rPr>
      </w:pPr>
    </w:p>
    <w:p>
      <w:pPr>
        <w:ind w:left="120" w:right="500"/>
        <w:spacing w:after="0" w:line="239" w:lineRule="auto"/>
        <w:rPr>
          <w:sz w:val="20"/>
          <w:szCs w:val="20"/>
          <w:color w:val="auto"/>
        </w:rPr>
      </w:pPr>
      <w:r>
        <w:rPr>
          <w:rFonts w:ascii="Arial" w:cs="Arial" w:eastAsia="Arial" w:hAnsi="Arial"/>
          <w:sz w:val="18"/>
          <w:szCs w:val="18"/>
          <w:color w:val="auto"/>
        </w:rPr>
        <w:t>The total fair value of options vested for the years ended December 31, 2017 and December 31, 2018 was $0.1 million and $0.7 million, respectively.</w:t>
      </w:r>
    </w:p>
    <w:p>
      <w:pPr>
        <w:spacing w:after="0" w:line="101" w:lineRule="exact"/>
        <w:rPr>
          <w:sz w:val="20"/>
          <w:szCs w:val="20"/>
          <w:color w:val="auto"/>
        </w:rPr>
      </w:pPr>
    </w:p>
    <w:p>
      <w:pPr>
        <w:ind w:left="120" w:right="280"/>
        <w:spacing w:after="0" w:line="239" w:lineRule="auto"/>
        <w:rPr>
          <w:sz w:val="20"/>
          <w:szCs w:val="20"/>
          <w:color w:val="auto"/>
        </w:rPr>
      </w:pPr>
      <w:r>
        <w:rPr>
          <w:rFonts w:ascii="Arial" w:cs="Arial" w:eastAsia="Arial" w:hAnsi="Arial"/>
          <w:sz w:val="18"/>
          <w:szCs w:val="18"/>
          <w:color w:val="auto"/>
        </w:rPr>
        <w:t>The fair value of employee and director stock option awards was estimated at the date of grant using a Black-Scholes option-pricing model with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8680" w:type="dxa"/>
            <w:vAlign w:val="bottom"/>
          </w:tcPr>
          <w:p>
            <w:pPr>
              <w:spacing w:after="0"/>
              <w:rPr>
                <w:sz w:val="19"/>
                <w:szCs w:val="19"/>
                <w:color w:val="auto"/>
              </w:rPr>
            </w:pPr>
          </w:p>
        </w:tc>
        <w:tc>
          <w:tcPr>
            <w:tcW w:w="23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86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2017</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2018</w:t>
            </w:r>
          </w:p>
        </w:tc>
      </w:tr>
      <w:tr>
        <w:trPr>
          <w:trHeight w:val="196"/>
        </w:trPr>
        <w:tc>
          <w:tcPr>
            <w:tcW w:w="8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term (years)</w:t>
            </w:r>
          </w:p>
        </w:tc>
        <w:tc>
          <w:tcPr>
            <w:tcW w:w="11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3"/>
              </w:rPr>
              <w:t>5–6</w:t>
            </w:r>
          </w:p>
        </w:tc>
        <w:tc>
          <w:tcPr>
            <w:tcW w:w="11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5–6</w:t>
            </w: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1160" w:type="dxa"/>
            <w:vAlign w:val="bottom"/>
          </w:tcPr>
          <w:p>
            <w:pPr>
              <w:jc w:val="center"/>
              <w:spacing w:after="0" w:line="202" w:lineRule="exact"/>
              <w:rPr>
                <w:sz w:val="20"/>
                <w:szCs w:val="20"/>
                <w:color w:val="auto"/>
              </w:rPr>
            </w:pPr>
            <w:r>
              <w:rPr>
                <w:rFonts w:ascii="Arial" w:cs="Arial" w:eastAsia="Arial" w:hAnsi="Arial"/>
                <w:sz w:val="18"/>
                <w:szCs w:val="18"/>
                <w:color w:val="auto"/>
                <w:w w:val="97"/>
              </w:rPr>
              <w:t>79%–81%</w:t>
            </w: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7"/>
              </w:rPr>
              <w:t>79%–81%</w:t>
            </w: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11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1.8%–2.2%</w:t>
            </w:r>
          </w:p>
        </w:tc>
        <w:tc>
          <w:tcPr>
            <w:tcW w:w="11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2.5%–3.0%</w:t>
            </w:r>
          </w:p>
        </w:tc>
      </w:tr>
      <w:tr>
        <w:trPr>
          <w:trHeight w:val="215"/>
        </w:trPr>
        <w:tc>
          <w:tcPr>
            <w:tcW w:w="8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Dividend yield</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0%</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0%</w:t>
            </w:r>
          </w:p>
        </w:tc>
      </w:tr>
    </w:tbl>
    <w:p>
      <w:pPr>
        <w:spacing w:after="0" w:line="111" w:lineRule="exact"/>
        <w:rPr>
          <w:sz w:val="20"/>
          <w:szCs w:val="20"/>
          <w:color w:val="auto"/>
        </w:rPr>
      </w:pPr>
    </w:p>
    <w:p>
      <w:pPr>
        <w:jc w:val="both"/>
        <w:ind w:left="120" w:right="100"/>
        <w:spacing w:after="0" w:line="239" w:lineRule="auto"/>
        <w:rPr>
          <w:sz w:val="20"/>
          <w:szCs w:val="20"/>
          <w:color w:val="auto"/>
        </w:rPr>
      </w:pPr>
      <w:r>
        <w:rPr>
          <w:rFonts w:ascii="Arial" w:cs="Arial" w:eastAsia="Arial" w:hAnsi="Arial"/>
          <w:sz w:val="18"/>
          <w:szCs w:val="18"/>
          <w:color w:val="auto"/>
        </w:rPr>
        <w:t>Non-employee stock option awards were measured at fair value at each reporting period using a Black-Scholes option-pricing model with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8680" w:type="dxa"/>
            <w:vAlign w:val="bottom"/>
          </w:tcPr>
          <w:p>
            <w:pPr>
              <w:spacing w:after="0"/>
              <w:rPr>
                <w:sz w:val="19"/>
                <w:szCs w:val="19"/>
                <w:color w:val="auto"/>
              </w:rPr>
            </w:pPr>
          </w:p>
        </w:tc>
        <w:tc>
          <w:tcPr>
            <w:tcW w:w="23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86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2017</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2018</w:t>
            </w:r>
          </w:p>
        </w:tc>
      </w:tr>
      <w:tr>
        <w:trPr>
          <w:trHeight w:val="196"/>
        </w:trPr>
        <w:tc>
          <w:tcPr>
            <w:tcW w:w="8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term (years)</w:t>
            </w:r>
          </w:p>
        </w:tc>
        <w:tc>
          <w:tcPr>
            <w:tcW w:w="11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8–10</w:t>
            </w:r>
          </w:p>
        </w:tc>
        <w:tc>
          <w:tcPr>
            <w:tcW w:w="11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4"/>
              </w:rPr>
              <w:t>7–10</w:t>
            </w: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1160" w:type="dxa"/>
            <w:vAlign w:val="bottom"/>
          </w:tcPr>
          <w:p>
            <w:pPr>
              <w:jc w:val="center"/>
              <w:spacing w:after="0" w:line="202" w:lineRule="exact"/>
              <w:rPr>
                <w:sz w:val="20"/>
                <w:szCs w:val="20"/>
                <w:color w:val="auto"/>
              </w:rPr>
            </w:pPr>
            <w:r>
              <w:rPr>
                <w:rFonts w:ascii="Arial" w:cs="Arial" w:eastAsia="Arial" w:hAnsi="Arial"/>
                <w:sz w:val="18"/>
                <w:szCs w:val="18"/>
                <w:color w:val="auto"/>
                <w:w w:val="97"/>
              </w:rPr>
              <w:t>79%–81%</w:t>
            </w: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4"/>
              </w:rPr>
              <w:t>80%</w:t>
            </w: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11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2.0%–2.4%</w:t>
            </w:r>
          </w:p>
        </w:tc>
        <w:tc>
          <w:tcPr>
            <w:tcW w:w="11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2.9%–3.0%</w:t>
            </w:r>
          </w:p>
        </w:tc>
      </w:tr>
      <w:tr>
        <w:trPr>
          <w:trHeight w:val="215"/>
        </w:trPr>
        <w:tc>
          <w:tcPr>
            <w:tcW w:w="8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Dividend yield</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0%</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0%</w:t>
            </w:r>
          </w:p>
        </w:tc>
      </w:tr>
    </w:tbl>
    <w:p>
      <w:pPr>
        <w:spacing w:after="0" w:line="111" w:lineRule="exact"/>
        <w:rPr>
          <w:sz w:val="20"/>
          <w:szCs w:val="20"/>
          <w:color w:val="auto"/>
        </w:rPr>
      </w:pPr>
    </w:p>
    <w:p>
      <w:pPr>
        <w:ind w:left="120" w:right="60"/>
        <w:spacing w:after="0" w:line="271" w:lineRule="auto"/>
        <w:rPr>
          <w:sz w:val="20"/>
          <w:szCs w:val="20"/>
          <w:color w:val="auto"/>
        </w:rPr>
      </w:pPr>
      <w:r>
        <w:rPr>
          <w:rFonts w:ascii="Arial" w:cs="Arial" w:eastAsia="Arial" w:hAnsi="Arial"/>
          <w:sz w:val="16"/>
          <w:szCs w:val="16"/>
          <w:color w:val="auto"/>
        </w:rPr>
        <w:t>The fair value of the shares of common stock underlying stock options has historically been determined by the Company’s Board of Directors. Because there has been no public market for the Company’s common stock, the Board of Directors has determined fair value of the common stock at the time of grant of the option by considering a number of objective and subjective factors including important developments in the Company’s operations, valuations performed by an independent third party, sales of redeemable convertible preferred stock, actual operating results and financial performance, the conditions in the biotechnology industry and the economy in general, the stock price performance and volatility of comparable public companies, and the lack of liquidity of the Company’s common stock, among other factors.</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Black-Scholes model assumptions that determine the fair value of stock-based awards include:</w:t>
      </w:r>
    </w:p>
    <w:p>
      <w:pPr>
        <w:spacing w:after="0" w:line="86" w:lineRule="exact"/>
        <w:rPr>
          <w:sz w:val="20"/>
          <w:szCs w:val="20"/>
          <w:color w:val="auto"/>
        </w:rPr>
      </w:pPr>
    </w:p>
    <w:p>
      <w:pPr>
        <w:jc w:val="both"/>
        <w:ind w:left="340" w:right="140"/>
        <w:spacing w:after="0" w:line="247"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weighted-average period the stock options are expected to remain outstanding and is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options’ vesting terms, contractual terms and industry peers, as the Company did not have sufficient historical information to develop reasonable expectations about future exercise patterns and post-vesting employment termination behavior.</w:t>
      </w:r>
    </w:p>
    <w:p>
      <w:pPr>
        <w:spacing w:after="0" w:line="76" w:lineRule="exact"/>
        <w:rPr>
          <w:sz w:val="20"/>
          <w:szCs w:val="20"/>
          <w:color w:val="auto"/>
        </w:rPr>
      </w:pPr>
    </w:p>
    <w:p>
      <w:pPr>
        <w:ind w:left="340" w:right="20"/>
        <w:spacing w:after="0" w:line="243"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—Since the Company is privately held and does not have any trading history for its common stock, the expected volatility</w:t>
      </w:r>
      <w:r>
        <w:rPr>
          <w:rFonts w:ascii="Arial" w:cs="Arial" w:eastAsia="Arial" w:hAnsi="Arial"/>
          <w:sz w:val="18"/>
          <w:szCs w:val="18"/>
          <w:i w:val="1"/>
          <w:iCs w:val="1"/>
          <w:color w:val="auto"/>
        </w:rPr>
        <w:t xml:space="preserve"> </w:t>
      </w:r>
      <w:r>
        <w:rPr>
          <w:rFonts w:ascii="Arial" w:cs="Arial" w:eastAsia="Arial" w:hAnsi="Arial"/>
          <w:sz w:val="18"/>
          <w:szCs w:val="18"/>
          <w:color w:val="auto"/>
        </w:rPr>
        <w:t>was estimated based on the average volatility for comparable publicly traded biotechnology companies over a period equal to the expected term of the stock option grants. The comparable companies were chosen based on their similar size, stage in the life cycle or area of specialty.</w:t>
      </w:r>
    </w:p>
    <w:p>
      <w:pPr>
        <w:spacing w:after="0" w:line="1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40"/>
          </w:cols>
          <w:pgMar w:left="320" w:top="459" w:right="4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right="20"/>
        <w:spacing w:after="0" w:line="260"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option.</w:t>
      </w:r>
    </w:p>
    <w:p>
      <w:pPr>
        <w:spacing w:after="0" w:line="65"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Expected dividend</w:t>
      </w:r>
      <w:r>
        <w:rPr>
          <w:rFonts w:ascii="Arial" w:cs="Arial" w:eastAsia="Arial" w:hAnsi="Arial"/>
          <w:sz w:val="16"/>
          <w:szCs w:val="16"/>
          <w:color w:val="auto"/>
        </w:rPr>
        <w:t>—The Company has never paid dividends on its common stock and has no plans to pay dividends on its common stock.</w:t>
      </w:r>
    </w:p>
    <w:p>
      <w:pPr>
        <w:spacing w:after="0" w:line="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Therefore, the Company used an expected dividend yield of zero.</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stock-based compensation expense by function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3" w:lineRule="exact"/>
        <w:rPr>
          <w:sz w:val="20"/>
          <w:szCs w:val="20"/>
          <w:color w:val="auto"/>
        </w:rPr>
      </w:pPr>
    </w:p>
    <w:p>
      <w:pPr>
        <w:jc w:val="center"/>
        <w:ind w:left="9500"/>
        <w:spacing w:after="0"/>
        <w:rPr>
          <w:sz w:val="20"/>
          <w:szCs w:val="20"/>
          <w:color w:val="auto"/>
        </w:rPr>
      </w:pPr>
      <w:r>
        <w:rPr>
          <w:rFonts w:ascii="Arial" w:cs="Arial" w:eastAsia="Arial" w:hAnsi="Arial"/>
          <w:sz w:val="18"/>
          <w:szCs w:val="18"/>
          <w:b w:val="1"/>
          <w:bCs w:val="1"/>
          <w:color w:val="auto"/>
        </w:rPr>
        <w:t>Year ended</w:t>
      </w:r>
    </w:p>
    <w:p>
      <w:pPr>
        <w:spacing w:after="0" w:line="18" w:lineRule="exact"/>
        <w:rPr>
          <w:sz w:val="20"/>
          <w:szCs w:val="20"/>
          <w:color w:val="auto"/>
        </w:rPr>
      </w:pPr>
    </w:p>
    <w:p>
      <w:pPr>
        <w:jc w:val="center"/>
        <w:ind w:left="950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-4445</wp:posOffset>
            </wp:positionV>
            <wp:extent cx="89154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221"/>
        </w:trPr>
        <w:tc>
          <w:tcPr>
            <w:tcW w:w="95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2017</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bottom w:val="single" w:sz="8" w:color="auto"/>
            </w:tcBorders>
          </w:tcPr>
          <w:p>
            <w:pPr>
              <w:spacing w:after="0"/>
              <w:rPr>
                <w:sz w:val="19"/>
                <w:szCs w:val="19"/>
                <w:color w:val="auto"/>
              </w:rPr>
            </w:pPr>
          </w:p>
        </w:tc>
      </w:tr>
      <w:tr>
        <w:trPr>
          <w:trHeight w:val="196"/>
        </w:trPr>
        <w:tc>
          <w:tcPr>
            <w:tcW w:w="9560" w:type="dxa"/>
            <w:vAlign w:val="bottom"/>
          </w:tcPr>
          <w:p>
            <w:pPr>
              <w:spacing w:after="0"/>
              <w:rPr>
                <w:sz w:val="17"/>
                <w:szCs w:val="17"/>
                <w:color w:val="auto"/>
              </w:rPr>
            </w:pPr>
          </w:p>
        </w:tc>
        <w:tc>
          <w:tcPr>
            <w:tcW w:w="1460" w:type="dxa"/>
            <w:vAlign w:val="bottom"/>
            <w:gridSpan w:val="6"/>
          </w:tcPr>
          <w:p>
            <w:pPr>
              <w:ind w:left="100"/>
              <w:spacing w:after="0" w:line="196" w:lineRule="exact"/>
              <w:rPr>
                <w:sz w:val="20"/>
                <w:szCs w:val="20"/>
                <w:color w:val="auto"/>
              </w:rPr>
            </w:pPr>
            <w:r>
              <w:rPr>
                <w:rFonts w:ascii="Arial" w:cs="Arial" w:eastAsia="Arial" w:hAnsi="Arial"/>
                <w:sz w:val="18"/>
                <w:szCs w:val="18"/>
                <w:b w:val="1"/>
                <w:bCs w:val="1"/>
                <w:color w:val="auto"/>
              </w:rPr>
              <w:t>(in thousands)</w:t>
            </w:r>
          </w:p>
        </w:tc>
      </w:tr>
      <w:tr>
        <w:trPr>
          <w:trHeight w:val="203"/>
        </w:trPr>
        <w:tc>
          <w:tcPr>
            <w:tcW w:w="9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$ 107</w:t>
            </w:r>
          </w:p>
        </w:tc>
        <w:tc>
          <w:tcPr>
            <w:tcW w:w="2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563</w:t>
            </w:r>
          </w:p>
        </w:tc>
      </w:tr>
      <w:tr>
        <w:trPr>
          <w:trHeight w:val="209"/>
        </w:trPr>
        <w:tc>
          <w:tcPr>
            <w:tcW w:w="956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6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292</w:t>
            </w:r>
          </w:p>
        </w:tc>
      </w:tr>
      <w:tr>
        <w:trPr>
          <w:trHeight w:val="203"/>
        </w:trPr>
        <w:tc>
          <w:tcPr>
            <w:tcW w:w="9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4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$ 141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855</w:t>
            </w:r>
          </w:p>
        </w:tc>
        <w:tc>
          <w:tcPr>
            <w:tcW w:w="60" w:type="dxa"/>
            <w:vAlign w:val="bottom"/>
            <w:shd w:val="clear" w:color="auto" w:fill="CCEEFF"/>
          </w:tcPr>
          <w:p>
            <w:pPr>
              <w:spacing w:after="0"/>
              <w:rPr>
                <w:sz w:val="17"/>
                <w:szCs w:val="17"/>
                <w:color w:val="auto"/>
              </w:rPr>
            </w:pPr>
          </w:p>
        </w:tc>
      </w:tr>
      <w:tr>
        <w:trPr>
          <w:trHeight w:val="20"/>
        </w:trPr>
        <w:tc>
          <w:tcPr>
            <w:tcW w:w="9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ind w:left="120" w:right="540"/>
        <w:spacing w:after="0" w:line="239" w:lineRule="auto"/>
        <w:rPr>
          <w:sz w:val="20"/>
          <w:szCs w:val="20"/>
          <w:color w:val="auto"/>
        </w:rPr>
      </w:pPr>
      <w:r>
        <w:rPr>
          <w:rFonts w:ascii="Arial" w:cs="Arial" w:eastAsia="Arial" w:hAnsi="Arial"/>
          <w:sz w:val="18"/>
          <w:szCs w:val="18"/>
          <w:color w:val="auto"/>
        </w:rPr>
        <w:t>Stock-based compensation related to options granted to non-employees was less than $0.1 million and $0.3 million for the years ended December 31, 2017 and 2018, respectively.</w:t>
      </w:r>
    </w:p>
    <w:p>
      <w:pPr>
        <w:spacing w:after="0" w:line="101" w:lineRule="exact"/>
        <w:rPr>
          <w:sz w:val="20"/>
          <w:szCs w:val="20"/>
          <w:color w:val="auto"/>
        </w:rPr>
      </w:pPr>
    </w:p>
    <w:p>
      <w:pPr>
        <w:ind w:left="120" w:right="140"/>
        <w:spacing w:after="0" w:line="236" w:lineRule="auto"/>
        <w:rPr>
          <w:sz w:val="20"/>
          <w:szCs w:val="20"/>
          <w:color w:val="auto"/>
        </w:rPr>
      </w:pPr>
      <w:r>
        <w:rPr>
          <w:rFonts w:ascii="Arial" w:cs="Arial" w:eastAsia="Arial" w:hAnsi="Arial"/>
          <w:sz w:val="18"/>
          <w:szCs w:val="18"/>
          <w:color w:val="auto"/>
        </w:rPr>
        <w:t>The Company allows its employees, non-employees and directors to exercise options granted under the 2014 Plan prior to vesting. The shares related to early exercised stock options are subject to the Company’s lapsing repurchase right upon termination of employment at the original purchase price. In order to vest, the holders are required to provide continued service to the Company. The proceeds are initially recorded in other noncurrent liabilities and are reclassified to common stock and additional paid-in capital as the repurchase right lapses. As of December 31, 2017 and 2018, there were 2,634,880 and 2,996,264 shares, respectively, and $0.3 million and $0.3 million, respectively, recorded in other noncurrent liabilities, related to early exercised shares that were subject to repurchase.</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24"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In 2014, the Company issued restricted stock awards to employees and directors under the 2014 Plan at a purchase price of $0.0001 per share. The shares related to restricted stock awards vest over a four-year period and are subject to a lapsing repurchase right upon termination of employment at the original purchase price. Recipients of restricted stock awards have voting and dividend rights with respect to such shares upon grant without regard to vesting.</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summary of restricted stock activity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948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Number of</w:t>
            </w:r>
          </w:p>
        </w:tc>
      </w:tr>
      <w:tr>
        <w:trPr>
          <w:trHeight w:val="203"/>
        </w:trPr>
        <w:tc>
          <w:tcPr>
            <w:tcW w:w="9480" w:type="dxa"/>
            <w:vAlign w:val="bottom"/>
          </w:tcPr>
          <w:p>
            <w:pPr>
              <w:spacing w:after="0"/>
              <w:rPr>
                <w:sz w:val="17"/>
                <w:szCs w:val="17"/>
                <w:color w:val="auto"/>
              </w:rPr>
            </w:pPr>
          </w:p>
        </w:tc>
        <w:tc>
          <w:tcPr>
            <w:tcW w:w="154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7"/>
              </w:rPr>
              <w:t>restricted shares</w:t>
            </w:r>
          </w:p>
        </w:tc>
      </w:tr>
      <w:tr>
        <w:trPr>
          <w:trHeight w:val="221"/>
        </w:trPr>
        <w:tc>
          <w:tcPr>
            <w:tcW w:w="9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97"/>
              </w:rPr>
              <w:t>outstanding</w:t>
            </w:r>
          </w:p>
        </w:tc>
      </w:tr>
      <w:tr>
        <w:trPr>
          <w:trHeight w:val="196"/>
        </w:trPr>
        <w:tc>
          <w:tcPr>
            <w:tcW w:w="9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Unvested restricted stock, January 1, 2017</w:t>
            </w:r>
          </w:p>
        </w:tc>
        <w:tc>
          <w:tcPr>
            <w:tcW w:w="1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3,464,583</w:t>
            </w:r>
          </w:p>
        </w:tc>
        <w:tc>
          <w:tcPr>
            <w:tcW w:w="120" w:type="dxa"/>
            <w:vAlign w:val="bottom"/>
            <w:shd w:val="clear" w:color="auto" w:fill="CCEEFF"/>
          </w:tcPr>
          <w:p>
            <w:pPr>
              <w:spacing w:after="0"/>
              <w:rPr>
                <w:sz w:val="17"/>
                <w:szCs w:val="17"/>
                <w:color w:val="auto"/>
              </w:rPr>
            </w:pPr>
          </w:p>
        </w:tc>
      </w:tr>
      <w:tr>
        <w:trPr>
          <w:trHeight w:val="203"/>
        </w:trPr>
        <w:tc>
          <w:tcPr>
            <w:tcW w:w="9480" w:type="dxa"/>
            <w:vAlign w:val="bottom"/>
          </w:tcPr>
          <w:p>
            <w:pPr>
              <w:ind w:left="220"/>
              <w:spacing w:after="0" w:line="202" w:lineRule="exact"/>
              <w:rPr>
                <w:sz w:val="20"/>
                <w:szCs w:val="20"/>
                <w:color w:val="auto"/>
              </w:rPr>
            </w:pPr>
            <w:r>
              <w:rPr>
                <w:rFonts w:ascii="Arial" w:cs="Arial" w:eastAsia="Arial" w:hAnsi="Arial"/>
                <w:sz w:val="18"/>
                <w:szCs w:val="18"/>
                <w:color w:val="auto"/>
              </w:rPr>
              <w:t>Restricted stock vested</w:t>
            </w:r>
          </w:p>
        </w:tc>
        <w:tc>
          <w:tcPr>
            <w:tcW w:w="15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(1,263,020)</w:t>
            </w:r>
          </w:p>
        </w:tc>
      </w:tr>
      <w:tr>
        <w:trPr>
          <w:trHeight w:val="203"/>
        </w:trPr>
        <w:tc>
          <w:tcPr>
            <w:tcW w:w="94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Unvested stock repurchased</w:t>
            </w:r>
          </w:p>
        </w:tc>
        <w:tc>
          <w:tcPr>
            <w:tcW w:w="15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(1,311,980)</w:t>
            </w:r>
          </w:p>
        </w:tc>
      </w:tr>
      <w:tr>
        <w:trPr>
          <w:trHeight w:val="210"/>
        </w:trPr>
        <w:tc>
          <w:tcPr>
            <w:tcW w:w="9480" w:type="dxa"/>
            <w:vAlign w:val="bottom"/>
          </w:tcPr>
          <w:p>
            <w:pPr>
              <w:spacing w:after="0"/>
              <w:rPr>
                <w:sz w:val="20"/>
                <w:szCs w:val="20"/>
                <w:color w:val="auto"/>
              </w:rPr>
            </w:pPr>
            <w:r>
              <w:rPr>
                <w:rFonts w:ascii="Arial" w:cs="Arial" w:eastAsia="Arial" w:hAnsi="Arial"/>
                <w:sz w:val="18"/>
                <w:szCs w:val="18"/>
                <w:color w:val="auto"/>
              </w:rPr>
              <w:t>Unvested restricted stock, December 31, 2017</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889,583</w:t>
            </w:r>
          </w:p>
        </w:tc>
        <w:tc>
          <w:tcPr>
            <w:tcW w:w="120" w:type="dxa"/>
            <w:vAlign w:val="bottom"/>
          </w:tcPr>
          <w:p>
            <w:pPr>
              <w:spacing w:after="0"/>
              <w:rPr>
                <w:sz w:val="18"/>
                <w:szCs w:val="18"/>
                <w:color w:val="auto"/>
              </w:rPr>
            </w:pPr>
          </w:p>
        </w:tc>
      </w:tr>
      <w:tr>
        <w:trPr>
          <w:trHeight w:val="203"/>
        </w:trPr>
        <w:tc>
          <w:tcPr>
            <w:tcW w:w="94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Restricted stock vested</w:t>
            </w:r>
          </w:p>
        </w:tc>
        <w:tc>
          <w:tcPr>
            <w:tcW w:w="15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(889,583)</w:t>
            </w:r>
          </w:p>
        </w:tc>
      </w:tr>
      <w:tr>
        <w:trPr>
          <w:trHeight w:val="20"/>
        </w:trPr>
        <w:tc>
          <w:tcPr>
            <w:tcW w:w="94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2"/>
        </w:trPr>
        <w:tc>
          <w:tcPr>
            <w:tcW w:w="9480" w:type="dxa"/>
            <w:vAlign w:val="bottom"/>
          </w:tcPr>
          <w:p>
            <w:pPr>
              <w:spacing w:after="0"/>
              <w:rPr>
                <w:sz w:val="20"/>
                <w:szCs w:val="20"/>
                <w:color w:val="auto"/>
              </w:rPr>
            </w:pPr>
            <w:r>
              <w:rPr>
                <w:rFonts w:ascii="Arial" w:cs="Arial" w:eastAsia="Arial" w:hAnsi="Arial"/>
                <w:sz w:val="18"/>
                <w:szCs w:val="18"/>
                <w:color w:val="auto"/>
              </w:rPr>
              <w:t>Unvested restricted stock, December 31, 2018</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94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1" w:lineRule="exact"/>
        <w:rPr>
          <w:sz w:val="20"/>
          <w:szCs w:val="20"/>
          <w:color w:val="auto"/>
        </w:rPr>
      </w:pPr>
    </w:p>
    <w:p>
      <w:pPr>
        <w:ind w:left="120" w:right="200"/>
        <w:spacing w:after="0" w:line="238" w:lineRule="auto"/>
        <w:rPr>
          <w:sz w:val="20"/>
          <w:szCs w:val="20"/>
          <w:color w:val="auto"/>
        </w:rPr>
      </w:pPr>
      <w:r>
        <w:rPr>
          <w:rFonts w:ascii="Arial" w:cs="Arial" w:eastAsia="Arial" w:hAnsi="Arial"/>
          <w:sz w:val="18"/>
          <w:szCs w:val="18"/>
          <w:color w:val="auto"/>
        </w:rPr>
        <w:t>The total fair value of restricted stock vested during the years ended December 31, 2017 and 2018 was less than $0.1 million for both years presented. As of December 31, 2017 and 2018, the liability for unvested restricted stock that was subject to repurchase was less than $0.1 million and zero, respectively.</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9" w:right="4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11. Income taxes</w:t>
      </w:r>
    </w:p>
    <w:p>
      <w:pPr>
        <w:spacing w:after="0" w:line="134" w:lineRule="exact"/>
        <w:rPr>
          <w:sz w:val="20"/>
          <w:szCs w:val="20"/>
          <w:color w:val="auto"/>
        </w:rPr>
      </w:pPr>
    </w:p>
    <w:p>
      <w:pPr>
        <w:jc w:val="both"/>
        <w:ind w:left="120" w:right="40"/>
        <w:spacing w:after="0" w:line="238" w:lineRule="auto"/>
        <w:rPr>
          <w:sz w:val="20"/>
          <w:szCs w:val="20"/>
          <w:color w:val="auto"/>
        </w:rPr>
      </w:pPr>
      <w:r>
        <w:rPr>
          <w:rFonts w:ascii="Arial" w:cs="Arial" w:eastAsia="Arial" w:hAnsi="Arial"/>
          <w:sz w:val="18"/>
          <w:szCs w:val="18"/>
          <w:color w:val="auto"/>
        </w:rPr>
        <w:t>No provision for income taxes was recorded for the years ended December 31, 2017 and 2018. The Company has incurred net pre-tax losses in the United States only for all periods presented. The Company has not reflected any benefit of such net operating loss carryforwards in the accompanying consolidated financial statements.</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provision for income taxes differs from the amount expected by applying the federal statutory rate to the loss before taxes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3" w:lineRule="exact"/>
        <w:rPr>
          <w:sz w:val="20"/>
          <w:szCs w:val="20"/>
          <w:color w:val="auto"/>
        </w:rPr>
      </w:pPr>
    </w:p>
    <w:p>
      <w:pPr>
        <w:jc w:val="center"/>
        <w:ind w:left="9440"/>
        <w:spacing w:after="0"/>
        <w:rPr>
          <w:sz w:val="20"/>
          <w:szCs w:val="20"/>
          <w:color w:val="auto"/>
        </w:rPr>
      </w:pPr>
      <w:r>
        <w:rPr>
          <w:rFonts w:ascii="Arial" w:cs="Arial" w:eastAsia="Arial" w:hAnsi="Arial"/>
          <w:sz w:val="18"/>
          <w:szCs w:val="18"/>
          <w:b w:val="1"/>
          <w:bCs w:val="1"/>
          <w:color w:val="auto"/>
        </w:rPr>
        <w:t>Year ended</w:t>
      </w:r>
    </w:p>
    <w:p>
      <w:pPr>
        <w:spacing w:after="0" w:line="18" w:lineRule="exact"/>
        <w:rPr>
          <w:sz w:val="20"/>
          <w:szCs w:val="20"/>
          <w:color w:val="auto"/>
        </w:rPr>
      </w:pPr>
    </w:p>
    <w:p>
      <w:pPr>
        <w:jc w:val="center"/>
        <w:ind w:left="94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-4445</wp:posOffset>
            </wp:positionV>
            <wp:extent cx="84010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221"/>
        </w:trPr>
        <w:tc>
          <w:tcPr>
            <w:tcW w:w="95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2017</w:t>
            </w: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19"/>
                <w:szCs w:val="19"/>
                <w:color w:val="auto"/>
              </w:rPr>
            </w:pPr>
          </w:p>
        </w:tc>
      </w:tr>
      <w:tr>
        <w:trPr>
          <w:trHeight w:val="196"/>
        </w:trPr>
        <w:tc>
          <w:tcPr>
            <w:tcW w:w="9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Federal statutory income tax rate</w:t>
            </w:r>
          </w:p>
        </w:tc>
        <w:tc>
          <w:tcPr>
            <w:tcW w:w="720" w:type="dxa"/>
            <w:vAlign w:val="bottom"/>
            <w:shd w:val="clear" w:color="auto" w:fill="CCEEFF"/>
          </w:tcPr>
          <w:p>
            <w:pPr>
              <w:jc w:val="right"/>
              <w:ind w:right="72"/>
              <w:spacing w:after="0" w:line="196" w:lineRule="exact"/>
              <w:rPr>
                <w:sz w:val="20"/>
                <w:szCs w:val="20"/>
                <w:color w:val="auto"/>
              </w:rPr>
            </w:pPr>
            <w:r>
              <w:rPr>
                <w:rFonts w:ascii="Arial" w:cs="Arial" w:eastAsia="Arial" w:hAnsi="Arial"/>
                <w:sz w:val="18"/>
                <w:szCs w:val="18"/>
                <w:color w:val="auto"/>
              </w:rPr>
              <w:t>34.0%</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7"/>
                <w:szCs w:val="17"/>
                <w:color w:val="auto"/>
              </w:rPr>
            </w:pPr>
          </w:p>
        </w:tc>
      </w:tr>
      <w:tr>
        <w:trPr>
          <w:trHeight w:val="203"/>
        </w:trPr>
        <w:tc>
          <w:tcPr>
            <w:tcW w:w="9560" w:type="dxa"/>
            <w:vAlign w:val="bottom"/>
          </w:tcPr>
          <w:p>
            <w:pPr>
              <w:spacing w:after="0" w:line="202" w:lineRule="exact"/>
              <w:rPr>
                <w:sz w:val="20"/>
                <w:szCs w:val="20"/>
                <w:color w:val="auto"/>
              </w:rPr>
            </w:pPr>
            <w:r>
              <w:rPr>
                <w:rFonts w:ascii="Arial" w:cs="Arial" w:eastAsia="Arial" w:hAnsi="Arial"/>
                <w:sz w:val="18"/>
                <w:szCs w:val="18"/>
                <w:color w:val="auto"/>
              </w:rPr>
              <w:t>State income tax rate, net of federal benefit</w:t>
            </w:r>
          </w:p>
        </w:tc>
        <w:tc>
          <w:tcPr>
            <w:tcW w:w="7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5.9</w:t>
            </w: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(17.2)</w:t>
            </w:r>
          </w:p>
        </w:tc>
      </w:tr>
      <w:tr>
        <w:trPr>
          <w:trHeight w:val="203"/>
        </w:trPr>
        <w:tc>
          <w:tcPr>
            <w:tcW w:w="9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tax credits</w:t>
            </w:r>
          </w:p>
        </w:tc>
        <w:tc>
          <w:tcPr>
            <w:tcW w:w="7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2.2</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7"/>
                <w:szCs w:val="17"/>
                <w:color w:val="auto"/>
              </w:rPr>
            </w:pPr>
          </w:p>
        </w:tc>
      </w:tr>
      <w:tr>
        <w:trPr>
          <w:trHeight w:val="203"/>
        </w:trPr>
        <w:tc>
          <w:tcPr>
            <w:tcW w:w="9560" w:type="dxa"/>
            <w:vAlign w:val="bottom"/>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7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(17.0)</w:t>
            </w: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(7.0)</w:t>
            </w:r>
          </w:p>
        </w:tc>
      </w:tr>
      <w:tr>
        <w:trPr>
          <w:trHeight w:val="203"/>
        </w:trPr>
        <w:tc>
          <w:tcPr>
            <w:tcW w:w="9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Non-deductible permanent expenses</w:t>
            </w:r>
          </w:p>
        </w:tc>
        <w:tc>
          <w:tcPr>
            <w:tcW w:w="7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(0.2)</w:t>
            </w: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w:t>
            </w:r>
          </w:p>
        </w:tc>
      </w:tr>
      <w:tr>
        <w:trPr>
          <w:trHeight w:val="203"/>
        </w:trPr>
        <w:tc>
          <w:tcPr>
            <w:tcW w:w="9560" w:type="dxa"/>
            <w:vAlign w:val="bottom"/>
          </w:tcPr>
          <w:p>
            <w:pPr>
              <w:spacing w:after="0" w:line="202" w:lineRule="exact"/>
              <w:rPr>
                <w:sz w:val="20"/>
                <w:szCs w:val="20"/>
                <w:color w:val="auto"/>
              </w:rPr>
            </w:pPr>
            <w:r>
              <w:rPr>
                <w:rFonts w:ascii="Arial" w:cs="Arial" w:eastAsia="Arial" w:hAnsi="Arial"/>
                <w:sz w:val="18"/>
                <w:szCs w:val="18"/>
                <w:color w:val="auto"/>
              </w:rPr>
              <w:t>Remeasurement of deferred tax due to tax law change</w:t>
            </w:r>
          </w:p>
        </w:tc>
        <w:tc>
          <w:tcPr>
            <w:tcW w:w="7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(24.6)</w:t>
            </w: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9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72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(0.3)</w:t>
            </w: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7"/>
                <w:szCs w:val="17"/>
                <w:color w:val="auto"/>
              </w:rPr>
            </w:pPr>
          </w:p>
        </w:tc>
      </w:tr>
      <w:tr>
        <w:trPr>
          <w:trHeight w:val="222"/>
        </w:trPr>
        <w:tc>
          <w:tcPr>
            <w:tcW w:w="9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income taxes</w:t>
            </w:r>
          </w:p>
        </w:tc>
        <w:tc>
          <w:tcPr>
            <w:tcW w:w="7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0.0%</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9"/>
                <w:szCs w:val="19"/>
                <w:color w:val="auto"/>
              </w:rPr>
            </w:pPr>
          </w:p>
        </w:tc>
      </w:tr>
    </w:tbl>
    <w:p>
      <w:pPr>
        <w:spacing w:after="0" w:line="111" w:lineRule="exact"/>
        <w:rPr>
          <w:sz w:val="20"/>
          <w:szCs w:val="20"/>
          <w:color w:val="auto"/>
        </w:rPr>
      </w:pPr>
    </w:p>
    <w:p>
      <w:pPr>
        <w:ind w:left="120" w:right="160"/>
        <w:spacing w:after="0" w:line="268" w:lineRule="auto"/>
        <w:rPr>
          <w:sz w:val="20"/>
          <w:szCs w:val="20"/>
          <w:color w:val="auto"/>
        </w:rPr>
      </w:pPr>
      <w:r>
        <w:rPr>
          <w:rFonts w:ascii="Arial" w:cs="Arial" w:eastAsia="Arial" w:hAnsi="Arial"/>
          <w:sz w:val="16"/>
          <w:szCs w:val="16"/>
          <w:color w:val="auto"/>
        </w:rPr>
        <w:t>In December 2017, the U.S. government enacted comprehensive tax legislation through the Tax Cuts and Jobs Act (Tax Act). The Tax Act significantly revises the future ongoing U.S. corporate income tax by, among other things, lowering the U.S. corporate income tax rates and implementing a modified territorial tax system. The corporate tax rate was reduced from 34% to 21% for tax years beginning after December 31, 2017. Changes in tax law are accounted for in the period of enactment. As such, the Company’s consolidated financial statements as of December 31, 2017 reflect the impact of this Tax Act, which primarily consisted of remeasuring the Company’s deferred tax assets and valuation allowance using the newly enacted U.S. corporate tax rate. This rate change resulted in a $7.7 million reduction in the Company’s net deferred tax assets from the prior year with a corresponding offset to the valuation allowance. Under the Tax Act, net operating losses arising after December 31, 2017 do not expire and cannot be carried back. However, the Tax Act limits the amount of net operating losses that can be used annually to 80% of taxable income for periods beginning after December 31, 2017. Existing net operating losses arising in years ending on or before December 31, 2017 are not affected by these provisions.</w:t>
      </w:r>
    </w:p>
    <w:p>
      <w:pPr>
        <w:spacing w:after="0" w:line="284" w:lineRule="exact"/>
        <w:rPr>
          <w:sz w:val="20"/>
          <w:szCs w:val="20"/>
          <w:color w:val="auto"/>
        </w:rPr>
      </w:pPr>
    </w:p>
    <w:p>
      <w:pPr>
        <w:ind w:left="120" w:right="40"/>
        <w:spacing w:after="0" w:line="235" w:lineRule="auto"/>
        <w:rPr>
          <w:sz w:val="20"/>
          <w:szCs w:val="20"/>
          <w:color w:val="auto"/>
        </w:rPr>
      </w:pPr>
      <w:r>
        <w:rPr>
          <w:rFonts w:ascii="Arial" w:cs="Arial" w:eastAsia="Arial" w:hAnsi="Arial"/>
          <w:sz w:val="18"/>
          <w:szCs w:val="18"/>
          <w:color w:val="auto"/>
        </w:rPr>
        <w:t>In December 2017, the SEC staff issued Staff Accounting Bulletin No. 118 (SAB 118), which provides guidance for the tax effects of the 2018 Tax Act. SAB 118 provides a measurement period that should not extend beyond one year from the Tax Act’s enactment date for companies to complete the accounting under ASC 740. In accordance with SAB 118, the Company must reflect the income tax effects of those aspects of the Tax Act for which the accounting under ASC 740 is complete. To the extent that the Company’s accounting for certain income tax effects of the Tax Act is incomplete, but is it able to determine a reasonable estimate, the Company must record a provisional estimate in its financial statements. If the Company cannot determine a provisional estimate to be included in its financial statements, it should continue to apply ASC 740 on the basis of the provisions of the tax laws that were in effect immediately before the enactment of the Tax Act. The amounts of the tax effects related to the Tax Act reflected in the Company’s consolidated financial statements as of December 31, 2017 represented the Company’s reasonable estimates and were provisional amounts within the meaning of SAB 118. The Company completed its analysis of the Tax Act’s income tax effects during the year ended December 31, 2018. There was no material impact to the consolidated financial statements as of and for the year ended December 31, 2018.</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40"/>
          </w:cols>
          <w:pgMar w:left="320" w:top="459" w:right="4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The Company has established a valuation allowance against its deferred tax assets due to the uncertainty surrounding the realization of such assets. Significant components of the Company’s deferred tax assets and liabilities are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9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904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2017</w:t>
            </w:r>
          </w:p>
        </w:tc>
        <w:tc>
          <w:tcPr>
            <w:tcW w:w="9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19"/>
                <w:szCs w:val="19"/>
                <w:color w:val="auto"/>
              </w:rPr>
            </w:pPr>
          </w:p>
        </w:tc>
      </w:tr>
      <w:tr>
        <w:trPr>
          <w:trHeight w:val="196"/>
        </w:trPr>
        <w:tc>
          <w:tcPr>
            <w:tcW w:w="9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gridSpan w:val="3"/>
          </w:tcPr>
          <w:p>
            <w:pPr>
              <w:jc w:val="right"/>
              <w:ind w:right="440"/>
              <w:spacing w:after="0" w:line="196" w:lineRule="exact"/>
              <w:rPr>
                <w:sz w:val="20"/>
                <w:szCs w:val="20"/>
                <w:color w:val="auto"/>
              </w:rPr>
            </w:pPr>
            <w:r>
              <w:rPr>
                <w:rFonts w:ascii="Arial" w:cs="Arial" w:eastAsia="Arial" w:hAnsi="Arial"/>
                <w:sz w:val="18"/>
                <w:szCs w:val="18"/>
                <w:b w:val="1"/>
                <w:bCs w:val="1"/>
                <w:color w:val="auto"/>
              </w:rPr>
              <w:t>(in thousands)</w:t>
            </w:r>
          </w:p>
        </w:tc>
      </w:tr>
      <w:tr>
        <w:trPr>
          <w:trHeight w:val="203"/>
        </w:trPr>
        <w:tc>
          <w:tcPr>
            <w:tcW w:w="9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9040" w:type="dxa"/>
            <w:vAlign w:val="bottom"/>
          </w:tcPr>
          <w:p>
            <w:pPr>
              <w:ind w:left="220"/>
              <w:spacing w:after="0" w:line="202" w:lineRule="exact"/>
              <w:rPr>
                <w:sz w:val="20"/>
                <w:szCs w:val="20"/>
                <w:color w:val="auto"/>
              </w:rPr>
            </w:pPr>
            <w:r>
              <w:rPr>
                <w:rFonts w:ascii="Arial" w:cs="Arial" w:eastAsia="Arial" w:hAnsi="Arial"/>
                <w:sz w:val="18"/>
                <w:szCs w:val="18"/>
                <w:color w:val="auto"/>
              </w:rPr>
              <w:t>Net operating loss carryforwards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16,448</w:t>
            </w: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$ 19,579</w:t>
            </w:r>
          </w:p>
        </w:tc>
      </w:tr>
      <w:tr>
        <w:trPr>
          <w:trHeight w:val="203"/>
        </w:trPr>
        <w:tc>
          <w:tcPr>
            <w:tcW w:w="90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Accruals and reserves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1,331</w:t>
            </w: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11,338</w:t>
            </w:r>
          </w:p>
        </w:tc>
      </w:tr>
      <w:tr>
        <w:trPr>
          <w:trHeight w:val="203"/>
        </w:trPr>
        <w:tc>
          <w:tcPr>
            <w:tcW w:w="9040" w:type="dxa"/>
            <w:vAlign w:val="bottom"/>
          </w:tcPr>
          <w:p>
            <w:pPr>
              <w:ind w:left="220"/>
              <w:spacing w:after="0" w:line="202" w:lineRule="exact"/>
              <w:rPr>
                <w:sz w:val="20"/>
                <w:szCs w:val="20"/>
                <w:color w:val="auto"/>
              </w:rPr>
            </w:pPr>
            <w:r>
              <w:rPr>
                <w:rFonts w:ascii="Arial" w:cs="Arial" w:eastAsia="Arial" w:hAnsi="Arial"/>
                <w:sz w:val="18"/>
                <w:szCs w:val="18"/>
                <w:color w:val="auto"/>
              </w:rPr>
              <w:t>Research and development credits</w:t>
            </w:r>
          </w:p>
        </w:tc>
        <w:tc>
          <w:tcPr>
            <w:tcW w:w="120" w:type="dxa"/>
            <w:vAlign w:val="bottom"/>
          </w:tcPr>
          <w:p>
            <w:pPr>
              <w:spacing w:after="0"/>
              <w:rPr>
                <w:sz w:val="17"/>
                <w:szCs w:val="17"/>
                <w:color w:val="auto"/>
              </w:rPr>
            </w:pPr>
          </w:p>
        </w:tc>
        <w:tc>
          <w:tcPr>
            <w:tcW w:w="8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1,403</w:t>
            </w: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6,707</w:t>
            </w:r>
          </w:p>
        </w:tc>
      </w:tr>
      <w:tr>
        <w:trPr>
          <w:trHeight w:val="203"/>
        </w:trPr>
        <w:tc>
          <w:tcPr>
            <w:tcW w:w="90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Fixed assets and finite-lived intangible assets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524</w:t>
            </w: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9040" w:type="dxa"/>
            <w:vAlign w:val="bottom"/>
          </w:tcPr>
          <w:p>
            <w:pPr>
              <w:ind w:left="220"/>
              <w:spacing w:after="0" w:line="202" w:lineRule="exact"/>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7"/>
                <w:szCs w:val="17"/>
                <w:color w:val="auto"/>
              </w:rPr>
            </w:pPr>
          </w:p>
        </w:tc>
        <w:tc>
          <w:tcPr>
            <w:tcW w:w="8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35</w:t>
            </w: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147</w:t>
            </w:r>
          </w:p>
        </w:tc>
      </w:tr>
      <w:tr>
        <w:trPr>
          <w:trHeight w:val="203"/>
        </w:trPr>
        <w:tc>
          <w:tcPr>
            <w:tcW w:w="90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15</w:t>
            </w: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w:t>
            </w:r>
          </w:p>
        </w:tc>
      </w:tr>
      <w:tr>
        <w:trPr>
          <w:trHeight w:val="20"/>
        </w:trPr>
        <w:tc>
          <w:tcPr>
            <w:tcW w:w="9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9040" w:type="dxa"/>
            <w:vAlign w:val="bottom"/>
          </w:tcPr>
          <w:p>
            <w:pPr>
              <w:spacing w:after="0"/>
              <w:rPr>
                <w:sz w:val="20"/>
                <w:szCs w:val="20"/>
                <w:color w:val="auto"/>
              </w:rPr>
            </w:pPr>
            <w:r>
              <w:rPr>
                <w:rFonts w:ascii="Arial" w:cs="Arial" w:eastAsia="Arial" w:hAnsi="Arial"/>
                <w:sz w:val="18"/>
                <w:szCs w:val="18"/>
                <w:color w:val="auto"/>
              </w:rPr>
              <w:t>Gross deferred tax assets</w:t>
            </w:r>
          </w:p>
        </w:tc>
        <w:tc>
          <w:tcPr>
            <w:tcW w:w="120" w:type="dxa"/>
            <w:vAlign w:val="bottom"/>
          </w:tcPr>
          <w:p>
            <w:pPr>
              <w:spacing w:after="0"/>
              <w:rPr>
                <w:sz w:val="18"/>
                <w:szCs w:val="18"/>
                <w:color w:val="auto"/>
              </w:rPr>
            </w:pP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19,756</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37,784</w:t>
            </w:r>
          </w:p>
        </w:tc>
      </w:tr>
      <w:tr>
        <w:trPr>
          <w:trHeight w:val="203"/>
        </w:trPr>
        <w:tc>
          <w:tcPr>
            <w:tcW w:w="9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valuation allowance</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w w:val="95"/>
              </w:rPr>
              <w:t>(19,756)</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(34,870)</w:t>
            </w:r>
          </w:p>
        </w:tc>
      </w:tr>
      <w:tr>
        <w:trPr>
          <w:trHeight w:val="20"/>
        </w:trPr>
        <w:tc>
          <w:tcPr>
            <w:tcW w:w="9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1"/>
        </w:trPr>
        <w:tc>
          <w:tcPr>
            <w:tcW w:w="904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120" w:type="dxa"/>
            <w:vAlign w:val="bottom"/>
          </w:tcPr>
          <w:p>
            <w:pPr>
              <w:spacing w:after="0"/>
              <w:rPr>
                <w:sz w:val="19"/>
                <w:szCs w:val="19"/>
                <w:color w:val="auto"/>
              </w:rPr>
            </w:pP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2,914</w:t>
            </w:r>
          </w:p>
        </w:tc>
      </w:tr>
      <w:tr>
        <w:trPr>
          <w:trHeight w:val="56"/>
        </w:trPr>
        <w:tc>
          <w:tcPr>
            <w:tcW w:w="9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9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9040" w:type="dxa"/>
            <w:vAlign w:val="bottom"/>
          </w:tcPr>
          <w:p>
            <w:pPr>
              <w:ind w:left="220"/>
              <w:spacing w:after="0" w:line="202" w:lineRule="exact"/>
              <w:rPr>
                <w:sz w:val="20"/>
                <w:szCs w:val="20"/>
                <w:color w:val="auto"/>
              </w:rPr>
            </w:pPr>
            <w:r>
              <w:rPr>
                <w:rFonts w:ascii="Arial" w:cs="Arial" w:eastAsia="Arial" w:hAnsi="Arial"/>
                <w:sz w:val="18"/>
                <w:szCs w:val="18"/>
                <w:color w:val="auto"/>
              </w:rPr>
              <w:t>Fixed assets and finite-lived intangible assets</w:t>
            </w:r>
          </w:p>
        </w:tc>
        <w:tc>
          <w:tcPr>
            <w:tcW w:w="120" w:type="dxa"/>
            <w:vAlign w:val="bottom"/>
          </w:tcPr>
          <w:p>
            <w:pPr>
              <w:spacing w:after="0"/>
              <w:rPr>
                <w:sz w:val="17"/>
                <w:szCs w:val="17"/>
                <w:color w:val="auto"/>
              </w:rPr>
            </w:pPr>
          </w:p>
        </w:tc>
        <w:tc>
          <w:tcPr>
            <w:tcW w:w="8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(2,914)</w:t>
            </w:r>
          </w:p>
        </w:tc>
      </w:tr>
      <w:tr>
        <w:trPr>
          <w:trHeight w:val="203"/>
        </w:trPr>
        <w:tc>
          <w:tcPr>
            <w:tcW w:w="90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Indefinite-lived intangible asset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(12,192)</w:t>
            </w:r>
          </w:p>
        </w:tc>
      </w:tr>
      <w:tr>
        <w:trPr>
          <w:trHeight w:val="20"/>
        </w:trPr>
        <w:tc>
          <w:tcPr>
            <w:tcW w:w="9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040" w:type="dxa"/>
            <w:vAlign w:val="bottom"/>
          </w:tcPr>
          <w:p>
            <w:pPr>
              <w:spacing w:after="0"/>
              <w:rPr>
                <w:sz w:val="20"/>
                <w:szCs w:val="20"/>
                <w:color w:val="auto"/>
              </w:rPr>
            </w:pPr>
            <w:r>
              <w:rPr>
                <w:rFonts w:ascii="Arial" w:cs="Arial" w:eastAsia="Arial" w:hAnsi="Arial"/>
                <w:sz w:val="18"/>
                <w:szCs w:val="18"/>
                <w:color w:val="auto"/>
              </w:rPr>
              <w:t>Gross deferred tax liabilities</w:t>
            </w:r>
          </w:p>
        </w:tc>
        <w:tc>
          <w:tcPr>
            <w:tcW w:w="120" w:type="dxa"/>
            <w:vAlign w:val="bottom"/>
          </w:tcPr>
          <w:p>
            <w:pPr>
              <w:spacing w:after="0"/>
              <w:rPr>
                <w:sz w:val="18"/>
                <w:szCs w:val="18"/>
                <w:color w:val="auto"/>
              </w:rPr>
            </w:pP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(15,106)</w:t>
            </w:r>
          </w:p>
        </w:tc>
      </w:tr>
      <w:tr>
        <w:trPr>
          <w:trHeight w:val="27"/>
        </w:trPr>
        <w:tc>
          <w:tcPr>
            <w:tcW w:w="9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9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deferred tax liability</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 (12,192)</w:t>
            </w:r>
          </w:p>
        </w:tc>
      </w:tr>
      <w:tr>
        <w:trPr>
          <w:trHeight w:val="20"/>
        </w:trPr>
        <w:tc>
          <w:tcPr>
            <w:tcW w:w="9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1"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The realization of deferred tax assets is dependent upon future earnings, if any, the timing and amount of which are uncertain. Due to the lack of earnings history, the net deferred tax assets have been offset by a valuation allowance. The valuation allowance increased by $5.3 million and $15.1 million during the years ended December 31, 2017 and 2018, respectively.</w:t>
      </w:r>
    </w:p>
    <w:p>
      <w:pPr>
        <w:spacing w:after="0" w:line="100" w:lineRule="exact"/>
        <w:rPr>
          <w:sz w:val="20"/>
          <w:szCs w:val="20"/>
          <w:color w:val="auto"/>
        </w:rPr>
      </w:pPr>
    </w:p>
    <w:p>
      <w:pPr>
        <w:ind w:left="120" w:right="220"/>
        <w:spacing w:after="0" w:line="239" w:lineRule="auto"/>
        <w:rPr>
          <w:sz w:val="20"/>
          <w:szCs w:val="20"/>
          <w:color w:val="auto"/>
        </w:rPr>
      </w:pPr>
      <w:r>
        <w:rPr>
          <w:rFonts w:ascii="Arial" w:cs="Arial" w:eastAsia="Arial" w:hAnsi="Arial"/>
          <w:sz w:val="18"/>
          <w:szCs w:val="18"/>
          <w:color w:val="auto"/>
        </w:rPr>
        <w:t>The net deferred tax liability represents the difference between the book and tax basis for in-process research and development acquired in connection with the acquisition of Warp Drive. See Note 7, “Acquisition of Warp Drive.”</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had net operating loss carryforwards for federal, California and Massachusetts income tax purposes of $93.2 million,</w:t>
      </w:r>
    </w:p>
    <w:p>
      <w:pPr>
        <w:ind w:left="120" w:right="20"/>
        <w:spacing w:after="0" w:line="272" w:lineRule="auto"/>
        <w:rPr>
          <w:sz w:val="20"/>
          <w:szCs w:val="20"/>
          <w:color w:val="auto"/>
        </w:rPr>
      </w:pPr>
      <w:r>
        <w:rPr>
          <w:rFonts w:ascii="Arial" w:cs="Arial" w:eastAsia="Arial" w:hAnsi="Arial"/>
          <w:sz w:val="16"/>
          <w:szCs w:val="16"/>
          <w:color w:val="auto"/>
        </w:rPr>
        <w:t>$58.8 million and $38.2 million, respectively, as of December 31, 2018. The federal and Massachusetts net operating loss carryforwards, if not utilized, will expire beginning in 2031. California net operating loss carryforwards, if not utilized, will expire beginning in 2034. Under the Tax Act, federal net operating losses arising after December 31, 2017 do not expire and cannot be carried back. However, the Tax Act limits the amount of federal net operating losses that can be used annually to 80% of taxable income for periods beginning after December 31, 2017. Existing federal net operating losses arising in years ending on or before December 31, 2017 are not affected by these provisions.</w:t>
      </w:r>
    </w:p>
    <w:p>
      <w:pPr>
        <w:spacing w:after="0" w:line="78" w:lineRule="exact"/>
        <w:rPr>
          <w:sz w:val="20"/>
          <w:szCs w:val="20"/>
          <w:color w:val="auto"/>
        </w:rPr>
      </w:pPr>
    </w:p>
    <w:p>
      <w:pPr>
        <w:jc w:val="both"/>
        <w:ind w:left="120" w:right="180"/>
        <w:spacing w:after="0" w:line="238" w:lineRule="auto"/>
        <w:rPr>
          <w:sz w:val="20"/>
          <w:szCs w:val="20"/>
          <w:color w:val="auto"/>
        </w:rPr>
      </w:pPr>
      <w:r>
        <w:rPr>
          <w:rFonts w:ascii="Arial" w:cs="Arial" w:eastAsia="Arial" w:hAnsi="Arial"/>
          <w:sz w:val="18"/>
          <w:szCs w:val="18"/>
          <w:color w:val="auto"/>
        </w:rPr>
        <w:t>The Company also had federal and state research and development credit carryforwards of $5.9 million and $3.9 million, respectively, as of December 31, 2018. The federal credits will expire starting in 2030 if not utilized and the state research credits will expire beginning in 2026, with the exception of $2.8 million in California research credits, which can be carried forward indefinitely.</w:t>
      </w:r>
    </w:p>
    <w:p>
      <w:pPr>
        <w:spacing w:after="0" w:line="100" w:lineRule="exact"/>
        <w:rPr>
          <w:sz w:val="20"/>
          <w:szCs w:val="20"/>
          <w:color w:val="auto"/>
        </w:rPr>
      </w:pPr>
    </w:p>
    <w:p>
      <w:pPr>
        <w:ind w:left="120" w:right="60"/>
        <w:spacing w:after="0" w:line="275" w:lineRule="auto"/>
        <w:rPr>
          <w:sz w:val="20"/>
          <w:szCs w:val="20"/>
          <w:color w:val="auto"/>
        </w:rPr>
      </w:pPr>
      <w:r>
        <w:rPr>
          <w:rFonts w:ascii="Arial" w:cs="Arial" w:eastAsia="Arial" w:hAnsi="Arial"/>
          <w:sz w:val="16"/>
          <w:szCs w:val="16"/>
          <w:color w:val="auto"/>
        </w:rPr>
        <w:t>Federal, California and Massachusetts tax laws impose significant restrictions on the utilization of net operating loss carryforwards in the event of a change in ownership of the Company, as defined by Internal Revenue Code Section 382 (Section 382). The Company performed a study in which it determined that it had experienced a change in ownership in June 2018 as defined by Section 382. No federal or state net operating losses are expected to expire unutilized as a result of the limitation. In addition, in the future the Company may</w:t>
      </w:r>
    </w:p>
    <w:p>
      <w:pPr>
        <w:spacing w:after="0" w:line="1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40"/>
          </w:cols>
          <w:pgMar w:left="320" w:top="459" w:right="4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experience ownership changes, which may limit the utilization of net operating loss carryforwards or other tax attributes.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liability related to uncertain tax positions has been recorded in the consolidated financial statements.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reconciliation of the beginning and ending amount of gross unrecognized tax benefits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9640" w:type="dxa"/>
            <w:vAlign w:val="bottom"/>
          </w:tcPr>
          <w:p>
            <w:pPr>
              <w:spacing w:after="0"/>
              <w:rPr>
                <w:sz w:val="19"/>
                <w:szCs w:val="19"/>
                <w:color w:val="auto"/>
              </w:rPr>
            </w:pPr>
          </w:p>
        </w:tc>
        <w:tc>
          <w:tcPr>
            <w:tcW w:w="138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7"/>
              </w:rPr>
              <w:t>December 31,</w:t>
            </w:r>
          </w:p>
        </w:tc>
      </w:tr>
      <w:tr>
        <w:trPr>
          <w:trHeight w:val="223"/>
        </w:trPr>
        <w:tc>
          <w:tcPr>
            <w:tcW w:w="9640" w:type="dxa"/>
            <w:vAlign w:val="bottom"/>
            <w:tcBorders>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4"/>
              </w:rPr>
              <w:t>2017</w:t>
            </w:r>
          </w:p>
        </w:tc>
        <w:tc>
          <w:tcPr>
            <w:tcW w:w="2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4"/>
              </w:rPr>
              <w:t>2018</w:t>
            </w:r>
          </w:p>
        </w:tc>
        <w:tc>
          <w:tcPr>
            <w:tcW w:w="60" w:type="dxa"/>
            <w:vAlign w:val="bottom"/>
            <w:tcBorders>
              <w:bottom w:val="single" w:sz="8" w:color="auto"/>
            </w:tcBorders>
          </w:tcPr>
          <w:p>
            <w:pPr>
              <w:spacing w:after="0"/>
              <w:rPr>
                <w:sz w:val="19"/>
                <w:szCs w:val="19"/>
                <w:color w:val="auto"/>
              </w:rPr>
            </w:pPr>
          </w:p>
        </w:tc>
      </w:tr>
      <w:tr>
        <w:trPr>
          <w:trHeight w:val="196"/>
        </w:trPr>
        <w:tc>
          <w:tcPr>
            <w:tcW w:w="9640" w:type="dxa"/>
            <w:vAlign w:val="bottom"/>
          </w:tcPr>
          <w:p>
            <w:pPr>
              <w:spacing w:after="0"/>
              <w:rPr>
                <w:sz w:val="17"/>
                <w:szCs w:val="17"/>
                <w:color w:val="auto"/>
              </w:rPr>
            </w:pPr>
          </w:p>
        </w:tc>
        <w:tc>
          <w:tcPr>
            <w:tcW w:w="1380" w:type="dxa"/>
            <w:vAlign w:val="bottom"/>
            <w:gridSpan w:val="4"/>
          </w:tcPr>
          <w:p>
            <w:pPr>
              <w:jc w:val="center"/>
              <w:ind w:right="60"/>
              <w:spacing w:after="0" w:line="196" w:lineRule="exact"/>
              <w:rPr>
                <w:sz w:val="20"/>
                <w:szCs w:val="20"/>
                <w:color w:val="auto"/>
              </w:rPr>
            </w:pPr>
            <w:r>
              <w:rPr>
                <w:rFonts w:ascii="Arial" w:cs="Arial" w:eastAsia="Arial" w:hAnsi="Arial"/>
                <w:sz w:val="18"/>
                <w:szCs w:val="18"/>
                <w:b w:val="1"/>
                <w:bCs w:val="1"/>
                <w:color w:val="auto"/>
                <w:w w:val="96"/>
              </w:rPr>
              <w:t>(in thousands)</w:t>
            </w:r>
          </w:p>
        </w:tc>
      </w:tr>
      <w:tr>
        <w:trPr>
          <w:trHeight w:val="203"/>
        </w:trPr>
        <w:tc>
          <w:tcPr>
            <w:tcW w:w="9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6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w w:val="94"/>
              </w:rPr>
              <w:t>$261</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525</w:t>
            </w:r>
          </w:p>
        </w:tc>
        <w:tc>
          <w:tcPr>
            <w:tcW w:w="60" w:type="dxa"/>
            <w:vAlign w:val="bottom"/>
            <w:shd w:val="clear" w:color="auto" w:fill="CCEEFF"/>
          </w:tcPr>
          <w:p>
            <w:pPr>
              <w:spacing w:after="0"/>
              <w:rPr>
                <w:sz w:val="17"/>
                <w:szCs w:val="17"/>
                <w:color w:val="auto"/>
              </w:rPr>
            </w:pPr>
          </w:p>
        </w:tc>
      </w:tr>
      <w:tr>
        <w:trPr>
          <w:trHeight w:val="203"/>
        </w:trPr>
        <w:tc>
          <w:tcPr>
            <w:tcW w:w="9640" w:type="dxa"/>
            <w:vAlign w:val="bottom"/>
          </w:tcPr>
          <w:p>
            <w:pPr>
              <w:ind w:left="220"/>
              <w:spacing w:after="0" w:line="202" w:lineRule="exact"/>
              <w:rPr>
                <w:sz w:val="20"/>
                <w:szCs w:val="20"/>
                <w:color w:val="auto"/>
              </w:rPr>
            </w:pPr>
            <w:r>
              <w:rPr>
                <w:rFonts w:ascii="Arial" w:cs="Arial" w:eastAsia="Arial" w:hAnsi="Arial"/>
                <w:sz w:val="18"/>
                <w:szCs w:val="18"/>
                <w:color w:val="auto"/>
              </w:rPr>
              <w:t>Changes related to tax positions taken in the prior year</w:t>
            </w:r>
          </w:p>
        </w:tc>
        <w:tc>
          <w:tcPr>
            <w:tcW w:w="6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(15)</w:t>
            </w:r>
          </w:p>
        </w:tc>
        <w:tc>
          <w:tcPr>
            <w:tcW w:w="2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872</w:t>
            </w:r>
          </w:p>
        </w:tc>
        <w:tc>
          <w:tcPr>
            <w:tcW w:w="60" w:type="dxa"/>
            <w:vAlign w:val="bottom"/>
          </w:tcPr>
          <w:p>
            <w:pPr>
              <w:spacing w:after="0"/>
              <w:rPr>
                <w:sz w:val="17"/>
                <w:szCs w:val="17"/>
                <w:color w:val="auto"/>
              </w:rPr>
            </w:pPr>
          </w:p>
        </w:tc>
      </w:tr>
      <w:tr>
        <w:trPr>
          <w:trHeight w:val="203"/>
        </w:trPr>
        <w:tc>
          <w:tcPr>
            <w:tcW w:w="96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Changes related to tax positions taken in current year</w:t>
            </w:r>
          </w:p>
        </w:tc>
        <w:tc>
          <w:tcPr>
            <w:tcW w:w="60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279</w:t>
            </w:r>
          </w:p>
        </w:tc>
        <w:tc>
          <w:tcPr>
            <w:tcW w:w="2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1,044</w:t>
            </w:r>
          </w:p>
        </w:tc>
        <w:tc>
          <w:tcPr>
            <w:tcW w:w="60" w:type="dxa"/>
            <w:vAlign w:val="bottom"/>
            <w:shd w:val="clear" w:color="auto" w:fill="CCEEFF"/>
          </w:tcPr>
          <w:p>
            <w:pPr>
              <w:spacing w:after="0"/>
              <w:rPr>
                <w:sz w:val="17"/>
                <w:szCs w:val="17"/>
                <w:color w:val="auto"/>
              </w:rPr>
            </w:pPr>
          </w:p>
        </w:tc>
      </w:tr>
      <w:tr>
        <w:trPr>
          <w:trHeight w:val="222"/>
        </w:trPr>
        <w:tc>
          <w:tcPr>
            <w:tcW w:w="9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Ending balance</w:t>
            </w: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4"/>
              </w:rPr>
              <w:t>$525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2,441</w:t>
            </w:r>
          </w:p>
        </w:tc>
        <w:tc>
          <w:tcPr>
            <w:tcW w:w="60" w:type="dxa"/>
            <w:vAlign w:val="bottom"/>
          </w:tcPr>
          <w:p>
            <w:pPr>
              <w:spacing w:after="0"/>
              <w:rPr>
                <w:sz w:val="19"/>
                <w:szCs w:val="19"/>
                <w:color w:val="auto"/>
              </w:rPr>
            </w:pPr>
          </w:p>
        </w:tc>
      </w:tr>
    </w:tbl>
    <w:p>
      <w:pPr>
        <w:spacing w:after="0" w:line="111"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The Company has unrecognized tax benefits of $0.5 million and $2.2 million as of December 31, 2017 and 2018, which would affect the effective tax rate if recognized; however, recognition would be in the form of a deferred tax attribute which would likely be offset by a valuation allowance.</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does not anticipate any significant changes to unrecognized tax benefits over the next 12 months.</w:t>
      </w:r>
    </w:p>
    <w:p>
      <w:pPr>
        <w:spacing w:after="0" w:line="104"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Income tax returns are filed in the United States, California and Massachusetts. The years 2010 through 2018 remain open to examination by the domestic taxing jurisdictions to which the Company is subject. Net operating losses generated on a tax return basis by the Company for 2010 through 2018 remain open to examination by the domestic taxing jurisdictions.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12. Net loss per share attributable to common stockholders and unaudited pro forma net Loss per share</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7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4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6"/>
              </w:rPr>
              <w:t>Year ended December 31,</w:t>
            </w:r>
          </w:p>
        </w:tc>
      </w:tr>
      <w:tr>
        <w:trPr>
          <w:trHeight w:val="223"/>
        </w:trPr>
        <w:tc>
          <w:tcPr>
            <w:tcW w:w="7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2017</w:t>
            </w:r>
          </w:p>
        </w:tc>
        <w:tc>
          <w:tcPr>
            <w:tcW w:w="4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19"/>
                <w:szCs w:val="19"/>
                <w:color w:val="auto"/>
              </w:rPr>
            </w:pPr>
          </w:p>
        </w:tc>
      </w:tr>
      <w:tr>
        <w:trPr>
          <w:trHeight w:val="177"/>
        </w:trPr>
        <w:tc>
          <w:tcPr>
            <w:tcW w:w="7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40" w:type="dxa"/>
            <w:vAlign w:val="bottom"/>
            <w:gridSpan w:val="4"/>
          </w:tcPr>
          <w:p>
            <w:pPr>
              <w:jc w:val="center"/>
              <w:ind w:right="280"/>
              <w:spacing w:after="0" w:line="177" w:lineRule="exact"/>
              <w:rPr>
                <w:sz w:val="20"/>
                <w:szCs w:val="20"/>
                <w:color w:val="auto"/>
              </w:rPr>
            </w:pPr>
            <w:r>
              <w:rPr>
                <w:rFonts w:ascii="Arial" w:cs="Arial" w:eastAsia="Arial" w:hAnsi="Arial"/>
                <w:sz w:val="18"/>
                <w:szCs w:val="18"/>
                <w:b w:val="1"/>
                <w:bCs w:val="1"/>
                <w:color w:val="auto"/>
                <w:w w:val="97"/>
              </w:rPr>
              <w:t>(in thousands, except share</w:t>
            </w:r>
          </w:p>
        </w:tc>
      </w:tr>
      <w:tr>
        <w:trPr>
          <w:trHeight w:val="233"/>
        </w:trPr>
        <w:tc>
          <w:tcPr>
            <w:tcW w:w="7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4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7"/>
              </w:rPr>
              <w:t>and per share data)</w:t>
            </w:r>
          </w:p>
        </w:tc>
      </w:tr>
      <w:tr>
        <w:trPr>
          <w:trHeight w:val="56"/>
        </w:trPr>
        <w:tc>
          <w:tcPr>
            <w:tcW w:w="7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7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Numerator:</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34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(31,127)</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(41,789)</w:t>
            </w:r>
          </w:p>
        </w:tc>
      </w:tr>
      <w:tr>
        <w:trPr>
          <w:trHeight w:val="203"/>
        </w:trPr>
        <w:tc>
          <w:tcPr>
            <w:tcW w:w="7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Redeemable convertible preferred stock dividends—undeclared and cumulative</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(3,763)</w:t>
            </w:r>
          </w:p>
        </w:tc>
        <w:tc>
          <w:tcPr>
            <w:tcW w:w="4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(7,031)</w:t>
            </w:r>
          </w:p>
        </w:tc>
      </w:tr>
      <w:tr>
        <w:trPr>
          <w:trHeight w:val="20"/>
        </w:trPr>
        <w:tc>
          <w:tcPr>
            <w:tcW w:w="7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34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6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232"/>
              <w:spacing w:after="0"/>
              <w:rPr>
                <w:sz w:val="20"/>
                <w:szCs w:val="20"/>
                <w:color w:val="auto"/>
              </w:rPr>
            </w:pPr>
            <w:r>
              <w:rPr>
                <w:rFonts w:ascii="Arial" w:cs="Arial" w:eastAsia="Arial" w:hAnsi="Arial"/>
                <w:sz w:val="18"/>
                <w:szCs w:val="18"/>
                <w:color w:val="auto"/>
              </w:rPr>
              <w:t>(34,890)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(48,820)</w:t>
            </w:r>
          </w:p>
        </w:tc>
      </w:tr>
      <w:tr>
        <w:trPr>
          <w:trHeight w:val="75"/>
        </w:trPr>
        <w:tc>
          <w:tcPr>
            <w:tcW w:w="7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3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9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r>
      <w:tr>
        <w:trPr>
          <w:trHeight w:val="203"/>
        </w:trPr>
        <w:tc>
          <w:tcPr>
            <w:tcW w:w="7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Denominator:</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340" w:type="dxa"/>
            <w:vAlign w:val="bottom"/>
          </w:tcPr>
          <w:p>
            <w:pPr>
              <w:spacing w:after="0" w:line="202" w:lineRule="exact"/>
              <w:rPr>
                <w:sz w:val="20"/>
                <w:szCs w:val="20"/>
                <w:color w:val="auto"/>
              </w:rPr>
            </w:pPr>
            <w:r>
              <w:rPr>
                <w:rFonts w:ascii="Arial" w:cs="Arial" w:eastAsia="Arial" w:hAnsi="Arial"/>
                <w:sz w:val="18"/>
                <w:szCs w:val="18"/>
                <w:color w:val="auto"/>
              </w:rPr>
              <w:t>Weighted-average shares outstanding</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292"/>
              <w:spacing w:after="0" w:line="202" w:lineRule="exact"/>
              <w:rPr>
                <w:sz w:val="20"/>
                <w:szCs w:val="20"/>
                <w:color w:val="auto"/>
              </w:rPr>
            </w:pPr>
            <w:r>
              <w:rPr>
                <w:rFonts w:ascii="Arial" w:cs="Arial" w:eastAsia="Arial" w:hAnsi="Arial"/>
                <w:sz w:val="18"/>
                <w:szCs w:val="18"/>
                <w:color w:val="auto"/>
                <w:w w:val="99"/>
              </w:rPr>
              <w:t>12,018,319</w:t>
            </w:r>
          </w:p>
        </w:tc>
        <w:tc>
          <w:tcPr>
            <w:tcW w:w="4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15,283,682</w:t>
            </w:r>
          </w:p>
        </w:tc>
        <w:tc>
          <w:tcPr>
            <w:tcW w:w="120" w:type="dxa"/>
            <w:vAlign w:val="bottom"/>
          </w:tcPr>
          <w:p>
            <w:pPr>
              <w:spacing w:after="0"/>
              <w:rPr>
                <w:sz w:val="17"/>
                <w:szCs w:val="17"/>
                <w:color w:val="auto"/>
              </w:rPr>
            </w:pPr>
          </w:p>
        </w:tc>
      </w:tr>
      <w:tr>
        <w:trPr>
          <w:trHeight w:val="203"/>
        </w:trPr>
        <w:tc>
          <w:tcPr>
            <w:tcW w:w="7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Weighted-average unvested restricted shares and shares subject to repurchase</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(3,632,146)</w:t>
            </w:r>
          </w:p>
        </w:tc>
        <w:tc>
          <w:tcPr>
            <w:tcW w:w="4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(4,097,395)</w:t>
            </w:r>
          </w:p>
        </w:tc>
      </w:tr>
      <w:tr>
        <w:trPr>
          <w:trHeight w:val="213"/>
        </w:trPr>
        <w:tc>
          <w:tcPr>
            <w:tcW w:w="7340" w:type="dxa"/>
            <w:vAlign w:val="bottom"/>
          </w:tcPr>
          <w:p>
            <w:pPr>
              <w:spacing w:after="0"/>
              <w:rPr>
                <w:sz w:val="20"/>
                <w:szCs w:val="20"/>
                <w:color w:val="auto"/>
              </w:rPr>
            </w:pPr>
            <w:r>
              <w:rPr>
                <w:rFonts w:ascii="Arial" w:cs="Arial" w:eastAsia="Arial" w:hAnsi="Arial"/>
                <w:sz w:val="18"/>
                <w:szCs w:val="18"/>
                <w:color w:val="auto"/>
              </w:rPr>
              <w:t>Weighted-average shares used to compute net loss per share attributable to common</w:t>
            </w:r>
          </w:p>
        </w:tc>
        <w:tc>
          <w:tcPr>
            <w:tcW w:w="6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6"/>
        </w:trPr>
        <w:tc>
          <w:tcPr>
            <w:tcW w:w="7340" w:type="dxa"/>
            <w:vAlign w:val="bottom"/>
          </w:tcPr>
          <w:p>
            <w:pPr>
              <w:ind w:left="220"/>
              <w:spacing w:after="0" w:line="200" w:lineRule="exact"/>
              <w:rPr>
                <w:sz w:val="20"/>
                <w:szCs w:val="20"/>
                <w:color w:val="auto"/>
              </w:rPr>
            </w:pPr>
            <w:r>
              <w:rPr>
                <w:rFonts w:ascii="Arial" w:cs="Arial" w:eastAsia="Arial" w:hAnsi="Arial"/>
                <w:sz w:val="18"/>
                <w:szCs w:val="18"/>
                <w:color w:val="auto"/>
              </w:rPr>
              <w:t>stockholders—basic and diluted</w:t>
            </w:r>
          </w:p>
        </w:tc>
        <w:tc>
          <w:tcPr>
            <w:tcW w:w="6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92"/>
              <w:spacing w:after="0" w:line="200" w:lineRule="exact"/>
              <w:rPr>
                <w:sz w:val="20"/>
                <w:szCs w:val="20"/>
                <w:color w:val="auto"/>
              </w:rPr>
            </w:pPr>
            <w:r>
              <w:rPr>
                <w:rFonts w:ascii="Arial" w:cs="Arial" w:eastAsia="Arial" w:hAnsi="Arial"/>
                <w:sz w:val="18"/>
                <w:szCs w:val="18"/>
                <w:color w:val="auto"/>
              </w:rPr>
              <w:t>8,386,173</w:t>
            </w: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11,186,287</w:t>
            </w:r>
          </w:p>
        </w:tc>
        <w:tc>
          <w:tcPr>
            <w:tcW w:w="120" w:type="dxa"/>
            <w:vAlign w:val="bottom"/>
          </w:tcPr>
          <w:p>
            <w:pPr>
              <w:spacing w:after="0"/>
              <w:rPr>
                <w:sz w:val="17"/>
                <w:szCs w:val="17"/>
                <w:color w:val="auto"/>
              </w:rPr>
            </w:pPr>
          </w:p>
        </w:tc>
      </w:tr>
      <w:tr>
        <w:trPr>
          <w:trHeight w:val="203"/>
        </w:trPr>
        <w:tc>
          <w:tcPr>
            <w:tcW w:w="7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per share attributable to common stockholders—basic and diluted</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(4.16)</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(4.36)</w:t>
            </w:r>
          </w:p>
        </w:tc>
      </w:tr>
      <w:tr>
        <w:trPr>
          <w:trHeight w:val="20"/>
        </w:trPr>
        <w:tc>
          <w:tcPr>
            <w:tcW w:w="7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0"/>
        </w:trPr>
        <w:tc>
          <w:tcPr>
            <w:tcW w:w="7340" w:type="dxa"/>
            <w:vAlign w:val="bottom"/>
          </w:tcPr>
          <w:p>
            <w:pPr>
              <w:ind w:left="5320"/>
              <w:spacing w:after="0"/>
              <w:rPr>
                <w:sz w:val="20"/>
                <w:szCs w:val="20"/>
                <w:color w:val="auto"/>
              </w:rPr>
            </w:pPr>
            <w:r>
              <w:rPr>
                <w:rFonts w:ascii="Arial" w:cs="Arial" w:eastAsia="Arial" w:hAnsi="Arial"/>
                <w:sz w:val="18"/>
                <w:szCs w:val="18"/>
                <w:color w:val="auto"/>
              </w:rPr>
              <w:t>F-32</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60"/>
        <w:spacing w:after="0" w:line="239" w:lineRule="auto"/>
        <w:rPr>
          <w:sz w:val="20"/>
          <w:szCs w:val="20"/>
          <w:color w:val="auto"/>
        </w:rPr>
      </w:pPr>
      <w:r>
        <w:rPr>
          <w:rFonts w:ascii="Arial" w:cs="Arial" w:eastAsia="Arial" w:hAnsi="Arial"/>
          <w:sz w:val="18"/>
          <w:szCs w:val="18"/>
          <w:color w:val="auto"/>
        </w:rPr>
        <w:t>The following outstanding potentially dilutive shares have been excluded from the calculation of diluted net loss per share for the periods presented due to their anti-dilutive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8360" w:type="dxa"/>
            <w:vAlign w:val="bottom"/>
          </w:tcPr>
          <w:p>
            <w:pPr>
              <w:spacing w:after="0"/>
              <w:rPr>
                <w:sz w:val="19"/>
                <w:szCs w:val="19"/>
                <w:color w:val="auto"/>
              </w:rPr>
            </w:pPr>
          </w:p>
        </w:tc>
        <w:tc>
          <w:tcPr>
            <w:tcW w:w="2660" w:type="dxa"/>
            <w:vAlign w:val="bottom"/>
            <w:gridSpan w:val="3"/>
          </w:tcPr>
          <w:p>
            <w:pPr>
              <w:jc w:val="right"/>
              <w:ind w:right="80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8360" w:type="dxa"/>
            <w:vAlign w:val="bottom"/>
            <w:tcBorders>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2017</w:t>
            </w:r>
          </w:p>
        </w:tc>
        <w:tc>
          <w:tcPr>
            <w:tcW w:w="12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auto"/>
            </w:tcBorders>
          </w:tcPr>
          <w:p>
            <w:pPr>
              <w:spacing w:after="0"/>
              <w:rPr>
                <w:sz w:val="19"/>
                <w:szCs w:val="19"/>
                <w:color w:val="auto"/>
              </w:rPr>
            </w:pPr>
          </w:p>
        </w:tc>
      </w:tr>
      <w:tr>
        <w:trPr>
          <w:trHeight w:val="196"/>
        </w:trPr>
        <w:tc>
          <w:tcPr>
            <w:tcW w:w="8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Redeemable convertible preferred stock</w:t>
            </w:r>
          </w:p>
        </w:tc>
        <w:tc>
          <w:tcPr>
            <w:tcW w:w="1380" w:type="dxa"/>
            <w:vAlign w:val="bottom"/>
            <w:shd w:val="clear" w:color="auto" w:fill="CCEEFF"/>
          </w:tcPr>
          <w:p>
            <w:pPr>
              <w:jc w:val="right"/>
              <w:ind w:right="152"/>
              <w:spacing w:after="0" w:line="196" w:lineRule="exact"/>
              <w:rPr>
                <w:sz w:val="20"/>
                <w:szCs w:val="20"/>
                <w:color w:val="auto"/>
              </w:rPr>
            </w:pPr>
            <w:r>
              <w:rPr>
                <w:rFonts w:ascii="Arial" w:cs="Arial" w:eastAsia="Arial" w:hAnsi="Arial"/>
                <w:sz w:val="18"/>
                <w:szCs w:val="18"/>
                <w:color w:val="auto"/>
              </w:rPr>
              <w:t>70,221,732</w:t>
            </w: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144,016,937</w:t>
            </w:r>
          </w:p>
        </w:tc>
        <w:tc>
          <w:tcPr>
            <w:tcW w:w="80" w:type="dxa"/>
            <w:vAlign w:val="bottom"/>
            <w:shd w:val="clear" w:color="auto" w:fill="CCEEFF"/>
          </w:tcPr>
          <w:p>
            <w:pPr>
              <w:spacing w:after="0"/>
              <w:rPr>
                <w:sz w:val="17"/>
                <w:szCs w:val="17"/>
                <w:color w:val="auto"/>
              </w:rPr>
            </w:pP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Options to purchase common stock</w:t>
            </w:r>
          </w:p>
        </w:tc>
        <w:tc>
          <w:tcPr>
            <w:tcW w:w="13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4,774,667</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7,945,533</w:t>
            </w:r>
          </w:p>
        </w:tc>
        <w:tc>
          <w:tcPr>
            <w:tcW w:w="80" w:type="dxa"/>
            <w:vAlign w:val="bottom"/>
          </w:tcPr>
          <w:p>
            <w:pPr>
              <w:spacing w:after="0"/>
              <w:rPr>
                <w:sz w:val="17"/>
                <w:szCs w:val="17"/>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early exercised subject to future vesting</w:t>
            </w:r>
          </w:p>
        </w:tc>
        <w:tc>
          <w:tcPr>
            <w:tcW w:w="13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2,634,880</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2,996,264</w:t>
            </w:r>
          </w:p>
        </w:tc>
        <w:tc>
          <w:tcPr>
            <w:tcW w:w="80" w:type="dxa"/>
            <w:vAlign w:val="bottom"/>
            <w:shd w:val="clear" w:color="auto" w:fill="CCEEFF"/>
          </w:tcPr>
          <w:p>
            <w:pPr>
              <w:spacing w:after="0"/>
              <w:rPr>
                <w:sz w:val="17"/>
                <w:szCs w:val="17"/>
                <w:color w:val="auto"/>
              </w:rPr>
            </w:pPr>
          </w:p>
        </w:tc>
      </w:tr>
      <w:tr>
        <w:trPr>
          <w:trHeight w:val="209"/>
        </w:trPr>
        <w:tc>
          <w:tcPr>
            <w:tcW w:w="8360" w:type="dxa"/>
            <w:vAlign w:val="bottom"/>
          </w:tcPr>
          <w:p>
            <w:pPr>
              <w:spacing w:after="0" w:line="202" w:lineRule="exact"/>
              <w:rPr>
                <w:sz w:val="20"/>
                <w:szCs w:val="20"/>
                <w:color w:val="auto"/>
              </w:rPr>
            </w:pPr>
            <w:r>
              <w:rPr>
                <w:rFonts w:ascii="Arial" w:cs="Arial" w:eastAsia="Arial" w:hAnsi="Arial"/>
                <w:sz w:val="18"/>
                <w:szCs w:val="18"/>
                <w:color w:val="auto"/>
              </w:rPr>
              <w:t>Restricted stock subject to future vesting</w:t>
            </w:r>
          </w:p>
        </w:tc>
        <w:tc>
          <w:tcPr>
            <w:tcW w:w="13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889,583</w:t>
            </w: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380" w:type="dxa"/>
            <w:vAlign w:val="bottom"/>
            <w:tcBorders>
              <w:top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78,520,862</w:t>
            </w:r>
          </w:p>
        </w:tc>
        <w:tc>
          <w:tcPr>
            <w:tcW w:w="12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154,958,734</w:t>
            </w:r>
          </w:p>
        </w:tc>
        <w:tc>
          <w:tcPr>
            <w:tcW w:w="80" w:type="dxa"/>
            <w:vAlign w:val="bottom"/>
            <w:shd w:val="clear" w:color="auto" w:fill="CCEEFF"/>
          </w:tcPr>
          <w:p>
            <w:pPr>
              <w:spacing w:after="0"/>
              <w:rPr>
                <w:sz w:val="17"/>
                <w:szCs w:val="17"/>
                <w:color w:val="auto"/>
              </w:rPr>
            </w:pPr>
          </w:p>
        </w:tc>
      </w:tr>
      <w:tr>
        <w:trPr>
          <w:trHeight w:val="20"/>
        </w:trPr>
        <w:tc>
          <w:tcPr>
            <w:tcW w:w="8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Unaudited pro forma net loss per share</w:t>
      </w:r>
    </w:p>
    <w:p>
      <w:pPr>
        <w:spacing w:after="0" w:line="124" w:lineRule="exact"/>
        <w:rPr>
          <w:sz w:val="20"/>
          <w:szCs w:val="20"/>
          <w:color w:val="auto"/>
        </w:rPr>
      </w:pPr>
    </w:p>
    <w:p>
      <w:pPr>
        <w:ind w:left="120" w:right="240"/>
        <w:spacing w:after="0" w:line="239" w:lineRule="auto"/>
        <w:rPr>
          <w:sz w:val="20"/>
          <w:szCs w:val="20"/>
          <w:color w:val="auto"/>
        </w:rPr>
      </w:pPr>
      <w:r>
        <w:rPr>
          <w:rFonts w:ascii="Arial" w:cs="Arial" w:eastAsia="Arial" w:hAnsi="Arial"/>
          <w:sz w:val="18"/>
          <w:szCs w:val="18"/>
          <w:color w:val="auto"/>
        </w:rPr>
        <w:t>The following table sets forth the computation of unaudited pro forma basic and diluted net loss per share for the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7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60" w:type="dxa"/>
            <w:vAlign w:val="bottom"/>
            <w:gridSpan w:val="3"/>
          </w:tcPr>
          <w:p>
            <w:pPr>
              <w:spacing w:after="0"/>
              <w:rPr>
                <w:sz w:val="20"/>
                <w:szCs w:val="20"/>
                <w:color w:val="auto"/>
              </w:rPr>
            </w:pPr>
            <w:r>
              <w:rPr>
                <w:rFonts w:ascii="Arial" w:cs="Arial" w:eastAsia="Arial" w:hAnsi="Arial"/>
                <w:sz w:val="18"/>
                <w:szCs w:val="18"/>
                <w:b w:val="1"/>
                <w:bCs w:val="1"/>
                <w:color w:val="auto"/>
              </w:rPr>
              <w:t>Year ended December 31,</w:t>
            </w:r>
          </w:p>
        </w:tc>
      </w:tr>
      <w:tr>
        <w:trPr>
          <w:trHeight w:val="221"/>
        </w:trPr>
        <w:tc>
          <w:tcPr>
            <w:tcW w:w="7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4"/>
              </w:rPr>
              <w:t>2018</w:t>
            </w:r>
          </w:p>
        </w:tc>
        <w:tc>
          <w:tcPr>
            <w:tcW w:w="120" w:type="dxa"/>
            <w:vAlign w:val="bottom"/>
          </w:tcPr>
          <w:p>
            <w:pPr>
              <w:spacing w:after="0"/>
              <w:rPr>
                <w:sz w:val="19"/>
                <w:szCs w:val="19"/>
                <w:color w:val="auto"/>
              </w:rPr>
            </w:pPr>
          </w:p>
        </w:tc>
      </w:tr>
      <w:tr>
        <w:trPr>
          <w:trHeight w:val="177"/>
        </w:trPr>
        <w:tc>
          <w:tcPr>
            <w:tcW w:w="7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140" w:type="dxa"/>
            <w:vAlign w:val="bottom"/>
            <w:gridSpan w:val="2"/>
          </w:tcPr>
          <w:p>
            <w:pPr>
              <w:spacing w:after="0" w:line="177" w:lineRule="exact"/>
              <w:rPr>
                <w:sz w:val="20"/>
                <w:szCs w:val="20"/>
                <w:color w:val="auto"/>
              </w:rPr>
            </w:pPr>
            <w:r>
              <w:rPr>
                <w:rFonts w:ascii="Arial" w:cs="Arial" w:eastAsia="Arial" w:hAnsi="Arial"/>
                <w:sz w:val="18"/>
                <w:szCs w:val="18"/>
                <w:b w:val="1"/>
                <w:bCs w:val="1"/>
                <w:color w:val="auto"/>
                <w:w w:val="96"/>
              </w:rPr>
              <w:t>(unaudited, in thousands,</w:t>
            </w:r>
          </w:p>
        </w:tc>
        <w:tc>
          <w:tcPr>
            <w:tcW w:w="120" w:type="dxa"/>
            <w:vAlign w:val="bottom"/>
          </w:tcPr>
          <w:p>
            <w:pPr>
              <w:spacing w:after="0"/>
              <w:rPr>
                <w:sz w:val="15"/>
                <w:szCs w:val="15"/>
                <w:color w:val="auto"/>
              </w:rPr>
            </w:pPr>
          </w:p>
        </w:tc>
      </w:tr>
      <w:tr>
        <w:trPr>
          <w:trHeight w:val="203"/>
        </w:trPr>
        <w:tc>
          <w:tcPr>
            <w:tcW w:w="7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6"/>
              </w:rPr>
              <w:t>except share and per</w:t>
            </w:r>
          </w:p>
        </w:tc>
      </w:tr>
      <w:tr>
        <w:trPr>
          <w:trHeight w:val="221"/>
        </w:trPr>
        <w:tc>
          <w:tcPr>
            <w:tcW w:w="7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7"/>
              </w:rPr>
              <w:t>share data)</w:t>
            </w:r>
          </w:p>
        </w:tc>
      </w:tr>
      <w:tr>
        <w:trPr>
          <w:trHeight w:val="48"/>
        </w:trPr>
        <w:tc>
          <w:tcPr>
            <w:tcW w:w="7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7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Numerator:</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980" w:type="dxa"/>
            <w:vAlign w:val="bottom"/>
          </w:tcPr>
          <w:p>
            <w:pPr>
              <w:spacing w:after="0" w:line="202" w:lineRule="exact"/>
              <w:rPr>
                <w:sz w:val="20"/>
                <w:szCs w:val="20"/>
                <w:color w:val="auto"/>
              </w:rPr>
            </w:pPr>
            <w:r>
              <w:rPr>
                <w:rFonts w:ascii="Arial" w:cs="Arial" w:eastAsia="Arial" w:hAnsi="Arial"/>
                <w:sz w:val="18"/>
                <w:szCs w:val="18"/>
                <w:color w:val="auto"/>
              </w:rPr>
              <w:t>Net loss attributable to common stockholders</w:t>
            </w:r>
          </w:p>
        </w:tc>
        <w:tc>
          <w:tcPr>
            <w:tcW w:w="920" w:type="dxa"/>
            <w:vAlign w:val="bottom"/>
            <w:gridSpan w:val="2"/>
          </w:tcPr>
          <w:p>
            <w:pPr>
              <w:ind w:left="780"/>
              <w:spacing w:after="0" w:line="202" w:lineRule="exact"/>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(48,820)</w:t>
            </w:r>
          </w:p>
        </w:tc>
      </w:tr>
      <w:tr>
        <w:trPr>
          <w:trHeight w:val="203"/>
        </w:trPr>
        <w:tc>
          <w:tcPr>
            <w:tcW w:w="7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 Redeemable convertible preferred stock dividends—undeclared and cumulative</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7,031</w:t>
            </w:r>
          </w:p>
        </w:tc>
      </w:tr>
      <w:tr>
        <w:trPr>
          <w:trHeight w:val="203"/>
        </w:trPr>
        <w:tc>
          <w:tcPr>
            <w:tcW w:w="7980" w:type="dxa"/>
            <w:vAlign w:val="bottom"/>
          </w:tcPr>
          <w:p>
            <w:pPr>
              <w:spacing w:after="0" w:line="202" w:lineRule="exact"/>
              <w:rPr>
                <w:sz w:val="20"/>
                <w:szCs w:val="20"/>
                <w:color w:val="auto"/>
              </w:rPr>
            </w:pPr>
            <w:r>
              <w:rPr>
                <w:rFonts w:ascii="Arial" w:cs="Arial" w:eastAsia="Arial" w:hAnsi="Arial"/>
                <w:sz w:val="18"/>
                <w:szCs w:val="18"/>
                <w:color w:val="auto"/>
              </w:rPr>
              <w:t>Adjust: Change in fair value of redeemable convertible preferred stock liability</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2,121</w:t>
            </w:r>
          </w:p>
        </w:tc>
      </w:tr>
      <w:tr>
        <w:trPr>
          <w:trHeight w:val="27"/>
        </w:trPr>
        <w:tc>
          <w:tcPr>
            <w:tcW w:w="7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7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net loss</w:t>
            </w:r>
          </w:p>
        </w:tc>
        <w:tc>
          <w:tcPr>
            <w:tcW w:w="920" w:type="dxa"/>
            <w:vAlign w:val="bottom"/>
            <w:gridSpan w:val="2"/>
            <w:shd w:val="clear" w:color="auto" w:fill="CCEEFF"/>
          </w:tcPr>
          <w:p>
            <w:pPr>
              <w:ind w:left="780"/>
              <w:spacing w:after="0" w:line="202" w:lineRule="exact"/>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(39,668)</w:t>
            </w:r>
          </w:p>
        </w:tc>
      </w:tr>
      <w:tr>
        <w:trPr>
          <w:trHeight w:val="203"/>
        </w:trPr>
        <w:tc>
          <w:tcPr>
            <w:tcW w:w="7980" w:type="dxa"/>
            <w:vAlign w:val="bottom"/>
          </w:tcPr>
          <w:p>
            <w:pPr>
              <w:spacing w:after="0" w:line="202" w:lineRule="exact"/>
              <w:rPr>
                <w:sz w:val="20"/>
                <w:szCs w:val="20"/>
                <w:color w:val="auto"/>
              </w:rPr>
            </w:pPr>
            <w:r>
              <w:rPr>
                <w:rFonts w:ascii="Arial" w:cs="Arial" w:eastAsia="Arial" w:hAnsi="Arial"/>
                <w:sz w:val="18"/>
                <w:szCs w:val="18"/>
                <w:color w:val="auto"/>
              </w:rPr>
              <w:t>Denominator:</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6"/>
        </w:trPr>
        <w:tc>
          <w:tcPr>
            <w:tcW w:w="79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Weighted average shares used to compute net loss per share attributable to common</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9"/>
        </w:trPr>
        <w:tc>
          <w:tcPr>
            <w:tcW w:w="798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stockholders—basic and diluted</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11,186,287</w:t>
            </w:r>
          </w:p>
        </w:tc>
        <w:tc>
          <w:tcPr>
            <w:tcW w:w="120" w:type="dxa"/>
            <w:vAlign w:val="bottom"/>
            <w:shd w:val="clear" w:color="auto" w:fill="CCEEFF"/>
          </w:tcPr>
          <w:p>
            <w:pPr>
              <w:spacing w:after="0"/>
              <w:rPr>
                <w:sz w:val="17"/>
                <w:szCs w:val="17"/>
                <w:color w:val="auto"/>
              </w:rPr>
            </w:pPr>
          </w:p>
        </w:tc>
      </w:tr>
      <w:tr>
        <w:trPr>
          <w:trHeight w:val="203"/>
        </w:trPr>
        <w:tc>
          <w:tcPr>
            <w:tcW w:w="7980" w:type="dxa"/>
            <w:vAlign w:val="bottom"/>
          </w:tcPr>
          <w:p>
            <w:pPr>
              <w:spacing w:after="0" w:line="202" w:lineRule="exact"/>
              <w:rPr>
                <w:sz w:val="20"/>
                <w:szCs w:val="20"/>
                <w:color w:val="auto"/>
              </w:rPr>
            </w:pPr>
            <w:r>
              <w:rPr>
                <w:rFonts w:ascii="Arial" w:cs="Arial" w:eastAsia="Arial" w:hAnsi="Arial"/>
                <w:sz w:val="18"/>
                <w:szCs w:val="18"/>
                <w:color w:val="auto"/>
              </w:rPr>
              <w:t>Pro forma adjustment to reflect conversion of redeemable convertible preferred stock</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101,528,454</w:t>
            </w:r>
          </w:p>
        </w:tc>
      </w:tr>
      <w:tr>
        <w:trPr>
          <w:trHeight w:val="27"/>
        </w:trPr>
        <w:tc>
          <w:tcPr>
            <w:tcW w:w="7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7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shares used in computing pro forma net loss per share—basic and diluted</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112,714,741</w:t>
            </w:r>
          </w:p>
        </w:tc>
      </w:tr>
      <w:tr>
        <w:trPr>
          <w:trHeight w:val="20"/>
        </w:trPr>
        <w:tc>
          <w:tcPr>
            <w:tcW w:w="7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2"/>
        </w:trPr>
        <w:tc>
          <w:tcPr>
            <w:tcW w:w="7980" w:type="dxa"/>
            <w:vAlign w:val="bottom"/>
          </w:tcPr>
          <w:p>
            <w:pPr>
              <w:spacing w:after="0"/>
              <w:rPr>
                <w:sz w:val="20"/>
                <w:szCs w:val="20"/>
                <w:color w:val="auto"/>
              </w:rPr>
            </w:pPr>
            <w:r>
              <w:rPr>
                <w:rFonts w:ascii="Arial" w:cs="Arial" w:eastAsia="Arial" w:hAnsi="Arial"/>
                <w:sz w:val="18"/>
                <w:szCs w:val="18"/>
                <w:color w:val="auto"/>
              </w:rPr>
              <w:t>Pro forma net loss per share—basic and diluted</w:t>
            </w:r>
          </w:p>
        </w:tc>
        <w:tc>
          <w:tcPr>
            <w:tcW w:w="9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60"/>
              <w:spacing w:after="0"/>
              <w:rPr>
                <w:sz w:val="20"/>
                <w:szCs w:val="20"/>
                <w:color w:val="auto"/>
              </w:rPr>
            </w:pPr>
            <w:r>
              <w:rPr>
                <w:rFonts w:ascii="Arial" w:cs="Arial" w:eastAsia="Arial" w:hAnsi="Arial"/>
                <w:sz w:val="18"/>
                <w:szCs w:val="18"/>
                <w:color w:val="auto"/>
              </w:rPr>
              <w:t>(0.35)</w:t>
            </w:r>
          </w:p>
        </w:tc>
      </w:tr>
      <w:tr>
        <w:trPr>
          <w:trHeight w:val="20"/>
        </w:trPr>
        <w:tc>
          <w:tcPr>
            <w:tcW w:w="79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13. Related party relationships</w:t>
      </w:r>
    </w:p>
    <w:p>
      <w:pPr>
        <w:spacing w:after="0" w:line="13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In October 2018, the Company acquired all outstanding shares of Warp Drive Bio, Inc., or Warp Drive. In connection with the acquisition, the Company issued 33,079,554 shares of Series B redeemable convertible preferred stock (the Acquisition Shares). Of the Acquisition Shares, 8,315,308 shares of Series B redeemable convertible preferred stock were issued to entities affiliated with Third Rock Ventures, a related party. In addition, Alexis Borisy, who is currently a member of the Company’s board of directors and was a member of the Company’s board of directors at the time of the acquisition of Warp Drive, was then an affiliate of Third Rock Ventures. Of the Acquisition Shares, 16,364,939 shares of Series B redeemable convertible preferred stock were issued to Sanofi, which became a related party following the acquisition. See Note 6, “Sanofi collaboration agreement,” for a discussion of the Sanofi collaboration agreement.</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40"/>
          </w:cols>
          <w:pgMar w:left="320" w:top="459" w:right="4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In connection with the Company’s acquisition of Warp Drive, the Company assumed a Convertible Note issued by Warp Drive to an entity affiliated with Third Rock Ventures, dated October 8, 2018. The Convertible Note was issued in a principal amount of $2.0 million, with interest at an annual rate of 8% computed on the basis of a 360-day year. On October 30, 2018, at the Company’s election, the Company converted the Convertible Note into 975,620 shares of Series B redeemable convertible preferred stock which were issued to an entity affiliated with Third Rock Ventures pursuant to the terms of the Convertible Note.</w:t>
      </w:r>
    </w:p>
    <w:p>
      <w:pPr>
        <w:spacing w:after="0" w:line="103"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Following the Company’s acquisition of Warp Drive, in January 2019, the Company entered into a sublease agreement with Casma to sublease the Cambridge Lease. The sublease by Casma and related sublease payments by Casma to the Company are fully guaranteed by an affiliate of Third Rock Ventures.</w:t>
      </w:r>
    </w:p>
    <w:p>
      <w:pPr>
        <w:spacing w:after="0" w:line="100" w:lineRule="exact"/>
        <w:rPr>
          <w:sz w:val="20"/>
          <w:szCs w:val="20"/>
          <w:color w:val="auto"/>
        </w:rPr>
      </w:pPr>
    </w:p>
    <w:p>
      <w:pPr>
        <w:ind w:left="120" w:right="340"/>
        <w:spacing w:after="0" w:line="239" w:lineRule="auto"/>
        <w:rPr>
          <w:sz w:val="20"/>
          <w:szCs w:val="20"/>
          <w:color w:val="auto"/>
        </w:rPr>
      </w:pPr>
      <w:r>
        <w:rPr>
          <w:rFonts w:ascii="Arial" w:cs="Arial" w:eastAsia="Arial" w:hAnsi="Arial"/>
          <w:sz w:val="18"/>
          <w:szCs w:val="18"/>
          <w:color w:val="auto"/>
        </w:rPr>
        <w:t>From July 2015 to June 2018, the Company subleased a portion of its Redwood City Lease to Pliant Therapeutics, Inc., an entity affiliated with Third Rock Ventures.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14. Subsequent events</w:t>
      </w:r>
    </w:p>
    <w:p>
      <w:pPr>
        <w:spacing w:after="0" w:line="134" w:lineRule="exact"/>
        <w:rPr>
          <w:sz w:val="20"/>
          <w:szCs w:val="20"/>
          <w:color w:val="auto"/>
        </w:rPr>
      </w:pPr>
    </w:p>
    <w:p>
      <w:pPr>
        <w:ind w:left="120" w:right="100"/>
        <w:spacing w:after="0" w:line="239" w:lineRule="auto"/>
        <w:rPr>
          <w:sz w:val="20"/>
          <w:szCs w:val="20"/>
          <w:color w:val="auto"/>
        </w:rPr>
      </w:pPr>
      <w:r>
        <w:rPr>
          <w:rFonts w:ascii="Arial" w:cs="Arial" w:eastAsia="Arial" w:hAnsi="Arial"/>
          <w:sz w:val="18"/>
          <w:szCs w:val="18"/>
          <w:color w:val="auto"/>
        </w:rPr>
        <w:t>Subsequent events have been evaluated through September 19, 2019, which is the date that these annual consolidated financial statements were available to be issued.</w:t>
      </w:r>
    </w:p>
    <w:p>
      <w:pPr>
        <w:spacing w:after="0" w:line="101" w:lineRule="exact"/>
        <w:rPr>
          <w:sz w:val="20"/>
          <w:szCs w:val="20"/>
          <w:color w:val="auto"/>
        </w:rPr>
      </w:pPr>
    </w:p>
    <w:p>
      <w:pPr>
        <w:ind w:left="120" w:right="20"/>
        <w:spacing w:after="0" w:line="271" w:lineRule="auto"/>
        <w:rPr>
          <w:sz w:val="20"/>
          <w:szCs w:val="20"/>
          <w:color w:val="auto"/>
        </w:rPr>
      </w:pPr>
      <w:r>
        <w:rPr>
          <w:rFonts w:ascii="Arial" w:cs="Arial" w:eastAsia="Arial" w:hAnsi="Arial"/>
          <w:sz w:val="16"/>
          <w:szCs w:val="16"/>
          <w:color w:val="auto"/>
        </w:rPr>
        <w:t>During June and July 2019, the Company issued a total of 48,683,038 shares of Series C redeemable convertible preferred stock at a price of $2.06 per share for total proceeds of $100.0 million, net of issuance costs. The original issue price for the conversion and liquidation preference calculations described in Note 8, “Redeemable Convertible Preferred Stock” for the Series C redeemable convertible preferred stock is $2.06. The automatic conversion feature for all series of redeemable convertible preferred stock related to the closing of an IPO of common stock resulting in at least $50 million in gross proceeds, was adjusted to also require a minimum IPO price of $2.06 per share of common stock, subject to adjustment for stock dividends, stock splits, combinations or other similar recapitalizations.</w:t>
      </w:r>
    </w:p>
    <w:p>
      <w:pPr>
        <w:spacing w:after="0" w:line="76"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In March 2019, the Company granted options to purchase an aggregate of 5,900,988 shares of common stock with an exercise price of $0.84 per share. In August 2019, the Company granted options to purchase an aggregate of 9,829,904 shares of common stock with an exercise price of $0.97 per share.</w:t>
      </w:r>
    </w:p>
    <w:p>
      <w:pPr>
        <w:spacing w:after="0" w:line="100"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In January 2019, the Company sold the genome mining platform and related Roche collaboration agreement acquired during the Warp Drive acquisition to Gingko Bioworks (Gingko). The Company received $6.0 million in cash consideration from Gingko and Roche as part of the transaction, and is entitled to receive up to 25% of future milestones earned by Gingko under the collaboration agreement with Roche included as part of this sale. The Company recognized a loss on disposal of $0.6 million in 2019 as a result of this sale.</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20"/>
          </w:cols>
          <w:pgMar w:left="320" w:top="459" w:right="45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Report of Independent Auditors</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of Warp Drive Bio, Inc.:</w:t>
      </w:r>
    </w:p>
    <w:p>
      <w:pPr>
        <w:spacing w:after="0" w:line="50"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We have audited the accompanying financial statements of Warp Drive Bio, Inc., which comprise the balance sheet as of December 31, 2017, and the related statements of operations and comprehensive loss, of convertible preferred stock and stockholders’ deficit and of cash flows for the year then ended.</w:t>
      </w:r>
    </w:p>
    <w:p>
      <w:pPr>
        <w:spacing w:after="0" w:line="6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Management’s Responsibility for the Financial Statements</w:t>
      </w:r>
    </w:p>
    <w:p>
      <w:pPr>
        <w:spacing w:after="0" w:line="80" w:lineRule="exact"/>
        <w:rPr>
          <w:sz w:val="20"/>
          <w:szCs w:val="20"/>
          <w:color w:val="auto"/>
        </w:rPr>
      </w:pPr>
    </w:p>
    <w:p>
      <w:pPr>
        <w:ind w:left="120" w:right="140"/>
        <w:spacing w:after="0" w:line="281" w:lineRule="auto"/>
        <w:rPr>
          <w:sz w:val="20"/>
          <w:szCs w:val="20"/>
          <w:color w:val="auto"/>
        </w:rPr>
      </w:pPr>
      <w:r>
        <w:rPr>
          <w:rFonts w:ascii="Arial" w:cs="Arial" w:eastAsia="Arial" w:hAnsi="Arial"/>
          <w:sz w:val="16"/>
          <w:szCs w:val="16"/>
          <w:color w:val="auto"/>
        </w:rPr>
        <w:t>Management is responsible for the preparation and fair presentation of the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Auditors’ Responsibility</w:t>
      </w:r>
    </w:p>
    <w:p>
      <w:pPr>
        <w:spacing w:after="0" w:line="80"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Our responsibility is to express an opinion on the financial statements based on our audit. We conducted our audit in accordance with auditing standards generally accepted in the United States of America. Those standards require that we plan and perform the audit to obtain reasonable assurance about whether the financial statements are free from material misstatement.</w:t>
      </w:r>
    </w:p>
    <w:p>
      <w:pPr>
        <w:spacing w:after="0" w:line="46"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financial statements. The procedures selected depend on our judgment, including the assessment of the risks of material misstatement of the financial statements, whether due to fraud or error. In making those risk assessments, we consider internal control relevant to the Company’s preparation and fair presentation of the financial statements in order to design audit procedures that are appropriate in the circumstances, but not for the purpose of expressing an opinion on the effectiveness of the Company’s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 We believe that the audit evidence we have obtained is sufficient and appropriate to provide a basis for our audit opinion.</w:t>
      </w:r>
    </w:p>
    <w:p>
      <w:pPr>
        <w:spacing w:after="0" w:line="6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Opinion</w:t>
      </w:r>
    </w:p>
    <w:p>
      <w:pPr>
        <w:spacing w:after="0" w:line="80"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Warp Drive Bio, Inc. as of December 31, 2017, and the results of its operations and its cash flows for the year then ended in accordance with accounting principles generally accepted in the United States of America.</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Emphasis of Matter</w:t>
      </w:r>
    </w:p>
    <w:p>
      <w:pPr>
        <w:spacing w:after="0" w:line="80" w:lineRule="exact"/>
        <w:rPr>
          <w:sz w:val="20"/>
          <w:szCs w:val="20"/>
          <w:color w:val="auto"/>
        </w:rPr>
      </w:pPr>
    </w:p>
    <w:p>
      <w:pPr>
        <w:ind w:left="120" w:right="140"/>
        <w:spacing w:after="0" w:line="272" w:lineRule="auto"/>
        <w:rPr>
          <w:sz w:val="20"/>
          <w:szCs w:val="20"/>
          <w:color w:val="auto"/>
        </w:rPr>
      </w:pPr>
      <w:r>
        <w:rPr>
          <w:rFonts w:ascii="Arial" w:cs="Arial" w:eastAsia="Arial" w:hAnsi="Arial"/>
          <w:sz w:val="16"/>
          <w:szCs w:val="16"/>
          <w:color w:val="auto"/>
        </w:rPr>
        <w:t>The accompanying financial statements have been prepared assuming that the Company will continue as a going concern. As discussed in Note 1 to the financial statements, the Company has suffered recurring losses, will require additional financing to fund future operations, and has stated that substantial doubt exists about the Company’s ability to continue as a going concern. Management’s evaluation of the events and conditions and management’s plans regarding these matters are also described in Note 1. The financial statements do not include any adjustments that might result from the outcome of this uncertainty. Our opinion is not modified with respect to this matter.</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PricewaterhouseCoopers LLP</w:t>
      </w:r>
    </w:p>
    <w:p>
      <w:pPr>
        <w:ind w:left="120"/>
        <w:spacing w:after="0" w:line="234" w:lineRule="auto"/>
        <w:rPr>
          <w:sz w:val="20"/>
          <w:szCs w:val="20"/>
          <w:color w:val="auto"/>
        </w:rPr>
      </w:pPr>
      <w:r>
        <w:rPr>
          <w:rFonts w:ascii="Arial" w:cs="Arial" w:eastAsia="Arial" w:hAnsi="Arial"/>
          <w:sz w:val="18"/>
          <w:szCs w:val="18"/>
          <w:color w:val="auto"/>
        </w:rPr>
        <w:t>Boston, Massachusetts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October 16, 2018</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20"/>
          </w:cols>
          <w:pgMar w:left="320" w:top="459" w:right="4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Report of Independent Auditors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of Directors Warp Drive Bio, Inc.</w:t>
      </w:r>
    </w:p>
    <w:p>
      <w:pPr>
        <w:spacing w:after="0" w:line="104" w:lineRule="exact"/>
        <w:rPr>
          <w:sz w:val="20"/>
          <w:szCs w:val="20"/>
          <w:color w:val="auto"/>
        </w:rPr>
      </w:pPr>
    </w:p>
    <w:p>
      <w:pPr>
        <w:jc w:val="both"/>
        <w:ind w:left="120" w:right="360"/>
        <w:spacing w:after="0" w:line="238" w:lineRule="auto"/>
        <w:rPr>
          <w:sz w:val="20"/>
          <w:szCs w:val="20"/>
          <w:color w:val="auto"/>
        </w:rPr>
      </w:pPr>
      <w:r>
        <w:rPr>
          <w:rFonts w:ascii="Arial" w:cs="Arial" w:eastAsia="Arial" w:hAnsi="Arial"/>
          <w:sz w:val="18"/>
          <w:szCs w:val="18"/>
          <w:color w:val="auto"/>
        </w:rPr>
        <w:t>We have audited the accompanying financial statements of Warp Drive Bio, Inc. (the Company), which comprise the balance sheet as of December 31, 2016, and the related statements of operations and comprehensive loss, changes in stockholders’ (deficit) equity and cash flows for the year then ended, and the related notes to the financial statements.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Management’s Responsibility for the Financial Statements</w:t>
      </w:r>
    </w:p>
    <w:p>
      <w:pPr>
        <w:spacing w:after="0" w:line="134"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Management is responsible for the preparation and fair presentation of these financial statements in conformity with U.S. generally accepted accounting principles; this includes the design, implementation, and maintenance of internal control relevant to the preparation and fair presentation of financial statements that are free of material misstatement, whether due to fraud or error.</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Auditor’s Responsibility</w:t>
      </w:r>
    </w:p>
    <w:p>
      <w:pPr>
        <w:spacing w:after="0" w:line="134"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Our responsibility is to express an opinion on these financial statements based on our audit. We conducted our audit in accordance with auditing standards generally accepted in the United States. Those standards require that we plan and perform the audit to obtain reasonable assurance about whether the financial statements are free of material misstatement.</w:t>
      </w:r>
    </w:p>
    <w:p>
      <w:pPr>
        <w:spacing w:after="0" w:line="100"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 We believe that the audit evidence we have obtained is sufficient and appropriate to provide a basis for our audit opinion.</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Opinion</w:t>
      </w:r>
    </w:p>
    <w:p>
      <w:pPr>
        <w:spacing w:after="0" w:line="134"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Warp Drive Bio, Inc. at December 31, 2016, and the results of its operations and its cash flows for the year then ended in conformity with U.S. generally accepted accounting principles.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The Company’s Ability to Continue as a Going Concern</w:t>
      </w:r>
    </w:p>
    <w:p>
      <w:pPr>
        <w:spacing w:after="0" w:line="13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accompanying financial statements for the year ended December 31, 2016 have been prepared assuming that the Company will continue as a going concern. As discussed in Note 1 to the financial statements, the Company’s recurring use of cash to fund operations, recurring losses and net capital deficiency raise substantial doubt about its ability to continue as a going concern. Management’s plans in regard these matters are also discussed in Note 1 to the financial statements. The accompanying financial statements do not include any adjustments that might result from the outcome of this uncertainty. Our opinion is not modified with respect to this matter.</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ind w:left="120"/>
        <w:spacing w:after="0" w:line="234" w:lineRule="auto"/>
        <w:rPr>
          <w:sz w:val="20"/>
          <w:szCs w:val="20"/>
          <w:color w:val="auto"/>
        </w:rPr>
      </w:pPr>
      <w:r>
        <w:rPr>
          <w:rFonts w:ascii="Arial" w:cs="Arial" w:eastAsia="Arial" w:hAnsi="Arial"/>
          <w:sz w:val="18"/>
          <w:szCs w:val="18"/>
          <w:color w:val="auto"/>
        </w:rPr>
        <w:t>Boston, MA</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June 30, 2017, except for Notes 7, 8 and 13, as to which the date is September 19, 2019</w:t>
      </w:r>
    </w:p>
    <w:p>
      <w:pPr>
        <w:spacing w:after="0" w:line="14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20"/>
          </w:cols>
          <w:pgMar w:left="320" w:top="459" w:right="45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Warp Drive Bio, Inc.</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699516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6" w:lineRule="exact"/>
        <w:rPr>
          <w:sz w:val="20"/>
          <w:szCs w:val="20"/>
          <w:color w:val="auto"/>
        </w:rPr>
      </w:pPr>
    </w:p>
    <w:p>
      <w:pPr>
        <w:ind w:left="908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8890</wp:posOffset>
            </wp:positionV>
            <wp:extent cx="17399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739900" cy="8890"/>
                    </a:xfrm>
                    <a:prstGeom prst="rect">
                      <a:avLst/>
                    </a:prstGeom>
                    <a:noFill/>
                  </pic:spPr>
                </pic:pic>
              </a:graphicData>
            </a:graphic>
          </wp:anchor>
        </w:drawing>
      </w:r>
    </w:p>
    <w:p>
      <w:pPr>
        <w:spacing w:after="0" w:line="16" w:lineRule="exact"/>
        <w:rPr>
          <w:sz w:val="20"/>
          <w:szCs w:val="20"/>
          <w:color w:val="auto"/>
        </w:rPr>
      </w:pPr>
    </w:p>
    <w:p>
      <w:pPr>
        <w:jc w:val="both"/>
        <w:ind w:left="8660"/>
        <w:spacing w:after="0"/>
        <w:tabs>
          <w:tab w:leader="none" w:pos="1028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wp:posOffset>
            </wp:positionV>
            <wp:extent cx="699516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80"/>
          </w:cols>
          <w:pgMar w:left="320" w:top="459" w:right="499" w:bottom="1440" w:gutter="0" w:footer="0" w:header="0"/>
        </w:sectPr>
      </w:pP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6995160" cy="12890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wp:posOffset>
            </wp:positionV>
            <wp:extent cx="6995160" cy="12890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340"/>
        <w:spacing w:after="0" w:line="234" w:lineRule="auto"/>
        <w:rPr>
          <w:sz w:val="20"/>
          <w:szCs w:val="20"/>
          <w:color w:val="auto"/>
        </w:rPr>
      </w:pPr>
      <w:r>
        <w:rPr>
          <w:rFonts w:ascii="Arial" w:cs="Arial" w:eastAsia="Arial" w:hAnsi="Arial"/>
          <w:sz w:val="18"/>
          <w:szCs w:val="18"/>
          <w:color w:val="auto"/>
        </w:rPr>
        <w:t>Cash and cash equivalents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12065</wp:posOffset>
            </wp:positionV>
            <wp:extent cx="6995160" cy="12890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Total current assets</w:t>
      </w:r>
    </w:p>
    <w:p>
      <w:pPr>
        <w:ind w:left="120"/>
        <w:spacing w:after="0" w:line="234" w:lineRule="auto"/>
        <w:rPr>
          <w:sz w:val="20"/>
          <w:szCs w:val="20"/>
          <w:color w:val="auto"/>
        </w:rPr>
      </w:pPr>
      <w:r>
        <w:rPr>
          <w:rFonts w:ascii="Arial" w:cs="Arial" w:eastAsia="Arial" w:hAnsi="Arial"/>
          <w:sz w:val="18"/>
          <w:szCs w:val="18"/>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12890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Restricted cash</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Total assets</w:t>
      </w:r>
    </w:p>
    <w:p>
      <w:pPr>
        <w:spacing w:after="0" w:line="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Liabilities, Convertible Preferred Stock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6995160" cy="12890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wp:posOffset>
            </wp:positionV>
            <wp:extent cx="6995160" cy="12890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340"/>
        <w:spacing w:after="0" w:line="234" w:lineRule="auto"/>
        <w:rPr>
          <w:sz w:val="20"/>
          <w:szCs w:val="20"/>
          <w:color w:val="auto"/>
        </w:rPr>
      </w:pPr>
      <w:r>
        <w:rPr>
          <w:rFonts w:ascii="Arial" w:cs="Arial" w:eastAsia="Arial" w:hAnsi="Arial"/>
          <w:sz w:val="18"/>
          <w:szCs w:val="18"/>
          <w:color w:val="auto"/>
        </w:rPr>
        <w:t>Accounts payable</w:t>
      </w:r>
    </w:p>
    <w:p>
      <w:pPr>
        <w:ind w:left="340"/>
        <w:spacing w:after="0" w:line="235" w:lineRule="auto"/>
        <w:rPr>
          <w:sz w:val="20"/>
          <w:szCs w:val="20"/>
          <w:color w:val="auto"/>
        </w:rPr>
      </w:pPr>
      <w:r>
        <w:rPr>
          <w:rFonts w:ascii="Arial" w:cs="Arial" w:eastAsia="Arial" w:hAnsi="Arial"/>
          <w:sz w:val="18"/>
          <w:szCs w:val="18"/>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wp:posOffset>
            </wp:positionV>
            <wp:extent cx="6995160" cy="12890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340"/>
        <w:spacing w:after="0" w:line="235" w:lineRule="auto"/>
        <w:rPr>
          <w:sz w:val="20"/>
          <w:szCs w:val="20"/>
          <w:color w:val="auto"/>
        </w:rPr>
      </w:pPr>
      <w:r>
        <w:rPr>
          <w:rFonts w:ascii="Arial" w:cs="Arial" w:eastAsia="Arial" w:hAnsi="Arial"/>
          <w:sz w:val="18"/>
          <w:szCs w:val="18"/>
          <w:color w:val="auto"/>
        </w:rPr>
        <w:t>Current portion of capital lease</w:t>
      </w:r>
    </w:p>
    <w:p>
      <w:pPr>
        <w:ind w:left="340"/>
        <w:spacing w:after="0" w:line="235" w:lineRule="auto"/>
        <w:rPr>
          <w:sz w:val="20"/>
          <w:szCs w:val="20"/>
          <w:color w:val="auto"/>
        </w:rPr>
      </w:pPr>
      <w:r>
        <w:rPr>
          <w:rFonts w:ascii="Arial" w:cs="Arial" w:eastAsia="Arial" w:hAnsi="Arial"/>
          <w:sz w:val="18"/>
          <w:szCs w:val="18"/>
          <w:color w:val="auto"/>
        </w:rPr>
        <w:t>Current portion of 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wp:posOffset>
            </wp:positionV>
            <wp:extent cx="6995160" cy="12890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Current portion of deferred rent</w:t>
      </w:r>
    </w:p>
    <w:p>
      <w:pPr>
        <w:spacing w:after="0" w:line="1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wp:posOffset>
            </wp:positionV>
            <wp:extent cx="6995160" cy="12890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4" w:lineRule="auto"/>
        <w:rPr>
          <w:sz w:val="20"/>
          <w:szCs w:val="20"/>
          <w:color w:val="auto"/>
        </w:rPr>
      </w:pPr>
      <w:r>
        <w:rPr>
          <w:rFonts w:ascii="Arial" w:cs="Arial" w:eastAsia="Arial" w:hAnsi="Arial"/>
          <w:sz w:val="18"/>
          <w:szCs w:val="18"/>
          <w:color w:val="auto"/>
        </w:rPr>
        <w:t>Convertible Notes payable, related party</w:t>
      </w:r>
    </w:p>
    <w:p>
      <w:pPr>
        <w:ind w:left="120"/>
        <w:spacing w:after="0" w:line="235" w:lineRule="auto"/>
        <w:rPr>
          <w:sz w:val="20"/>
          <w:szCs w:val="20"/>
          <w:color w:val="auto"/>
        </w:rPr>
      </w:pPr>
      <w:r>
        <w:rPr>
          <w:rFonts w:ascii="Arial" w:cs="Arial" w:eastAsia="Arial" w:hAnsi="Arial"/>
          <w:sz w:val="18"/>
          <w:szCs w:val="18"/>
          <w:color w:val="auto"/>
        </w:rPr>
        <w:t>Capital lease, 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wp:posOffset>
            </wp:positionV>
            <wp:extent cx="6995160" cy="12890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5" w:lineRule="auto"/>
        <w:rPr>
          <w:sz w:val="20"/>
          <w:szCs w:val="20"/>
          <w:color w:val="auto"/>
        </w:rPr>
      </w:pPr>
      <w:r>
        <w:rPr>
          <w:rFonts w:ascii="Arial" w:cs="Arial" w:eastAsia="Arial" w:hAnsi="Arial"/>
          <w:sz w:val="18"/>
          <w:szCs w:val="18"/>
          <w:color w:val="auto"/>
        </w:rPr>
        <w:t>Deferred revenue, less current portion</w:t>
      </w:r>
    </w:p>
    <w:p>
      <w:pPr>
        <w:ind w:left="120"/>
        <w:spacing w:after="0"/>
        <w:rPr>
          <w:sz w:val="20"/>
          <w:szCs w:val="20"/>
          <w:color w:val="auto"/>
        </w:rPr>
      </w:pPr>
      <w:r>
        <w:rPr>
          <w:rFonts w:ascii="Arial" w:cs="Arial" w:eastAsia="Arial" w:hAnsi="Arial"/>
          <w:sz w:val="18"/>
          <w:szCs w:val="18"/>
          <w:color w:val="auto"/>
        </w:rPr>
        <w:t>Deferred rent, 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12065</wp:posOffset>
            </wp:positionV>
            <wp:extent cx="6995160" cy="12890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Total liabilities</w:t>
      </w:r>
    </w:p>
    <w:p>
      <w:pPr>
        <w:ind w:left="120"/>
        <w:spacing w:after="0" w:line="234" w:lineRule="auto"/>
        <w:rPr>
          <w:sz w:val="20"/>
          <w:szCs w:val="20"/>
          <w:color w:val="auto"/>
        </w:rPr>
      </w:pPr>
      <w:r>
        <w:rPr>
          <w:rFonts w:ascii="Arial" w:cs="Arial" w:eastAsia="Arial" w:hAnsi="Arial"/>
          <w:sz w:val="18"/>
          <w:szCs w:val="18"/>
          <w:color w:val="auto"/>
        </w:rPr>
        <w:t>Commitments and contingencies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12890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5" w:lineRule="auto"/>
        <w:rPr>
          <w:sz w:val="20"/>
          <w:szCs w:val="20"/>
          <w:color w:val="auto"/>
        </w:rPr>
      </w:pPr>
      <w:r>
        <w:rPr>
          <w:rFonts w:ascii="Arial" w:cs="Arial" w:eastAsia="Arial" w:hAnsi="Arial"/>
          <w:sz w:val="18"/>
          <w:szCs w:val="18"/>
          <w:color w:val="auto"/>
        </w:rPr>
        <w:t>Convertible preferred stock</w:t>
      </w:r>
    </w:p>
    <w:p>
      <w:pPr>
        <w:spacing w:after="0" w:line="1" w:lineRule="exact"/>
        <w:rPr>
          <w:sz w:val="20"/>
          <w:szCs w:val="20"/>
          <w:color w:val="auto"/>
        </w:rPr>
      </w:pPr>
    </w:p>
    <w:p>
      <w:pPr>
        <w:ind w:left="540" w:right="120" w:hanging="215"/>
        <w:spacing w:after="0" w:line="264" w:lineRule="auto"/>
        <w:rPr>
          <w:sz w:val="20"/>
          <w:szCs w:val="20"/>
          <w:color w:val="auto"/>
        </w:rPr>
      </w:pPr>
      <w:r>
        <w:rPr>
          <w:rFonts w:ascii="Arial" w:cs="Arial" w:eastAsia="Arial" w:hAnsi="Arial"/>
          <w:sz w:val="16"/>
          <w:szCs w:val="16"/>
          <w:color w:val="auto"/>
        </w:rPr>
        <w:t>Series A convertible preferred stock, $0.001 par value; 75,000,000 shares authorized, issued and outstanding at December 31, 2017 and 2016; aggregate liquidation preference of $99,983,111 and $93,983,111 at December 31, 2017 and 2016, respectively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wp:posOffset>
            </wp:positionV>
            <wp:extent cx="6995160" cy="12890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5" w:lineRule="auto"/>
        <w:rPr>
          <w:sz w:val="20"/>
          <w:szCs w:val="20"/>
          <w:color w:val="auto"/>
        </w:rPr>
      </w:pPr>
      <w:r>
        <w:rPr>
          <w:rFonts w:ascii="Arial" w:cs="Arial" w:eastAsia="Arial" w:hAnsi="Arial"/>
          <w:sz w:val="18"/>
          <w:szCs w:val="18"/>
          <w:color w:val="auto"/>
        </w:rPr>
        <w:t>Stockholders’ deficit</w:t>
      </w:r>
    </w:p>
    <w:p>
      <w:pPr>
        <w:ind w:left="540" w:hanging="215"/>
        <w:spacing w:after="0" w:line="234" w:lineRule="auto"/>
        <w:rPr>
          <w:sz w:val="20"/>
          <w:szCs w:val="20"/>
          <w:color w:val="auto"/>
        </w:rPr>
      </w:pPr>
      <w:r>
        <w:rPr>
          <w:rFonts w:ascii="Arial" w:cs="Arial" w:eastAsia="Arial" w:hAnsi="Arial"/>
          <w:sz w:val="18"/>
          <w:szCs w:val="18"/>
          <w:color w:val="auto"/>
        </w:rPr>
        <w:t>Common stock, $0.001 par value; 121,500,000 shares authorized, 19,083,561 and 21,254,788 shares issued and outstanding at December 31, 2017 and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12890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340"/>
        <w:spacing w:after="0" w:line="236" w:lineRule="auto"/>
        <w:rPr>
          <w:sz w:val="20"/>
          <w:szCs w:val="20"/>
          <w:color w:val="auto"/>
        </w:rPr>
      </w:pPr>
      <w:r>
        <w:rPr>
          <w:rFonts w:ascii="Arial" w:cs="Arial" w:eastAsia="Arial" w:hAnsi="Arial"/>
          <w:sz w:val="18"/>
          <w:szCs w:val="18"/>
          <w:color w:val="auto"/>
        </w:rPr>
        <w:t>Additional paid-in capital</w:t>
      </w:r>
    </w:p>
    <w:p>
      <w:pPr>
        <w:ind w:left="340"/>
        <w:spacing w:after="0"/>
        <w:rPr>
          <w:sz w:val="20"/>
          <w:szCs w:val="20"/>
          <w:color w:val="auto"/>
        </w:rPr>
      </w:pPr>
      <w:r>
        <w:rPr>
          <w:rFonts w:ascii="Arial" w:cs="Arial" w:eastAsia="Arial" w:hAnsi="Arial"/>
          <w:sz w:val="18"/>
          <w:szCs w:val="18"/>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12065</wp:posOffset>
            </wp:positionV>
            <wp:extent cx="6995160" cy="12827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995160" cy="128270"/>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Total stockholders’ deficit</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Total liabilities, convertible preferred stock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3810</wp:posOffset>
            </wp:positionV>
            <wp:extent cx="6926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72"/>
              <w:spacing w:after="0"/>
              <w:rPr>
                <w:sz w:val="20"/>
                <w:szCs w:val="20"/>
                <w:color w:val="auto"/>
              </w:rPr>
            </w:pPr>
            <w:r>
              <w:rPr>
                <w:rFonts w:ascii="Arial" w:cs="Arial" w:eastAsia="Arial" w:hAnsi="Arial"/>
                <w:sz w:val="18"/>
                <w:szCs w:val="18"/>
                <w:color w:val="auto"/>
              </w:rPr>
              <w:t>18,616,527</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2,173,765</w:t>
            </w:r>
          </w:p>
        </w:tc>
      </w:tr>
      <w:tr>
        <w:trPr>
          <w:trHeight w:val="199"/>
        </w:trPr>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72"/>
              <w:spacing w:after="0" w:line="200" w:lineRule="exact"/>
              <w:rPr>
                <w:sz w:val="20"/>
                <w:szCs w:val="20"/>
                <w:color w:val="auto"/>
              </w:rPr>
            </w:pPr>
            <w:r>
              <w:rPr>
                <w:rFonts w:ascii="Arial" w:cs="Arial" w:eastAsia="Arial" w:hAnsi="Arial"/>
                <w:sz w:val="18"/>
                <w:szCs w:val="18"/>
                <w:color w:val="auto"/>
              </w:rPr>
              <w:t>527,558</w:t>
            </w: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543,802</w:t>
            </w:r>
          </w:p>
        </w:tc>
      </w:tr>
      <w:tr>
        <w:trPr>
          <w:trHeight w:val="213"/>
        </w:trPr>
        <w:tc>
          <w:tcPr>
            <w:tcW w:w="180" w:type="dxa"/>
            <w:vAlign w:val="bottom"/>
          </w:tcPr>
          <w:p>
            <w:pPr>
              <w:spacing w:after="0"/>
              <w:rPr>
                <w:sz w:val="18"/>
                <w:szCs w:val="18"/>
                <w:color w:val="auto"/>
              </w:rPr>
            </w:pPr>
          </w:p>
        </w:tc>
        <w:tc>
          <w:tcPr>
            <w:tcW w:w="1240" w:type="dxa"/>
            <w:vAlign w:val="bottom"/>
          </w:tcPr>
          <w:p>
            <w:pPr>
              <w:jc w:val="right"/>
              <w:ind w:right="172"/>
              <w:spacing w:after="0"/>
              <w:rPr>
                <w:sz w:val="20"/>
                <w:szCs w:val="20"/>
                <w:color w:val="auto"/>
              </w:rPr>
            </w:pPr>
            <w:r>
              <w:rPr>
                <w:rFonts w:ascii="Arial" w:cs="Arial" w:eastAsia="Arial" w:hAnsi="Arial"/>
                <w:sz w:val="18"/>
                <w:szCs w:val="18"/>
                <w:color w:val="auto"/>
              </w:rPr>
              <w:t>19,144,085</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2,717,567</w:t>
            </w:r>
          </w:p>
        </w:tc>
      </w:tr>
      <w:tr>
        <w:trPr>
          <w:trHeight w:val="203"/>
        </w:trPr>
        <w:tc>
          <w:tcPr>
            <w:tcW w:w="180" w:type="dxa"/>
            <w:vAlign w:val="bottom"/>
          </w:tcPr>
          <w:p>
            <w:pPr>
              <w:spacing w:after="0"/>
              <w:rPr>
                <w:sz w:val="17"/>
                <w:szCs w:val="17"/>
                <w:color w:val="auto"/>
              </w:rPr>
            </w:pPr>
          </w:p>
        </w:tc>
        <w:tc>
          <w:tcPr>
            <w:tcW w:w="124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4,008,581</w:t>
            </w:r>
          </w:p>
        </w:tc>
        <w:tc>
          <w:tcPr>
            <w:tcW w:w="4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5,438,180</w:t>
            </w:r>
          </w:p>
        </w:tc>
      </w:tr>
      <w:tr>
        <w:trPr>
          <w:trHeight w:val="199"/>
        </w:trPr>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72"/>
              <w:spacing w:after="0" w:line="200" w:lineRule="exact"/>
              <w:rPr>
                <w:sz w:val="20"/>
                <w:szCs w:val="20"/>
                <w:color w:val="auto"/>
              </w:rPr>
            </w:pPr>
            <w:r>
              <w:rPr>
                <w:rFonts w:ascii="Arial" w:cs="Arial" w:eastAsia="Arial" w:hAnsi="Arial"/>
                <w:sz w:val="18"/>
                <w:szCs w:val="18"/>
                <w:color w:val="auto"/>
              </w:rPr>
              <w:t>213,581</w:t>
            </w: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320,261</w:t>
            </w:r>
          </w:p>
        </w:tc>
      </w:tr>
      <w:tr>
        <w:trPr>
          <w:trHeight w:val="210"/>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23,366,247</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8,476,008</w:t>
            </w:r>
          </w:p>
        </w:tc>
      </w:tr>
      <w:tr>
        <w:trPr>
          <w:trHeight w:val="753"/>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72"/>
              <w:spacing w:after="0"/>
              <w:rPr>
                <w:sz w:val="20"/>
                <w:szCs w:val="20"/>
                <w:color w:val="auto"/>
              </w:rPr>
            </w:pPr>
            <w:r>
              <w:rPr>
                <w:rFonts w:ascii="Arial" w:cs="Arial" w:eastAsia="Arial" w:hAnsi="Arial"/>
                <w:sz w:val="18"/>
                <w:szCs w:val="18"/>
                <w:color w:val="auto"/>
              </w:rPr>
              <w:t>1,816,045</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1,296,483</w:t>
            </w:r>
          </w:p>
        </w:tc>
      </w:tr>
      <w:tr>
        <w:trPr>
          <w:trHeight w:val="203"/>
        </w:trPr>
        <w:tc>
          <w:tcPr>
            <w:tcW w:w="180" w:type="dxa"/>
            <w:vAlign w:val="bottom"/>
          </w:tcPr>
          <w:p>
            <w:pPr>
              <w:spacing w:after="0"/>
              <w:rPr>
                <w:sz w:val="17"/>
                <w:szCs w:val="17"/>
                <w:color w:val="auto"/>
              </w:rPr>
            </w:pPr>
          </w:p>
        </w:tc>
        <w:tc>
          <w:tcPr>
            <w:tcW w:w="124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2,159,209</w:t>
            </w:r>
          </w:p>
        </w:tc>
        <w:tc>
          <w:tcPr>
            <w:tcW w:w="4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1,854,562</w:t>
            </w:r>
          </w:p>
        </w:tc>
      </w:tr>
      <w:tr>
        <w:trPr>
          <w:trHeight w:val="203"/>
        </w:trPr>
        <w:tc>
          <w:tcPr>
            <w:tcW w:w="180" w:type="dxa"/>
            <w:vAlign w:val="bottom"/>
          </w:tcPr>
          <w:p>
            <w:pPr>
              <w:spacing w:after="0"/>
              <w:rPr>
                <w:sz w:val="17"/>
                <w:szCs w:val="17"/>
                <w:color w:val="auto"/>
              </w:rPr>
            </w:pPr>
          </w:p>
        </w:tc>
        <w:tc>
          <w:tcPr>
            <w:tcW w:w="124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114,866</w:t>
            </w:r>
          </w:p>
        </w:tc>
        <w:tc>
          <w:tcPr>
            <w:tcW w:w="4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180" w:type="dxa"/>
            <w:vAlign w:val="bottom"/>
          </w:tcPr>
          <w:p>
            <w:pPr>
              <w:spacing w:after="0"/>
              <w:rPr>
                <w:sz w:val="17"/>
                <w:szCs w:val="17"/>
                <w:color w:val="auto"/>
              </w:rPr>
            </w:pPr>
          </w:p>
        </w:tc>
        <w:tc>
          <w:tcPr>
            <w:tcW w:w="124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5,482,353</w:t>
            </w:r>
          </w:p>
        </w:tc>
        <w:tc>
          <w:tcPr>
            <w:tcW w:w="4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663,201</w:t>
            </w:r>
          </w:p>
        </w:tc>
      </w:tr>
      <w:tr>
        <w:trPr>
          <w:trHeight w:val="199"/>
        </w:trPr>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72"/>
              <w:spacing w:after="0" w:line="200" w:lineRule="exact"/>
              <w:rPr>
                <w:sz w:val="20"/>
                <w:szCs w:val="20"/>
                <w:color w:val="auto"/>
              </w:rPr>
            </w:pPr>
            <w:r>
              <w:rPr>
                <w:rFonts w:ascii="Arial" w:cs="Arial" w:eastAsia="Arial" w:hAnsi="Arial"/>
                <w:sz w:val="18"/>
                <w:szCs w:val="18"/>
                <w:color w:val="auto"/>
              </w:rPr>
              <w:t>107,783</w:t>
            </w: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815,991</w:t>
            </w:r>
          </w:p>
        </w:tc>
      </w:tr>
      <w:tr>
        <w:trPr>
          <w:trHeight w:val="213"/>
        </w:trPr>
        <w:tc>
          <w:tcPr>
            <w:tcW w:w="180" w:type="dxa"/>
            <w:vAlign w:val="bottom"/>
          </w:tcPr>
          <w:p>
            <w:pPr>
              <w:spacing w:after="0"/>
              <w:rPr>
                <w:sz w:val="18"/>
                <w:szCs w:val="18"/>
                <w:color w:val="auto"/>
              </w:rPr>
            </w:pPr>
          </w:p>
        </w:tc>
        <w:tc>
          <w:tcPr>
            <w:tcW w:w="1240" w:type="dxa"/>
            <w:vAlign w:val="bottom"/>
          </w:tcPr>
          <w:p>
            <w:pPr>
              <w:jc w:val="right"/>
              <w:ind w:right="172"/>
              <w:spacing w:after="0"/>
              <w:rPr>
                <w:sz w:val="20"/>
                <w:szCs w:val="20"/>
                <w:color w:val="auto"/>
              </w:rPr>
            </w:pPr>
            <w:r>
              <w:rPr>
                <w:rFonts w:ascii="Arial" w:cs="Arial" w:eastAsia="Arial" w:hAnsi="Arial"/>
                <w:sz w:val="18"/>
                <w:szCs w:val="18"/>
                <w:color w:val="auto"/>
              </w:rPr>
              <w:t>9,680,256</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4,630,237</w:t>
            </w:r>
          </w:p>
        </w:tc>
      </w:tr>
      <w:tr>
        <w:trPr>
          <w:trHeight w:val="203"/>
        </w:trPr>
        <w:tc>
          <w:tcPr>
            <w:tcW w:w="180" w:type="dxa"/>
            <w:vAlign w:val="bottom"/>
          </w:tcPr>
          <w:p>
            <w:pPr>
              <w:spacing w:after="0"/>
              <w:rPr>
                <w:sz w:val="17"/>
                <w:szCs w:val="17"/>
                <w:color w:val="auto"/>
              </w:rPr>
            </w:pPr>
          </w:p>
        </w:tc>
        <w:tc>
          <w:tcPr>
            <w:tcW w:w="124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33,989,320</w:t>
            </w:r>
          </w:p>
        </w:tc>
        <w:tc>
          <w:tcPr>
            <w:tcW w:w="4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w w:val="99"/>
              </w:rPr>
              <w:t>22,055,057</w:t>
            </w:r>
          </w:p>
        </w:tc>
      </w:tr>
      <w:tr>
        <w:trPr>
          <w:trHeight w:val="203"/>
        </w:trPr>
        <w:tc>
          <w:tcPr>
            <w:tcW w:w="180" w:type="dxa"/>
            <w:vAlign w:val="bottom"/>
          </w:tcPr>
          <w:p>
            <w:pPr>
              <w:spacing w:after="0"/>
              <w:rPr>
                <w:sz w:val="17"/>
                <w:szCs w:val="17"/>
                <w:color w:val="auto"/>
              </w:rPr>
            </w:pPr>
          </w:p>
        </w:tc>
        <w:tc>
          <w:tcPr>
            <w:tcW w:w="124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301,364</w:t>
            </w:r>
          </w:p>
        </w:tc>
        <w:tc>
          <w:tcPr>
            <w:tcW w:w="4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180" w:type="dxa"/>
            <w:vAlign w:val="bottom"/>
          </w:tcPr>
          <w:p>
            <w:pPr>
              <w:spacing w:after="0"/>
              <w:rPr>
                <w:sz w:val="17"/>
                <w:szCs w:val="17"/>
                <w:color w:val="auto"/>
              </w:rPr>
            </w:pPr>
          </w:p>
        </w:tc>
        <w:tc>
          <w:tcPr>
            <w:tcW w:w="124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17,250,000</w:t>
            </w:r>
          </w:p>
        </w:tc>
        <w:tc>
          <w:tcPr>
            <w:tcW w:w="4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2,228,174</w:t>
            </w:r>
          </w:p>
        </w:tc>
      </w:tr>
      <w:tr>
        <w:trPr>
          <w:trHeight w:val="199"/>
        </w:trPr>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72"/>
              <w:spacing w:after="0" w:line="200" w:lineRule="exact"/>
              <w:rPr>
                <w:sz w:val="20"/>
                <w:szCs w:val="20"/>
                <w:color w:val="auto"/>
              </w:rPr>
            </w:pPr>
            <w:r>
              <w:rPr>
                <w:rFonts w:ascii="Arial" w:cs="Arial" w:eastAsia="Arial" w:hAnsi="Arial"/>
                <w:sz w:val="18"/>
                <w:szCs w:val="18"/>
                <w:color w:val="auto"/>
              </w:rPr>
              <w:t>255,067</w:t>
            </w: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143,494</w:t>
            </w:r>
          </w:p>
        </w:tc>
      </w:tr>
      <w:tr>
        <w:trPr>
          <w:trHeight w:val="221"/>
        </w:trPr>
        <w:tc>
          <w:tcPr>
            <w:tcW w:w="180" w:type="dxa"/>
            <w:vAlign w:val="bottom"/>
          </w:tcPr>
          <w:p>
            <w:pPr>
              <w:spacing w:after="0"/>
              <w:rPr>
                <w:sz w:val="19"/>
                <w:szCs w:val="19"/>
                <w:color w:val="auto"/>
              </w:rPr>
            </w:pPr>
          </w:p>
        </w:tc>
        <w:tc>
          <w:tcPr>
            <w:tcW w:w="1240" w:type="dxa"/>
            <w:vAlign w:val="bottom"/>
          </w:tcPr>
          <w:p>
            <w:pPr>
              <w:jc w:val="right"/>
              <w:ind w:right="172"/>
              <w:spacing w:after="0"/>
              <w:rPr>
                <w:sz w:val="20"/>
                <w:szCs w:val="20"/>
                <w:color w:val="auto"/>
              </w:rPr>
            </w:pPr>
            <w:r>
              <w:rPr>
                <w:rFonts w:ascii="Arial" w:cs="Arial" w:eastAsia="Arial" w:hAnsi="Arial"/>
                <w:sz w:val="18"/>
                <w:szCs w:val="18"/>
                <w:color w:val="auto"/>
              </w:rPr>
              <w:t>61,476,007</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29,056,962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80"/>
        <w:spacing w:after="0"/>
        <w:tabs>
          <w:tab w:leader="none" w:pos="1840" w:val="left"/>
        </w:tabs>
        <w:rPr>
          <w:sz w:val="20"/>
          <w:szCs w:val="20"/>
          <w:color w:val="auto"/>
        </w:rPr>
      </w:pPr>
      <w:r>
        <w:rPr>
          <w:rFonts w:ascii="Arial" w:cs="Arial" w:eastAsia="Arial" w:hAnsi="Arial"/>
          <w:sz w:val="18"/>
          <w:szCs w:val="18"/>
          <w:color w:val="auto"/>
        </w:rPr>
        <w:t>74,259,411</w:t>
      </w:r>
      <w:r>
        <w:rPr>
          <w:sz w:val="20"/>
          <w:szCs w:val="20"/>
          <w:color w:val="auto"/>
        </w:rPr>
        <w:tab/>
      </w:r>
      <w:r>
        <w:rPr>
          <w:rFonts w:ascii="Arial" w:cs="Arial" w:eastAsia="Arial" w:hAnsi="Arial"/>
          <w:sz w:val="18"/>
          <w:szCs w:val="18"/>
          <w:color w:val="auto"/>
        </w:rPr>
        <w:t>74,259,411</w:t>
      </w:r>
    </w:p>
    <w:p>
      <w:pPr>
        <w:spacing w:after="0" w:line="396" w:lineRule="exact"/>
        <w:rPr>
          <w:sz w:val="20"/>
          <w:szCs w:val="20"/>
          <w:color w:val="auto"/>
        </w:rPr>
      </w:pPr>
    </w:p>
    <w:p>
      <w:pPr>
        <w:ind w:left="620"/>
        <w:spacing w:after="0"/>
        <w:tabs>
          <w:tab w:leader="none" w:pos="2180" w:val="left"/>
        </w:tabs>
        <w:rPr>
          <w:sz w:val="20"/>
          <w:szCs w:val="20"/>
          <w:color w:val="auto"/>
        </w:rPr>
      </w:pPr>
      <w:r>
        <w:rPr>
          <w:rFonts w:ascii="Arial" w:cs="Arial" w:eastAsia="Arial" w:hAnsi="Arial"/>
          <w:sz w:val="18"/>
          <w:szCs w:val="18"/>
          <w:color w:val="auto"/>
        </w:rPr>
        <w:t>19,084</w:t>
      </w:r>
      <w:r>
        <w:rPr>
          <w:sz w:val="20"/>
          <w:szCs w:val="20"/>
          <w:color w:val="auto"/>
        </w:rPr>
        <w:tab/>
      </w:r>
      <w:r>
        <w:rPr>
          <w:rFonts w:ascii="Arial" w:cs="Arial" w:eastAsia="Arial" w:hAnsi="Arial"/>
          <w:sz w:val="18"/>
          <w:szCs w:val="18"/>
          <w:color w:val="auto"/>
        </w:rPr>
        <w:t>21,255</w:t>
      </w:r>
    </w:p>
    <w:p>
      <w:pPr>
        <w:ind w:left="380"/>
        <w:spacing w:after="0" w:line="234" w:lineRule="auto"/>
        <w:tabs>
          <w:tab w:leader="none" w:pos="1940" w:val="left"/>
        </w:tabs>
        <w:rPr>
          <w:sz w:val="20"/>
          <w:szCs w:val="20"/>
          <w:color w:val="auto"/>
        </w:rPr>
      </w:pPr>
      <w:r>
        <w:rPr>
          <w:rFonts w:ascii="Arial" w:cs="Arial" w:eastAsia="Arial" w:hAnsi="Arial"/>
          <w:sz w:val="18"/>
          <w:szCs w:val="18"/>
          <w:color w:val="auto"/>
        </w:rPr>
        <w:t>5,088,905</w:t>
      </w:r>
      <w:r>
        <w:rPr>
          <w:sz w:val="20"/>
          <w:szCs w:val="20"/>
          <w:color w:val="auto"/>
        </w:rPr>
        <w:tab/>
      </w:r>
      <w:r>
        <w:rPr>
          <w:rFonts w:ascii="Arial" w:cs="Arial" w:eastAsia="Arial" w:hAnsi="Arial"/>
          <w:sz w:val="18"/>
          <w:szCs w:val="18"/>
          <w:color w:val="auto"/>
        </w:rPr>
        <w:t>4,447,929</w:t>
      </w:r>
    </w:p>
    <w:p>
      <w:pPr>
        <w:spacing w:after="0" w:line="1"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16"/>
          <w:szCs w:val="16"/>
          <w:color w:val="auto"/>
        </w:rPr>
        <w:t>(117,477,160)</w:t>
      </w:r>
      <w:r>
        <w:rPr>
          <w:sz w:val="20"/>
          <w:szCs w:val="20"/>
          <w:color w:val="auto"/>
        </w:rPr>
        <w:tab/>
      </w:r>
      <w:r>
        <w:rPr>
          <w:rFonts w:ascii="Arial" w:cs="Arial" w:eastAsia="Arial" w:hAnsi="Arial"/>
          <w:sz w:val="16"/>
          <w:szCs w:val="16"/>
          <w:color w:val="auto"/>
        </w:rPr>
        <w:t>(99,309,549)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173990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26"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16"/>
          <w:szCs w:val="16"/>
          <w:color w:val="auto"/>
        </w:rPr>
        <w:t>(112,369,171)</w:t>
      </w:r>
      <w:r>
        <w:rPr>
          <w:sz w:val="20"/>
          <w:szCs w:val="20"/>
          <w:color w:val="auto"/>
        </w:rPr>
        <w:tab/>
      </w:r>
      <w:r>
        <w:rPr>
          <w:rFonts w:ascii="Arial" w:cs="Arial" w:eastAsia="Arial" w:hAnsi="Arial"/>
          <w:sz w:val="16"/>
          <w:szCs w:val="16"/>
          <w:color w:val="auto"/>
        </w:rPr>
        <w:t>(94,840,365)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17399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739900" cy="8890"/>
                    </a:xfrm>
                    <a:prstGeom prst="rect">
                      <a:avLst/>
                    </a:prstGeom>
                    <a:noFill/>
                  </pic:spPr>
                </pic:pic>
              </a:graphicData>
            </a:graphic>
          </wp:anchor>
        </w:drawing>
      </w:r>
    </w:p>
    <w:p>
      <w:pPr>
        <w:spacing w:after="0" w:line="26" w:lineRule="exact"/>
        <w:rPr>
          <w:sz w:val="20"/>
          <w:szCs w:val="20"/>
          <w:color w:val="auto"/>
        </w:rPr>
      </w:pPr>
    </w:p>
    <w:p>
      <w:pPr>
        <w:spacing w:after="0"/>
        <w:tabs>
          <w:tab w:leader="none" w:pos="260" w:val="left"/>
          <w:tab w:leader="none" w:pos="1680" w:val="left"/>
          <w:tab w:leader="none" w:pos="1940" w:val="left"/>
        </w:tabs>
        <w:rPr>
          <w:sz w:val="20"/>
          <w:szCs w:val="20"/>
          <w:color w:val="auto"/>
        </w:rPr>
      </w:pPr>
      <w:r>
        <w:rPr>
          <w:rFonts w:ascii="Arial" w:cs="Arial" w:eastAsia="Arial" w:hAnsi="Arial"/>
          <w:sz w:val="18"/>
          <w:szCs w:val="18"/>
          <w:color w:val="auto"/>
        </w:rPr>
        <w:t>$</w:t>
        <w:tab/>
        <w:t>23,366,247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8,476,008</w:t>
      </w:r>
    </w:p>
    <w:p>
      <w:pPr>
        <w:spacing w:after="0" w:line="200" w:lineRule="exact"/>
        <w:rPr>
          <w:sz w:val="20"/>
          <w:szCs w:val="20"/>
          <w:color w:val="auto"/>
        </w:rPr>
      </w:pPr>
    </w:p>
    <w:p>
      <w:pPr>
        <w:sectPr>
          <w:pgSz w:w="11900" w:h="16838" w:orient="portrait"/>
          <w:cols w:equalWidth="0" w:num="2">
            <w:col w:w="7660" w:space="620"/>
            <w:col w:w="2800"/>
          </w:cols>
          <w:pgMar w:left="320" w:top="459" w:right="499" w:bottom="1440" w:gutter="0" w:footer="0" w:header="0"/>
          <w:type w:val="continuous"/>
        </w:sectPr>
      </w:pPr>
    </w:p>
    <w:p>
      <w:pPr>
        <w:spacing w:after="0" w:line="291"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The accompanying notes are an integral part of these financial statements.</w:t>
      </w:r>
    </w:p>
    <w:p>
      <w:pPr>
        <w:spacing w:after="0" w:line="16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F-37</w:t>
      </w:r>
    </w:p>
    <w:p>
      <w:pPr>
        <w:sectPr>
          <w:pgSz w:w="11900" w:h="16838" w:orient="portrait"/>
          <w:cols w:equalWidth="0" w:num="1">
            <w:col w:w="11080"/>
          </w:cols>
          <w:pgMar w:left="320" w:top="459" w:right="499" w:bottom="1440" w:gutter="0" w:footer="0" w:header="0"/>
          <w:type w:val="continuous"/>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Warp Drive Bio, Inc.</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Statements of operations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699516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6"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55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0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556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auto"/>
            </w:tcBorders>
          </w:tcPr>
          <w:p>
            <w:pPr>
              <w:spacing w:after="0"/>
              <w:rPr>
                <w:sz w:val="19"/>
                <w:szCs w:val="19"/>
                <w:color w:val="auto"/>
              </w:rPr>
            </w:pPr>
          </w:p>
        </w:tc>
      </w:tr>
      <w:tr>
        <w:trPr>
          <w:trHeight w:val="196"/>
        </w:trPr>
        <w:tc>
          <w:tcPr>
            <w:tcW w:w="5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5560" w:type="dxa"/>
            <w:vAlign w:val="bottom"/>
          </w:tcPr>
          <w:p>
            <w:pPr>
              <w:ind w:left="220"/>
              <w:spacing w:after="0" w:line="202" w:lineRule="exact"/>
              <w:rPr>
                <w:sz w:val="20"/>
                <w:szCs w:val="20"/>
                <w:color w:val="auto"/>
              </w:rPr>
            </w:pPr>
            <w:r>
              <w:rPr>
                <w:rFonts w:ascii="Arial" w:cs="Arial" w:eastAsia="Arial" w:hAnsi="Arial"/>
                <w:sz w:val="18"/>
                <w:szCs w:val="18"/>
                <w:color w:val="auto"/>
              </w:rPr>
              <w:t>Collaboration revenue, related party</w:t>
            </w:r>
          </w:p>
        </w:tc>
        <w:tc>
          <w:tcPr>
            <w:tcW w:w="2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13,009,022</w:t>
            </w:r>
          </w:p>
        </w:tc>
        <w:tc>
          <w:tcPr>
            <w:tcW w:w="200" w:type="dxa"/>
            <w:vAlign w:val="bottom"/>
          </w:tcPr>
          <w:p>
            <w:pPr>
              <w:spacing w:after="0"/>
              <w:rPr>
                <w:sz w:val="17"/>
                <w:szCs w:val="17"/>
                <w:color w:val="auto"/>
              </w:rPr>
            </w:pPr>
          </w:p>
        </w:tc>
        <w:tc>
          <w:tcPr>
            <w:tcW w:w="3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1,858,625</w:t>
            </w:r>
          </w:p>
        </w:tc>
      </w:tr>
      <w:tr>
        <w:trPr>
          <w:trHeight w:val="203"/>
        </w:trPr>
        <w:tc>
          <w:tcPr>
            <w:tcW w:w="55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Collaboration revenue</w:t>
            </w:r>
          </w:p>
        </w:tc>
        <w:tc>
          <w:tcPr>
            <w:tcW w:w="2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1,150,000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10"/>
        </w:trPr>
        <w:tc>
          <w:tcPr>
            <w:tcW w:w="5560" w:type="dxa"/>
            <w:vAlign w:val="bottom"/>
          </w:tcPr>
          <w:p>
            <w:pPr>
              <w:ind w:left="220"/>
              <w:spacing w:after="0" w:line="202" w:lineRule="exact"/>
              <w:rPr>
                <w:sz w:val="20"/>
                <w:szCs w:val="20"/>
                <w:color w:val="auto"/>
              </w:rPr>
            </w:pPr>
            <w:r>
              <w:rPr>
                <w:rFonts w:ascii="Arial" w:cs="Arial" w:eastAsia="Arial" w:hAnsi="Arial"/>
                <w:sz w:val="18"/>
                <w:szCs w:val="18"/>
                <w:color w:val="auto"/>
              </w:rPr>
              <w:t>Grant revenue</w:t>
            </w:r>
          </w:p>
        </w:tc>
        <w:tc>
          <w:tcPr>
            <w:tcW w:w="25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200"/>
              <w:spacing w:after="0" w:line="202" w:lineRule="exact"/>
              <w:rPr>
                <w:sz w:val="20"/>
                <w:szCs w:val="20"/>
                <w:color w:val="auto"/>
              </w:rPr>
            </w:pPr>
            <w:r>
              <w:rPr>
                <w:rFonts w:ascii="Arial" w:cs="Arial" w:eastAsia="Arial" w:hAnsi="Arial"/>
                <w:sz w:val="18"/>
                <w:szCs w:val="18"/>
                <w:color w:val="auto"/>
              </w:rPr>
              <w:t>1,671,881</w:t>
            </w: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03"/>
        </w:trPr>
        <w:tc>
          <w:tcPr>
            <w:tcW w:w="55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revenue</w:t>
            </w:r>
          </w:p>
        </w:tc>
        <w:tc>
          <w:tcPr>
            <w:tcW w:w="2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15,830,903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1,858,625</w:t>
            </w:r>
          </w:p>
        </w:tc>
      </w:tr>
      <w:tr>
        <w:trPr>
          <w:trHeight w:val="202"/>
        </w:trPr>
        <w:tc>
          <w:tcPr>
            <w:tcW w:w="556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2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55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Research and development</w:t>
            </w:r>
          </w:p>
        </w:tc>
        <w:tc>
          <w:tcPr>
            <w:tcW w:w="2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23,584,888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20,192,431</w:t>
            </w:r>
          </w:p>
        </w:tc>
        <w:tc>
          <w:tcPr>
            <w:tcW w:w="140" w:type="dxa"/>
            <w:vAlign w:val="bottom"/>
            <w:shd w:val="clear" w:color="auto" w:fill="CCEEFF"/>
          </w:tcPr>
          <w:p>
            <w:pPr>
              <w:spacing w:after="0"/>
              <w:rPr>
                <w:sz w:val="17"/>
                <w:szCs w:val="17"/>
                <w:color w:val="auto"/>
              </w:rPr>
            </w:pPr>
          </w:p>
        </w:tc>
      </w:tr>
      <w:tr>
        <w:trPr>
          <w:trHeight w:val="210"/>
        </w:trPr>
        <w:tc>
          <w:tcPr>
            <w:tcW w:w="5560" w:type="dxa"/>
            <w:vAlign w:val="bottom"/>
          </w:tcPr>
          <w:p>
            <w:pPr>
              <w:ind w:left="220"/>
              <w:spacing w:after="0" w:line="202" w:lineRule="exact"/>
              <w:rPr>
                <w:sz w:val="20"/>
                <w:szCs w:val="20"/>
                <w:color w:val="auto"/>
              </w:rPr>
            </w:pPr>
            <w:r>
              <w:rPr>
                <w:rFonts w:ascii="Arial" w:cs="Arial" w:eastAsia="Arial" w:hAnsi="Arial"/>
                <w:sz w:val="18"/>
                <w:szCs w:val="18"/>
                <w:color w:val="auto"/>
              </w:rPr>
              <w:t>General and administrative</w:t>
            </w:r>
          </w:p>
        </w:tc>
        <w:tc>
          <w:tcPr>
            <w:tcW w:w="2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7,524,205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8,034,661</w:t>
            </w:r>
          </w:p>
        </w:tc>
      </w:tr>
      <w:tr>
        <w:trPr>
          <w:trHeight w:val="203"/>
        </w:trPr>
        <w:tc>
          <w:tcPr>
            <w:tcW w:w="55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operating expenses</w:t>
            </w:r>
          </w:p>
        </w:tc>
        <w:tc>
          <w:tcPr>
            <w:tcW w:w="2580" w:type="dxa"/>
            <w:vAlign w:val="bottom"/>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31,109,093</w:t>
            </w:r>
          </w:p>
        </w:tc>
        <w:tc>
          <w:tcPr>
            <w:tcW w:w="2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28,227,092</w:t>
            </w:r>
          </w:p>
        </w:tc>
        <w:tc>
          <w:tcPr>
            <w:tcW w:w="140" w:type="dxa"/>
            <w:vAlign w:val="bottom"/>
            <w:shd w:val="clear" w:color="auto" w:fill="CCEEFF"/>
          </w:tcPr>
          <w:p>
            <w:pPr>
              <w:spacing w:after="0"/>
              <w:rPr>
                <w:sz w:val="17"/>
                <w:szCs w:val="17"/>
                <w:color w:val="auto"/>
              </w:rPr>
            </w:pPr>
          </w:p>
        </w:tc>
      </w:tr>
      <w:tr>
        <w:trPr>
          <w:trHeight w:val="209"/>
        </w:trPr>
        <w:tc>
          <w:tcPr>
            <w:tcW w:w="5560" w:type="dxa"/>
            <w:vAlign w:val="bottom"/>
          </w:tcPr>
          <w:p>
            <w:pPr>
              <w:ind w:left="420"/>
              <w:spacing w:after="0"/>
              <w:rPr>
                <w:sz w:val="20"/>
                <w:szCs w:val="20"/>
                <w:color w:val="auto"/>
              </w:rPr>
            </w:pPr>
            <w:r>
              <w:rPr>
                <w:rFonts w:ascii="Arial" w:cs="Arial" w:eastAsia="Arial" w:hAnsi="Arial"/>
                <w:sz w:val="18"/>
                <w:szCs w:val="18"/>
                <w:color w:val="auto"/>
              </w:rPr>
              <w:t>Loss from operations</w:t>
            </w:r>
          </w:p>
        </w:tc>
        <w:tc>
          <w:tcPr>
            <w:tcW w:w="2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(15,278,190)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(26,368,467)</w:t>
            </w:r>
          </w:p>
        </w:tc>
      </w:tr>
      <w:tr>
        <w:trPr>
          <w:trHeight w:val="203"/>
        </w:trPr>
        <w:tc>
          <w:tcPr>
            <w:tcW w:w="5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and other income</w:t>
            </w:r>
          </w:p>
        </w:tc>
        <w:tc>
          <w:tcPr>
            <w:tcW w:w="2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45,111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18,747</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2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(2,934,532)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(1,062,213)</w:t>
            </w:r>
          </w:p>
        </w:tc>
      </w:tr>
      <w:tr>
        <w:trPr>
          <w:trHeight w:val="27"/>
        </w:trPr>
        <w:tc>
          <w:tcPr>
            <w:tcW w:w="55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55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Net loss and comprehensive loss</w:t>
            </w:r>
          </w:p>
        </w:tc>
        <w:tc>
          <w:tcPr>
            <w:tcW w:w="2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(18,167,611)</w:t>
            </w:r>
          </w:p>
        </w:tc>
        <w:tc>
          <w:tcPr>
            <w:tcW w:w="3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(27,411,933)</w:t>
            </w:r>
          </w:p>
        </w:tc>
      </w:tr>
      <w:tr>
        <w:trPr>
          <w:trHeight w:val="20"/>
        </w:trPr>
        <w:tc>
          <w:tcPr>
            <w:tcW w:w="556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The accompanying notes are an integral part of these financial statements.</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40"/>
          </w:cols>
          <w:pgMar w:left="320" w:top="459" w:right="4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Warp Drive Bio, Inc.</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Statements of convertible preferred stock and stockholders’ deficit</w:t>
      </w:r>
    </w:p>
    <w:p>
      <w:pPr>
        <w:spacing w:after="0" w:line="108" w:lineRule="exact"/>
        <w:rPr>
          <w:sz w:val="20"/>
          <w:szCs w:val="20"/>
          <w:color w:val="auto"/>
        </w:rPr>
      </w:pPr>
    </w:p>
    <w:tbl>
      <w:tblPr>
        <w:tblLayout w:type="fixed"/>
        <w:tblInd w:w="120" w:type="dxa"/>
        <w:tblCellMar>
          <w:top w:w="0" w:type="dxa"/>
          <w:left w:w="0" w:type="dxa"/>
          <w:bottom w:w="0" w:type="dxa"/>
          <w:right w:w="0" w:type="dxa"/>
        </w:tblCellMar>
      </w:tblPr>
      <w:tr>
        <w:trPr>
          <w:trHeight w:val="199"/>
        </w:trPr>
        <w:tc>
          <w:tcPr>
            <w:tcW w:w="13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60" w:type="dxa"/>
            <w:vAlign w:val="bottom"/>
            <w:tcBorders>
              <w:top w:val="single" w:sz="8" w:color="auto"/>
              <w:right w:val="single" w:sz="8" w:color="auto"/>
            </w:tcBorders>
            <w:gridSpan w:val="3"/>
          </w:tcPr>
          <w:p>
            <w:pPr>
              <w:jc w:val="center"/>
              <w:ind w:right="13"/>
              <w:spacing w:after="0"/>
              <w:rPr>
                <w:sz w:val="20"/>
                <w:szCs w:val="20"/>
                <w:color w:val="auto"/>
              </w:rPr>
            </w:pPr>
            <w:r>
              <w:rPr>
                <w:rFonts w:ascii="Arial" w:cs="Arial" w:eastAsia="Arial" w:hAnsi="Arial"/>
                <w:sz w:val="13"/>
                <w:szCs w:val="13"/>
                <w:b w:val="1"/>
                <w:bCs w:val="1"/>
                <w:color w:val="auto"/>
              </w:rPr>
              <w:t>Series A</w:t>
            </w:r>
          </w:p>
        </w:tc>
        <w:tc>
          <w:tcPr>
            <w:tcW w:w="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r>
      <w:tr>
        <w:trPr>
          <w:trHeight w:val="148"/>
        </w:trPr>
        <w:tc>
          <w:tcPr>
            <w:tcW w:w="1320" w:type="dxa"/>
            <w:vAlign w:val="bottom"/>
          </w:tcPr>
          <w:p>
            <w:pPr>
              <w:spacing w:after="0"/>
              <w:rPr>
                <w:sz w:val="12"/>
                <w:szCs w:val="12"/>
                <w:color w:val="auto"/>
              </w:rPr>
            </w:pPr>
          </w:p>
        </w:tc>
        <w:tc>
          <w:tcPr>
            <w:tcW w:w="1840" w:type="dxa"/>
            <w:vAlign w:val="bottom"/>
            <w:gridSpan w:val="4"/>
          </w:tcPr>
          <w:p>
            <w:pPr>
              <w:jc w:val="right"/>
              <w:ind w:right="220"/>
              <w:spacing w:after="0"/>
              <w:rPr>
                <w:sz w:val="20"/>
                <w:szCs w:val="20"/>
                <w:color w:val="auto"/>
              </w:rPr>
            </w:pPr>
            <w:r>
              <w:rPr>
                <w:rFonts w:ascii="Arial" w:cs="Arial" w:eastAsia="Arial" w:hAnsi="Arial"/>
                <w:sz w:val="13"/>
                <w:szCs w:val="13"/>
                <w:b w:val="1"/>
                <w:bCs w:val="1"/>
                <w:color w:val="auto"/>
              </w:rPr>
              <w:t>Series A preferred units</w:t>
            </w:r>
          </w:p>
        </w:tc>
        <w:tc>
          <w:tcPr>
            <w:tcW w:w="166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convertible preferred</w:t>
            </w: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1320" w:type="dxa"/>
            <w:vAlign w:val="bottom"/>
          </w:tcPr>
          <w:p>
            <w:pPr>
              <w:spacing w:after="0"/>
              <w:rPr>
                <w:sz w:val="14"/>
                <w:szCs w:val="14"/>
                <w:color w:val="auto"/>
              </w:rPr>
            </w:pPr>
          </w:p>
        </w:tc>
        <w:tc>
          <w:tcPr>
            <w:tcW w:w="1840" w:type="dxa"/>
            <w:vAlign w:val="bottom"/>
            <w:gridSpan w:val="4"/>
          </w:tcPr>
          <w:p>
            <w:pPr>
              <w:jc w:val="right"/>
              <w:ind w:right="460"/>
              <w:spacing w:after="0"/>
              <w:rPr>
                <w:sz w:val="20"/>
                <w:szCs w:val="20"/>
                <w:color w:val="auto"/>
              </w:rPr>
            </w:pPr>
            <w:r>
              <w:rPr>
                <w:rFonts w:ascii="Arial" w:cs="Arial" w:eastAsia="Arial" w:hAnsi="Arial"/>
                <w:sz w:val="13"/>
                <w:szCs w:val="13"/>
                <w:b w:val="1"/>
                <w:bCs w:val="1"/>
                <w:color w:val="auto"/>
              </w:rPr>
              <w:t>capital interests</w:t>
            </w:r>
          </w:p>
        </w:tc>
        <w:tc>
          <w:tcPr>
            <w:tcW w:w="166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stock</w:t>
            </w:r>
          </w:p>
        </w:tc>
        <w:tc>
          <w:tcPr>
            <w:tcW w:w="20" w:type="dxa"/>
            <w:vAlign w:val="bottom"/>
          </w:tcPr>
          <w:p>
            <w:pPr>
              <w:spacing w:after="0"/>
              <w:rPr>
                <w:sz w:val="14"/>
                <w:szCs w:val="14"/>
                <w:color w:val="auto"/>
              </w:rPr>
            </w:pPr>
          </w:p>
        </w:tc>
        <w:tc>
          <w:tcPr>
            <w:tcW w:w="1520" w:type="dxa"/>
            <w:vAlign w:val="bottom"/>
            <w:gridSpan w:val="4"/>
          </w:tcPr>
          <w:p>
            <w:pPr>
              <w:jc w:val="right"/>
              <w:ind w:right="340"/>
              <w:spacing w:after="0"/>
              <w:rPr>
                <w:sz w:val="20"/>
                <w:szCs w:val="20"/>
                <w:color w:val="auto"/>
              </w:rPr>
            </w:pPr>
            <w:r>
              <w:rPr>
                <w:rFonts w:ascii="Arial" w:cs="Arial" w:eastAsia="Arial" w:hAnsi="Arial"/>
                <w:sz w:val="13"/>
                <w:szCs w:val="13"/>
                <w:b w:val="1"/>
                <w:bCs w:val="1"/>
                <w:color w:val="auto"/>
              </w:rPr>
              <w:t>Common stock</w:t>
            </w:r>
          </w:p>
        </w:tc>
        <w:tc>
          <w:tcPr>
            <w:tcW w:w="1760" w:type="dxa"/>
            <w:vAlign w:val="bottom"/>
            <w:gridSpan w:val="4"/>
          </w:tcPr>
          <w:p>
            <w:pPr>
              <w:jc w:val="right"/>
              <w:ind w:right="400"/>
              <w:spacing w:after="0"/>
              <w:rPr>
                <w:sz w:val="20"/>
                <w:szCs w:val="20"/>
                <w:color w:val="auto"/>
              </w:rPr>
            </w:pPr>
            <w:r>
              <w:rPr>
                <w:rFonts w:ascii="Arial" w:cs="Arial" w:eastAsia="Arial" w:hAnsi="Arial"/>
                <w:sz w:val="13"/>
                <w:szCs w:val="13"/>
                <w:b w:val="1"/>
                <w:bCs w:val="1"/>
                <w:color w:val="auto"/>
              </w:rPr>
              <w:t>Capital interests</w:t>
            </w:r>
          </w:p>
        </w:tc>
        <w:tc>
          <w:tcPr>
            <w:tcW w:w="820" w:type="dxa"/>
            <w:vAlign w:val="bottom"/>
            <w:gridSpan w:val="2"/>
          </w:tcPr>
          <w:p>
            <w:pPr>
              <w:ind w:left="60"/>
              <w:spacing w:after="0"/>
              <w:rPr>
                <w:sz w:val="20"/>
                <w:szCs w:val="20"/>
                <w:color w:val="auto"/>
              </w:rPr>
            </w:pPr>
            <w:r>
              <w:rPr>
                <w:rFonts w:ascii="Arial" w:cs="Arial" w:eastAsia="Arial" w:hAnsi="Arial"/>
                <w:sz w:val="13"/>
                <w:szCs w:val="13"/>
                <w:b w:val="1"/>
                <w:bCs w:val="1"/>
                <w:color w:val="auto"/>
              </w:rPr>
              <w:t>Additional</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Total</w:t>
            </w:r>
          </w:p>
        </w:tc>
      </w:tr>
      <w:tr>
        <w:trPr>
          <w:trHeight w:val="125"/>
        </w:trPr>
        <w:tc>
          <w:tcPr>
            <w:tcW w:w="132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Borders>
              <w:top w:val="single" w:sz="8" w:color="auto"/>
            </w:tcBorders>
          </w:tcPr>
          <w:p>
            <w:pPr>
              <w:jc w:val="right"/>
              <w:ind w:right="193"/>
              <w:spacing w:after="0" w:line="126" w:lineRule="exact"/>
              <w:rPr>
                <w:sz w:val="20"/>
                <w:szCs w:val="20"/>
                <w:color w:val="auto"/>
              </w:rPr>
            </w:pPr>
            <w:r>
              <w:rPr>
                <w:rFonts w:ascii="Arial" w:cs="Arial" w:eastAsia="Arial" w:hAnsi="Arial"/>
                <w:sz w:val="13"/>
                <w:szCs w:val="13"/>
                <w:b w:val="1"/>
                <w:bCs w:val="1"/>
                <w:color w:val="auto"/>
              </w:rPr>
              <w:t>Units/</w:t>
            </w:r>
          </w:p>
        </w:tc>
        <w:tc>
          <w:tcPr>
            <w:tcW w:w="14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ind w:right="153"/>
              <w:spacing w:after="0" w:line="126" w:lineRule="exact"/>
              <w:rPr>
                <w:sz w:val="20"/>
                <w:szCs w:val="20"/>
                <w:color w:val="auto"/>
              </w:rPr>
            </w:pPr>
            <w:r>
              <w:rPr>
                <w:rFonts w:ascii="Arial" w:cs="Arial" w:eastAsia="Arial" w:hAnsi="Arial"/>
                <w:sz w:val="13"/>
                <w:szCs w:val="13"/>
                <w:b w:val="1"/>
                <w:bCs w:val="1"/>
                <w:color w:val="auto"/>
              </w:rPr>
              <w:t>paid-in</w:t>
            </w:r>
          </w:p>
        </w:tc>
        <w:tc>
          <w:tcPr>
            <w:tcW w:w="1040" w:type="dxa"/>
            <w:vAlign w:val="bottom"/>
            <w:gridSpan w:val="2"/>
          </w:tcPr>
          <w:p>
            <w:pPr>
              <w:ind w:left="80"/>
              <w:spacing w:after="0" w:line="126" w:lineRule="exact"/>
              <w:rPr>
                <w:sz w:val="20"/>
                <w:szCs w:val="20"/>
                <w:color w:val="auto"/>
              </w:rPr>
            </w:pPr>
            <w:r>
              <w:rPr>
                <w:rFonts w:ascii="Arial" w:cs="Arial" w:eastAsia="Arial" w:hAnsi="Arial"/>
                <w:sz w:val="13"/>
                <w:szCs w:val="13"/>
                <w:b w:val="1"/>
                <w:bCs w:val="1"/>
                <w:color w:val="auto"/>
              </w:rPr>
              <w:t>Accumulated</w:t>
            </w:r>
          </w:p>
        </w:tc>
        <w:tc>
          <w:tcPr>
            <w:tcW w:w="1040" w:type="dxa"/>
            <w:vAlign w:val="bottom"/>
            <w:gridSpan w:val="3"/>
          </w:tcPr>
          <w:p>
            <w:pPr>
              <w:ind w:left="60"/>
              <w:spacing w:after="0" w:line="126" w:lineRule="exact"/>
              <w:rPr>
                <w:sz w:val="20"/>
                <w:szCs w:val="20"/>
                <w:color w:val="auto"/>
              </w:rPr>
            </w:pPr>
            <w:r>
              <w:rPr>
                <w:rFonts w:ascii="Arial" w:cs="Arial" w:eastAsia="Arial" w:hAnsi="Arial"/>
                <w:sz w:val="13"/>
                <w:szCs w:val="13"/>
                <w:b w:val="1"/>
                <w:bCs w:val="1"/>
                <w:color w:val="auto"/>
              </w:rPr>
              <w:t>stockholders’</w:t>
            </w:r>
          </w:p>
        </w:tc>
      </w:tr>
      <w:tr>
        <w:trPr>
          <w:trHeight w:val="165"/>
        </w:trPr>
        <w:tc>
          <w:tcPr>
            <w:tcW w:w="1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Units</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b w:val="1"/>
                <w:bCs w:val="1"/>
                <w:color w:val="auto"/>
              </w:rPr>
              <w:t>Amount</w:t>
            </w: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Amount</w:t>
            </w: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Shares</w:t>
            </w:r>
          </w:p>
        </w:tc>
        <w:tc>
          <w:tcPr>
            <w:tcW w:w="70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Amount</w:t>
            </w:r>
          </w:p>
        </w:tc>
        <w:tc>
          <w:tcPr>
            <w:tcW w:w="88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Units</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capital</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deficit</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3"/>
                <w:szCs w:val="13"/>
                <w:b w:val="1"/>
                <w:bCs w:val="1"/>
                <w:color w:val="auto"/>
              </w:rPr>
              <w:t>deficit</w:t>
            </w:r>
          </w:p>
        </w:tc>
      </w:tr>
      <w:tr>
        <w:trPr>
          <w:trHeight w:val="125"/>
        </w:trPr>
        <w:tc>
          <w:tcPr>
            <w:tcW w:w="1320" w:type="dxa"/>
            <w:vAlign w:val="bottom"/>
            <w:shd w:val="clear" w:color="auto" w:fill="CCEEFF"/>
          </w:tcPr>
          <w:p>
            <w:pPr>
              <w:spacing w:after="0" w:line="126" w:lineRule="exact"/>
              <w:rPr>
                <w:sz w:val="20"/>
                <w:szCs w:val="20"/>
                <w:color w:val="auto"/>
              </w:rPr>
            </w:pPr>
            <w:r>
              <w:rPr>
                <w:rFonts w:ascii="Arial" w:cs="Arial" w:eastAsia="Arial" w:hAnsi="Arial"/>
                <w:sz w:val="13"/>
                <w:szCs w:val="13"/>
                <w:b w:val="1"/>
                <w:bCs w:val="1"/>
                <w:color w:val="auto"/>
              </w:rPr>
              <w:t>Balances at</w:t>
            </w: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65"/>
        </w:trPr>
        <w:tc>
          <w:tcPr>
            <w:tcW w:w="1320" w:type="dxa"/>
            <w:vAlign w:val="bottom"/>
            <w:shd w:val="clear" w:color="auto" w:fill="CCEEFF"/>
          </w:tcPr>
          <w:p>
            <w:pPr>
              <w:ind w:left="220"/>
              <w:spacing w:after="0"/>
              <w:rPr>
                <w:sz w:val="20"/>
                <w:szCs w:val="20"/>
                <w:color w:val="auto"/>
              </w:rPr>
            </w:pPr>
            <w:r>
              <w:rPr>
                <w:rFonts w:ascii="Arial" w:cs="Arial" w:eastAsia="Arial" w:hAnsi="Arial"/>
                <w:sz w:val="13"/>
                <w:szCs w:val="13"/>
                <w:b w:val="1"/>
                <w:bCs w:val="1"/>
                <w:color w:val="auto"/>
              </w:rPr>
              <w:t>January 1, 2016</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75,000,000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74,259,411</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1,323,530</w:t>
            </w: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1,324</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17,155,708</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3,454,622</w:t>
            </w:r>
          </w:p>
        </w:tc>
        <w:tc>
          <w:tcPr>
            <w:tcW w:w="120" w:type="dxa"/>
            <w:vAlign w:val="bottom"/>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ind w:left="60"/>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(71,897,616)</w:t>
            </w: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(68,441,670)</w:t>
            </w:r>
          </w:p>
        </w:tc>
      </w:tr>
      <w:tr>
        <w:trPr>
          <w:trHeight w:val="148"/>
        </w:trPr>
        <w:tc>
          <w:tcPr>
            <w:tcW w:w="1320" w:type="dxa"/>
            <w:vAlign w:val="bottom"/>
          </w:tcPr>
          <w:p>
            <w:pPr>
              <w:ind w:left="220"/>
              <w:spacing w:after="0" w:line="148" w:lineRule="exact"/>
              <w:rPr>
                <w:sz w:val="20"/>
                <w:szCs w:val="20"/>
                <w:color w:val="auto"/>
              </w:rPr>
            </w:pPr>
            <w:r>
              <w:rPr>
                <w:rFonts w:ascii="Arial" w:cs="Arial" w:eastAsia="Arial" w:hAnsi="Arial"/>
                <w:sz w:val="13"/>
                <w:szCs w:val="13"/>
                <w:color w:val="auto"/>
              </w:rPr>
              <w:t>Effect of</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320" w:type="dxa"/>
            <w:vAlign w:val="bottom"/>
          </w:tcPr>
          <w:p>
            <w:pPr>
              <w:ind w:left="420"/>
              <w:spacing w:after="0"/>
              <w:rPr>
                <w:sz w:val="20"/>
                <w:szCs w:val="20"/>
                <w:color w:val="auto"/>
              </w:rPr>
            </w:pPr>
            <w:r>
              <w:rPr>
                <w:rFonts w:ascii="Arial" w:cs="Arial" w:eastAsia="Arial" w:hAnsi="Arial"/>
                <w:sz w:val="13"/>
                <w:szCs w:val="13"/>
                <w:color w:val="auto"/>
              </w:rPr>
              <w:t>restructuring</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320" w:type="dxa"/>
            <w:vAlign w:val="bottom"/>
          </w:tcPr>
          <w:p>
            <w:pPr>
              <w:ind w:left="420"/>
              <w:spacing w:after="0"/>
              <w:rPr>
                <w:sz w:val="20"/>
                <w:szCs w:val="20"/>
                <w:color w:val="auto"/>
              </w:rPr>
            </w:pPr>
            <w:r>
              <w:rPr>
                <w:rFonts w:ascii="Arial" w:cs="Arial" w:eastAsia="Arial" w:hAnsi="Arial"/>
                <w:sz w:val="13"/>
                <w:szCs w:val="13"/>
                <w:color w:val="auto"/>
              </w:rPr>
              <w:t>(Note 8)</w:t>
            </w:r>
          </w:p>
        </w:tc>
        <w:tc>
          <w:tcPr>
            <w:tcW w:w="860" w:type="dxa"/>
            <w:vAlign w:val="bottom"/>
          </w:tcPr>
          <w:p>
            <w:pPr>
              <w:jc w:val="right"/>
              <w:spacing w:after="0"/>
              <w:rPr>
                <w:sz w:val="20"/>
                <w:szCs w:val="20"/>
                <w:color w:val="auto"/>
              </w:rPr>
            </w:pPr>
            <w:r>
              <w:rPr>
                <w:rFonts w:ascii="Arial" w:cs="Arial" w:eastAsia="Arial" w:hAnsi="Arial"/>
                <w:sz w:val="13"/>
                <w:szCs w:val="13"/>
                <w:color w:val="auto"/>
              </w:rPr>
              <w:t>(75,000,000)</w:t>
            </w:r>
          </w:p>
        </w:tc>
        <w:tc>
          <w:tcPr>
            <w:tcW w:w="120" w:type="dxa"/>
            <w:vAlign w:val="bottom"/>
          </w:tcPr>
          <w:p>
            <w:pPr>
              <w:spacing w:after="0"/>
              <w:rPr>
                <w:sz w:val="12"/>
                <w:szCs w:val="12"/>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(74,259,411)</w:t>
            </w:r>
          </w:p>
        </w:tc>
        <w:tc>
          <w:tcPr>
            <w:tcW w:w="780" w:type="dxa"/>
            <w:vAlign w:val="bottom"/>
          </w:tcPr>
          <w:p>
            <w:pPr>
              <w:jc w:val="right"/>
              <w:spacing w:after="0"/>
              <w:rPr>
                <w:sz w:val="20"/>
                <w:szCs w:val="20"/>
                <w:color w:val="auto"/>
              </w:rPr>
            </w:pPr>
            <w:r>
              <w:rPr>
                <w:rFonts w:ascii="Arial" w:cs="Arial" w:eastAsia="Arial" w:hAnsi="Arial"/>
                <w:sz w:val="13"/>
                <w:szCs w:val="13"/>
                <w:color w:val="auto"/>
              </w:rPr>
              <w:t>75,000,000</w:t>
            </w:r>
          </w:p>
        </w:tc>
        <w:tc>
          <w:tcPr>
            <w:tcW w:w="120" w:type="dxa"/>
            <w:vAlign w:val="bottom"/>
          </w:tcPr>
          <w:p>
            <w:pPr>
              <w:spacing w:after="0"/>
              <w:rPr>
                <w:sz w:val="12"/>
                <w:szCs w:val="12"/>
                <w:color w:val="auto"/>
              </w:rPr>
            </w:pPr>
          </w:p>
        </w:tc>
        <w:tc>
          <w:tcPr>
            <w:tcW w:w="76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74,259,411</w:t>
            </w:r>
          </w:p>
        </w:tc>
        <w:tc>
          <w:tcPr>
            <w:tcW w:w="840" w:type="dxa"/>
            <w:vAlign w:val="bottom"/>
            <w:gridSpan w:val="2"/>
          </w:tcPr>
          <w:p>
            <w:pPr>
              <w:jc w:val="right"/>
              <w:ind w:right="13"/>
              <w:spacing w:after="0"/>
              <w:rPr>
                <w:sz w:val="20"/>
                <w:szCs w:val="20"/>
                <w:color w:val="auto"/>
              </w:rPr>
            </w:pPr>
            <w:r>
              <w:rPr>
                <w:rFonts w:ascii="Arial" w:cs="Arial" w:eastAsia="Arial" w:hAnsi="Arial"/>
                <w:sz w:val="13"/>
                <w:szCs w:val="13"/>
                <w:color w:val="auto"/>
              </w:rPr>
              <w:t>17,155,708</w:t>
            </w:r>
          </w:p>
        </w:tc>
        <w:tc>
          <w:tcPr>
            <w:tcW w:w="140" w:type="dxa"/>
            <w:vAlign w:val="bottom"/>
          </w:tcPr>
          <w:p>
            <w:pPr>
              <w:spacing w:after="0"/>
              <w:rPr>
                <w:sz w:val="12"/>
                <w:szCs w:val="12"/>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17,156</w:t>
            </w:r>
          </w:p>
        </w:tc>
        <w:tc>
          <w:tcPr>
            <w:tcW w:w="880" w:type="dxa"/>
            <w:vAlign w:val="bottom"/>
          </w:tcPr>
          <w:p>
            <w:pPr>
              <w:jc w:val="right"/>
              <w:spacing w:after="0"/>
              <w:rPr>
                <w:sz w:val="20"/>
                <w:szCs w:val="20"/>
                <w:color w:val="auto"/>
              </w:rPr>
            </w:pPr>
            <w:r>
              <w:rPr>
                <w:rFonts w:ascii="Arial" w:cs="Arial" w:eastAsia="Arial" w:hAnsi="Arial"/>
                <w:sz w:val="13"/>
                <w:szCs w:val="13"/>
                <w:color w:val="auto"/>
              </w:rPr>
              <w:t>(17,155,708)</w:t>
            </w:r>
          </w:p>
        </w:tc>
        <w:tc>
          <w:tcPr>
            <w:tcW w:w="120" w:type="dxa"/>
            <w:vAlign w:val="bottom"/>
          </w:tcPr>
          <w:p>
            <w:pPr>
              <w:spacing w:after="0"/>
              <w:rPr>
                <w:sz w:val="12"/>
                <w:szCs w:val="12"/>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(3,454,622)</w:t>
            </w:r>
          </w:p>
        </w:tc>
        <w:tc>
          <w:tcPr>
            <w:tcW w:w="120" w:type="dxa"/>
            <w:vAlign w:val="bottom"/>
          </w:tcPr>
          <w:p>
            <w:pPr>
              <w:spacing w:after="0"/>
              <w:rPr>
                <w:sz w:val="12"/>
                <w:szCs w:val="12"/>
                <w:color w:val="auto"/>
              </w:rPr>
            </w:pP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3,437,466</w:t>
            </w:r>
          </w:p>
        </w:tc>
        <w:tc>
          <w:tcPr>
            <w:tcW w:w="140" w:type="dxa"/>
            <w:vAlign w:val="bottom"/>
          </w:tcPr>
          <w:p>
            <w:pPr>
              <w:spacing w:after="0"/>
              <w:rPr>
                <w:sz w:val="12"/>
                <w:szCs w:val="12"/>
                <w:color w:val="auto"/>
              </w:rPr>
            </w:pP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48"/>
        </w:trPr>
        <w:tc>
          <w:tcPr>
            <w:tcW w:w="1320" w:type="dxa"/>
            <w:vAlign w:val="bottom"/>
            <w:shd w:val="clear" w:color="auto" w:fill="CCEEFF"/>
          </w:tcPr>
          <w:p>
            <w:pPr>
              <w:ind w:left="220"/>
              <w:spacing w:after="0" w:line="148" w:lineRule="exact"/>
              <w:rPr>
                <w:sz w:val="20"/>
                <w:szCs w:val="20"/>
                <w:color w:val="auto"/>
              </w:rPr>
            </w:pPr>
            <w:r>
              <w:rPr>
                <w:rFonts w:ascii="Arial" w:cs="Arial" w:eastAsia="Arial" w:hAnsi="Arial"/>
                <w:sz w:val="13"/>
                <w:szCs w:val="13"/>
                <w:color w:val="auto"/>
              </w:rPr>
              <w:t>Issuance of</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13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restricted</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13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stock</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3,742,345</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3,742</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33,681</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37,423</w:t>
            </w:r>
          </w:p>
        </w:tc>
      </w:tr>
      <w:tr>
        <w:trPr>
          <w:trHeight w:val="148"/>
        </w:trPr>
        <w:tc>
          <w:tcPr>
            <w:tcW w:w="1320" w:type="dxa"/>
            <w:vAlign w:val="bottom"/>
          </w:tcPr>
          <w:p>
            <w:pPr>
              <w:ind w:left="220"/>
              <w:spacing w:after="0" w:line="148" w:lineRule="exact"/>
              <w:rPr>
                <w:sz w:val="20"/>
                <w:szCs w:val="20"/>
                <w:color w:val="auto"/>
              </w:rPr>
            </w:pPr>
            <w:r>
              <w:rPr>
                <w:rFonts w:ascii="Arial" w:cs="Arial" w:eastAsia="Arial" w:hAnsi="Arial"/>
                <w:sz w:val="13"/>
                <w:szCs w:val="13"/>
                <w:color w:val="auto"/>
              </w:rPr>
              <w:t>Cancellation of</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1320" w:type="dxa"/>
            <w:vAlign w:val="bottom"/>
          </w:tcPr>
          <w:p>
            <w:pPr>
              <w:ind w:left="420"/>
              <w:spacing w:after="0"/>
              <w:rPr>
                <w:sz w:val="20"/>
                <w:szCs w:val="20"/>
                <w:color w:val="auto"/>
              </w:rPr>
            </w:pPr>
            <w:r>
              <w:rPr>
                <w:rFonts w:ascii="Arial" w:cs="Arial" w:eastAsia="Arial" w:hAnsi="Arial"/>
                <w:sz w:val="13"/>
                <w:szCs w:val="13"/>
                <w:color w:val="auto"/>
              </w:rPr>
              <w:t>unvested</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1320" w:type="dxa"/>
            <w:vAlign w:val="bottom"/>
          </w:tcPr>
          <w:p>
            <w:pPr>
              <w:ind w:left="420"/>
              <w:spacing w:after="0"/>
              <w:rPr>
                <w:sz w:val="20"/>
                <w:szCs w:val="20"/>
                <w:color w:val="auto"/>
              </w:rPr>
            </w:pPr>
            <w:r>
              <w:rPr>
                <w:rFonts w:ascii="Arial" w:cs="Arial" w:eastAsia="Arial" w:hAnsi="Arial"/>
                <w:sz w:val="13"/>
                <w:szCs w:val="13"/>
                <w:color w:val="auto"/>
              </w:rPr>
              <w:t>restricted</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320" w:type="dxa"/>
            <w:vAlign w:val="bottom"/>
          </w:tcPr>
          <w:p>
            <w:pPr>
              <w:ind w:left="420"/>
              <w:spacing w:after="0"/>
              <w:rPr>
                <w:sz w:val="20"/>
                <w:szCs w:val="20"/>
                <w:color w:val="auto"/>
              </w:rPr>
            </w:pPr>
            <w:r>
              <w:rPr>
                <w:rFonts w:ascii="Arial" w:cs="Arial" w:eastAsia="Arial" w:hAnsi="Arial"/>
                <w:sz w:val="13"/>
                <w:szCs w:val="13"/>
                <w:color w:val="auto"/>
              </w:rPr>
              <w:t>stock</w:t>
            </w: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6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(966,795)</w:t>
            </w:r>
          </w:p>
        </w:tc>
        <w:tc>
          <w:tcPr>
            <w:tcW w:w="14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(967)</w:t>
            </w: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(8,701)</w:t>
            </w:r>
          </w:p>
        </w:tc>
        <w:tc>
          <w:tcPr>
            <w:tcW w:w="140" w:type="dxa"/>
            <w:vAlign w:val="bottom"/>
          </w:tcPr>
          <w:p>
            <w:pPr>
              <w:spacing w:after="0"/>
              <w:rPr>
                <w:sz w:val="12"/>
                <w:szCs w:val="12"/>
                <w:color w:val="auto"/>
              </w:rPr>
            </w:pP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(9,668)</w:t>
            </w:r>
          </w:p>
        </w:tc>
      </w:tr>
      <w:tr>
        <w:trPr>
          <w:trHeight w:val="148"/>
        </w:trPr>
        <w:tc>
          <w:tcPr>
            <w:tcW w:w="1320" w:type="dxa"/>
            <w:vAlign w:val="bottom"/>
            <w:shd w:val="clear" w:color="auto" w:fill="CCEEFF"/>
          </w:tcPr>
          <w:p>
            <w:pPr>
              <w:ind w:left="220"/>
              <w:spacing w:after="0" w:line="148" w:lineRule="exact"/>
              <w:rPr>
                <w:sz w:val="20"/>
                <w:szCs w:val="20"/>
                <w:color w:val="auto"/>
              </w:rPr>
            </w:pPr>
            <w:r>
              <w:rPr>
                <w:rFonts w:ascii="Arial" w:cs="Arial" w:eastAsia="Arial" w:hAnsi="Arial"/>
                <w:sz w:val="13"/>
                <w:szCs w:val="13"/>
                <w:color w:val="auto"/>
              </w:rPr>
              <w:t>Stock-based</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13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compensation</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985,483</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985,483</w:t>
            </w:r>
          </w:p>
        </w:tc>
        <w:tc>
          <w:tcPr>
            <w:tcW w:w="100" w:type="dxa"/>
            <w:vAlign w:val="bottom"/>
            <w:shd w:val="clear" w:color="auto" w:fill="CCEEFF"/>
          </w:tcPr>
          <w:p>
            <w:pPr>
              <w:spacing w:after="0"/>
              <w:rPr>
                <w:sz w:val="12"/>
                <w:szCs w:val="12"/>
                <w:color w:val="auto"/>
              </w:rPr>
            </w:pPr>
          </w:p>
        </w:tc>
      </w:tr>
      <w:tr>
        <w:trPr>
          <w:trHeight w:val="156"/>
        </w:trPr>
        <w:tc>
          <w:tcPr>
            <w:tcW w:w="1320" w:type="dxa"/>
            <w:vAlign w:val="bottom"/>
          </w:tcPr>
          <w:p>
            <w:pPr>
              <w:ind w:left="220"/>
              <w:spacing w:after="0"/>
              <w:rPr>
                <w:sz w:val="20"/>
                <w:szCs w:val="20"/>
                <w:color w:val="auto"/>
              </w:rPr>
            </w:pPr>
            <w:r>
              <w:rPr>
                <w:rFonts w:ascii="Arial" w:cs="Arial" w:eastAsia="Arial" w:hAnsi="Arial"/>
                <w:sz w:val="13"/>
                <w:szCs w:val="13"/>
                <w:color w:val="auto"/>
              </w:rPr>
              <w:t>Net loss</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(27,411,933)</w:t>
            </w:r>
          </w:p>
        </w:tc>
        <w:tc>
          <w:tcPr>
            <w:tcW w:w="140" w:type="dxa"/>
            <w:vAlign w:val="bottom"/>
          </w:tcPr>
          <w:p>
            <w:pPr>
              <w:spacing w:after="0"/>
              <w:rPr>
                <w:sz w:val="13"/>
                <w:szCs w:val="13"/>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(27,411,933)</w:t>
            </w:r>
          </w:p>
        </w:tc>
      </w:tr>
      <w:tr>
        <w:trPr>
          <w:trHeight w:val="132"/>
        </w:trPr>
        <w:tc>
          <w:tcPr>
            <w:tcW w:w="1320" w:type="dxa"/>
            <w:vAlign w:val="bottom"/>
            <w:shd w:val="clear" w:color="auto" w:fill="CCEEFF"/>
          </w:tcPr>
          <w:p>
            <w:pPr>
              <w:spacing w:after="0" w:line="132" w:lineRule="exact"/>
              <w:rPr>
                <w:sz w:val="20"/>
                <w:szCs w:val="20"/>
                <w:color w:val="auto"/>
              </w:rPr>
            </w:pPr>
            <w:r>
              <w:rPr>
                <w:rFonts w:ascii="Arial" w:cs="Arial" w:eastAsia="Arial" w:hAnsi="Arial"/>
                <w:sz w:val="13"/>
                <w:szCs w:val="13"/>
                <w:b w:val="1"/>
                <w:bCs w:val="1"/>
                <w:color w:val="auto"/>
              </w:rPr>
              <w:t>Balances at</w:t>
            </w:r>
          </w:p>
        </w:tc>
        <w:tc>
          <w:tcPr>
            <w:tcW w:w="8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right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8"/>
        </w:trPr>
        <w:tc>
          <w:tcPr>
            <w:tcW w:w="1320" w:type="dxa"/>
            <w:vAlign w:val="bottom"/>
            <w:shd w:val="clear" w:color="auto" w:fill="CCEEFF"/>
          </w:tcPr>
          <w:p>
            <w:pPr>
              <w:ind w:left="220"/>
              <w:spacing w:after="0"/>
              <w:rPr>
                <w:sz w:val="20"/>
                <w:szCs w:val="20"/>
                <w:color w:val="auto"/>
              </w:rPr>
            </w:pPr>
            <w:r>
              <w:rPr>
                <w:rFonts w:ascii="Arial" w:cs="Arial" w:eastAsia="Arial" w:hAnsi="Arial"/>
                <w:sz w:val="13"/>
                <w:szCs w:val="13"/>
                <w:b w:val="1"/>
                <w:bCs w:val="1"/>
                <w:color w:val="auto"/>
              </w:rPr>
              <w:t>December 31,</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5"/>
        </w:trPr>
        <w:tc>
          <w:tcPr>
            <w:tcW w:w="1320" w:type="dxa"/>
            <w:vAlign w:val="bottom"/>
            <w:shd w:val="clear" w:color="auto" w:fill="CCEEFF"/>
          </w:tcPr>
          <w:p>
            <w:pPr>
              <w:ind w:left="220"/>
              <w:spacing w:after="0"/>
              <w:rPr>
                <w:sz w:val="20"/>
                <w:szCs w:val="20"/>
                <w:color w:val="auto"/>
              </w:rPr>
            </w:pPr>
            <w:r>
              <w:rPr>
                <w:rFonts w:ascii="Arial" w:cs="Arial" w:eastAsia="Arial" w:hAnsi="Arial"/>
                <w:sz w:val="13"/>
                <w:szCs w:val="13"/>
                <w:b w:val="1"/>
                <w:bCs w:val="1"/>
                <w:color w:val="auto"/>
              </w:rPr>
              <w:t>2016</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75,000,000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74,259,411</w:t>
            </w:r>
          </w:p>
        </w:tc>
        <w:tc>
          <w:tcPr>
            <w:tcW w:w="84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21,254,788</w:t>
            </w: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21,255</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4,447,929</w:t>
            </w:r>
          </w:p>
        </w:tc>
        <w:tc>
          <w:tcPr>
            <w:tcW w:w="140" w:type="dxa"/>
            <w:vAlign w:val="bottom"/>
            <w:shd w:val="clear" w:color="auto" w:fill="CCEEFF"/>
          </w:tcPr>
          <w:p>
            <w:pPr>
              <w:ind w:left="60"/>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(99,309,549)</w:t>
            </w: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(94,840,365)</w:t>
            </w:r>
          </w:p>
        </w:tc>
      </w:tr>
      <w:tr>
        <w:trPr>
          <w:trHeight w:val="148"/>
        </w:trPr>
        <w:tc>
          <w:tcPr>
            <w:tcW w:w="1320" w:type="dxa"/>
            <w:vAlign w:val="bottom"/>
          </w:tcPr>
          <w:p>
            <w:pPr>
              <w:ind w:left="220"/>
              <w:spacing w:after="0" w:line="148" w:lineRule="exact"/>
              <w:rPr>
                <w:sz w:val="20"/>
                <w:szCs w:val="20"/>
                <w:color w:val="auto"/>
              </w:rPr>
            </w:pPr>
            <w:r>
              <w:rPr>
                <w:rFonts w:ascii="Arial" w:cs="Arial" w:eastAsia="Arial" w:hAnsi="Arial"/>
                <w:sz w:val="13"/>
                <w:szCs w:val="13"/>
                <w:color w:val="auto"/>
              </w:rPr>
              <w:t>Issuance of</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1320" w:type="dxa"/>
            <w:vAlign w:val="bottom"/>
          </w:tcPr>
          <w:p>
            <w:pPr>
              <w:ind w:left="420"/>
              <w:spacing w:after="0"/>
              <w:rPr>
                <w:sz w:val="20"/>
                <w:szCs w:val="20"/>
                <w:color w:val="auto"/>
              </w:rPr>
            </w:pPr>
            <w:r>
              <w:rPr>
                <w:rFonts w:ascii="Arial" w:cs="Arial" w:eastAsia="Arial" w:hAnsi="Arial"/>
                <w:sz w:val="13"/>
                <w:szCs w:val="13"/>
                <w:color w:val="auto"/>
              </w:rPr>
              <w:t>restricted</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320" w:type="dxa"/>
            <w:vAlign w:val="bottom"/>
          </w:tcPr>
          <w:p>
            <w:pPr>
              <w:ind w:left="420"/>
              <w:spacing w:after="0"/>
              <w:rPr>
                <w:sz w:val="20"/>
                <w:szCs w:val="20"/>
                <w:color w:val="auto"/>
              </w:rPr>
            </w:pPr>
            <w:r>
              <w:rPr>
                <w:rFonts w:ascii="Arial" w:cs="Arial" w:eastAsia="Arial" w:hAnsi="Arial"/>
                <w:sz w:val="13"/>
                <w:szCs w:val="13"/>
                <w:color w:val="auto"/>
              </w:rPr>
              <w:t>stock</w:t>
            </w: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6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3"/>
              <w:spacing w:after="0"/>
              <w:rPr>
                <w:sz w:val="20"/>
                <w:szCs w:val="20"/>
                <w:color w:val="auto"/>
              </w:rPr>
            </w:pPr>
            <w:r>
              <w:rPr>
                <w:rFonts w:ascii="Arial" w:cs="Arial" w:eastAsia="Arial" w:hAnsi="Arial"/>
                <w:sz w:val="13"/>
                <w:szCs w:val="13"/>
                <w:color w:val="auto"/>
              </w:rPr>
              <w:t>1,107,150</w:t>
            </w:r>
          </w:p>
        </w:tc>
        <w:tc>
          <w:tcPr>
            <w:tcW w:w="140" w:type="dxa"/>
            <w:vAlign w:val="bottom"/>
          </w:tcPr>
          <w:p>
            <w:pPr>
              <w:spacing w:after="0"/>
              <w:rPr>
                <w:sz w:val="12"/>
                <w:szCs w:val="12"/>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1,107</w:t>
            </w: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9,965</w:t>
            </w:r>
          </w:p>
        </w:tc>
        <w:tc>
          <w:tcPr>
            <w:tcW w:w="140" w:type="dxa"/>
            <w:vAlign w:val="bottom"/>
          </w:tcPr>
          <w:p>
            <w:pPr>
              <w:spacing w:after="0"/>
              <w:rPr>
                <w:sz w:val="12"/>
                <w:szCs w:val="12"/>
                <w:color w:val="auto"/>
              </w:rPr>
            </w:pP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11,072</w:t>
            </w:r>
          </w:p>
        </w:tc>
      </w:tr>
      <w:tr>
        <w:trPr>
          <w:trHeight w:val="148"/>
        </w:trPr>
        <w:tc>
          <w:tcPr>
            <w:tcW w:w="1320" w:type="dxa"/>
            <w:vAlign w:val="bottom"/>
            <w:shd w:val="clear" w:color="auto" w:fill="CCEEFF"/>
          </w:tcPr>
          <w:p>
            <w:pPr>
              <w:ind w:left="220"/>
              <w:spacing w:after="0" w:line="148" w:lineRule="exact"/>
              <w:rPr>
                <w:sz w:val="20"/>
                <w:szCs w:val="20"/>
                <w:color w:val="auto"/>
              </w:rPr>
            </w:pPr>
            <w:r>
              <w:rPr>
                <w:rFonts w:ascii="Arial" w:cs="Arial" w:eastAsia="Arial" w:hAnsi="Arial"/>
                <w:sz w:val="13"/>
                <w:szCs w:val="13"/>
                <w:color w:val="auto"/>
              </w:rPr>
              <w:t>Cancellation of</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13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unvested</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13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restricted</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13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stock</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(3,278,377)</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(3,278)</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(9,467)</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(12,745)</w:t>
            </w:r>
          </w:p>
        </w:tc>
      </w:tr>
      <w:tr>
        <w:trPr>
          <w:trHeight w:val="148"/>
        </w:trPr>
        <w:tc>
          <w:tcPr>
            <w:tcW w:w="1320" w:type="dxa"/>
            <w:vAlign w:val="bottom"/>
          </w:tcPr>
          <w:p>
            <w:pPr>
              <w:ind w:left="220"/>
              <w:spacing w:after="0" w:line="148" w:lineRule="exact"/>
              <w:rPr>
                <w:sz w:val="20"/>
                <w:szCs w:val="20"/>
                <w:color w:val="auto"/>
              </w:rPr>
            </w:pPr>
            <w:r>
              <w:rPr>
                <w:rFonts w:ascii="Arial" w:cs="Arial" w:eastAsia="Arial" w:hAnsi="Arial"/>
                <w:sz w:val="13"/>
                <w:szCs w:val="13"/>
                <w:color w:val="auto"/>
              </w:rPr>
              <w:t>Stock-based</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320" w:type="dxa"/>
            <w:vAlign w:val="bottom"/>
          </w:tcPr>
          <w:p>
            <w:pPr>
              <w:ind w:left="420"/>
              <w:spacing w:after="0"/>
              <w:rPr>
                <w:sz w:val="20"/>
                <w:szCs w:val="20"/>
                <w:color w:val="auto"/>
              </w:rPr>
            </w:pPr>
            <w:r>
              <w:rPr>
                <w:rFonts w:ascii="Arial" w:cs="Arial" w:eastAsia="Arial" w:hAnsi="Arial"/>
                <w:sz w:val="13"/>
                <w:szCs w:val="13"/>
                <w:color w:val="auto"/>
              </w:rPr>
              <w:t>compensation</w:t>
            </w: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6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640,478</w:t>
            </w:r>
          </w:p>
        </w:tc>
        <w:tc>
          <w:tcPr>
            <w:tcW w:w="140" w:type="dxa"/>
            <w:vAlign w:val="bottom"/>
          </w:tcPr>
          <w:p>
            <w:pPr>
              <w:spacing w:after="0"/>
              <w:rPr>
                <w:sz w:val="12"/>
                <w:szCs w:val="12"/>
                <w:color w:val="auto"/>
              </w:rPr>
            </w:pP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640,478</w:t>
            </w:r>
          </w:p>
        </w:tc>
        <w:tc>
          <w:tcPr>
            <w:tcW w:w="100" w:type="dxa"/>
            <w:vAlign w:val="bottom"/>
          </w:tcPr>
          <w:p>
            <w:pPr>
              <w:spacing w:after="0"/>
              <w:rPr>
                <w:sz w:val="12"/>
                <w:szCs w:val="12"/>
                <w:color w:val="auto"/>
              </w:rPr>
            </w:pPr>
          </w:p>
        </w:tc>
      </w:tr>
      <w:tr>
        <w:trPr>
          <w:trHeight w:val="149"/>
        </w:trPr>
        <w:tc>
          <w:tcPr>
            <w:tcW w:w="13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Net loss</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(18,167,611)</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(18,167,611)</w:t>
            </w:r>
          </w:p>
        </w:tc>
      </w:tr>
      <w:tr>
        <w:trPr>
          <w:trHeight w:val="139"/>
        </w:trPr>
        <w:tc>
          <w:tcPr>
            <w:tcW w:w="1320" w:type="dxa"/>
            <w:vAlign w:val="bottom"/>
          </w:tcPr>
          <w:p>
            <w:pPr>
              <w:spacing w:after="0" w:line="139" w:lineRule="exact"/>
              <w:rPr>
                <w:sz w:val="20"/>
                <w:szCs w:val="20"/>
                <w:color w:val="auto"/>
              </w:rPr>
            </w:pPr>
            <w:r>
              <w:rPr>
                <w:rFonts w:ascii="Arial" w:cs="Arial" w:eastAsia="Arial" w:hAnsi="Arial"/>
                <w:sz w:val="13"/>
                <w:szCs w:val="13"/>
                <w:b w:val="1"/>
                <w:bCs w:val="1"/>
                <w:color w:val="auto"/>
              </w:rPr>
              <w:t>Balance at</w:t>
            </w:r>
          </w:p>
        </w:tc>
        <w:tc>
          <w:tcPr>
            <w:tcW w:w="8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1320" w:type="dxa"/>
            <w:vAlign w:val="bottom"/>
          </w:tcPr>
          <w:p>
            <w:pPr>
              <w:ind w:left="220"/>
              <w:spacing w:after="0"/>
              <w:rPr>
                <w:sz w:val="20"/>
                <w:szCs w:val="20"/>
                <w:color w:val="auto"/>
              </w:rPr>
            </w:pPr>
            <w:r>
              <w:rPr>
                <w:rFonts w:ascii="Arial" w:cs="Arial" w:eastAsia="Arial" w:hAnsi="Arial"/>
                <w:sz w:val="13"/>
                <w:szCs w:val="13"/>
                <w:b w:val="1"/>
                <w:bCs w:val="1"/>
                <w:color w:val="auto"/>
              </w:rPr>
              <w:t>December 31,</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2"/>
        </w:trPr>
        <w:tc>
          <w:tcPr>
            <w:tcW w:w="1320" w:type="dxa"/>
            <w:vAlign w:val="bottom"/>
          </w:tcPr>
          <w:p>
            <w:pPr>
              <w:ind w:left="220"/>
              <w:spacing w:after="0"/>
              <w:rPr>
                <w:sz w:val="20"/>
                <w:szCs w:val="20"/>
                <w:color w:val="auto"/>
              </w:rPr>
            </w:pPr>
            <w:r>
              <w:rPr>
                <w:rFonts w:ascii="Arial" w:cs="Arial" w:eastAsia="Arial" w:hAnsi="Arial"/>
                <w:sz w:val="13"/>
                <w:szCs w:val="13"/>
                <w:b w:val="1"/>
                <w:bCs w:val="1"/>
                <w:color w:val="auto"/>
              </w:rPr>
              <w:t>2017</w:t>
            </w: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75,000,000</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74,259,411</w:t>
            </w:r>
          </w:p>
        </w:tc>
        <w:tc>
          <w:tcPr>
            <w:tcW w:w="840" w:type="dxa"/>
            <w:vAlign w:val="bottom"/>
            <w:gridSpan w:val="2"/>
          </w:tcPr>
          <w:p>
            <w:pPr>
              <w:jc w:val="right"/>
              <w:ind w:right="13"/>
              <w:spacing w:after="0"/>
              <w:rPr>
                <w:sz w:val="20"/>
                <w:szCs w:val="20"/>
                <w:color w:val="auto"/>
              </w:rPr>
            </w:pPr>
            <w:r>
              <w:rPr>
                <w:rFonts w:ascii="Arial" w:cs="Arial" w:eastAsia="Arial" w:hAnsi="Arial"/>
                <w:sz w:val="13"/>
                <w:szCs w:val="13"/>
                <w:color w:val="auto"/>
              </w:rPr>
              <w:t>19,083,561</w:t>
            </w: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19,084</w:t>
            </w: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5,088,905</w:t>
            </w: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(117,477,160)</w:t>
            </w: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(112,369,171)</w:t>
            </w:r>
          </w:p>
        </w:tc>
      </w:tr>
      <w:tr>
        <w:trPr>
          <w:trHeight w:val="20"/>
        </w:trPr>
        <w:tc>
          <w:tcPr>
            <w:tcW w:w="1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The accompanying notes are an integral part of these financial statements.</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40"/>
          </w:cols>
          <w:pgMar w:left="320" w:top="459" w:right="4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Warp Drive Bio, Inc.</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699516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6" w:lineRule="exact"/>
        <w:rPr>
          <w:sz w:val="20"/>
          <w:szCs w:val="20"/>
          <w:color w:val="auto"/>
        </w:rPr>
      </w:pPr>
    </w:p>
    <w:p>
      <w:pPr>
        <w:jc w:val="center"/>
        <w:ind w:left="8000"/>
        <w:spacing w:after="0"/>
        <w:rPr>
          <w:sz w:val="20"/>
          <w:szCs w:val="20"/>
          <w:color w:val="auto"/>
        </w:rPr>
      </w:pPr>
      <w:r>
        <w:rPr>
          <w:rFonts w:ascii="Arial" w:cs="Arial" w:eastAsia="Arial" w:hAnsi="Arial"/>
          <w:sz w:val="18"/>
          <w:szCs w:val="18"/>
          <w:b w:val="1"/>
          <w:bCs w:val="1"/>
          <w:color w:val="auto"/>
        </w:rPr>
        <w:t>Year ended</w:t>
      </w:r>
    </w:p>
    <w:p>
      <w:pPr>
        <w:spacing w:after="0" w:line="18" w:lineRule="exact"/>
        <w:rPr>
          <w:sz w:val="20"/>
          <w:szCs w:val="20"/>
          <w:color w:val="auto"/>
        </w:rPr>
      </w:pPr>
    </w:p>
    <w:p>
      <w:pPr>
        <w:jc w:val="center"/>
        <w:ind w:left="800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-4445</wp:posOffset>
            </wp:positionV>
            <wp:extent cx="17399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739900" cy="8890"/>
                    </a:xfrm>
                    <a:prstGeom prst="rect">
                      <a:avLst/>
                    </a:prstGeom>
                    <a:noFill/>
                  </pic:spPr>
                </pic:pic>
              </a:graphicData>
            </a:graphic>
          </wp:anchor>
        </w:drawing>
      </w:r>
    </w:p>
    <w:p>
      <w:pPr>
        <w:jc w:val="both"/>
        <w:ind w:left="8660"/>
        <w:spacing w:after="0"/>
        <w:tabs>
          <w:tab w:leader="none" w:pos="1018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wp:posOffset>
            </wp:positionV>
            <wp:extent cx="6995160" cy="13716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Operating activities</w:t>
      </w:r>
    </w:p>
    <w:p>
      <w:pPr>
        <w:ind w:left="120"/>
        <w:spacing w:after="0" w:line="235" w:lineRule="auto"/>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wp:posOffset>
            </wp:positionV>
            <wp:extent cx="6995160" cy="12890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p>
      <w:pPr>
        <w:spacing w:after="0" w:line="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Noncash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wp:posOffset>
            </wp:positionV>
            <wp:extent cx="6995160" cy="12890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340"/>
        <w:spacing w:after="0" w:line="234" w:lineRule="auto"/>
        <w:rPr>
          <w:sz w:val="20"/>
          <w:szCs w:val="20"/>
          <w:color w:val="auto"/>
        </w:rPr>
      </w:pPr>
      <w:r>
        <w:rPr>
          <w:rFonts w:ascii="Arial" w:cs="Arial" w:eastAsia="Arial" w:hAnsi="Arial"/>
          <w:sz w:val="18"/>
          <w:szCs w:val="18"/>
          <w:color w:val="auto"/>
        </w:rPr>
        <w:t>Stock-based compensation</w:t>
      </w:r>
    </w:p>
    <w:p>
      <w:pPr>
        <w:ind w:left="340"/>
        <w:spacing w:after="0" w:line="235" w:lineRule="auto"/>
        <w:rPr>
          <w:sz w:val="20"/>
          <w:szCs w:val="20"/>
          <w:color w:val="auto"/>
        </w:rPr>
      </w:pPr>
      <w:r>
        <w:rPr>
          <w:rFonts w:ascii="Arial" w:cs="Arial" w:eastAsia="Arial" w:hAnsi="Arial"/>
          <w:sz w:val="18"/>
          <w:szCs w:val="18"/>
          <w:color w:val="auto"/>
        </w:rPr>
        <w:t>Gain on sale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wp:posOffset>
            </wp:positionV>
            <wp:extent cx="6995160" cy="12890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340"/>
        <w:spacing w:after="0" w:line="235" w:lineRule="auto"/>
        <w:rPr>
          <w:sz w:val="20"/>
          <w:szCs w:val="20"/>
          <w:color w:val="auto"/>
        </w:rPr>
      </w:pPr>
      <w:r>
        <w:rPr>
          <w:rFonts w:ascii="Arial" w:cs="Arial" w:eastAsia="Arial" w:hAnsi="Arial"/>
          <w:sz w:val="18"/>
          <w:szCs w:val="18"/>
          <w:color w:val="auto"/>
        </w:rPr>
        <w:t>Depreciation and amortization</w:t>
      </w:r>
    </w:p>
    <w:p>
      <w:pPr>
        <w:ind w:left="340"/>
        <w:spacing w:after="0" w:line="235" w:lineRule="auto"/>
        <w:rPr>
          <w:sz w:val="20"/>
          <w:szCs w:val="20"/>
          <w:color w:val="auto"/>
        </w:rPr>
      </w:pPr>
      <w:r>
        <w:rPr>
          <w:rFonts w:ascii="Arial" w:cs="Arial" w:eastAsia="Arial" w:hAnsi="Arial"/>
          <w:sz w:val="18"/>
          <w:szCs w:val="18"/>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wp:posOffset>
            </wp:positionV>
            <wp:extent cx="6995160" cy="12890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540"/>
        <w:spacing w:after="0" w:line="235" w:lineRule="auto"/>
        <w:rPr>
          <w:sz w:val="20"/>
          <w:szCs w:val="20"/>
          <w:color w:val="auto"/>
        </w:rPr>
      </w:pPr>
      <w:r>
        <w:rPr>
          <w:rFonts w:ascii="Arial" w:cs="Arial" w:eastAsia="Arial" w:hAnsi="Arial"/>
          <w:sz w:val="18"/>
          <w:szCs w:val="18"/>
          <w:color w:val="auto"/>
        </w:rPr>
        <w:t>Prepaid expenses and other current assets</w:t>
      </w:r>
    </w:p>
    <w:p>
      <w:pPr>
        <w:ind w:left="540"/>
        <w:spacing w:after="0" w:line="234" w:lineRule="auto"/>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12890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540"/>
        <w:spacing w:after="0" w:line="235" w:lineRule="auto"/>
        <w:rPr>
          <w:sz w:val="20"/>
          <w:szCs w:val="20"/>
          <w:color w:val="auto"/>
        </w:rPr>
      </w:pPr>
      <w:r>
        <w:rPr>
          <w:rFonts w:ascii="Arial" w:cs="Arial" w:eastAsia="Arial" w:hAnsi="Arial"/>
          <w:sz w:val="18"/>
          <w:szCs w:val="18"/>
          <w:color w:val="auto"/>
        </w:rPr>
        <w:t>Accrued expenses</w:t>
      </w:r>
    </w:p>
    <w:p>
      <w:pPr>
        <w:ind w:left="540"/>
        <w:spacing w:after="0" w:line="235" w:lineRule="auto"/>
        <w:rPr>
          <w:sz w:val="20"/>
          <w:szCs w:val="20"/>
          <w:color w:val="auto"/>
        </w:rPr>
      </w:pPr>
      <w:r>
        <w:rPr>
          <w:rFonts w:ascii="Arial" w:cs="Arial" w:eastAsia="Arial" w:hAnsi="Arial"/>
          <w:sz w:val="18"/>
          <w:szCs w:val="18"/>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wp:posOffset>
            </wp:positionV>
            <wp:extent cx="6995160" cy="12890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Deferred rent</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Net cash provided by (used in) operating activities</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-120650</wp:posOffset>
            </wp:positionV>
            <wp:extent cx="6995160" cy="12890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Change in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wp:posOffset>
            </wp:positionV>
            <wp:extent cx="6995160" cy="12890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4" w:lineRule="auto"/>
        <w:rPr>
          <w:sz w:val="20"/>
          <w:szCs w:val="20"/>
          <w:color w:val="auto"/>
        </w:rPr>
      </w:pPr>
      <w:r>
        <w:rPr>
          <w:rFonts w:ascii="Arial" w:cs="Arial" w:eastAsia="Arial" w:hAnsi="Arial"/>
          <w:sz w:val="18"/>
          <w:szCs w:val="18"/>
          <w:color w:val="auto"/>
        </w:rPr>
        <w:t>Purchases of property and equipment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Proceeds from sale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12065</wp:posOffset>
            </wp:positionV>
            <wp:extent cx="6995160" cy="12890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Net cash used in investing activities</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wp:posOffset>
            </wp:positionV>
            <wp:extent cx="6995160" cy="12890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Proceeds from the issuance of restricted stock</w:t>
      </w:r>
    </w:p>
    <w:p>
      <w:pPr>
        <w:ind w:left="120"/>
        <w:spacing w:after="0" w:line="234" w:lineRule="auto"/>
        <w:rPr>
          <w:sz w:val="20"/>
          <w:szCs w:val="20"/>
          <w:color w:val="auto"/>
        </w:rPr>
      </w:pPr>
      <w:r>
        <w:rPr>
          <w:rFonts w:ascii="Arial" w:cs="Arial" w:eastAsia="Arial" w:hAnsi="Arial"/>
          <w:sz w:val="18"/>
          <w:szCs w:val="18"/>
          <w:color w:val="auto"/>
        </w:rPr>
        <w:t>Repurchase of unvested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12890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1" w:lineRule="auto"/>
        <w:rPr>
          <w:sz w:val="20"/>
          <w:szCs w:val="20"/>
          <w:color w:val="auto"/>
        </w:rPr>
      </w:pPr>
      <w:r>
        <w:rPr>
          <w:rFonts w:ascii="Arial" w:cs="Arial" w:eastAsia="Arial" w:hAnsi="Arial"/>
          <w:sz w:val="18"/>
          <w:szCs w:val="18"/>
          <w:color w:val="auto"/>
        </w:rPr>
        <w:t>Proceeds from convertible notes payable with related party</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tabs>
          <w:tab w:leader="none" w:pos="240" w:val="left"/>
          <w:tab w:leader="none" w:pos="1520" w:val="left"/>
          <w:tab w:leader="none" w:pos="1780" w:val="left"/>
        </w:tabs>
        <w:rPr>
          <w:sz w:val="20"/>
          <w:szCs w:val="20"/>
          <w:color w:val="auto"/>
        </w:rPr>
      </w:pPr>
      <w:r>
        <w:rPr>
          <w:rFonts w:ascii="Arial" w:cs="Arial" w:eastAsia="Arial" w:hAnsi="Arial"/>
          <w:sz w:val="18"/>
          <w:szCs w:val="18"/>
          <w:color w:val="auto"/>
        </w:rPr>
        <w:t>$</w:t>
        <w:tab/>
        <w:t>(18,167,611)</w:t>
        <w:tab/>
        <w:t>$</w:t>
      </w:r>
      <w:r>
        <w:rPr>
          <w:sz w:val="20"/>
          <w:szCs w:val="20"/>
          <w:color w:val="auto"/>
        </w:rPr>
        <w:tab/>
      </w:r>
      <w:r>
        <w:rPr>
          <w:rFonts w:ascii="Arial" w:cs="Arial" w:eastAsia="Arial" w:hAnsi="Arial"/>
          <w:sz w:val="16"/>
          <w:szCs w:val="16"/>
          <w:color w:val="auto"/>
        </w:rPr>
        <w:t>(27,411,933)</w:t>
      </w:r>
    </w:p>
    <w:p>
      <w:pPr>
        <w:spacing w:after="0" w:line="194" w:lineRule="exact"/>
        <w:rPr>
          <w:sz w:val="20"/>
          <w:szCs w:val="20"/>
          <w:color w:val="auto"/>
        </w:rPr>
      </w:pPr>
    </w:p>
    <w:p>
      <w:pPr>
        <w:ind w:left="420"/>
        <w:spacing w:after="0"/>
        <w:tabs>
          <w:tab w:leader="none" w:pos="1940" w:val="left"/>
        </w:tabs>
        <w:rPr>
          <w:sz w:val="20"/>
          <w:szCs w:val="20"/>
          <w:color w:val="auto"/>
        </w:rPr>
      </w:pPr>
      <w:r>
        <w:rPr>
          <w:rFonts w:ascii="Arial" w:cs="Arial" w:eastAsia="Arial" w:hAnsi="Arial"/>
          <w:sz w:val="18"/>
          <w:szCs w:val="18"/>
          <w:color w:val="auto"/>
        </w:rPr>
        <w:t>2,934,532</w:t>
      </w:r>
      <w:r>
        <w:rPr>
          <w:sz w:val="20"/>
          <w:szCs w:val="20"/>
          <w:color w:val="auto"/>
        </w:rPr>
        <w:tab/>
      </w:r>
      <w:r>
        <w:rPr>
          <w:rFonts w:ascii="Arial" w:cs="Arial" w:eastAsia="Arial" w:hAnsi="Arial"/>
          <w:sz w:val="18"/>
          <w:szCs w:val="18"/>
          <w:color w:val="auto"/>
        </w:rPr>
        <w:t>1,062,213</w:t>
      </w:r>
    </w:p>
    <w:p>
      <w:pPr>
        <w:ind w:left="560"/>
        <w:spacing w:after="0" w:line="234" w:lineRule="auto"/>
        <w:tabs>
          <w:tab w:leader="none" w:pos="2080" w:val="left"/>
        </w:tabs>
        <w:rPr>
          <w:sz w:val="20"/>
          <w:szCs w:val="20"/>
          <w:color w:val="auto"/>
        </w:rPr>
      </w:pPr>
      <w:r>
        <w:rPr>
          <w:rFonts w:ascii="Arial" w:cs="Arial" w:eastAsia="Arial" w:hAnsi="Arial"/>
          <w:sz w:val="18"/>
          <w:szCs w:val="18"/>
          <w:color w:val="auto"/>
        </w:rPr>
        <w:t>640,478</w:t>
      </w:r>
      <w:r>
        <w:rPr>
          <w:sz w:val="20"/>
          <w:szCs w:val="20"/>
          <w:color w:val="auto"/>
        </w:rPr>
        <w:tab/>
      </w:r>
      <w:r>
        <w:rPr>
          <w:rFonts w:ascii="Arial" w:cs="Arial" w:eastAsia="Arial" w:hAnsi="Arial"/>
          <w:sz w:val="18"/>
          <w:szCs w:val="18"/>
          <w:color w:val="auto"/>
        </w:rPr>
        <w:t>985,483</w:t>
      </w:r>
    </w:p>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(12,138)</w:t>
      </w:r>
    </w:p>
    <w:p>
      <w:pPr>
        <w:ind w:left="420"/>
        <w:spacing w:after="0"/>
        <w:rPr>
          <w:sz w:val="20"/>
          <w:szCs w:val="20"/>
          <w:color w:val="auto"/>
        </w:rPr>
      </w:pPr>
      <w:r>
        <w:rPr>
          <w:rFonts w:ascii="Arial" w:cs="Arial" w:eastAsia="Arial" w:hAnsi="Arial"/>
          <w:sz w:val="18"/>
          <w:szCs w:val="18"/>
          <w:color w:val="auto"/>
        </w:rPr>
        <w:t>2,497,208</w:t>
      </w:r>
      <w:r>
        <w:rPr>
          <w:rFonts w:ascii="Arial" w:cs="Arial" w:eastAsia="Arial" w:hAnsi="Arial"/>
          <w:sz w:val="16"/>
          <w:szCs w:val="16"/>
          <w:color w:val="auto"/>
        </w:rPr>
        <w:t>2,367,426</w:t>
      </w:r>
    </w:p>
    <w:p>
      <w:pPr>
        <w:spacing w:after="0" w:line="194" w:lineRule="exact"/>
        <w:rPr>
          <w:sz w:val="20"/>
          <w:szCs w:val="20"/>
          <w:color w:val="auto"/>
        </w:rPr>
      </w:pPr>
    </w:p>
    <w:p>
      <w:pPr>
        <w:jc w:val="both"/>
        <w:ind w:left="660"/>
        <w:spacing w:after="0"/>
        <w:tabs>
          <w:tab w:leader="none" w:pos="2120" w:val="left"/>
        </w:tabs>
        <w:rPr>
          <w:sz w:val="20"/>
          <w:szCs w:val="20"/>
          <w:color w:val="auto"/>
        </w:rPr>
      </w:pPr>
      <w:r>
        <w:rPr>
          <w:rFonts w:ascii="Arial" w:cs="Arial" w:eastAsia="Arial" w:hAnsi="Arial"/>
          <w:sz w:val="18"/>
          <w:szCs w:val="18"/>
          <w:color w:val="auto"/>
        </w:rPr>
        <w:t>45,240</w:t>
      </w:r>
      <w:r>
        <w:rPr>
          <w:sz w:val="20"/>
          <w:szCs w:val="20"/>
          <w:color w:val="auto"/>
        </w:rPr>
        <w:tab/>
      </w:r>
      <w:r>
        <w:rPr>
          <w:rFonts w:ascii="Arial" w:cs="Arial" w:eastAsia="Arial" w:hAnsi="Arial"/>
          <w:sz w:val="18"/>
          <w:szCs w:val="18"/>
          <w:color w:val="auto"/>
        </w:rPr>
        <w:t>(57,482)</w:t>
      </w:r>
    </w:p>
    <w:p>
      <w:pPr>
        <w:ind w:left="560"/>
        <w:spacing w:after="0" w:line="234" w:lineRule="auto"/>
        <w:tabs>
          <w:tab w:leader="none" w:pos="2180" w:val="left"/>
        </w:tabs>
        <w:rPr>
          <w:sz w:val="20"/>
          <w:szCs w:val="20"/>
          <w:color w:val="auto"/>
        </w:rPr>
      </w:pPr>
      <w:r>
        <w:rPr>
          <w:rFonts w:ascii="Arial" w:cs="Arial" w:eastAsia="Arial" w:hAnsi="Arial"/>
          <w:sz w:val="18"/>
          <w:szCs w:val="18"/>
          <w:color w:val="auto"/>
        </w:rPr>
        <w:t>772,994</w:t>
      </w:r>
      <w:r>
        <w:rPr>
          <w:sz w:val="20"/>
          <w:szCs w:val="20"/>
          <w:color w:val="auto"/>
        </w:rPr>
        <w:tab/>
      </w:r>
      <w:r>
        <w:rPr>
          <w:rFonts w:ascii="Arial" w:cs="Arial" w:eastAsia="Arial" w:hAnsi="Arial"/>
          <w:sz w:val="18"/>
          <w:szCs w:val="18"/>
          <w:color w:val="auto"/>
        </w:rPr>
        <w:t>71,977</w:t>
      </w:r>
    </w:p>
    <w:p>
      <w:pPr>
        <w:jc w:val="both"/>
        <w:ind w:left="560"/>
        <w:spacing w:after="0" w:line="235" w:lineRule="auto"/>
        <w:tabs>
          <w:tab w:leader="none" w:pos="2020" w:val="left"/>
        </w:tabs>
        <w:rPr>
          <w:sz w:val="20"/>
          <w:szCs w:val="20"/>
          <w:color w:val="auto"/>
        </w:rPr>
      </w:pPr>
      <w:r>
        <w:rPr>
          <w:rFonts w:ascii="Arial" w:cs="Arial" w:eastAsia="Arial" w:hAnsi="Arial"/>
          <w:sz w:val="18"/>
          <w:szCs w:val="18"/>
          <w:color w:val="auto"/>
        </w:rPr>
        <w:t>304,647</w:t>
      </w:r>
      <w:r>
        <w:rPr>
          <w:sz w:val="20"/>
          <w:szCs w:val="20"/>
          <w:color w:val="auto"/>
        </w:rPr>
        <w:tab/>
      </w:r>
      <w:r>
        <w:rPr>
          <w:rFonts w:ascii="Arial" w:cs="Arial" w:eastAsia="Arial" w:hAnsi="Arial"/>
          <w:sz w:val="18"/>
          <w:szCs w:val="18"/>
          <w:color w:val="auto"/>
        </w:rPr>
        <w:t>(562,992)</w:t>
      </w:r>
    </w:p>
    <w:p>
      <w:pPr>
        <w:ind w:left="320"/>
        <w:spacing w:after="0" w:line="235" w:lineRule="auto"/>
        <w:tabs>
          <w:tab w:leader="none" w:pos="1940" w:val="left"/>
        </w:tabs>
        <w:rPr>
          <w:sz w:val="20"/>
          <w:szCs w:val="20"/>
          <w:color w:val="auto"/>
        </w:rPr>
      </w:pPr>
      <w:r>
        <w:rPr>
          <w:rFonts w:ascii="Arial" w:cs="Arial" w:eastAsia="Arial" w:hAnsi="Arial"/>
          <w:sz w:val="18"/>
          <w:szCs w:val="18"/>
          <w:color w:val="auto"/>
        </w:rPr>
        <w:t>19,840,978</w:t>
      </w:r>
      <w:r>
        <w:rPr>
          <w:sz w:val="20"/>
          <w:szCs w:val="20"/>
          <w:color w:val="auto"/>
        </w:rPr>
        <w:tab/>
      </w:r>
      <w:r>
        <w:rPr>
          <w:rFonts w:ascii="Arial" w:cs="Arial" w:eastAsia="Arial" w:hAnsi="Arial"/>
          <w:sz w:val="18"/>
          <w:szCs w:val="18"/>
          <w:color w:val="auto"/>
        </w:rPr>
        <w:t>2,891,375</w:t>
      </w:r>
    </w:p>
    <w:p>
      <w:pPr>
        <w:jc w:val="both"/>
        <w:ind w:left="500"/>
        <w:spacing w:after="0"/>
        <w:tabs>
          <w:tab w:leader="none" w:pos="2020" w:val="left"/>
        </w:tabs>
        <w:rPr>
          <w:sz w:val="20"/>
          <w:szCs w:val="20"/>
          <w:color w:val="auto"/>
        </w:rPr>
      </w:pPr>
      <w:r>
        <w:rPr>
          <w:rFonts w:ascii="Arial" w:cs="Arial" w:eastAsia="Arial" w:hAnsi="Arial"/>
          <w:sz w:val="18"/>
          <w:szCs w:val="18"/>
          <w:color w:val="auto"/>
        </w:rPr>
        <w:t>(596,635)</w:t>
      </w:r>
      <w:r>
        <w:rPr>
          <w:sz w:val="20"/>
          <w:szCs w:val="20"/>
          <w:color w:val="auto"/>
        </w:rPr>
        <w:tab/>
      </w:r>
      <w:r>
        <w:rPr>
          <w:rFonts w:ascii="Arial" w:cs="Arial" w:eastAsia="Arial" w:hAnsi="Arial"/>
          <w:sz w:val="18"/>
          <w:szCs w:val="18"/>
          <w:color w:val="auto"/>
        </w:rPr>
        <w:t>(777,190)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173990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3" w:lineRule="exact"/>
        <w:rPr>
          <w:sz w:val="20"/>
          <w:szCs w:val="20"/>
          <w:color w:val="auto"/>
        </w:rPr>
      </w:pPr>
    </w:p>
    <w:p>
      <w:pPr>
        <w:jc w:val="both"/>
        <w:ind w:left="420"/>
        <w:spacing w:after="0"/>
        <w:tabs>
          <w:tab w:leader="none" w:pos="1780" w:val="left"/>
        </w:tabs>
        <w:rPr>
          <w:sz w:val="20"/>
          <w:szCs w:val="20"/>
          <w:color w:val="auto"/>
        </w:rPr>
      </w:pPr>
      <w:r>
        <w:rPr>
          <w:rFonts w:ascii="Arial" w:cs="Arial" w:eastAsia="Arial" w:hAnsi="Arial"/>
          <w:sz w:val="18"/>
          <w:szCs w:val="18"/>
          <w:color w:val="auto"/>
        </w:rPr>
        <w:t>8,271,831</w:t>
      </w:r>
      <w:r>
        <w:rPr>
          <w:sz w:val="20"/>
          <w:szCs w:val="20"/>
          <w:color w:val="auto"/>
        </w:rPr>
        <w:tab/>
      </w:r>
      <w:r>
        <w:rPr>
          <w:rFonts w:ascii="Arial" w:cs="Arial" w:eastAsia="Arial" w:hAnsi="Arial"/>
          <w:sz w:val="18"/>
          <w:szCs w:val="18"/>
          <w:color w:val="auto"/>
        </w:rPr>
        <w:t>(21,443,261)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17399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739900" cy="8890"/>
                    </a:xfrm>
                    <a:prstGeom prst="rect">
                      <a:avLst/>
                    </a:prstGeom>
                    <a:noFill/>
                  </pic:spPr>
                </pic:pic>
              </a:graphicData>
            </a:graphic>
          </wp:anchor>
        </w:drawing>
      </w:r>
    </w:p>
    <w:p>
      <w:pPr>
        <w:spacing w:after="0" w:line="201" w:lineRule="exact"/>
        <w:rPr>
          <w:sz w:val="20"/>
          <w:szCs w:val="20"/>
          <w:color w:val="auto"/>
        </w:rPr>
      </w:pPr>
    </w:p>
    <w:p>
      <w:pPr>
        <w:ind w:left="560"/>
        <w:spacing w:after="0"/>
        <w:tabs>
          <w:tab w:leader="none" w:pos="2540" w:val="left"/>
        </w:tabs>
        <w:rPr>
          <w:sz w:val="20"/>
          <w:szCs w:val="20"/>
          <w:color w:val="auto"/>
        </w:rPr>
      </w:pPr>
      <w:r>
        <w:rPr>
          <w:rFonts w:ascii="Arial" w:cs="Arial" w:eastAsia="Arial" w:hAnsi="Arial"/>
          <w:sz w:val="18"/>
          <w:szCs w:val="18"/>
          <w:color w:val="auto"/>
        </w:rPr>
        <w:t>106,754</w:t>
      </w:r>
      <w:r>
        <w:rPr>
          <w:sz w:val="20"/>
          <w:szCs w:val="20"/>
          <w:color w:val="auto"/>
        </w:rPr>
        <w:tab/>
      </w:r>
      <w:r>
        <w:rPr>
          <w:rFonts w:ascii="Arial" w:cs="Arial" w:eastAsia="Arial" w:hAnsi="Arial"/>
          <w:sz w:val="18"/>
          <w:szCs w:val="18"/>
          <w:color w:val="auto"/>
        </w:rPr>
        <w:t>—</w:t>
      </w:r>
    </w:p>
    <w:p>
      <w:pPr>
        <w:jc w:val="both"/>
        <w:ind w:left="500"/>
        <w:spacing w:after="0" w:line="234" w:lineRule="auto"/>
        <w:tabs>
          <w:tab w:leader="none" w:pos="1880" w:val="left"/>
        </w:tabs>
        <w:rPr>
          <w:sz w:val="20"/>
          <w:szCs w:val="20"/>
          <w:color w:val="auto"/>
        </w:rPr>
      </w:pPr>
      <w:r>
        <w:rPr>
          <w:rFonts w:ascii="Arial" w:cs="Arial" w:eastAsia="Arial" w:hAnsi="Arial"/>
          <w:sz w:val="18"/>
          <w:szCs w:val="18"/>
          <w:color w:val="auto"/>
        </w:rPr>
        <w:t>(933,881)</w:t>
      </w:r>
      <w:r>
        <w:rPr>
          <w:sz w:val="20"/>
          <w:szCs w:val="20"/>
          <w:color w:val="auto"/>
        </w:rPr>
        <w:tab/>
      </w:r>
      <w:r>
        <w:rPr>
          <w:rFonts w:ascii="Arial" w:cs="Arial" w:eastAsia="Arial" w:hAnsi="Arial"/>
          <w:sz w:val="18"/>
          <w:szCs w:val="18"/>
          <w:color w:val="auto"/>
        </w:rPr>
        <w:t>(2,071,413)</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40,000</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(827,127)</w:t>
      </w:r>
      <w:r>
        <w:rPr>
          <w:rFonts w:ascii="Arial" w:cs="Arial" w:eastAsia="Arial" w:hAnsi="Arial"/>
          <w:sz w:val="16"/>
          <w:szCs w:val="16"/>
          <w:color w:val="auto"/>
        </w:rPr>
        <w:t>(2,031,413)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-149860</wp:posOffset>
            </wp:positionV>
            <wp:extent cx="173990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7399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173990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201" w:lineRule="exact"/>
        <w:rPr>
          <w:sz w:val="20"/>
          <w:szCs w:val="20"/>
          <w:color w:val="auto"/>
        </w:rPr>
      </w:pPr>
    </w:p>
    <w:p>
      <w:pPr>
        <w:ind w:left="660"/>
        <w:spacing w:after="0"/>
        <w:tabs>
          <w:tab w:leader="none" w:pos="2180" w:val="left"/>
        </w:tabs>
        <w:rPr>
          <w:sz w:val="20"/>
          <w:szCs w:val="20"/>
          <w:color w:val="auto"/>
        </w:rPr>
      </w:pPr>
      <w:r>
        <w:rPr>
          <w:rFonts w:ascii="Arial" w:cs="Arial" w:eastAsia="Arial" w:hAnsi="Arial"/>
          <w:sz w:val="18"/>
          <w:szCs w:val="18"/>
          <w:color w:val="auto"/>
        </w:rPr>
        <w:t>11,072</w:t>
      </w:r>
      <w:r>
        <w:rPr>
          <w:sz w:val="20"/>
          <w:szCs w:val="20"/>
          <w:color w:val="auto"/>
        </w:rPr>
        <w:tab/>
      </w:r>
      <w:r>
        <w:rPr>
          <w:rFonts w:ascii="Arial" w:cs="Arial" w:eastAsia="Arial" w:hAnsi="Arial"/>
          <w:sz w:val="18"/>
          <w:szCs w:val="18"/>
          <w:color w:val="auto"/>
        </w:rPr>
        <w:t>37,423</w:t>
      </w:r>
    </w:p>
    <w:p>
      <w:pPr>
        <w:jc w:val="both"/>
        <w:ind w:left="600"/>
        <w:spacing w:after="0" w:line="234" w:lineRule="auto"/>
        <w:tabs>
          <w:tab w:leader="none" w:pos="2220" w:val="left"/>
        </w:tabs>
        <w:rPr>
          <w:sz w:val="20"/>
          <w:szCs w:val="20"/>
          <w:color w:val="auto"/>
        </w:rPr>
      </w:pPr>
      <w:r>
        <w:rPr>
          <w:rFonts w:ascii="Arial" w:cs="Arial" w:eastAsia="Arial" w:hAnsi="Arial"/>
          <w:sz w:val="18"/>
          <w:szCs w:val="18"/>
          <w:color w:val="auto"/>
        </w:rPr>
        <w:t>(12,745)</w:t>
      </w:r>
      <w:r>
        <w:rPr>
          <w:sz w:val="20"/>
          <w:szCs w:val="20"/>
          <w:color w:val="auto"/>
        </w:rPr>
        <w:tab/>
      </w:r>
      <w:r>
        <w:rPr>
          <w:rFonts w:ascii="Arial" w:cs="Arial" w:eastAsia="Arial" w:hAnsi="Arial"/>
          <w:sz w:val="18"/>
          <w:szCs w:val="18"/>
          <w:color w:val="auto"/>
        </w:rPr>
        <w:t>(9,668)</w:t>
      </w:r>
    </w:p>
    <w:p>
      <w:pPr>
        <w:ind w:left="420"/>
        <w:spacing w:after="0" w:line="231" w:lineRule="auto"/>
        <w:tabs>
          <w:tab w:leader="none" w:pos="1840" w:val="left"/>
        </w:tabs>
        <w:rPr>
          <w:sz w:val="20"/>
          <w:szCs w:val="20"/>
          <w:color w:val="auto"/>
        </w:rPr>
      </w:pPr>
      <w:r>
        <w:rPr>
          <w:rFonts w:ascii="Arial" w:cs="Arial" w:eastAsia="Arial" w:hAnsi="Arial"/>
          <w:sz w:val="18"/>
          <w:szCs w:val="18"/>
          <w:color w:val="auto"/>
        </w:rPr>
        <w:t>8,999,731</w:t>
      </w:r>
      <w:r>
        <w:rPr>
          <w:sz w:val="20"/>
          <w:szCs w:val="20"/>
          <w:color w:val="auto"/>
        </w:rPr>
        <w:tab/>
      </w:r>
      <w:r>
        <w:rPr>
          <w:rFonts w:ascii="Arial" w:cs="Arial" w:eastAsia="Arial" w:hAnsi="Arial"/>
          <w:sz w:val="18"/>
          <w:szCs w:val="18"/>
          <w:color w:val="auto"/>
        </w:rPr>
        <w:t>17,451,965</w:t>
      </w:r>
    </w:p>
    <w:p>
      <w:pPr>
        <w:spacing w:after="0" w:line="1" w:lineRule="exact"/>
        <w:rPr>
          <w:sz w:val="20"/>
          <w:szCs w:val="20"/>
          <w:color w:val="auto"/>
        </w:rPr>
      </w:pPr>
    </w:p>
    <w:p>
      <w:pPr>
        <w:sectPr>
          <w:pgSz w:w="11900" w:h="16838" w:orient="portrait"/>
          <w:cols w:equalWidth="0" w:num="2">
            <w:col w:w="7540" w:space="720"/>
            <w:col w:w="288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16"/>
        </w:trPr>
        <w:tc>
          <w:tcPr>
            <w:tcW w:w="6580" w:type="dxa"/>
            <w:vAlign w:val="bottom"/>
          </w:tcPr>
          <w:p>
            <w:pPr>
              <w:ind w:left="860"/>
              <w:spacing w:after="0"/>
              <w:rPr>
                <w:sz w:val="20"/>
                <w:szCs w:val="20"/>
                <w:color w:val="auto"/>
              </w:rPr>
            </w:pPr>
            <w:r>
              <w:rPr>
                <w:rFonts w:ascii="Arial" w:cs="Arial" w:eastAsia="Arial" w:hAnsi="Arial"/>
                <w:sz w:val="18"/>
                <w:szCs w:val="18"/>
                <w:color w:val="auto"/>
              </w:rPr>
              <w:t>Net cash provided by financing activities</w:t>
            </w:r>
          </w:p>
        </w:tc>
        <w:tc>
          <w:tcPr>
            <w:tcW w:w="15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8,998,058</w:t>
            </w:r>
          </w:p>
        </w:tc>
        <w:tc>
          <w:tcPr>
            <w:tcW w:w="3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17,479,720</w:t>
            </w:r>
          </w:p>
        </w:tc>
        <w:tc>
          <w:tcPr>
            <w:tcW w:w="140" w:type="dxa"/>
            <w:vAlign w:val="bottom"/>
          </w:tcPr>
          <w:p>
            <w:pPr>
              <w:spacing w:after="0"/>
              <w:rPr>
                <w:sz w:val="18"/>
                <w:szCs w:val="18"/>
                <w:color w:val="auto"/>
              </w:rPr>
            </w:pPr>
          </w:p>
        </w:tc>
      </w:tr>
      <w:tr>
        <w:trPr>
          <w:trHeight w:val="203"/>
        </w:trPr>
        <w:tc>
          <w:tcPr>
            <w:tcW w:w="658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rPr>
              <w:t>Net increase (decrease) in cash and cash equivalents</w:t>
            </w:r>
          </w:p>
        </w:tc>
        <w:tc>
          <w:tcPr>
            <w:tcW w:w="1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16,442,762</w:t>
            </w:r>
          </w:p>
        </w:tc>
        <w:tc>
          <w:tcPr>
            <w:tcW w:w="3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(5,994,954)</w:t>
            </w:r>
          </w:p>
        </w:tc>
      </w:tr>
      <w:tr>
        <w:trPr>
          <w:trHeight w:val="210"/>
        </w:trPr>
        <w:tc>
          <w:tcPr>
            <w:tcW w:w="658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15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3"/>
        </w:trPr>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of year</w:t>
            </w:r>
          </w:p>
        </w:tc>
        <w:tc>
          <w:tcPr>
            <w:tcW w:w="15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2,173,765</w:t>
            </w:r>
          </w:p>
        </w:tc>
        <w:tc>
          <w:tcPr>
            <w:tcW w:w="3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8,168,719</w:t>
            </w:r>
          </w:p>
        </w:tc>
        <w:tc>
          <w:tcPr>
            <w:tcW w:w="140" w:type="dxa"/>
            <w:vAlign w:val="bottom"/>
            <w:shd w:val="clear" w:color="auto" w:fill="CCEEFF"/>
          </w:tcPr>
          <w:p>
            <w:pPr>
              <w:spacing w:after="0"/>
              <w:rPr>
                <w:sz w:val="17"/>
                <w:szCs w:val="17"/>
                <w:color w:val="auto"/>
              </w:rPr>
            </w:pPr>
          </w:p>
        </w:tc>
      </w:tr>
      <w:tr>
        <w:trPr>
          <w:trHeight w:val="217"/>
        </w:trPr>
        <w:tc>
          <w:tcPr>
            <w:tcW w:w="6580" w:type="dxa"/>
            <w:vAlign w:val="bottom"/>
          </w:tcPr>
          <w:p>
            <w:pPr>
              <w:spacing w:after="0"/>
              <w:rPr>
                <w:sz w:val="20"/>
                <w:szCs w:val="20"/>
                <w:color w:val="auto"/>
              </w:rPr>
            </w:pPr>
            <w:r>
              <w:rPr>
                <w:rFonts w:ascii="Arial" w:cs="Arial" w:eastAsia="Arial" w:hAnsi="Arial"/>
                <w:sz w:val="18"/>
                <w:szCs w:val="18"/>
                <w:color w:val="auto"/>
              </w:rPr>
              <w:t>End of year</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18,616,527</w:t>
            </w: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2,173,765</w:t>
            </w:r>
          </w:p>
        </w:tc>
      </w:tr>
      <w:tr>
        <w:trPr>
          <w:trHeight w:val="203"/>
        </w:trPr>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Supplemental disclosure of noncash activities</w:t>
            </w:r>
          </w:p>
        </w:tc>
        <w:tc>
          <w:tcPr>
            <w:tcW w:w="15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6580" w:type="dxa"/>
            <w:vAlign w:val="bottom"/>
          </w:tcPr>
          <w:p>
            <w:pPr>
              <w:spacing w:after="0" w:line="202" w:lineRule="exact"/>
              <w:rPr>
                <w:sz w:val="20"/>
                <w:szCs w:val="20"/>
                <w:color w:val="auto"/>
              </w:rPr>
            </w:pPr>
            <w:r>
              <w:rPr>
                <w:rFonts w:ascii="Arial" w:cs="Arial" w:eastAsia="Arial" w:hAnsi="Arial"/>
                <w:sz w:val="18"/>
                <w:szCs w:val="18"/>
                <w:color w:val="auto"/>
              </w:rPr>
              <w:t>Equipment purchases included in accounts payable</w:t>
            </w:r>
          </w:p>
        </w:tc>
        <w:tc>
          <w:tcPr>
            <w:tcW w:w="1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23,636</w:t>
            </w:r>
          </w:p>
        </w:tc>
        <w:tc>
          <w:tcPr>
            <w:tcW w:w="3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277,068</w:t>
            </w:r>
          </w:p>
        </w:tc>
      </w:tr>
      <w:tr>
        <w:trPr>
          <w:trHeight w:val="203"/>
        </w:trPr>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Equipment purchases under capital lease</w:t>
            </w:r>
          </w:p>
        </w:tc>
        <w:tc>
          <w:tcPr>
            <w:tcW w:w="1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416,230</w:t>
            </w:r>
          </w:p>
        </w:tc>
        <w:tc>
          <w:tcPr>
            <w:tcW w:w="3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0"/>
        </w:trPr>
        <w:tc>
          <w:tcPr>
            <w:tcW w:w="65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The accompanying notes are an integral part of these financial statements.</w:t>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40"/>
          </w:cols>
          <w:pgMar w:left="320" w:top="459" w:right="439" w:bottom="1440" w:gutter="0" w:footer="0" w:header="0"/>
          <w:type w:val="continuous"/>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Warp Drive Bio, Inc.</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Notes to the financial statements</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 Organization and basis of presentation</w:t>
      </w:r>
    </w:p>
    <w:p>
      <w:pPr>
        <w:spacing w:after="0" w:line="134" w:lineRule="exact"/>
        <w:rPr>
          <w:sz w:val="20"/>
          <w:szCs w:val="20"/>
          <w:color w:val="auto"/>
        </w:rPr>
      </w:pPr>
    </w:p>
    <w:p>
      <w:pPr>
        <w:ind w:left="120"/>
        <w:spacing w:after="0" w:line="275" w:lineRule="auto"/>
        <w:rPr>
          <w:sz w:val="20"/>
          <w:szCs w:val="20"/>
          <w:color w:val="auto"/>
        </w:rPr>
      </w:pPr>
      <w:r>
        <w:rPr>
          <w:rFonts w:ascii="Arial" w:cs="Arial" w:eastAsia="Arial" w:hAnsi="Arial"/>
          <w:sz w:val="16"/>
          <w:szCs w:val="16"/>
          <w:color w:val="auto"/>
        </w:rPr>
        <w:t>Warp Drive Bio, Inc. (the “Company”) operates on the core principle that nature is the most powerful inventor of new drugs, unconstrained by the boundaries of modern science. The Company is deploying innovative Small Molecule-Assisted Receptor Targeting (SMART</w:t>
      </w:r>
      <w:r>
        <w:rPr>
          <w:rFonts w:ascii="Arial" w:cs="Arial" w:eastAsia="Arial" w:hAnsi="Arial"/>
          <w:sz w:val="10"/>
          <w:szCs w:val="10"/>
          <w:color w:val="auto"/>
        </w:rPr>
        <w:t>™</w:t>
      </w:r>
      <w:r>
        <w:rPr>
          <w:rFonts w:ascii="Arial" w:cs="Arial" w:eastAsia="Arial" w:hAnsi="Arial"/>
          <w:sz w:val="16"/>
          <w:szCs w:val="16"/>
          <w:color w:val="auto"/>
        </w:rPr>
        <w:t>) and Genomic Mining / antibiotic platforms to discover new medicines that have the potential to make a significant difference in the lives of patients. The Company was launched in 2011 through a partnership with Sanofi and with financing from Third Rock Ventures and Greylock Partners.</w:t>
      </w:r>
    </w:p>
    <w:p>
      <w:pPr>
        <w:spacing w:after="0" w:line="75" w:lineRule="exact"/>
        <w:rPr>
          <w:sz w:val="20"/>
          <w:szCs w:val="20"/>
          <w:color w:val="auto"/>
        </w:rPr>
      </w:pPr>
    </w:p>
    <w:p>
      <w:pPr>
        <w:jc w:val="both"/>
        <w:ind w:left="120" w:right="540"/>
        <w:spacing w:after="0" w:line="238" w:lineRule="auto"/>
        <w:rPr>
          <w:sz w:val="20"/>
          <w:szCs w:val="20"/>
          <w:color w:val="auto"/>
        </w:rPr>
      </w:pPr>
      <w:r>
        <w:rPr>
          <w:rFonts w:ascii="Arial" w:cs="Arial" w:eastAsia="Arial" w:hAnsi="Arial"/>
          <w:sz w:val="18"/>
          <w:szCs w:val="18"/>
          <w:color w:val="auto"/>
        </w:rPr>
        <w:t>In January 2016, the Company amended the Limited Liability Company Agreement with its preferred shareholders and restructured the Company as a C Corporation after a series of mergers with certain affiliates in a tax-free manner. The Company’s shareholders stayed predominantly the same after these transactions.</w:t>
      </w:r>
    </w:p>
    <w:p>
      <w:pPr>
        <w:spacing w:after="0" w:line="100" w:lineRule="exact"/>
        <w:rPr>
          <w:sz w:val="20"/>
          <w:szCs w:val="20"/>
          <w:color w:val="auto"/>
        </w:rPr>
      </w:pPr>
    </w:p>
    <w:p>
      <w:pPr>
        <w:ind w:left="120" w:right="380"/>
        <w:spacing w:after="0" w:line="238" w:lineRule="auto"/>
        <w:rPr>
          <w:sz w:val="20"/>
          <w:szCs w:val="20"/>
          <w:color w:val="auto"/>
        </w:rPr>
      </w:pPr>
      <w:r>
        <w:rPr>
          <w:rFonts w:ascii="Arial" w:cs="Arial" w:eastAsia="Arial" w:hAnsi="Arial"/>
          <w:sz w:val="18"/>
          <w:szCs w:val="18"/>
          <w:color w:val="auto"/>
        </w:rPr>
        <w:t>The Company is subject to a number of risks similar to other life science companies including, but not limited to, raising additional capital, development by its competitors of new technological innovations, protection of proprietary technology, and market acceptance of the Company’s products.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w:t>
      </w:r>
    </w:p>
    <w:p>
      <w:pPr>
        <w:spacing w:after="0" w:line="124"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The Company’s financial statements have been prepared on the basis of continuity of operations, realization of assets and the satisfaction of liabilities and commitments in the ordinary course of business. The Company has primarily funded its operations with proceeds from the sales of preferred units and milestones achieved as a result of collaboration arrangements. The Company has incurred losses since its inception, including net losses of approximately $18.2 million and $27.4 million for the years ended December 31, 2017 and 2016. As of December 31, 2017, the Company had an accumulated deficit of approximately $117.5 million. The Company expects that its operating losses will continue for the foreseeable future. As of October 16, 2018, the issuance date of the financial statements for the year ended December 31, 2017, the Company expects that its cash and cash equivalents will not be sufficient to fund its operating expenses and capital expenditure requirements for at least the next 12 months from the date that the financial statements are issued. The future viability of the Company is dependent on its ability to raise additional capital to finance its operations. These conditions raise substantial doubt about the Company’s ability to continue as a going concern within one year after the date that the financial statements are issued.</w:t>
      </w:r>
    </w:p>
    <w:p>
      <w:pPr>
        <w:spacing w:after="0" w:line="106"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Management’s plans to alleviate these conditions that raise substantial doubt regarding the Company’s ability to continue as a going concern include pursuing one or more of the following steps to raise additional funding, none of which can be guaranteed or are entirely within the Company’s control:</w:t>
      </w:r>
    </w:p>
    <w:p>
      <w:pPr>
        <w:spacing w:after="0" w:line="109" w:lineRule="exact"/>
        <w:rPr>
          <w:sz w:val="20"/>
          <w:szCs w:val="20"/>
          <w:color w:val="auto"/>
        </w:rPr>
      </w:pPr>
    </w:p>
    <w:p>
      <w:pPr>
        <w:ind w:left="340" w:hanging="224"/>
        <w:spacing w:after="0"/>
        <w:tabs>
          <w:tab w:leader="none" w:pos="3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Sell Company’s stock in private equity financings.</w:t>
      </w:r>
    </w:p>
    <w:p>
      <w:pPr>
        <w:ind w:left="340" w:hanging="224"/>
        <w:spacing w:after="0"/>
        <w:tabs>
          <w:tab w:leader="none" w:pos="3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Earn milestones payments under the Company’s collaboration with Roche. See Note 4.</w:t>
      </w:r>
    </w:p>
    <w:p>
      <w:pPr>
        <w:spacing w:after="0" w:line="104" w:lineRule="exact"/>
        <w:rPr>
          <w:sz w:val="20"/>
          <w:szCs w:val="20"/>
          <w:color w:val="auto"/>
        </w:rPr>
      </w:pPr>
    </w:p>
    <w:p>
      <w:pPr>
        <w:ind w:left="120" w:right="200"/>
        <w:spacing w:after="0" w:line="236" w:lineRule="auto"/>
        <w:rPr>
          <w:sz w:val="20"/>
          <w:szCs w:val="20"/>
          <w:color w:val="auto"/>
        </w:rPr>
      </w:pPr>
      <w:r>
        <w:rPr>
          <w:rFonts w:ascii="Arial" w:cs="Arial" w:eastAsia="Arial" w:hAnsi="Arial"/>
          <w:sz w:val="18"/>
          <w:szCs w:val="18"/>
          <w:color w:val="auto"/>
        </w:rPr>
        <w:t>There can be no assurance, however, that the Company will receive cash proceeds from any of these potential resources or, to the extent cash proceeds are received, those proceeds would be sufficient to support the Company’s operations for at least the next year following the date that the financial statements are issued. Management has concluded the likelihood that its plan to obtain sufficient funding from one or more of these sources will be successful, while reasonably possible, is less than probable. Accordingly, management has concluded that substantial doubt exists regarding the Company’s ability to continue as a going concern.</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20"/>
          </w:cols>
          <w:pgMar w:left="320" w:top="459" w:right="45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4"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The presentation of financial statements in conformity with generally accepted accounting principles requires management to make estimates and assumptions that affect the amounts of assets and liabilities and disclosure of contingent assets and liabilities as of the date of the financial statements and the reported amounts of revenue and expenses during the reporting period.</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Patent costs</w:t>
      </w:r>
    </w:p>
    <w:p>
      <w:pPr>
        <w:spacing w:after="0" w:line="124" w:lineRule="exact"/>
        <w:rPr>
          <w:sz w:val="20"/>
          <w:szCs w:val="20"/>
          <w:color w:val="auto"/>
        </w:rPr>
      </w:pPr>
    </w:p>
    <w:p>
      <w:pPr>
        <w:ind w:left="120" w:right="220"/>
        <w:spacing w:after="0" w:line="239" w:lineRule="auto"/>
        <w:rPr>
          <w:sz w:val="20"/>
          <w:szCs w:val="20"/>
          <w:color w:val="auto"/>
        </w:rPr>
      </w:pPr>
      <w:r>
        <w:rPr>
          <w:rFonts w:ascii="Arial" w:cs="Arial" w:eastAsia="Arial" w:hAnsi="Arial"/>
          <w:sz w:val="18"/>
          <w:szCs w:val="18"/>
          <w:color w:val="auto"/>
        </w:rPr>
        <w:t>The Company expenses patent and related legal costs as incurred as general and administrative expenses in the statements of operations and comprehensive loss.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24" w:lineRule="exact"/>
        <w:rPr>
          <w:sz w:val="20"/>
          <w:szCs w:val="20"/>
          <w:color w:val="auto"/>
        </w:rPr>
      </w:pPr>
    </w:p>
    <w:p>
      <w:pPr>
        <w:ind w:left="120" w:right="260"/>
        <w:spacing w:after="0" w:line="239" w:lineRule="auto"/>
        <w:rPr>
          <w:sz w:val="20"/>
          <w:szCs w:val="20"/>
          <w:color w:val="auto"/>
        </w:rPr>
      </w:pPr>
      <w:r>
        <w:rPr>
          <w:rFonts w:ascii="Arial" w:cs="Arial" w:eastAsia="Arial" w:hAnsi="Arial"/>
          <w:sz w:val="18"/>
          <w:szCs w:val="18"/>
          <w:color w:val="auto"/>
        </w:rPr>
        <w:t>Comprehensive loss is comprised of net loss and other comprehensive income (loss), if any. For the years ended December 31, 2017 and 2016, comprehensive loss was equal to net loss.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24" w:lineRule="exact"/>
        <w:rPr>
          <w:sz w:val="20"/>
          <w:szCs w:val="20"/>
          <w:color w:val="auto"/>
        </w:rPr>
      </w:pPr>
    </w:p>
    <w:p>
      <w:pPr>
        <w:ind w:left="120" w:right="300"/>
        <w:spacing w:after="0" w:line="239" w:lineRule="auto"/>
        <w:rPr>
          <w:sz w:val="20"/>
          <w:szCs w:val="20"/>
          <w:color w:val="auto"/>
        </w:rPr>
      </w:pPr>
      <w:r>
        <w:rPr>
          <w:rFonts w:ascii="Arial" w:cs="Arial" w:eastAsia="Arial" w:hAnsi="Arial"/>
          <w:sz w:val="18"/>
          <w:szCs w:val="18"/>
          <w:color w:val="auto"/>
        </w:rPr>
        <w:t>Cash equivalents are short-term, highly liquid investments that are readily convertible into cash, with original maturities of three months or less.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24"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As of December 31, 2017 and 2016, the Company has $213,581 and $320,261, respectively, of long-term restricted cash related to deposits with a financial institution, which are used to collateralize letters of credit issued to the landlord of the Company’s leased facility (Note 10). During the year ended December 31, 2017, the Company reduced its restricted cash by $106,754 in accordance with the Company’s facility lease.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Property and equipment are stated at cost and are depreciated over their estimated useful lives using the straight-line method. Expenditures for maintenance and repairs are recorded to expense as incurred, whereas major improvements are capitalized as additions to property and equipment. Amortization of capital leases are included in depreciation expense. The Company reviews its property and equipment whenever events or changes in circumstances indicate that the carrying value of certain assets might not be recoverable, and recognizes an impairment loss when it is probable that an asset’s realizable value is less than the carrying value. To date, no such impairment losses have been recorded.</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24" w:lineRule="exact"/>
        <w:rPr>
          <w:sz w:val="20"/>
          <w:szCs w:val="20"/>
          <w:color w:val="auto"/>
        </w:rPr>
      </w:pPr>
    </w:p>
    <w:p>
      <w:pPr>
        <w:jc w:val="both"/>
        <w:ind w:left="120" w:right="260"/>
        <w:spacing w:after="0" w:line="238" w:lineRule="auto"/>
        <w:rPr>
          <w:sz w:val="20"/>
          <w:szCs w:val="20"/>
          <w:color w:val="auto"/>
        </w:rPr>
      </w:pPr>
      <w:r>
        <w:rPr>
          <w:rFonts w:ascii="Arial" w:cs="Arial" w:eastAsia="Arial" w:hAnsi="Arial"/>
          <w:sz w:val="18"/>
          <w:szCs w:val="18"/>
          <w:color w:val="auto"/>
        </w:rPr>
        <w:t>Financial Accounting Standards Board Accounting Standards Codification (ASC) 825, Financial Instruments, requires disclosure of the fair value of financial instruments. For financial instruments including cash equivalents, accounts payable and accrued expenses, the carrying amount approximates fair value due to their short-term nature.</w:t>
      </w:r>
    </w:p>
    <w:p>
      <w:pPr>
        <w:spacing w:after="0" w:line="100" w:lineRule="exact"/>
        <w:rPr>
          <w:sz w:val="20"/>
          <w:szCs w:val="20"/>
          <w:color w:val="auto"/>
        </w:rPr>
      </w:pPr>
    </w:p>
    <w:p>
      <w:pPr>
        <w:ind w:left="120" w:right="200"/>
        <w:spacing w:after="0" w:line="238" w:lineRule="auto"/>
        <w:rPr>
          <w:sz w:val="20"/>
          <w:szCs w:val="20"/>
          <w:color w:val="auto"/>
        </w:rPr>
      </w:pPr>
      <w:r>
        <w:rPr>
          <w:rFonts w:ascii="Arial" w:cs="Arial" w:eastAsia="Arial" w:hAnsi="Arial"/>
          <w:sz w:val="18"/>
          <w:szCs w:val="18"/>
          <w:color w:val="auto"/>
        </w:rPr>
        <w:t>The Company believes that its debt obligations bear interest at rates which approximate prevailing market rates for instruments with similar characteristics and, accordingly, the carrying values for these instruments approximate fair value. The debt fair value measurements are considered Level 2 in the fair value hierarchy.</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080"/>
          </w:cols>
          <w:pgMar w:left="320" w:top="459" w:right="49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24"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ASC 820, Fair Value Measurements and Disclosures (ASC 820), defines fair value and establishes a framework for measuring fair value in accordance with GAAP and expands disclosures about fair value measurements. ASC 820 codifies the definition of fair value as the price that would be received to sell an asset or paid to transfer a liability in an orderly transaction between market participants at the measurement date, clarifies the principle that fair value should be based on the assumptions market participants would use when pricing the asset or liability, and establishes a fair value hierarchy that prioritizes the information used to develop those assumptions. The valuation hierarchy is based upon the transparency of inputs to the valuation of an asset or liability as of the measurement date.</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Fair value measurements are classified and disclosed in one of the following three categories: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104" w:lineRule="exact"/>
        <w:rPr>
          <w:sz w:val="20"/>
          <w:szCs w:val="20"/>
          <w:color w:val="auto"/>
        </w:rPr>
      </w:pPr>
    </w:p>
    <w:p>
      <w:pPr>
        <w:jc w:val="both"/>
        <w:ind w:left="340" w:right="480"/>
        <w:spacing w:after="0" w:line="238" w:lineRule="auto"/>
        <w:rPr>
          <w:sz w:val="20"/>
          <w:szCs w:val="20"/>
          <w:color w:val="auto"/>
        </w:rPr>
      </w:pPr>
      <w:r>
        <w:rPr>
          <w:rFonts w:ascii="Arial" w:cs="Arial" w:eastAsia="Arial" w:hAnsi="Arial"/>
          <w:sz w:val="18"/>
          <w:szCs w:val="18"/>
          <w:color w:val="auto"/>
        </w:rPr>
        <w:t>Level 2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Level 3 Unobservable inputs that are supported by little or no market activity and that are significant to the fair value of assets or liabilities.</w:t>
      </w:r>
    </w:p>
    <w:p>
      <w:pPr>
        <w:spacing w:after="0" w:line="127" w:lineRule="exact"/>
        <w:rPr>
          <w:sz w:val="20"/>
          <w:szCs w:val="20"/>
          <w:color w:val="auto"/>
        </w:rPr>
      </w:pPr>
    </w:p>
    <w:p>
      <w:pPr>
        <w:ind w:left="120" w:right="380"/>
        <w:spacing w:after="0" w:line="239" w:lineRule="auto"/>
        <w:rPr>
          <w:sz w:val="20"/>
          <w:szCs w:val="20"/>
          <w:color w:val="auto"/>
        </w:rPr>
      </w:pPr>
      <w:r>
        <w:rPr>
          <w:rFonts w:ascii="Arial" w:cs="Arial" w:eastAsia="Arial" w:hAnsi="Arial"/>
          <w:sz w:val="18"/>
          <w:szCs w:val="18"/>
          <w:color w:val="auto"/>
        </w:rPr>
        <w:t>The Company measures the following financial assets at fair value on a recurring basis. The fair value of these assets was determined as follows at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60" w:type="dxa"/>
            <w:vAlign w:val="bottom"/>
            <w:gridSpan w:val="2"/>
          </w:tcPr>
          <w:p>
            <w:pPr>
              <w:jc w:val="center"/>
              <w:ind w:left="12"/>
              <w:spacing w:after="0"/>
              <w:rPr>
                <w:sz w:val="20"/>
                <w:szCs w:val="20"/>
                <w:color w:val="auto"/>
              </w:rPr>
            </w:pPr>
            <w:r>
              <w:rPr>
                <w:rFonts w:ascii="Arial" w:cs="Arial" w:eastAsia="Arial" w:hAnsi="Arial"/>
                <w:sz w:val="18"/>
                <w:szCs w:val="18"/>
                <w:b w:val="1"/>
                <w:bCs w:val="1"/>
                <w:color w:val="auto"/>
                <w:w w:val="97"/>
              </w:rPr>
              <w:t>Quoted prices in</w:t>
            </w: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7"/>
              </w:rPr>
              <w:t>Significant</w:t>
            </w: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60" w:type="dxa"/>
            <w:vAlign w:val="bottom"/>
            <w:gridSpan w:val="2"/>
          </w:tcPr>
          <w:p>
            <w:pPr>
              <w:jc w:val="center"/>
              <w:ind w:left="12"/>
              <w:spacing w:after="0" w:line="202" w:lineRule="exact"/>
              <w:rPr>
                <w:sz w:val="20"/>
                <w:szCs w:val="20"/>
                <w:color w:val="auto"/>
              </w:rPr>
            </w:pPr>
            <w:r>
              <w:rPr>
                <w:rFonts w:ascii="Arial" w:cs="Arial" w:eastAsia="Arial" w:hAnsi="Arial"/>
                <w:sz w:val="18"/>
                <w:szCs w:val="18"/>
                <w:b w:val="1"/>
                <w:bCs w:val="1"/>
                <w:color w:val="auto"/>
                <w:w w:val="97"/>
              </w:rPr>
              <w:t>active markets</w:t>
            </w:r>
          </w:p>
        </w:tc>
        <w:tc>
          <w:tcPr>
            <w:tcW w:w="400" w:type="dxa"/>
            <w:vAlign w:val="bottom"/>
          </w:tcPr>
          <w:p>
            <w:pPr>
              <w:spacing w:after="0"/>
              <w:rPr>
                <w:sz w:val="17"/>
                <w:szCs w:val="17"/>
                <w:color w:val="auto"/>
              </w:rPr>
            </w:pPr>
          </w:p>
        </w:tc>
        <w:tc>
          <w:tcPr>
            <w:tcW w:w="1080" w:type="dxa"/>
            <w:vAlign w:val="bottom"/>
          </w:tcPr>
          <w:p>
            <w:pPr>
              <w:jc w:val="center"/>
              <w:ind w:right="272"/>
              <w:spacing w:after="0" w:line="202" w:lineRule="exact"/>
              <w:rPr>
                <w:sz w:val="20"/>
                <w:szCs w:val="20"/>
                <w:color w:val="auto"/>
              </w:rPr>
            </w:pPr>
            <w:r>
              <w:rPr>
                <w:rFonts w:ascii="Arial" w:cs="Arial" w:eastAsia="Arial" w:hAnsi="Arial"/>
                <w:sz w:val="18"/>
                <w:szCs w:val="18"/>
                <w:b w:val="1"/>
                <w:bCs w:val="1"/>
                <w:color w:val="auto"/>
                <w:w w:val="97"/>
              </w:rPr>
              <w:t>other</w:t>
            </w:r>
          </w:p>
        </w:tc>
        <w:tc>
          <w:tcPr>
            <w:tcW w:w="380" w:type="dxa"/>
            <w:vAlign w:val="bottom"/>
          </w:tcPr>
          <w:p>
            <w:pPr>
              <w:spacing w:after="0"/>
              <w:rPr>
                <w:sz w:val="17"/>
                <w:szCs w:val="17"/>
                <w:color w:val="auto"/>
              </w:rPr>
            </w:pPr>
          </w:p>
        </w:tc>
        <w:tc>
          <w:tcPr>
            <w:tcW w:w="1100" w:type="dxa"/>
            <w:vAlign w:val="bottom"/>
            <w:gridSpan w:val="2"/>
          </w:tcPr>
          <w:p>
            <w:pPr>
              <w:jc w:val="center"/>
              <w:ind w:right="160"/>
              <w:spacing w:after="0" w:line="202" w:lineRule="exact"/>
              <w:rPr>
                <w:sz w:val="20"/>
                <w:szCs w:val="20"/>
                <w:color w:val="auto"/>
              </w:rPr>
            </w:pPr>
            <w:r>
              <w:rPr>
                <w:rFonts w:ascii="Arial" w:cs="Arial" w:eastAsia="Arial" w:hAnsi="Arial"/>
                <w:sz w:val="18"/>
                <w:szCs w:val="18"/>
                <w:b w:val="1"/>
                <w:bCs w:val="1"/>
                <w:color w:val="auto"/>
                <w:w w:val="97"/>
              </w:rPr>
              <w:t>Significant</w:t>
            </w:r>
          </w:p>
        </w:tc>
      </w:tr>
      <w:tr>
        <w:trPr>
          <w:trHeight w:val="203"/>
        </w:trPr>
        <w:tc>
          <w:tcPr>
            <w:tcW w:w="4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ind w:right="212"/>
              <w:spacing w:after="0" w:line="202" w:lineRule="exact"/>
              <w:rPr>
                <w:sz w:val="20"/>
                <w:szCs w:val="20"/>
                <w:color w:val="auto"/>
              </w:rPr>
            </w:pPr>
            <w:r>
              <w:rPr>
                <w:rFonts w:ascii="Arial" w:cs="Arial" w:eastAsia="Arial" w:hAnsi="Arial"/>
                <w:sz w:val="18"/>
                <w:szCs w:val="18"/>
                <w:b w:val="1"/>
                <w:bCs w:val="1"/>
                <w:color w:val="auto"/>
                <w:w w:val="97"/>
              </w:rPr>
              <w:t>Balance at</w:t>
            </w:r>
          </w:p>
        </w:tc>
        <w:tc>
          <w:tcPr>
            <w:tcW w:w="480" w:type="dxa"/>
            <w:vAlign w:val="bottom"/>
          </w:tcPr>
          <w:p>
            <w:pPr>
              <w:spacing w:after="0"/>
              <w:rPr>
                <w:sz w:val="17"/>
                <w:szCs w:val="17"/>
                <w:color w:val="auto"/>
              </w:rPr>
            </w:pPr>
          </w:p>
        </w:tc>
        <w:tc>
          <w:tcPr>
            <w:tcW w:w="1480" w:type="dxa"/>
            <w:vAlign w:val="bottom"/>
          </w:tcPr>
          <w:p>
            <w:pPr>
              <w:jc w:val="center"/>
              <w:ind w:right="292"/>
              <w:spacing w:after="0" w:line="202" w:lineRule="exact"/>
              <w:rPr>
                <w:sz w:val="20"/>
                <w:szCs w:val="20"/>
                <w:color w:val="auto"/>
              </w:rPr>
            </w:pPr>
            <w:r>
              <w:rPr>
                <w:rFonts w:ascii="Arial" w:cs="Arial" w:eastAsia="Arial" w:hAnsi="Arial"/>
                <w:sz w:val="18"/>
                <w:szCs w:val="18"/>
                <w:b w:val="1"/>
                <w:bCs w:val="1"/>
                <w:color w:val="auto"/>
                <w:w w:val="96"/>
              </w:rPr>
              <w:t>for identical</w:t>
            </w:r>
          </w:p>
        </w:tc>
        <w:tc>
          <w:tcPr>
            <w:tcW w:w="14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6"/>
              </w:rPr>
              <w:t>observable</w:t>
            </w:r>
          </w:p>
        </w:tc>
        <w:tc>
          <w:tcPr>
            <w:tcW w:w="1480" w:type="dxa"/>
            <w:vAlign w:val="bottom"/>
            <w:gridSpan w:val="3"/>
          </w:tcPr>
          <w:p>
            <w:pPr>
              <w:ind w:left="280"/>
              <w:spacing w:after="0" w:line="202" w:lineRule="exact"/>
              <w:rPr>
                <w:sz w:val="20"/>
                <w:szCs w:val="20"/>
                <w:color w:val="auto"/>
              </w:rPr>
            </w:pPr>
            <w:r>
              <w:rPr>
                <w:rFonts w:ascii="Arial" w:cs="Arial" w:eastAsia="Arial" w:hAnsi="Arial"/>
                <w:sz w:val="18"/>
                <w:szCs w:val="18"/>
                <w:b w:val="1"/>
                <w:bCs w:val="1"/>
                <w:color w:val="auto"/>
              </w:rPr>
              <w:t>unobservable</w:t>
            </w:r>
          </w:p>
        </w:tc>
      </w:tr>
      <w:tr>
        <w:trPr>
          <w:trHeight w:val="203"/>
        </w:trPr>
        <w:tc>
          <w:tcPr>
            <w:tcW w:w="4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112"/>
              <w:spacing w:after="0" w:line="202" w:lineRule="exact"/>
              <w:rPr>
                <w:sz w:val="20"/>
                <w:szCs w:val="20"/>
                <w:color w:val="auto"/>
              </w:rPr>
            </w:pPr>
            <w:r>
              <w:rPr>
                <w:rFonts w:ascii="Arial" w:cs="Arial" w:eastAsia="Arial" w:hAnsi="Arial"/>
                <w:sz w:val="18"/>
                <w:szCs w:val="18"/>
                <w:b w:val="1"/>
                <w:bCs w:val="1"/>
                <w:color w:val="auto"/>
                <w:w w:val="97"/>
              </w:rPr>
              <w:t>December 31,</w:t>
            </w:r>
          </w:p>
        </w:tc>
        <w:tc>
          <w:tcPr>
            <w:tcW w:w="480" w:type="dxa"/>
            <w:vAlign w:val="bottom"/>
          </w:tcPr>
          <w:p>
            <w:pPr>
              <w:spacing w:after="0"/>
              <w:rPr>
                <w:sz w:val="17"/>
                <w:szCs w:val="17"/>
                <w:color w:val="auto"/>
              </w:rPr>
            </w:pPr>
          </w:p>
        </w:tc>
        <w:tc>
          <w:tcPr>
            <w:tcW w:w="1480" w:type="dxa"/>
            <w:vAlign w:val="bottom"/>
          </w:tcPr>
          <w:p>
            <w:pPr>
              <w:jc w:val="center"/>
              <w:ind w:right="292"/>
              <w:spacing w:after="0" w:line="202" w:lineRule="exact"/>
              <w:rPr>
                <w:sz w:val="20"/>
                <w:szCs w:val="20"/>
                <w:color w:val="auto"/>
              </w:rPr>
            </w:pPr>
            <w:r>
              <w:rPr>
                <w:rFonts w:ascii="Arial" w:cs="Arial" w:eastAsia="Arial" w:hAnsi="Arial"/>
                <w:sz w:val="18"/>
                <w:szCs w:val="18"/>
                <w:b w:val="1"/>
                <w:bCs w:val="1"/>
                <w:color w:val="auto"/>
                <w:w w:val="96"/>
              </w:rPr>
              <w:t>assets</w:t>
            </w:r>
          </w:p>
        </w:tc>
        <w:tc>
          <w:tcPr>
            <w:tcW w:w="400" w:type="dxa"/>
            <w:vAlign w:val="bottom"/>
          </w:tcPr>
          <w:p>
            <w:pPr>
              <w:spacing w:after="0"/>
              <w:rPr>
                <w:sz w:val="17"/>
                <w:szCs w:val="17"/>
                <w:color w:val="auto"/>
              </w:rPr>
            </w:pPr>
          </w:p>
        </w:tc>
        <w:tc>
          <w:tcPr>
            <w:tcW w:w="1080" w:type="dxa"/>
            <w:vAlign w:val="bottom"/>
          </w:tcPr>
          <w:p>
            <w:pPr>
              <w:jc w:val="center"/>
              <w:ind w:right="272"/>
              <w:spacing w:after="0" w:line="202" w:lineRule="exact"/>
              <w:rPr>
                <w:sz w:val="20"/>
                <w:szCs w:val="20"/>
                <w:color w:val="auto"/>
              </w:rPr>
            </w:pPr>
            <w:r>
              <w:rPr>
                <w:rFonts w:ascii="Arial" w:cs="Arial" w:eastAsia="Arial" w:hAnsi="Arial"/>
                <w:sz w:val="18"/>
                <w:szCs w:val="18"/>
                <w:b w:val="1"/>
                <w:bCs w:val="1"/>
                <w:color w:val="auto"/>
                <w:w w:val="96"/>
              </w:rPr>
              <w:t>inputs</w:t>
            </w:r>
          </w:p>
        </w:tc>
        <w:tc>
          <w:tcPr>
            <w:tcW w:w="380" w:type="dxa"/>
            <w:vAlign w:val="bottom"/>
          </w:tcPr>
          <w:p>
            <w:pPr>
              <w:spacing w:after="0"/>
              <w:rPr>
                <w:sz w:val="17"/>
                <w:szCs w:val="17"/>
                <w:color w:val="auto"/>
              </w:rPr>
            </w:pPr>
          </w:p>
        </w:tc>
        <w:tc>
          <w:tcPr>
            <w:tcW w:w="110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96"/>
              </w:rPr>
              <w:t>inputs</w:t>
            </w:r>
          </w:p>
        </w:tc>
      </w:tr>
      <w:tr>
        <w:trPr>
          <w:trHeight w:val="235"/>
        </w:trPr>
        <w:tc>
          <w:tcPr>
            <w:tcW w:w="4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212"/>
              <w:spacing w:after="0"/>
              <w:rPr>
                <w:sz w:val="20"/>
                <w:szCs w:val="20"/>
                <w:color w:val="auto"/>
              </w:rPr>
            </w:pPr>
            <w:r>
              <w:rPr>
                <w:rFonts w:ascii="Arial" w:cs="Arial" w:eastAsia="Arial" w:hAnsi="Arial"/>
                <w:sz w:val="18"/>
                <w:szCs w:val="18"/>
                <w:b w:val="1"/>
                <w:bCs w:val="1"/>
                <w:color w:val="auto"/>
                <w:w w:val="99"/>
              </w:rPr>
              <w:t>2017</w:t>
            </w:r>
          </w:p>
        </w:tc>
        <w:tc>
          <w:tcPr>
            <w:tcW w:w="4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292"/>
              <w:spacing w:after="0"/>
              <w:rPr>
                <w:sz w:val="20"/>
                <w:szCs w:val="20"/>
                <w:color w:val="auto"/>
              </w:rPr>
            </w:pPr>
            <w:r>
              <w:rPr>
                <w:rFonts w:ascii="Arial" w:cs="Arial" w:eastAsia="Arial" w:hAnsi="Arial"/>
                <w:sz w:val="18"/>
                <w:szCs w:val="18"/>
                <w:b w:val="1"/>
                <w:bCs w:val="1"/>
                <w:color w:val="auto"/>
                <w:w w:val="98"/>
              </w:rPr>
              <w:t>(level 1)</w:t>
            </w: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72"/>
              <w:spacing w:after="0"/>
              <w:rPr>
                <w:sz w:val="20"/>
                <w:szCs w:val="20"/>
                <w:color w:val="auto"/>
              </w:rPr>
            </w:pPr>
            <w:r>
              <w:rPr>
                <w:rFonts w:ascii="Arial" w:cs="Arial" w:eastAsia="Arial" w:hAnsi="Arial"/>
                <w:sz w:val="18"/>
                <w:szCs w:val="18"/>
                <w:b w:val="1"/>
                <w:bCs w:val="1"/>
                <w:color w:val="auto"/>
                <w:w w:val="95"/>
              </w:rPr>
              <w:t>(level 2)</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b w:val="1"/>
                <w:bCs w:val="1"/>
                <w:color w:val="auto"/>
                <w:w w:val="98"/>
              </w:rPr>
              <w:t>(level 3)</w:t>
            </w:r>
          </w:p>
        </w:tc>
      </w:tr>
      <w:tr>
        <w:trPr>
          <w:trHeight w:val="48"/>
        </w:trPr>
        <w:tc>
          <w:tcPr>
            <w:tcW w:w="4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9"/>
        </w:trPr>
        <w:tc>
          <w:tcPr>
            <w:tcW w:w="4560" w:type="dxa"/>
            <w:vAlign w:val="bottom"/>
          </w:tcPr>
          <w:p>
            <w:pPr>
              <w:ind w:left="220"/>
              <w:spacing w:after="0" w:line="202" w:lineRule="exact"/>
              <w:rPr>
                <w:sz w:val="20"/>
                <w:szCs w:val="20"/>
                <w:color w:val="auto"/>
              </w:rPr>
            </w:pPr>
            <w:r>
              <w:rPr>
                <w:rFonts w:ascii="Arial" w:cs="Arial" w:eastAsia="Arial" w:hAnsi="Arial"/>
                <w:sz w:val="18"/>
                <w:szCs w:val="18"/>
                <w:color w:val="auto"/>
              </w:rPr>
              <w:t>Money market funds</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18,411,704</w:t>
            </w: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152"/>
              <w:spacing w:after="0" w:line="202" w:lineRule="exact"/>
              <w:rPr>
                <w:sz w:val="20"/>
                <w:szCs w:val="20"/>
                <w:color w:val="auto"/>
              </w:rPr>
            </w:pPr>
            <w:r>
              <w:rPr>
                <w:rFonts w:ascii="Arial" w:cs="Arial" w:eastAsia="Arial" w:hAnsi="Arial"/>
                <w:sz w:val="18"/>
                <w:szCs w:val="18"/>
                <w:color w:val="auto"/>
              </w:rPr>
              <w:t>18,411,704</w:t>
            </w:r>
          </w:p>
        </w:tc>
        <w:tc>
          <w:tcPr>
            <w:tcW w:w="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ind w:left="640"/>
              <w:spacing w:after="0" w:line="202"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ind w:left="28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ind w:left="860"/>
              <w:spacing w:after="0" w:line="202" w:lineRule="exact"/>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8"/>
                <w:szCs w:val="18"/>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equivalents</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18,411,704</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18,411,704</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860"/>
              <w:spacing w:after="0" w:line="202" w:lineRule="exact"/>
              <w:rPr>
                <w:sz w:val="20"/>
                <w:szCs w:val="20"/>
                <w:color w:val="auto"/>
              </w:rPr>
            </w:pPr>
            <w:r>
              <w:rPr>
                <w:rFonts w:ascii="Arial" w:cs="Arial" w:eastAsia="Arial" w:hAnsi="Arial"/>
                <w:sz w:val="18"/>
                <w:szCs w:val="18"/>
                <w:color w:val="auto"/>
              </w:rPr>
              <w:t>—</w:t>
            </w:r>
          </w:p>
        </w:tc>
      </w:tr>
      <w:tr>
        <w:trPr>
          <w:trHeight w:val="20"/>
        </w:trPr>
        <w:tc>
          <w:tcPr>
            <w:tcW w:w="4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gridSpan w:val="2"/>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45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2"/>
          </w:tcPr>
          <w:p>
            <w:pPr>
              <w:spacing w:after="0"/>
              <w:rPr>
                <w:sz w:val="17"/>
                <w:szCs w:val="17"/>
                <w:color w:val="auto"/>
              </w:rPr>
            </w:pPr>
          </w:p>
        </w:tc>
        <w:tc>
          <w:tcPr>
            <w:tcW w:w="1480" w:type="dxa"/>
            <w:vAlign w:val="bottom"/>
            <w:tcBorders>
              <w:bottom w:val="single" w:sz="8" w:color="auto"/>
            </w:tcBorders>
            <w:gridSpan w:val="2"/>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r>
      <w:tr>
        <w:trPr>
          <w:trHeight w:val="224"/>
        </w:trPr>
        <w:tc>
          <w:tcPr>
            <w:tcW w:w="4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960" w:type="dxa"/>
            <w:vAlign w:val="bottom"/>
            <w:gridSpan w:val="2"/>
          </w:tcPr>
          <w:p>
            <w:pPr>
              <w:jc w:val="center"/>
              <w:ind w:right="92"/>
              <w:spacing w:after="0"/>
              <w:rPr>
                <w:sz w:val="20"/>
                <w:szCs w:val="20"/>
                <w:color w:val="auto"/>
              </w:rPr>
            </w:pPr>
            <w:r>
              <w:rPr>
                <w:rFonts w:ascii="Arial" w:cs="Arial" w:eastAsia="Arial" w:hAnsi="Arial"/>
                <w:sz w:val="18"/>
                <w:szCs w:val="18"/>
                <w:b w:val="1"/>
                <w:bCs w:val="1"/>
                <w:color w:val="auto"/>
                <w:w w:val="97"/>
              </w:rPr>
              <w:t>Quoted prices in</w:t>
            </w:r>
          </w:p>
        </w:tc>
        <w:tc>
          <w:tcPr>
            <w:tcW w:w="1480" w:type="dxa"/>
            <w:vAlign w:val="bottom"/>
            <w:gridSpan w:val="2"/>
          </w:tcPr>
          <w:p>
            <w:pPr>
              <w:jc w:val="center"/>
              <w:ind w:right="12"/>
              <w:spacing w:after="0"/>
              <w:rPr>
                <w:sz w:val="20"/>
                <w:szCs w:val="20"/>
                <w:color w:val="auto"/>
              </w:rPr>
            </w:pPr>
            <w:r>
              <w:rPr>
                <w:rFonts w:ascii="Arial" w:cs="Arial" w:eastAsia="Arial" w:hAnsi="Arial"/>
                <w:sz w:val="18"/>
                <w:szCs w:val="18"/>
                <w:b w:val="1"/>
                <w:bCs w:val="1"/>
                <w:color w:val="auto"/>
                <w:w w:val="97"/>
              </w:rPr>
              <w:t>Significant</w:t>
            </w: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3"/>
        </w:trPr>
        <w:tc>
          <w:tcPr>
            <w:tcW w:w="4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60" w:type="dxa"/>
            <w:vAlign w:val="bottom"/>
            <w:gridSpan w:val="2"/>
          </w:tcPr>
          <w:p>
            <w:pPr>
              <w:jc w:val="center"/>
              <w:ind w:right="92"/>
              <w:spacing w:after="0" w:line="202" w:lineRule="exact"/>
              <w:rPr>
                <w:sz w:val="20"/>
                <w:szCs w:val="20"/>
                <w:color w:val="auto"/>
              </w:rPr>
            </w:pPr>
            <w:r>
              <w:rPr>
                <w:rFonts w:ascii="Arial" w:cs="Arial" w:eastAsia="Arial" w:hAnsi="Arial"/>
                <w:sz w:val="18"/>
                <w:szCs w:val="18"/>
                <w:b w:val="1"/>
                <w:bCs w:val="1"/>
                <w:color w:val="auto"/>
                <w:w w:val="97"/>
              </w:rPr>
              <w:t>active markets</w:t>
            </w:r>
          </w:p>
        </w:tc>
        <w:tc>
          <w:tcPr>
            <w:tcW w:w="400" w:type="dxa"/>
            <w:vAlign w:val="bottom"/>
          </w:tcPr>
          <w:p>
            <w:pPr>
              <w:spacing w:after="0"/>
              <w:rPr>
                <w:sz w:val="17"/>
                <w:szCs w:val="17"/>
                <w:color w:val="auto"/>
              </w:rPr>
            </w:pPr>
          </w:p>
        </w:tc>
        <w:tc>
          <w:tcPr>
            <w:tcW w:w="1080" w:type="dxa"/>
            <w:vAlign w:val="bottom"/>
          </w:tcPr>
          <w:p>
            <w:pPr>
              <w:jc w:val="center"/>
              <w:ind w:right="392"/>
              <w:spacing w:after="0" w:line="202" w:lineRule="exact"/>
              <w:rPr>
                <w:sz w:val="20"/>
                <w:szCs w:val="20"/>
                <w:color w:val="auto"/>
              </w:rPr>
            </w:pPr>
            <w:r>
              <w:rPr>
                <w:rFonts w:ascii="Arial" w:cs="Arial" w:eastAsia="Arial" w:hAnsi="Arial"/>
                <w:sz w:val="18"/>
                <w:szCs w:val="18"/>
                <w:b w:val="1"/>
                <w:bCs w:val="1"/>
                <w:color w:val="auto"/>
                <w:w w:val="97"/>
              </w:rPr>
              <w:t>other</w:t>
            </w:r>
          </w:p>
        </w:tc>
        <w:tc>
          <w:tcPr>
            <w:tcW w:w="380" w:type="dxa"/>
            <w:vAlign w:val="bottom"/>
          </w:tcPr>
          <w:p>
            <w:pPr>
              <w:spacing w:after="0"/>
              <w:rPr>
                <w:sz w:val="17"/>
                <w:szCs w:val="17"/>
                <w:color w:val="auto"/>
              </w:rPr>
            </w:pPr>
          </w:p>
        </w:tc>
        <w:tc>
          <w:tcPr>
            <w:tcW w:w="1100" w:type="dxa"/>
            <w:vAlign w:val="bottom"/>
            <w:gridSpan w:val="2"/>
          </w:tcPr>
          <w:p>
            <w:pPr>
              <w:jc w:val="center"/>
              <w:ind w:right="160"/>
              <w:spacing w:after="0" w:line="202" w:lineRule="exact"/>
              <w:rPr>
                <w:sz w:val="20"/>
                <w:szCs w:val="20"/>
                <w:color w:val="auto"/>
              </w:rPr>
            </w:pPr>
            <w:r>
              <w:rPr>
                <w:rFonts w:ascii="Arial" w:cs="Arial" w:eastAsia="Arial" w:hAnsi="Arial"/>
                <w:sz w:val="18"/>
                <w:szCs w:val="18"/>
                <w:b w:val="1"/>
                <w:bCs w:val="1"/>
                <w:color w:val="auto"/>
                <w:w w:val="97"/>
              </w:rPr>
              <w:t>Significant</w:t>
            </w:r>
          </w:p>
        </w:tc>
      </w:tr>
      <w:tr>
        <w:trPr>
          <w:trHeight w:val="203"/>
        </w:trPr>
        <w:tc>
          <w:tcPr>
            <w:tcW w:w="4560" w:type="dxa"/>
            <w:vAlign w:val="bottom"/>
          </w:tcPr>
          <w:p>
            <w:pPr>
              <w:spacing w:after="0"/>
              <w:rPr>
                <w:sz w:val="17"/>
                <w:szCs w:val="17"/>
                <w:color w:val="auto"/>
              </w:rPr>
            </w:pPr>
          </w:p>
        </w:tc>
        <w:tc>
          <w:tcPr>
            <w:tcW w:w="1540" w:type="dxa"/>
            <w:vAlign w:val="bottom"/>
            <w:gridSpan w:val="3"/>
          </w:tcPr>
          <w:p>
            <w:pPr>
              <w:jc w:val="right"/>
              <w:ind w:right="432"/>
              <w:spacing w:after="0" w:line="202" w:lineRule="exact"/>
              <w:rPr>
                <w:sz w:val="20"/>
                <w:szCs w:val="20"/>
                <w:color w:val="auto"/>
              </w:rPr>
            </w:pPr>
            <w:r>
              <w:rPr>
                <w:rFonts w:ascii="Arial" w:cs="Arial" w:eastAsia="Arial" w:hAnsi="Arial"/>
                <w:sz w:val="18"/>
                <w:szCs w:val="18"/>
                <w:b w:val="1"/>
                <w:bCs w:val="1"/>
                <w:color w:val="auto"/>
              </w:rPr>
              <w:t>Balance at</w:t>
            </w:r>
          </w:p>
        </w:tc>
        <w:tc>
          <w:tcPr>
            <w:tcW w:w="1960" w:type="dxa"/>
            <w:vAlign w:val="bottom"/>
            <w:gridSpan w:val="2"/>
          </w:tcPr>
          <w:p>
            <w:pPr>
              <w:jc w:val="center"/>
              <w:ind w:right="72"/>
              <w:spacing w:after="0" w:line="202" w:lineRule="exact"/>
              <w:rPr>
                <w:sz w:val="20"/>
                <w:szCs w:val="20"/>
                <w:color w:val="auto"/>
              </w:rPr>
            </w:pPr>
            <w:r>
              <w:rPr>
                <w:rFonts w:ascii="Arial" w:cs="Arial" w:eastAsia="Arial" w:hAnsi="Arial"/>
                <w:sz w:val="18"/>
                <w:szCs w:val="18"/>
                <w:b w:val="1"/>
                <w:bCs w:val="1"/>
                <w:color w:val="auto"/>
                <w:w w:val="97"/>
              </w:rPr>
              <w:t>for identical</w:t>
            </w:r>
          </w:p>
        </w:tc>
        <w:tc>
          <w:tcPr>
            <w:tcW w:w="1480" w:type="dxa"/>
            <w:vAlign w:val="bottom"/>
            <w:gridSpan w:val="2"/>
          </w:tcPr>
          <w:p>
            <w:pPr>
              <w:jc w:val="center"/>
              <w:ind w:right="12"/>
              <w:spacing w:after="0" w:line="202" w:lineRule="exact"/>
              <w:rPr>
                <w:sz w:val="20"/>
                <w:szCs w:val="20"/>
                <w:color w:val="auto"/>
              </w:rPr>
            </w:pPr>
            <w:r>
              <w:rPr>
                <w:rFonts w:ascii="Arial" w:cs="Arial" w:eastAsia="Arial" w:hAnsi="Arial"/>
                <w:sz w:val="18"/>
                <w:szCs w:val="18"/>
                <w:b w:val="1"/>
                <w:bCs w:val="1"/>
                <w:color w:val="auto"/>
                <w:w w:val="98"/>
              </w:rPr>
              <w:t>observable</w:t>
            </w:r>
          </w:p>
        </w:tc>
        <w:tc>
          <w:tcPr>
            <w:tcW w:w="1480" w:type="dxa"/>
            <w:vAlign w:val="bottom"/>
            <w:gridSpan w:val="3"/>
          </w:tcPr>
          <w:p>
            <w:pPr>
              <w:ind w:left="280"/>
              <w:spacing w:after="0" w:line="202" w:lineRule="exact"/>
              <w:rPr>
                <w:sz w:val="20"/>
                <w:szCs w:val="20"/>
                <w:color w:val="auto"/>
              </w:rPr>
            </w:pPr>
            <w:r>
              <w:rPr>
                <w:rFonts w:ascii="Arial" w:cs="Arial" w:eastAsia="Arial" w:hAnsi="Arial"/>
                <w:sz w:val="18"/>
                <w:szCs w:val="18"/>
                <w:b w:val="1"/>
                <w:bCs w:val="1"/>
                <w:color w:val="auto"/>
              </w:rPr>
              <w:t>unobservable</w:t>
            </w:r>
          </w:p>
        </w:tc>
      </w:tr>
      <w:tr>
        <w:trPr>
          <w:trHeight w:val="203"/>
        </w:trPr>
        <w:tc>
          <w:tcPr>
            <w:tcW w:w="4560" w:type="dxa"/>
            <w:vAlign w:val="bottom"/>
          </w:tcPr>
          <w:p>
            <w:pPr>
              <w:spacing w:after="0"/>
              <w:rPr>
                <w:sz w:val="17"/>
                <w:szCs w:val="17"/>
                <w:color w:val="auto"/>
              </w:rPr>
            </w:pPr>
          </w:p>
        </w:tc>
        <w:tc>
          <w:tcPr>
            <w:tcW w:w="154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December 31,</w:t>
            </w:r>
          </w:p>
        </w:tc>
        <w:tc>
          <w:tcPr>
            <w:tcW w:w="480" w:type="dxa"/>
            <w:vAlign w:val="bottom"/>
          </w:tcPr>
          <w:p>
            <w:pPr>
              <w:spacing w:after="0"/>
              <w:rPr>
                <w:sz w:val="17"/>
                <w:szCs w:val="17"/>
                <w:color w:val="auto"/>
              </w:rPr>
            </w:pPr>
          </w:p>
        </w:tc>
        <w:tc>
          <w:tcPr>
            <w:tcW w:w="1480" w:type="dxa"/>
            <w:vAlign w:val="bottom"/>
          </w:tcPr>
          <w:p>
            <w:pPr>
              <w:jc w:val="center"/>
              <w:ind w:right="572"/>
              <w:spacing w:after="0" w:line="202" w:lineRule="exact"/>
              <w:rPr>
                <w:sz w:val="20"/>
                <w:szCs w:val="20"/>
                <w:color w:val="auto"/>
              </w:rPr>
            </w:pPr>
            <w:r>
              <w:rPr>
                <w:rFonts w:ascii="Arial" w:cs="Arial" w:eastAsia="Arial" w:hAnsi="Arial"/>
                <w:sz w:val="18"/>
                <w:szCs w:val="18"/>
                <w:b w:val="1"/>
                <w:bCs w:val="1"/>
                <w:color w:val="auto"/>
                <w:w w:val="96"/>
              </w:rPr>
              <w:t>assets</w:t>
            </w:r>
          </w:p>
        </w:tc>
        <w:tc>
          <w:tcPr>
            <w:tcW w:w="400" w:type="dxa"/>
            <w:vAlign w:val="bottom"/>
          </w:tcPr>
          <w:p>
            <w:pPr>
              <w:spacing w:after="0"/>
              <w:rPr>
                <w:sz w:val="17"/>
                <w:szCs w:val="17"/>
                <w:color w:val="auto"/>
              </w:rPr>
            </w:pPr>
          </w:p>
        </w:tc>
        <w:tc>
          <w:tcPr>
            <w:tcW w:w="1080" w:type="dxa"/>
            <w:vAlign w:val="bottom"/>
          </w:tcPr>
          <w:p>
            <w:pPr>
              <w:jc w:val="center"/>
              <w:ind w:right="412"/>
              <w:spacing w:after="0" w:line="202" w:lineRule="exact"/>
              <w:rPr>
                <w:sz w:val="20"/>
                <w:szCs w:val="20"/>
                <w:color w:val="auto"/>
              </w:rPr>
            </w:pPr>
            <w:r>
              <w:rPr>
                <w:rFonts w:ascii="Arial" w:cs="Arial" w:eastAsia="Arial" w:hAnsi="Arial"/>
                <w:sz w:val="18"/>
                <w:szCs w:val="18"/>
                <w:b w:val="1"/>
                <w:bCs w:val="1"/>
                <w:color w:val="auto"/>
                <w:w w:val="99"/>
              </w:rPr>
              <w:t>inputs</w:t>
            </w:r>
          </w:p>
        </w:tc>
        <w:tc>
          <w:tcPr>
            <w:tcW w:w="380" w:type="dxa"/>
            <w:vAlign w:val="bottom"/>
          </w:tcPr>
          <w:p>
            <w:pPr>
              <w:spacing w:after="0"/>
              <w:rPr>
                <w:sz w:val="17"/>
                <w:szCs w:val="17"/>
                <w:color w:val="auto"/>
              </w:rPr>
            </w:pPr>
          </w:p>
        </w:tc>
        <w:tc>
          <w:tcPr>
            <w:tcW w:w="110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96"/>
              </w:rPr>
              <w:t>inputs</w:t>
            </w:r>
          </w:p>
        </w:tc>
      </w:tr>
      <w:tr>
        <w:trPr>
          <w:trHeight w:val="235"/>
        </w:trPr>
        <w:tc>
          <w:tcPr>
            <w:tcW w:w="4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692"/>
              <w:spacing w:after="0"/>
              <w:rPr>
                <w:sz w:val="20"/>
                <w:szCs w:val="20"/>
                <w:color w:val="auto"/>
              </w:rPr>
            </w:pPr>
            <w:r>
              <w:rPr>
                <w:rFonts w:ascii="Arial" w:cs="Arial" w:eastAsia="Arial" w:hAnsi="Arial"/>
                <w:sz w:val="18"/>
                <w:szCs w:val="18"/>
                <w:b w:val="1"/>
                <w:bCs w:val="1"/>
                <w:color w:val="auto"/>
              </w:rPr>
              <w:t>2016</w:t>
            </w:r>
          </w:p>
        </w:tc>
        <w:tc>
          <w:tcPr>
            <w:tcW w:w="4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572"/>
              <w:spacing w:after="0"/>
              <w:rPr>
                <w:sz w:val="20"/>
                <w:szCs w:val="20"/>
                <w:color w:val="auto"/>
              </w:rPr>
            </w:pPr>
            <w:r>
              <w:rPr>
                <w:rFonts w:ascii="Arial" w:cs="Arial" w:eastAsia="Arial" w:hAnsi="Arial"/>
                <w:sz w:val="18"/>
                <w:szCs w:val="18"/>
                <w:b w:val="1"/>
                <w:bCs w:val="1"/>
                <w:color w:val="auto"/>
                <w:w w:val="98"/>
              </w:rPr>
              <w:t>(level 1)</w:t>
            </w:r>
          </w:p>
        </w:tc>
        <w:tc>
          <w:tcPr>
            <w:tcW w:w="1480" w:type="dxa"/>
            <w:vAlign w:val="bottom"/>
            <w:tcBorders>
              <w:bottom w:val="single" w:sz="8" w:color="auto"/>
            </w:tcBorders>
            <w:gridSpan w:val="2"/>
          </w:tcPr>
          <w:p>
            <w:pPr>
              <w:jc w:val="center"/>
              <w:ind w:right="12"/>
              <w:spacing w:after="0"/>
              <w:rPr>
                <w:sz w:val="20"/>
                <w:szCs w:val="20"/>
                <w:color w:val="auto"/>
              </w:rPr>
            </w:pPr>
            <w:r>
              <w:rPr>
                <w:rFonts w:ascii="Arial" w:cs="Arial" w:eastAsia="Arial" w:hAnsi="Arial"/>
                <w:sz w:val="18"/>
                <w:szCs w:val="18"/>
                <w:b w:val="1"/>
                <w:bCs w:val="1"/>
                <w:color w:val="auto"/>
                <w:w w:val="98"/>
              </w:rPr>
              <w:t>(level 2)</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b w:val="1"/>
                <w:bCs w:val="1"/>
                <w:color w:val="auto"/>
                <w:w w:val="98"/>
              </w:rPr>
              <w:t>(level 3)</w:t>
            </w:r>
          </w:p>
        </w:tc>
      </w:tr>
      <w:tr>
        <w:trPr>
          <w:trHeight w:val="48"/>
        </w:trPr>
        <w:tc>
          <w:tcPr>
            <w:tcW w:w="4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4560" w:type="dxa"/>
            <w:vAlign w:val="bottom"/>
          </w:tcPr>
          <w:p>
            <w:pPr>
              <w:ind w:left="220"/>
              <w:spacing w:after="0" w:line="202" w:lineRule="exact"/>
              <w:rPr>
                <w:sz w:val="20"/>
                <w:szCs w:val="20"/>
                <w:color w:val="auto"/>
              </w:rPr>
            </w:pPr>
            <w:r>
              <w:rPr>
                <w:rFonts w:ascii="Arial" w:cs="Arial" w:eastAsia="Arial" w:hAnsi="Arial"/>
                <w:sz w:val="18"/>
                <w:szCs w:val="18"/>
                <w:color w:val="auto"/>
              </w:rPr>
              <w:t>Money market funds</w:t>
            </w:r>
          </w:p>
        </w:tc>
        <w:tc>
          <w:tcPr>
            <w:tcW w:w="2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272"/>
              <w:spacing w:after="0" w:line="202" w:lineRule="exact"/>
              <w:rPr>
                <w:sz w:val="20"/>
                <w:szCs w:val="20"/>
                <w:color w:val="auto"/>
              </w:rPr>
            </w:pPr>
            <w:r>
              <w:rPr>
                <w:rFonts w:ascii="Arial" w:cs="Arial" w:eastAsia="Arial" w:hAnsi="Arial"/>
                <w:sz w:val="18"/>
                <w:szCs w:val="18"/>
                <w:color w:val="auto"/>
                <w:w w:val="97"/>
              </w:rPr>
              <w:t>2,072,164</w:t>
            </w:r>
          </w:p>
        </w:tc>
        <w:tc>
          <w:tcPr>
            <w:tcW w:w="480" w:type="dxa"/>
            <w:vAlign w:val="bottom"/>
            <w:tcBorders>
              <w:bottom w:val="single" w:sz="8" w:color="auto"/>
            </w:tcBorders>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272"/>
              <w:spacing w:after="0" w:line="202" w:lineRule="exact"/>
              <w:rPr>
                <w:sz w:val="20"/>
                <w:szCs w:val="20"/>
                <w:color w:val="auto"/>
              </w:rPr>
            </w:pPr>
            <w:r>
              <w:rPr>
                <w:rFonts w:ascii="Arial" w:cs="Arial" w:eastAsia="Arial" w:hAnsi="Arial"/>
                <w:sz w:val="18"/>
                <w:szCs w:val="18"/>
                <w:color w:val="auto"/>
              </w:rPr>
              <w:t>2,072,164</w:t>
            </w:r>
          </w:p>
        </w:tc>
        <w:tc>
          <w:tcPr>
            <w:tcW w:w="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ind w:left="580"/>
              <w:spacing w:after="0" w:line="202"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ind w:left="28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ind w:left="860"/>
              <w:spacing w:after="0" w:line="202" w:lineRule="exact"/>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8"/>
                <w:szCs w:val="18"/>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equivalents</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center"/>
              <w:ind w:right="272"/>
              <w:spacing w:after="0" w:line="202" w:lineRule="exact"/>
              <w:rPr>
                <w:sz w:val="20"/>
                <w:szCs w:val="20"/>
                <w:color w:val="auto"/>
              </w:rPr>
            </w:pPr>
            <w:r>
              <w:rPr>
                <w:rFonts w:ascii="Arial" w:cs="Arial" w:eastAsia="Arial" w:hAnsi="Arial"/>
                <w:sz w:val="18"/>
                <w:szCs w:val="18"/>
                <w:color w:val="auto"/>
                <w:w w:val="97"/>
              </w:rPr>
              <w:t>2,072,164</w:t>
            </w:r>
          </w:p>
        </w:tc>
        <w:tc>
          <w:tcPr>
            <w:tcW w:w="4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2,072,164</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58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860"/>
              <w:spacing w:after="0" w:line="202" w:lineRule="exact"/>
              <w:rPr>
                <w:sz w:val="20"/>
                <w:szCs w:val="20"/>
                <w:color w:val="auto"/>
              </w:rPr>
            </w:pPr>
            <w:r>
              <w:rPr>
                <w:rFonts w:ascii="Arial" w:cs="Arial" w:eastAsia="Arial" w:hAnsi="Arial"/>
                <w:sz w:val="18"/>
                <w:szCs w:val="18"/>
                <w:color w:val="auto"/>
              </w:rPr>
              <w:t>—</w:t>
            </w:r>
          </w:p>
        </w:tc>
      </w:tr>
      <w:tr>
        <w:trPr>
          <w:trHeight w:val="20"/>
        </w:trPr>
        <w:tc>
          <w:tcPr>
            <w:tcW w:w="4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0"/>
        </w:trPr>
        <w:tc>
          <w:tcPr>
            <w:tcW w:w="4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332"/>
              <w:spacing w:after="0"/>
              <w:rPr>
                <w:sz w:val="20"/>
                <w:szCs w:val="20"/>
                <w:color w:val="auto"/>
              </w:rPr>
            </w:pPr>
            <w:r>
              <w:rPr>
                <w:rFonts w:ascii="Arial" w:cs="Arial" w:eastAsia="Arial" w:hAnsi="Arial"/>
                <w:sz w:val="18"/>
                <w:szCs w:val="18"/>
                <w:color w:val="auto"/>
              </w:rPr>
              <w:t>F-43</w:t>
            </w:r>
          </w:p>
        </w:tc>
        <w:tc>
          <w:tcPr>
            <w:tcW w:w="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00"/>
        <w:spacing w:after="0" w:line="236" w:lineRule="auto"/>
        <w:rPr>
          <w:sz w:val="20"/>
          <w:szCs w:val="20"/>
          <w:color w:val="auto"/>
        </w:rPr>
      </w:pPr>
      <w:r>
        <w:rPr>
          <w:rFonts w:ascii="Arial" w:cs="Arial" w:eastAsia="Arial" w:hAnsi="Arial"/>
          <w:sz w:val="18"/>
          <w:szCs w:val="18"/>
          <w:color w:val="auto"/>
        </w:rPr>
        <w:t>In 2018, the Company identified an error in the amount of cash equivalents, specifically money market funds, reported in its 2016 leveling disclosures which resulted in an understatement of money market funds balances of $2,036,577 at December 31, 2016 and an offsetting overstatement of its cash balance presentation in the leveling table. In accordance with accounting guidance in ASC 250, the Company concluded that this error was not material to the previously issued financials statements. The disclosure has been revised to reflect the corrected money market funds balance of the Company,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6995160"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44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December 31, 2016</w:t>
            </w:r>
          </w:p>
        </w:tc>
        <w:tc>
          <w:tcPr>
            <w:tcW w:w="9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446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6"/>
              </w:rPr>
              <w:t>As reported</w:t>
            </w:r>
          </w:p>
        </w:tc>
        <w:tc>
          <w:tcPr>
            <w:tcW w:w="16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Adjustment</w:t>
            </w:r>
          </w:p>
        </w:tc>
        <w:tc>
          <w:tcPr>
            <w:tcW w:w="10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As revised</w:t>
            </w:r>
          </w:p>
        </w:tc>
      </w:tr>
      <w:tr>
        <w:trPr>
          <w:trHeight w:val="196"/>
        </w:trPr>
        <w:tc>
          <w:tcPr>
            <w:tcW w:w="4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Money market funds</w:t>
            </w:r>
          </w:p>
        </w:tc>
        <w:tc>
          <w:tcPr>
            <w:tcW w:w="3160" w:type="dxa"/>
            <w:vAlign w:val="bottom"/>
            <w:gridSpan w:val="2"/>
            <w:shd w:val="clear" w:color="auto" w:fill="CCEEFF"/>
          </w:tcPr>
          <w:p>
            <w:pPr>
              <w:ind w:left="290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35,587</w:t>
            </w:r>
          </w:p>
        </w:tc>
        <w:tc>
          <w:tcPr>
            <w:tcW w:w="164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color w:val="auto"/>
              </w:rPr>
              <w:t>$ 2,036,577</w:t>
            </w:r>
          </w:p>
        </w:tc>
        <w:tc>
          <w:tcPr>
            <w:tcW w:w="1020" w:type="dxa"/>
            <w:vAlign w:val="bottom"/>
            <w:gridSpan w:val="2"/>
            <w:shd w:val="clear" w:color="auto" w:fill="CCEEFF"/>
          </w:tcPr>
          <w:p>
            <w:pPr>
              <w:ind w:left="60"/>
              <w:spacing w:after="0" w:line="196" w:lineRule="exact"/>
              <w:rPr>
                <w:sz w:val="20"/>
                <w:szCs w:val="20"/>
                <w:color w:val="auto"/>
              </w:rPr>
            </w:pPr>
            <w:r>
              <w:rPr>
                <w:rFonts w:ascii="Arial" w:cs="Arial" w:eastAsia="Arial" w:hAnsi="Arial"/>
                <w:sz w:val="18"/>
                <w:szCs w:val="18"/>
                <w:color w:val="auto"/>
              </w:rPr>
              <w:t>$2,072,164</w:t>
            </w: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ind w:left="120" w:right="200"/>
        <w:spacing w:after="0" w:line="238" w:lineRule="auto"/>
        <w:rPr>
          <w:sz w:val="20"/>
          <w:szCs w:val="20"/>
          <w:color w:val="auto"/>
        </w:rPr>
      </w:pPr>
      <w:r>
        <w:rPr>
          <w:rFonts w:ascii="Arial" w:cs="Arial" w:eastAsia="Arial" w:hAnsi="Arial"/>
          <w:sz w:val="18"/>
          <w:szCs w:val="18"/>
          <w:color w:val="auto"/>
        </w:rPr>
        <w:t>In addition, cash balances were removed from the leveling table. The revisions had no impact to the previously reported Balance Sheets, Statements of Operations and Comprehensive Loss, Statements of Convertible Preferred Stock and Stockholders’ Deficit or the Statements of Cash Flows.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24" w:lineRule="exact"/>
        <w:rPr>
          <w:sz w:val="20"/>
          <w:szCs w:val="20"/>
          <w:color w:val="auto"/>
        </w:rPr>
      </w:pPr>
    </w:p>
    <w:p>
      <w:pPr>
        <w:jc w:val="both"/>
        <w:ind w:left="120" w:right="300"/>
        <w:spacing w:after="0" w:line="238" w:lineRule="auto"/>
        <w:rPr>
          <w:sz w:val="20"/>
          <w:szCs w:val="20"/>
          <w:color w:val="auto"/>
        </w:rPr>
      </w:pPr>
      <w:r>
        <w:rPr>
          <w:rFonts w:ascii="Arial" w:cs="Arial" w:eastAsia="Arial" w:hAnsi="Arial"/>
          <w:sz w:val="18"/>
          <w:szCs w:val="18"/>
          <w:color w:val="auto"/>
        </w:rPr>
        <w:t>Beginning on October 5, 2017, the Company has earned revenue under the research collaboration with F. Hoffman-La Roche Limited and Hoffman-La Roche Inc. (Roche) concentrated on the development of drug candidates from novel natural products with antibiotic properties called Neomorphs.</w:t>
      </w:r>
    </w:p>
    <w:p>
      <w:pPr>
        <w:spacing w:after="0" w:line="100"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Beginning on January 8, 2016, the Company has earned revenue under the research collaboration with Sanofi Research Invest, LLC (Sanofi), a large shareholder, in which the Company granted an exclusive license focused on the development of drugs targeting important human oncogenes.</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 4 regarding the notice of termination of this collaboration during the year ended December 31, 2017.</w:t>
      </w:r>
    </w:p>
    <w:p>
      <w:pPr>
        <w:spacing w:after="0" w:line="104" w:lineRule="exact"/>
        <w:rPr>
          <w:sz w:val="20"/>
          <w:szCs w:val="20"/>
          <w:color w:val="auto"/>
        </w:rPr>
      </w:pPr>
    </w:p>
    <w:p>
      <w:pPr>
        <w:ind w:left="120" w:right="180"/>
        <w:spacing w:after="0" w:line="239" w:lineRule="auto"/>
        <w:rPr>
          <w:sz w:val="20"/>
          <w:szCs w:val="20"/>
          <w:color w:val="auto"/>
        </w:rPr>
      </w:pPr>
      <w:r>
        <w:rPr>
          <w:rFonts w:ascii="Arial" w:cs="Arial" w:eastAsia="Arial" w:hAnsi="Arial"/>
          <w:sz w:val="18"/>
          <w:szCs w:val="18"/>
          <w:color w:val="auto"/>
        </w:rPr>
        <w:t>The Company recognizes revenue in accordance with ASC Topic 605, Revenue Recognition (ASC 605). Accordingly, revenue is recognized for each unit of accounting when all of the following criteria are met:</w:t>
      </w:r>
    </w:p>
    <w:p>
      <w:pPr>
        <w:spacing w:after="0" w:line="110" w:lineRule="exact"/>
        <w:rPr>
          <w:sz w:val="20"/>
          <w:szCs w:val="20"/>
          <w:color w:val="auto"/>
        </w:rPr>
      </w:pPr>
    </w:p>
    <w:p>
      <w:pPr>
        <w:ind w:left="340" w:hanging="224"/>
        <w:spacing w:after="0"/>
        <w:tabs>
          <w:tab w:leader="none" w:pos="3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ind w:left="340" w:hanging="224"/>
        <w:spacing w:after="0" w:line="234" w:lineRule="auto"/>
        <w:tabs>
          <w:tab w:leader="none" w:pos="3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Delivery has occurred or services have been rendered;</w:t>
      </w:r>
    </w:p>
    <w:p>
      <w:pPr>
        <w:ind w:left="340" w:hanging="224"/>
        <w:spacing w:after="0" w:line="234" w:lineRule="auto"/>
        <w:tabs>
          <w:tab w:leader="none" w:pos="3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seller’s price to the buyer is fixed or determinable; and</w:t>
      </w:r>
    </w:p>
    <w:p>
      <w:pPr>
        <w:ind w:left="340" w:hanging="224"/>
        <w:spacing w:after="0"/>
        <w:tabs>
          <w:tab w:leader="none" w:pos="3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104" w:lineRule="exact"/>
        <w:rPr>
          <w:sz w:val="20"/>
          <w:szCs w:val="20"/>
          <w:color w:val="auto"/>
        </w:rPr>
      </w:pPr>
    </w:p>
    <w:p>
      <w:pPr>
        <w:jc w:val="both"/>
        <w:ind w:left="120" w:right="180"/>
        <w:spacing w:after="0" w:line="281" w:lineRule="auto"/>
        <w:rPr>
          <w:sz w:val="20"/>
          <w:szCs w:val="20"/>
          <w:color w:val="auto"/>
        </w:rPr>
      </w:pPr>
      <w:r>
        <w:rPr>
          <w:rFonts w:ascii="Arial" w:cs="Arial" w:eastAsia="Arial" w:hAnsi="Arial"/>
          <w:sz w:val="16"/>
          <w:szCs w:val="16"/>
          <w:color w:val="auto"/>
        </w:rPr>
        <w:t>Amounts received prior to satisfying the revenue recognition criteria are recorded as deferred revenue. Amounts expected to be recognized as revenue within the 12 months following the balance sheet date are classified in current liabilities. Amounts not expected to be recognized as revenue within the 12 months following the balance sheet date are classified as deferred revenue, less current portion.</w:t>
      </w:r>
    </w:p>
    <w:p>
      <w:pPr>
        <w:spacing w:after="0" w:line="69" w:lineRule="exact"/>
        <w:rPr>
          <w:sz w:val="20"/>
          <w:szCs w:val="20"/>
          <w:color w:val="auto"/>
        </w:rPr>
      </w:pPr>
    </w:p>
    <w:p>
      <w:pPr>
        <w:ind w:left="120" w:right="60"/>
        <w:spacing w:after="0" w:line="269" w:lineRule="auto"/>
        <w:rPr>
          <w:sz w:val="20"/>
          <w:szCs w:val="20"/>
          <w:color w:val="auto"/>
        </w:rPr>
      </w:pPr>
      <w:r>
        <w:rPr>
          <w:rFonts w:ascii="Arial" w:cs="Arial" w:eastAsia="Arial" w:hAnsi="Arial"/>
          <w:sz w:val="16"/>
          <w:szCs w:val="16"/>
          <w:color w:val="auto"/>
        </w:rPr>
        <w:t>The Company evaluates multiple—element arrangements based on the guidance in ASC Topic 605—25, Revenue Recognition Multiple— Element Arrangements (ASC 605—25). Pursuant to the guidance in ASC 605—25, the Company evaluates multiple—element arrangements to determine (1) the deliverables included in the arrangement and (2) whether the individual deliverables represent separate units of accounting or whether they must be accounted for as a combined unit of accounting. This evaluation involves subjective determinations and requires the Company to make judgments about the individual deliverables and whether such deliverables are separable from the other aspects of the contractual relationship. Deliverables are considered separate units of accounting provided that the delivered item has value to the customer on a standalone basis and, if the arrangement includes a general right of return relative to the delivered item,</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40"/>
          </w:cols>
          <w:pgMar w:left="320" w:top="459" w:right="4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00"/>
        <w:spacing w:after="0" w:line="236" w:lineRule="auto"/>
        <w:rPr>
          <w:sz w:val="20"/>
          <w:szCs w:val="20"/>
          <w:color w:val="auto"/>
        </w:rPr>
      </w:pPr>
      <w:r>
        <w:rPr>
          <w:rFonts w:ascii="Arial" w:cs="Arial" w:eastAsia="Arial" w:hAnsi="Arial"/>
          <w:sz w:val="18"/>
          <w:szCs w:val="18"/>
          <w:color w:val="auto"/>
        </w:rPr>
        <w:t>delivery or performance of the undelivered item is considered probable and substantially in the Company’s control. In assessing whether an item has standalone value, the Company considers factors such as the research, development, manufacturing and commercialization capabilities of the collaboration partner and the availability of the associated expertise in the general marketplace. In addition, the Company considers whether the collaboration partner can use a deliverable for its intended purpose without the receipt of the remaining deliverable, whether the value of the deliverable is dependent on the undelivered item and whether there are other vendors that can provide the undelivered items.</w:t>
      </w:r>
    </w:p>
    <w:p>
      <w:pPr>
        <w:spacing w:after="0" w:line="102" w:lineRule="exact"/>
        <w:rPr>
          <w:sz w:val="20"/>
          <w:szCs w:val="20"/>
          <w:color w:val="auto"/>
        </w:rPr>
      </w:pPr>
    </w:p>
    <w:p>
      <w:pPr>
        <w:ind w:left="120" w:right="20"/>
        <w:spacing w:after="0" w:line="269" w:lineRule="auto"/>
        <w:rPr>
          <w:sz w:val="20"/>
          <w:szCs w:val="20"/>
          <w:color w:val="auto"/>
        </w:rPr>
      </w:pPr>
      <w:r>
        <w:rPr>
          <w:rFonts w:ascii="Arial" w:cs="Arial" w:eastAsia="Arial" w:hAnsi="Arial"/>
          <w:sz w:val="16"/>
          <w:szCs w:val="16"/>
          <w:color w:val="auto"/>
        </w:rPr>
        <w:t>The consideration received under the arrangement that is fixed or determinable is then allocated among the separate units of accounting using the relative selling price method. The Company determines the estimated selling price for units of accounting within each arrangement using vendor—specific objective evidence (VSOE) of selling price, if available, third—party evidence (TPE) of selling price if VSOE is not available, or best estimate of selling price (BESP) if neither VSOE nor TPE is available. Determining the BESP for a unit of accounting requires significant judgment. In developing the BESP for a unit of accounting, the Company considers applicable market conditions and relevant entity—specific factors, including factors that were contemplated in negotiating the agreement with the customer and estimated costs. The Company validates the BESP for units of accounting by evaluating whether changes in the key assumptions used to determine the BESP will have a significant effect on the allocation of arrangement consideration between multiple units of accounting.</w:t>
      </w:r>
    </w:p>
    <w:p>
      <w:pPr>
        <w:spacing w:after="0" w:line="78" w:lineRule="exact"/>
        <w:rPr>
          <w:sz w:val="20"/>
          <w:szCs w:val="20"/>
          <w:color w:val="auto"/>
        </w:rPr>
      </w:pPr>
    </w:p>
    <w:p>
      <w:pPr>
        <w:ind w:left="120"/>
        <w:spacing w:after="0" w:line="271" w:lineRule="auto"/>
        <w:rPr>
          <w:sz w:val="20"/>
          <w:szCs w:val="20"/>
          <w:color w:val="auto"/>
        </w:rPr>
      </w:pPr>
      <w:r>
        <w:rPr>
          <w:rFonts w:ascii="Arial" w:cs="Arial" w:eastAsia="Arial" w:hAnsi="Arial"/>
          <w:sz w:val="16"/>
          <w:szCs w:val="16"/>
          <w:color w:val="auto"/>
        </w:rPr>
        <w:t>The Company recognizes arrangement consideration allocated to each unit of accounting when all of the revenue recognition criteria in ASC 605 are satisfied for that particular unit of accounting. In the event that a deliverable does not represent a separate unit of accounting, the Company recognizes revenue from the combined unit of accounting over the Company’s contractual or estimated performance period for the undelivered elements, which is typically the term of the Company’s research and development obligations. If there is no discernible pattern of performance or objectively measurable performance measures do not exist, then the Company recognizes revenue under the arrangement on a straight—line basis over the period the Company is expected to complete its performance obligations.</w:t>
      </w:r>
    </w:p>
    <w:p>
      <w:pPr>
        <w:spacing w:after="0" w:line="76" w:lineRule="exact"/>
        <w:rPr>
          <w:sz w:val="20"/>
          <w:szCs w:val="20"/>
          <w:color w:val="auto"/>
        </w:rPr>
      </w:pPr>
    </w:p>
    <w:p>
      <w:pPr>
        <w:ind w:left="120" w:right="80"/>
        <w:spacing w:after="0" w:line="235" w:lineRule="auto"/>
        <w:rPr>
          <w:sz w:val="20"/>
          <w:szCs w:val="20"/>
          <w:color w:val="auto"/>
        </w:rPr>
      </w:pPr>
      <w:r>
        <w:rPr>
          <w:rFonts w:ascii="Arial" w:cs="Arial" w:eastAsia="Arial" w:hAnsi="Arial"/>
          <w:sz w:val="18"/>
          <w:szCs w:val="18"/>
          <w:color w:val="auto"/>
        </w:rPr>
        <w:t>At the inception of an arrangement that includes milestone payments, the Company evaluates whether each milestone is substantive and at risk to both parties on the basis of the contingent nature of the milestone. This evaluation includes an assessment of whether: (1) the consideration is commensurate with either the Company’s performance to achieve the milestone or the enhancement of the value of the delivered item(s) as a result of a specific outcome resulting from its performance to achieve the milestone, (2) the consideration relates solely to past performance and (3) the consideration is reasonable relative to all of the deliverables and payment terms within the arrangement. The Company evaluates factors such as the scientific, clinical, regulatory, commercial, and other risks that must be overcome to achieve the particular milestone and the level of effort and investment required to achieve the particular milestone in making this assessment. There is considerable judgment involved in determining whether a milestone satisfies all of the criteria required to conclude that a milestone is substantive. Milestones that are not considered substantive are recognized as earned if here are no remaining performance obligations or over the remaining period of performance, assuming all other revenue recognition criteria are met. The Company uses the cumulative catch-up approach.</w:t>
      </w:r>
    </w:p>
    <w:p>
      <w:pPr>
        <w:spacing w:after="0" w:line="106"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The Company will recognize royalty revenue in the period of sale of the related product(s), based on the underlying contract terms, provided that the reported sales are reliably measurable and the Company has no remaining performance obligations, assuming all other revenue recognition criteria are met.</w:t>
      </w:r>
    </w:p>
    <w:p>
      <w:pPr>
        <w:spacing w:after="0" w:line="100" w:lineRule="exact"/>
        <w:rPr>
          <w:sz w:val="20"/>
          <w:szCs w:val="20"/>
          <w:color w:val="auto"/>
        </w:rPr>
      </w:pPr>
    </w:p>
    <w:p>
      <w:pPr>
        <w:ind w:left="120" w:right="320"/>
        <w:spacing w:after="0" w:line="237" w:lineRule="auto"/>
        <w:rPr>
          <w:sz w:val="20"/>
          <w:szCs w:val="20"/>
          <w:color w:val="auto"/>
        </w:rPr>
      </w:pPr>
      <w:r>
        <w:rPr>
          <w:rFonts w:ascii="Arial" w:cs="Arial" w:eastAsia="Arial" w:hAnsi="Arial"/>
          <w:sz w:val="18"/>
          <w:szCs w:val="18"/>
          <w:color w:val="auto"/>
        </w:rPr>
        <w:t>The Company follows the accounting guidance in ASC 808 Collaborations for collaborative arrangements which require that certain transactions between collaborators be recorded in the Statement of Operations and Comprehensive Loss on either a gross or net basis, depending on the characteristics of the collaboration relationship, and provides for enhanced disclosure of collaborative relationships. The Company accounts for</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20"/>
          </w:cols>
          <w:pgMar w:left="320" w:top="459" w:right="45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collaborations within the scope of ASC 808 when both parties are actively participating and exposed to significant risks and rewards. The ASC 808 guidance is specific to presentation and disclosure and does not address recognition and measurement. The Company evaluated its collaborative agreements for proper classification in the Statement of Operations and Comprehensive Loss based on the nature of the underlying activity.</w:t>
      </w:r>
    </w:p>
    <w:p>
      <w:pPr>
        <w:spacing w:after="0" w:line="100"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If payments to and from collaborative partners are not within the scope of other authoritative literature, the classification in the Statement of Operations and Comprehensive Loss for the payments is based on a reasonable, rational analogy to authoritative accounting that is applied in a consistent manner. Payments and services are reviewed in order to determine if gross or net presentation is appropriate.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Grant revenue</w:t>
      </w:r>
    </w:p>
    <w:p>
      <w:pPr>
        <w:spacing w:after="0" w:line="124"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The Company has concluded to recognize funding received from antibiotic grants from the Gates Foundation, the Cystic Fibrosis Foundation and the Small Business Innovative Research program as revenue, rather than as a reduction of research and development expenses, because the Company is the principal in conducting the research and development activities and these contracts are central to its Neomorph antibiotic ongoing operations. Revenue is recognized as the qualifying expenses related to the contracts are incurred and at times approved by the counter- party. Revenue recognition commences only once persuasive evidence of a contract exists, services have been rendered, the reimbursement amounts under the contract are fixed or determinable and approved by the counter party, and collectability is reasonably assured.</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24" w:lineRule="exact"/>
        <w:rPr>
          <w:sz w:val="20"/>
          <w:szCs w:val="20"/>
          <w:color w:val="auto"/>
        </w:rPr>
      </w:pPr>
    </w:p>
    <w:p>
      <w:pPr>
        <w:ind w:left="120" w:right="360"/>
        <w:spacing w:after="0" w:line="238" w:lineRule="auto"/>
        <w:rPr>
          <w:sz w:val="20"/>
          <w:szCs w:val="20"/>
          <w:color w:val="auto"/>
        </w:rPr>
      </w:pPr>
      <w:r>
        <w:rPr>
          <w:rFonts w:ascii="Arial" w:cs="Arial" w:eastAsia="Arial" w:hAnsi="Arial"/>
          <w:sz w:val="18"/>
          <w:szCs w:val="18"/>
          <w:color w:val="auto"/>
        </w:rPr>
        <w:t>Expenditures relating to research and development are expensed in the period incurred. R&amp;D costs consist of compensation and benefits (including stock-based compensation) for R&amp;D employees, an allocation of facility expenses, overhead expenses, fees paid to contract research organizations (CROs) and other outside expenses.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costs</w:t>
      </w:r>
    </w:p>
    <w:p>
      <w:pPr>
        <w:spacing w:after="0" w:line="124" w:lineRule="exact"/>
        <w:rPr>
          <w:sz w:val="20"/>
          <w:szCs w:val="20"/>
          <w:color w:val="auto"/>
        </w:rPr>
      </w:pPr>
    </w:p>
    <w:p>
      <w:pPr>
        <w:ind w:left="120" w:right="280"/>
        <w:spacing w:after="0" w:line="237" w:lineRule="auto"/>
        <w:rPr>
          <w:sz w:val="20"/>
          <w:szCs w:val="20"/>
          <w:color w:val="auto"/>
        </w:rPr>
      </w:pPr>
      <w:r>
        <w:rPr>
          <w:rFonts w:ascii="Arial" w:cs="Arial" w:eastAsia="Arial" w:hAnsi="Arial"/>
          <w:sz w:val="18"/>
          <w:szCs w:val="18"/>
          <w:color w:val="auto"/>
        </w:rPr>
        <w:t>General and administrative costs primarily costs of compensation and benefits (including stock- based compensation) of executive, human resources, and finance employees. Other costs include facility costs not otherwise included in research and development expense, and professional fees for legal and accounting services. General and administrative expense also consists of the costs of maintaining the Company’s intellectual property.</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24" w:lineRule="exact"/>
        <w:rPr>
          <w:sz w:val="20"/>
          <w:szCs w:val="20"/>
          <w:color w:val="auto"/>
        </w:rPr>
      </w:pPr>
    </w:p>
    <w:p>
      <w:pPr>
        <w:ind w:left="120" w:right="220"/>
        <w:spacing w:after="0" w:line="238" w:lineRule="auto"/>
        <w:rPr>
          <w:sz w:val="20"/>
          <w:szCs w:val="20"/>
          <w:color w:val="auto"/>
        </w:rPr>
      </w:pPr>
      <w:r>
        <w:rPr>
          <w:rFonts w:ascii="Arial" w:cs="Arial" w:eastAsia="Arial" w:hAnsi="Arial"/>
          <w:sz w:val="18"/>
          <w:szCs w:val="18"/>
          <w:color w:val="auto"/>
        </w:rPr>
        <w:t>In January 2016, the Company amended the Limited Liability Company Agreement with its preferred shareholders and restructured the Company as a C Corporation after a series of mergers with certain affiliates in a tax-free manner. The holders of common units received an equivalent number of common stock.</w:t>
      </w:r>
    </w:p>
    <w:p>
      <w:pPr>
        <w:spacing w:after="0" w:line="100" w:lineRule="exact"/>
        <w:rPr>
          <w:sz w:val="20"/>
          <w:szCs w:val="20"/>
          <w:color w:val="auto"/>
        </w:rPr>
      </w:pPr>
    </w:p>
    <w:p>
      <w:pPr>
        <w:ind w:left="120" w:right="140"/>
        <w:spacing w:after="0" w:line="236" w:lineRule="auto"/>
        <w:rPr>
          <w:sz w:val="20"/>
          <w:szCs w:val="20"/>
          <w:color w:val="auto"/>
        </w:rPr>
      </w:pPr>
      <w:r>
        <w:rPr>
          <w:rFonts w:ascii="Arial" w:cs="Arial" w:eastAsia="Arial" w:hAnsi="Arial"/>
          <w:sz w:val="18"/>
          <w:szCs w:val="18"/>
          <w:color w:val="auto"/>
        </w:rPr>
        <w:t>The Company uses the liability method to account for income taxes. Deferred tax assets and liabilities are determined based on differences between financial reporting and income tax basis of assets and liabilities, as well as net operating loss and tax credit carryforwards, and are measured using the enacted tax rates and laws that will be in effect when the differences reverse. Deferred tax assets are reduced by a valuation allowance to reflect the uncertainty associated with their ultimate realization. The effect of a change in tax rate on deferred taxes is recognized in income or loss in the period that includes the enactment date.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20"/>
          </w:cols>
          <w:pgMar w:left="320" w:top="459" w:right="45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The Company uses its judgment for the financial statement recognition and measurement of a tax position taken or expected to be taken in a tax return. The Company recognizes any material interest and penalties related to unrecognized tax benefits in income tax expense.</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Concentrations of credit risk and off-balance sheet risk</w:t>
      </w:r>
    </w:p>
    <w:p>
      <w:pPr>
        <w:spacing w:after="0" w:line="124" w:lineRule="exact"/>
        <w:rPr>
          <w:sz w:val="20"/>
          <w:szCs w:val="20"/>
          <w:color w:val="auto"/>
        </w:rPr>
      </w:pPr>
    </w:p>
    <w:p>
      <w:pPr>
        <w:ind w:left="120" w:right="260"/>
        <w:spacing w:after="0" w:line="236" w:lineRule="auto"/>
        <w:rPr>
          <w:sz w:val="20"/>
          <w:szCs w:val="20"/>
          <w:color w:val="auto"/>
        </w:rPr>
      </w:pPr>
      <w:r>
        <w:rPr>
          <w:rFonts w:ascii="Arial" w:cs="Arial" w:eastAsia="Arial" w:hAnsi="Arial"/>
          <w:sz w:val="18"/>
          <w:szCs w:val="18"/>
          <w:color w:val="auto"/>
        </w:rPr>
        <w:t>The Company has no significant off-balance sheet risk such as foreign exchange contracts, option contracts, or other foreign hedging arrangements. Financial instruments that potentially expose the Company to concentrations of credit risk primarily consist of cash held in traditional bank accounts. At December 31, 2017, the Company’s cash was deposited with a large financial institution and, accordingly, the Company believes such funds are subject to minimal credit risk. The Company invests its cash equivalents in highly rated money market funds.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Company accounts for stock-based compensation awards in accordance with ASC Topic 718, Compensation—Stock Compensation (ASC 718). ASC 718 requires all share-based payments to employees, including unvested restricted stock, to be recognized as expense in the statements of operations based on their grant date fair values. In January 2016, the Company amended the Limited Liability Company Agreement with its preferred shareholders and restructured the Company as a C Corporation. In 2016 as a C Corporation, the Company granted unvested restricted stock to employees and members of the Board of Directors. Stock-based compensation for restricted stock issued for consideration less than the fair market value is recognized over the vesting period on a straight-line basis.</w:t>
      </w:r>
    </w:p>
    <w:p>
      <w:pPr>
        <w:spacing w:after="0" w:line="102" w:lineRule="exact"/>
        <w:rPr>
          <w:sz w:val="20"/>
          <w:szCs w:val="20"/>
          <w:color w:val="auto"/>
        </w:rPr>
      </w:pPr>
    </w:p>
    <w:p>
      <w:pPr>
        <w:ind w:left="120" w:right="160"/>
        <w:spacing w:after="0" w:line="264" w:lineRule="auto"/>
        <w:rPr>
          <w:sz w:val="20"/>
          <w:szCs w:val="20"/>
          <w:color w:val="auto"/>
        </w:rPr>
      </w:pPr>
      <w:r>
        <w:rPr>
          <w:rFonts w:ascii="Arial" w:cs="Arial" w:eastAsia="Arial" w:hAnsi="Arial"/>
          <w:sz w:val="16"/>
          <w:szCs w:val="16"/>
          <w:color w:val="auto"/>
        </w:rPr>
        <w:t>Share-based payments issued to nonemployees are initially recorded at their fair values, and are revalued at each reporting date and as the equity instruments vest and are recognized as expense over the related service period in accordance with the provisions of ASC Topic</w:t>
      </w:r>
    </w:p>
    <w:p>
      <w:pPr>
        <w:ind w:left="120" w:right="340"/>
        <w:spacing w:after="0" w:line="275" w:lineRule="auto"/>
        <w:rPr>
          <w:sz w:val="20"/>
          <w:szCs w:val="20"/>
          <w:color w:val="auto"/>
        </w:rPr>
      </w:pPr>
      <w:r>
        <w:rPr>
          <w:rFonts w:ascii="Arial" w:cs="Arial" w:eastAsia="Arial" w:hAnsi="Arial"/>
          <w:sz w:val="16"/>
          <w:szCs w:val="16"/>
          <w:color w:val="auto"/>
        </w:rPr>
        <w:t>505-50, Equity-Based Payments to Non Employees. During the year ended December 31, 2017, 25,000 unvested restricted stock was granted to nonemployees. During the year ended December 31, 2016, no unvested restricted stock was granted to nonemployees. Stock-based compensation costs for nonemployee awards is recognized as services are provided, which is generally the vesting period, on a straight-line basis. The unvested portion of the restricted stock is subject to remeasurement over the vesting period.</w:t>
      </w:r>
    </w:p>
    <w:p>
      <w:pPr>
        <w:spacing w:after="0" w:line="75" w:lineRule="exact"/>
        <w:rPr>
          <w:sz w:val="20"/>
          <w:szCs w:val="20"/>
          <w:color w:val="auto"/>
        </w:rPr>
      </w:pPr>
    </w:p>
    <w:p>
      <w:pPr>
        <w:ind w:left="120" w:right="280"/>
        <w:spacing w:after="0" w:line="238" w:lineRule="auto"/>
        <w:rPr>
          <w:sz w:val="20"/>
          <w:szCs w:val="20"/>
          <w:color w:val="auto"/>
        </w:rPr>
      </w:pPr>
      <w:r>
        <w:rPr>
          <w:rFonts w:ascii="Arial" w:cs="Arial" w:eastAsia="Arial" w:hAnsi="Arial"/>
          <w:sz w:val="18"/>
          <w:szCs w:val="18"/>
          <w:color w:val="auto"/>
        </w:rPr>
        <w:t>In January 2016, the Company amended the Limited Liability Company Agreement with its preferred shareholders and restructured the Company as a C Corporation after a series of mergers with certain affiliates in a tax-free manner. The holders of common units and capital interests received an equivalent number of common stock with the same vesting provisions as the original awards.</w:t>
      </w:r>
    </w:p>
    <w:p>
      <w:pPr>
        <w:spacing w:after="0" w:line="100" w:lineRule="exact"/>
        <w:rPr>
          <w:sz w:val="20"/>
          <w:szCs w:val="20"/>
          <w:color w:val="auto"/>
        </w:rPr>
      </w:pPr>
    </w:p>
    <w:p>
      <w:pPr>
        <w:ind w:left="120" w:right="140"/>
        <w:spacing w:after="0" w:line="235" w:lineRule="auto"/>
        <w:rPr>
          <w:sz w:val="20"/>
          <w:szCs w:val="20"/>
          <w:color w:val="auto"/>
        </w:rPr>
      </w:pPr>
      <w:r>
        <w:rPr>
          <w:rFonts w:ascii="Arial" w:cs="Arial" w:eastAsia="Arial" w:hAnsi="Arial"/>
          <w:sz w:val="18"/>
          <w:szCs w:val="18"/>
          <w:color w:val="auto"/>
        </w:rPr>
        <w:t>The Company has utilized significant estimates and assumptions in determining the fair value of its common stock and common units. The Board of Directors determined the estimated fair value of the Company’s common stock based on a number of objective and subjective factors, including the lack of an active public market for the Company’s common and convertible preferred stock; the prices of shares of the Company’s convertible preferred stock that the Company had sold to outside investors in arm’s length transactions, and the rights, preferences, and privileges of that convertible preferred stock relative to the Company’s common stock; the Company’s results of operations and financial condition; the Company’s entry into collaboration agreements; the material risks related to the Company’s business; the Company’s business strategy; the market performance of publicly traded companies in the life sciences and biotechnology sectors; and the likelihood of achieving a liquidity event for the holders of the Company’s common stock, such as an initial public offering (IPO), given prevailing market conditions. Significant changes to the key assumptions used in the valuations could have resulted in different fair values of the Company’s common stock at each valuation date.</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20"/>
          </w:cols>
          <w:pgMar w:left="320" w:top="459" w:right="45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24" w:lineRule="exact"/>
        <w:rPr>
          <w:sz w:val="20"/>
          <w:szCs w:val="20"/>
          <w:color w:val="auto"/>
        </w:rPr>
      </w:pPr>
    </w:p>
    <w:p>
      <w:pPr>
        <w:ind w:left="120"/>
        <w:spacing w:after="0" w:line="268" w:lineRule="auto"/>
        <w:rPr>
          <w:sz w:val="20"/>
          <w:szCs w:val="20"/>
          <w:color w:val="auto"/>
        </w:rPr>
      </w:pPr>
      <w:r>
        <w:rPr>
          <w:rFonts w:ascii="Arial" w:cs="Arial" w:eastAsia="Arial" w:hAnsi="Arial"/>
          <w:sz w:val="16"/>
          <w:szCs w:val="16"/>
          <w:color w:val="auto"/>
        </w:rPr>
        <w:t>In May 2014, the Financial Accounting Standards Board, or FASB, issued Accounting Standard Update, or ASU, No. 2014-9, Revenue from Contracts with Customers, or ASU No. 2014-9, which supersedes all existing revenue recognition requirements, including most industry-specific guidance. The new standard requires a company to recognize revenue when it transfers goods or services to customers in an amount that reflects the consideration that the Company expects to receive for those goods or services. The update also requires additional disclosure about the nature, amount, timing and uncertainty of revenue and cash flows arising from customer contracts, including significant judgments and changes in judgments and assets recognized from costs incurred to obtain or fulfill a contract. ASU 2014-09 is effective for private companies for annual reporting periods beginning after December 15, 2018 and should be applied retrospectively to each prior reporting period presented or retrospectively with the cumulative effect of initially applying this update recognized at the date of initial application. The Company is currently evaluating the impact of the adoption of this standard on its financial statements.</w:t>
      </w:r>
    </w:p>
    <w:p>
      <w:pPr>
        <w:spacing w:after="0" w:line="287" w:lineRule="exact"/>
        <w:rPr>
          <w:sz w:val="20"/>
          <w:szCs w:val="20"/>
          <w:color w:val="auto"/>
        </w:rPr>
      </w:pPr>
    </w:p>
    <w:p>
      <w:pPr>
        <w:ind w:left="120" w:right="280"/>
        <w:spacing w:after="0" w:line="237" w:lineRule="auto"/>
        <w:rPr>
          <w:sz w:val="20"/>
          <w:szCs w:val="20"/>
          <w:color w:val="auto"/>
        </w:rPr>
      </w:pPr>
      <w:r>
        <w:rPr>
          <w:rFonts w:ascii="Arial" w:cs="Arial" w:eastAsia="Arial" w:hAnsi="Arial"/>
          <w:sz w:val="18"/>
          <w:szCs w:val="18"/>
          <w:color w:val="auto"/>
        </w:rPr>
        <w:t>In February 2016, the FASB issued ASU 2016-02, Leases. This standard amends the existing guidance to require lessees to present most leases on their balance sheets and recognize corresponding expenses on their statements of operations. It is effective for annual reporting periods beginning after December 15, 2019, but early adoption is permitted. The Company is currently evaluating the impact that this standard will have on its financial statements.</w:t>
      </w:r>
    </w:p>
    <w:p>
      <w:pPr>
        <w:spacing w:after="0" w:line="100" w:lineRule="exact"/>
        <w:rPr>
          <w:sz w:val="20"/>
          <w:szCs w:val="20"/>
          <w:color w:val="auto"/>
        </w:rPr>
      </w:pPr>
    </w:p>
    <w:p>
      <w:pPr>
        <w:ind w:left="120" w:right="220"/>
        <w:spacing w:after="0" w:line="275" w:lineRule="auto"/>
        <w:rPr>
          <w:sz w:val="20"/>
          <w:szCs w:val="20"/>
          <w:color w:val="auto"/>
        </w:rPr>
      </w:pPr>
      <w:r>
        <w:rPr>
          <w:rFonts w:ascii="Arial" w:cs="Arial" w:eastAsia="Arial" w:hAnsi="Arial"/>
          <w:sz w:val="16"/>
          <w:szCs w:val="16"/>
          <w:color w:val="auto"/>
        </w:rPr>
        <w:t>In March 2016, the FASB issued ASU No. 2016-09, Improvements to Employee Share-Based Payment Accounting, or ASU No. 2016-09, which simplifies several aspects of the accounting for share-based payment transactions, including the income tax consequences, classification of awards as either equity or liabilities and classification of cash flows. ASU No. 2016-09 is effective for annual periods beginning after December 15, 2017. The Company is currently evaluating the impact that this standard will have on its financial statements.</w:t>
      </w:r>
    </w:p>
    <w:p>
      <w:pPr>
        <w:spacing w:after="0" w:line="75"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In November 2016, FASB issued ASU No. 2016-18, Statement of Cash Flows, Restricted Cash, or ASU No. 2016-18. ASU No. 2016-18 provides guidance on the presentation of restricted cash and restricted cash equivalents in the statement of cash flows. Under ASU No. 2016-18, the statement of cash flows shall explain the change during the period in the total of cash, cash equivalents, and amounts generally described as restricted cash or restricted cash equivalents. Amounts generally described as restricted cash and cash equivalents should now be included with cash and cash equivalents when reconciling the beginning-of-period and end-of-period amounts shown on the statements of cash flows. The amendments of this ASU are effective for reporting periods beginning after December 15, 2017, with early adoption permitted. Other than the revised statement of cash flows presentation, the adoption of ASU No. 2016-18 will not have an impact on the Company’s financial statements.</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20"/>
          </w:cols>
          <w:pgMar w:left="320" w:top="459" w:right="45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3.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13"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4300" w:type="dxa"/>
            <w:vAlign w:val="bottom"/>
            <w:tcBorders>
              <w:bottom w:val="single" w:sz="8" w:color="auto"/>
            </w:tcBorders>
          </w:tcPr>
          <w:p>
            <w:pPr>
              <w:spacing w:after="0"/>
              <w:rPr>
                <w:sz w:val="19"/>
                <w:szCs w:val="19"/>
                <w:color w:val="auto"/>
              </w:rPr>
            </w:pPr>
          </w:p>
        </w:tc>
        <w:tc>
          <w:tcPr>
            <w:tcW w:w="3960" w:type="dxa"/>
            <w:vAlign w:val="bottom"/>
            <w:tcBorders>
              <w:bottom w:val="single" w:sz="8" w:color="auto"/>
            </w:tcBorders>
          </w:tcPr>
          <w:p>
            <w:pPr>
              <w:ind w:left="1800"/>
              <w:spacing w:after="0"/>
              <w:rPr>
                <w:sz w:val="20"/>
                <w:szCs w:val="20"/>
                <w:color w:val="auto"/>
              </w:rPr>
            </w:pPr>
            <w:r>
              <w:rPr>
                <w:rFonts w:ascii="Arial" w:cs="Arial" w:eastAsia="Arial" w:hAnsi="Arial"/>
                <w:sz w:val="18"/>
                <w:szCs w:val="18"/>
                <w:b w:val="1"/>
                <w:bCs w:val="1"/>
                <w:color w:val="auto"/>
              </w:rPr>
              <w:t>Useful life</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2017</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auto"/>
            </w:tcBorders>
          </w:tcPr>
          <w:p>
            <w:pPr>
              <w:spacing w:after="0"/>
              <w:rPr>
                <w:sz w:val="19"/>
                <w:szCs w:val="19"/>
                <w:color w:val="auto"/>
              </w:rPr>
            </w:pPr>
          </w:p>
        </w:tc>
      </w:tr>
      <w:tr>
        <w:trPr>
          <w:trHeight w:val="196"/>
        </w:trPr>
        <w:tc>
          <w:tcPr>
            <w:tcW w:w="4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Lab equipment</w:t>
            </w:r>
          </w:p>
        </w:tc>
        <w:tc>
          <w:tcPr>
            <w:tcW w:w="3960" w:type="dxa"/>
            <w:vAlign w:val="bottom"/>
            <w:shd w:val="clear" w:color="auto" w:fill="CCEEFF"/>
          </w:tcPr>
          <w:p>
            <w:pPr>
              <w:jc w:val="center"/>
              <w:ind w:left="452"/>
              <w:spacing w:after="0" w:line="196" w:lineRule="exact"/>
              <w:rPr>
                <w:sz w:val="20"/>
                <w:szCs w:val="20"/>
                <w:color w:val="auto"/>
              </w:rPr>
            </w:pPr>
            <w:r>
              <w:rPr>
                <w:rFonts w:ascii="Arial" w:cs="Arial" w:eastAsia="Arial" w:hAnsi="Arial"/>
                <w:sz w:val="18"/>
                <w:szCs w:val="18"/>
                <w:color w:val="auto"/>
                <w:w w:val="98"/>
              </w:rPr>
              <w:t>5 years</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rPr>
              <w:t>8,971,721</w:t>
            </w:r>
          </w:p>
        </w:tc>
        <w:tc>
          <w:tcPr>
            <w:tcW w:w="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8,039,013</w:t>
            </w: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Computer equipment and software</w:t>
            </w:r>
          </w:p>
        </w:tc>
        <w:tc>
          <w:tcPr>
            <w:tcW w:w="3960" w:type="dxa"/>
            <w:vAlign w:val="bottom"/>
          </w:tcPr>
          <w:p>
            <w:pPr>
              <w:jc w:val="center"/>
              <w:ind w:left="452"/>
              <w:spacing w:after="0" w:line="202" w:lineRule="exact"/>
              <w:rPr>
                <w:sz w:val="20"/>
                <w:szCs w:val="20"/>
                <w:color w:val="auto"/>
              </w:rPr>
            </w:pPr>
            <w:r>
              <w:rPr>
                <w:rFonts w:ascii="Arial" w:cs="Arial" w:eastAsia="Arial" w:hAnsi="Arial"/>
                <w:sz w:val="18"/>
                <w:szCs w:val="18"/>
                <w:color w:val="auto"/>
                <w:w w:val="98"/>
              </w:rPr>
              <w:t>3 years</w:t>
            </w:r>
          </w:p>
        </w:tc>
        <w:tc>
          <w:tcPr>
            <w:tcW w:w="160" w:type="dxa"/>
            <w:vAlign w:val="bottom"/>
          </w:tcPr>
          <w:p>
            <w:pPr>
              <w:spacing w:after="0"/>
              <w:rPr>
                <w:sz w:val="17"/>
                <w:szCs w:val="17"/>
                <w:color w:val="auto"/>
              </w:rPr>
            </w:pPr>
          </w:p>
        </w:tc>
        <w:tc>
          <w:tcPr>
            <w:tcW w:w="12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738,132</w:t>
            </w:r>
          </w:p>
        </w:tc>
        <w:tc>
          <w:tcPr>
            <w:tcW w:w="300" w:type="dxa"/>
            <w:vAlign w:val="bottom"/>
          </w:tcPr>
          <w:p>
            <w:pPr>
              <w:spacing w:after="0"/>
              <w:rPr>
                <w:sz w:val="17"/>
                <w:szCs w:val="17"/>
                <w:color w:val="auto"/>
              </w:rPr>
            </w:pP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603,231</w:t>
            </w:r>
          </w:p>
        </w:tc>
      </w:tr>
      <w:tr>
        <w:trPr>
          <w:trHeight w:val="203"/>
        </w:trPr>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Office furniture</w:t>
            </w:r>
          </w:p>
        </w:tc>
        <w:tc>
          <w:tcPr>
            <w:tcW w:w="3960" w:type="dxa"/>
            <w:vAlign w:val="bottom"/>
            <w:shd w:val="clear" w:color="auto" w:fill="CCEEFF"/>
          </w:tcPr>
          <w:p>
            <w:pPr>
              <w:jc w:val="center"/>
              <w:ind w:left="452"/>
              <w:spacing w:after="0" w:line="202" w:lineRule="exact"/>
              <w:rPr>
                <w:sz w:val="20"/>
                <w:szCs w:val="20"/>
                <w:color w:val="auto"/>
              </w:rPr>
            </w:pPr>
            <w:r>
              <w:rPr>
                <w:rFonts w:ascii="Arial" w:cs="Arial" w:eastAsia="Arial" w:hAnsi="Arial"/>
                <w:sz w:val="18"/>
                <w:szCs w:val="18"/>
                <w:color w:val="auto"/>
                <w:w w:val="98"/>
              </w:rPr>
              <w:t>5 years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129,460</w:t>
            </w:r>
          </w:p>
        </w:tc>
        <w:tc>
          <w:tcPr>
            <w:tcW w:w="3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129,460</w:t>
            </w:r>
          </w:p>
        </w:tc>
      </w:tr>
      <w:tr>
        <w:trPr>
          <w:trHeight w:val="209"/>
        </w:trPr>
        <w:tc>
          <w:tcPr>
            <w:tcW w:w="430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3960" w:type="dxa"/>
            <w:vAlign w:val="bottom"/>
          </w:tcPr>
          <w:p>
            <w:pPr>
              <w:jc w:val="center"/>
              <w:ind w:left="452"/>
              <w:spacing w:after="0" w:line="202" w:lineRule="exact"/>
              <w:rPr>
                <w:sz w:val="20"/>
                <w:szCs w:val="20"/>
                <w:color w:val="auto"/>
              </w:rPr>
            </w:pPr>
            <w:r>
              <w:rPr>
                <w:rFonts w:ascii="Arial" w:cs="Arial" w:eastAsia="Arial" w:hAnsi="Arial"/>
                <w:sz w:val="18"/>
                <w:szCs w:val="18"/>
                <w:color w:val="auto"/>
                <w:w w:val="97"/>
              </w:rPr>
              <w:t>Lesser of useful life or lease term</w:t>
            </w:r>
          </w:p>
        </w:tc>
        <w:tc>
          <w:tcPr>
            <w:tcW w:w="160" w:type="dxa"/>
            <w:vAlign w:val="bottom"/>
          </w:tcPr>
          <w:p>
            <w:pPr>
              <w:spacing w:after="0"/>
              <w:rPr>
                <w:sz w:val="18"/>
                <w:szCs w:val="18"/>
                <w:color w:val="auto"/>
              </w:rPr>
            </w:pPr>
          </w:p>
        </w:tc>
        <w:tc>
          <w:tcPr>
            <w:tcW w:w="12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4,827,801</w:t>
            </w:r>
          </w:p>
        </w:tc>
        <w:tc>
          <w:tcPr>
            <w:tcW w:w="300" w:type="dxa"/>
            <w:vAlign w:val="bottom"/>
          </w:tcPr>
          <w:p>
            <w:pPr>
              <w:spacing w:after="0"/>
              <w:rPr>
                <w:sz w:val="18"/>
                <w:szCs w:val="18"/>
                <w:color w:val="auto"/>
              </w:rPr>
            </w:pP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4,827,801</w:t>
            </w:r>
          </w:p>
        </w:tc>
      </w:tr>
      <w:tr>
        <w:trPr>
          <w:trHeight w:val="203"/>
        </w:trPr>
        <w:tc>
          <w:tcPr>
            <w:tcW w:w="43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Total property and equipment, at cost</w:t>
            </w:r>
          </w:p>
        </w:tc>
        <w:tc>
          <w:tcPr>
            <w:tcW w:w="39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14,667,114</w:t>
            </w:r>
          </w:p>
        </w:tc>
        <w:tc>
          <w:tcPr>
            <w:tcW w:w="3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13,599,505</w:t>
            </w:r>
          </w:p>
        </w:tc>
        <w:tc>
          <w:tcPr>
            <w:tcW w:w="140" w:type="dxa"/>
            <w:vAlign w:val="bottom"/>
            <w:shd w:val="clear" w:color="auto" w:fill="CCEEFF"/>
          </w:tcPr>
          <w:p>
            <w:pPr>
              <w:spacing w:after="0"/>
              <w:rPr>
                <w:sz w:val="17"/>
                <w:szCs w:val="17"/>
                <w:color w:val="auto"/>
              </w:rPr>
            </w:pPr>
          </w:p>
        </w:tc>
      </w:tr>
      <w:tr>
        <w:trPr>
          <w:trHeight w:val="210"/>
        </w:trPr>
        <w:tc>
          <w:tcPr>
            <w:tcW w:w="4300" w:type="dxa"/>
            <w:vAlign w:val="bottom"/>
          </w:tcPr>
          <w:p>
            <w:pPr>
              <w:spacing w:after="0" w:line="202" w:lineRule="exact"/>
              <w:rPr>
                <w:sz w:val="20"/>
                <w:szCs w:val="20"/>
                <w:color w:val="auto"/>
              </w:rPr>
            </w:pPr>
            <w:r>
              <w:rPr>
                <w:rFonts w:ascii="Arial" w:cs="Arial" w:eastAsia="Arial" w:hAnsi="Arial"/>
                <w:sz w:val="18"/>
                <w:szCs w:val="18"/>
                <w:color w:val="auto"/>
              </w:rPr>
              <w:t>Accumulated depreciation and amortization</w:t>
            </w:r>
          </w:p>
        </w:tc>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(10,658,533)</w:t>
            </w:r>
          </w:p>
        </w:tc>
        <w:tc>
          <w:tcPr>
            <w:tcW w:w="300" w:type="dxa"/>
            <w:vAlign w:val="bottom"/>
          </w:tcPr>
          <w:p>
            <w:pPr>
              <w:spacing w:after="0"/>
              <w:rPr>
                <w:sz w:val="18"/>
                <w:szCs w:val="18"/>
                <w:color w:val="auto"/>
              </w:rPr>
            </w:pP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(8,161,325)</w:t>
            </w:r>
          </w:p>
        </w:tc>
      </w:tr>
      <w:tr>
        <w:trPr>
          <w:trHeight w:val="203"/>
        </w:trPr>
        <w:tc>
          <w:tcPr>
            <w:tcW w:w="43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Property and equipment, net</w:t>
            </w:r>
          </w:p>
        </w:tc>
        <w:tc>
          <w:tcPr>
            <w:tcW w:w="39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4,008,581</w:t>
            </w:r>
          </w:p>
        </w:tc>
        <w:tc>
          <w:tcPr>
            <w:tcW w:w="3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5,438,180</w:t>
            </w:r>
          </w:p>
        </w:tc>
        <w:tc>
          <w:tcPr>
            <w:tcW w:w="140" w:type="dxa"/>
            <w:vAlign w:val="bottom"/>
            <w:shd w:val="clear" w:color="auto" w:fill="CCEEFF"/>
          </w:tcPr>
          <w:p>
            <w:pPr>
              <w:spacing w:after="0"/>
              <w:rPr>
                <w:sz w:val="17"/>
                <w:szCs w:val="17"/>
                <w:color w:val="auto"/>
              </w:rPr>
            </w:pPr>
          </w:p>
        </w:tc>
      </w:tr>
      <w:tr>
        <w:trPr>
          <w:trHeight w:val="20"/>
        </w:trPr>
        <w:tc>
          <w:tcPr>
            <w:tcW w:w="4300" w:type="dxa"/>
            <w:vAlign w:val="bottom"/>
            <w:tcBorders>
              <w:bottom w:val="single" w:sz="8" w:color="auto"/>
            </w:tcBorders>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11"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The Company has leases for lab equipment that meets the criteria to be accounted for as a capital lease. As of December 31, 2017 and 2016, lab equipment under capital leases totaled $1,088,588 and $701,427, respectively. Accumulated depreciation on such equipment totaled $701,427 as of December 31, 2017 and 2016.</w:t>
      </w:r>
    </w:p>
    <w:p>
      <w:pPr>
        <w:spacing w:after="0" w:line="100" w:lineRule="exact"/>
        <w:rPr>
          <w:sz w:val="20"/>
          <w:szCs w:val="20"/>
          <w:color w:val="auto"/>
        </w:rPr>
      </w:pPr>
    </w:p>
    <w:p>
      <w:pPr>
        <w:ind w:left="120" w:right="300"/>
        <w:spacing w:after="0" w:line="239" w:lineRule="auto"/>
        <w:rPr>
          <w:sz w:val="20"/>
          <w:szCs w:val="20"/>
          <w:color w:val="auto"/>
        </w:rPr>
      </w:pPr>
      <w:r>
        <w:rPr>
          <w:rFonts w:ascii="Arial" w:cs="Arial" w:eastAsia="Arial" w:hAnsi="Arial"/>
          <w:sz w:val="18"/>
          <w:szCs w:val="18"/>
          <w:color w:val="auto"/>
        </w:rPr>
        <w:t>The Company incurred depreciation and amortization expense of $2,497,208 and $2,367,426 for the years ended December 31, 2017 and 2016, respectively.</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4. Collaborations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Summary of Roche Collaboration</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Overall</w:t>
      </w:r>
    </w:p>
    <w:p>
      <w:pPr>
        <w:spacing w:after="0" w:line="124" w:lineRule="exact"/>
        <w:rPr>
          <w:sz w:val="20"/>
          <w:szCs w:val="20"/>
          <w:color w:val="auto"/>
        </w:rPr>
      </w:pPr>
    </w:p>
    <w:p>
      <w:pPr>
        <w:ind w:left="120" w:right="40"/>
        <w:spacing w:after="0" w:line="281" w:lineRule="auto"/>
        <w:rPr>
          <w:sz w:val="20"/>
          <w:szCs w:val="20"/>
          <w:color w:val="auto"/>
        </w:rPr>
      </w:pPr>
      <w:r>
        <w:rPr>
          <w:rFonts w:ascii="Arial" w:cs="Arial" w:eastAsia="Arial" w:hAnsi="Arial"/>
          <w:sz w:val="16"/>
          <w:szCs w:val="16"/>
          <w:color w:val="auto"/>
        </w:rPr>
        <w:t>In October 2017, the Company and Roche entered into a collaboration agreement (“Roche Collaboration Agreement”) utilizing the Company’s proprietary genome mining platform to discover and develop multiple novel classes of antibiotics. The serious global health threat of multidrug- resistant bacterial infections has created an urgent need for new antibiotics with novel structures and mechanisms of action.</w:t>
      </w:r>
    </w:p>
    <w:p>
      <w:pPr>
        <w:spacing w:after="0" w:line="69"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Under the Roche Collaboration Agreement, the Company is focused on antibiotics with activity against clinically important, drug-resistant, Gram-negative pathogens. The Company’s platform enables access to natural product drugs that have not been analyzed previously, due to historical technology limitations.</w:t>
      </w:r>
    </w:p>
    <w:p>
      <w:pPr>
        <w:spacing w:after="0" w:line="100"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Under the Roche Collaboration Agreement, the Company granted Roche a worldwide, nontransferable, nonexclusive license with the right to sublicense under the Company’s technology solely to perform the research activities assigned to Roche during the research term. Roche also granted the Company a worldwide, nontransferable nonexclusive license with the right to sublicense under the Roche technology solely for the Company to perform the research activities during the research term.</w:t>
      </w:r>
    </w:p>
    <w:p>
      <w:pPr>
        <w:spacing w:after="0" w:line="100"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Under the terms of the Roche Collaboration Agreement, Roche has options for exclusive worldwide licenses to develop and commercialize certain antibiotic classes that emerge from the collaboration, triggered upon the selection of a drug development candidate from the particular class. The exercise of an option by Roche triggers the Company to grant Roche a nontransferable, exclusive, royalty bearing license with the right to sublicense under the Company technology. This exclusive license will be issued on the antibiotic program basis. The Company retains worldwide rights to all other novel antibiotic classes from the collaboration.</w:t>
      </w:r>
    </w:p>
    <w:p>
      <w:pPr>
        <w:spacing w:after="0" w:line="103"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The Company is solely responsible for the conduct of research and development activities for each antibiotic program through selection of a drug development candidate. Roche may or may not exercise options for antibiotic programs at the drug development candidate stage. Roche has no obligations to develop or</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40"/>
          </w:cols>
          <w:pgMar w:left="320" w:top="459" w:right="4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00"/>
        <w:spacing w:after="0" w:line="239" w:lineRule="auto"/>
        <w:rPr>
          <w:sz w:val="20"/>
          <w:szCs w:val="20"/>
          <w:color w:val="auto"/>
        </w:rPr>
      </w:pPr>
      <w:r>
        <w:rPr>
          <w:rFonts w:ascii="Arial" w:cs="Arial" w:eastAsia="Arial" w:hAnsi="Arial"/>
          <w:sz w:val="18"/>
          <w:szCs w:val="18"/>
          <w:color w:val="auto"/>
        </w:rPr>
        <w:t>commercialize under the Roche Collaboration Agreement, until such time, if any, that Roche exercises an option for a drug development candidate.</w:t>
      </w:r>
    </w:p>
    <w:p>
      <w:pPr>
        <w:spacing w:after="0" w:line="101" w:lineRule="exact"/>
        <w:rPr>
          <w:sz w:val="20"/>
          <w:szCs w:val="20"/>
          <w:color w:val="auto"/>
        </w:rPr>
      </w:pPr>
    </w:p>
    <w:p>
      <w:pPr>
        <w:ind w:left="120" w:right="40"/>
        <w:spacing w:after="0" w:line="281" w:lineRule="auto"/>
        <w:rPr>
          <w:sz w:val="20"/>
          <w:szCs w:val="20"/>
          <w:color w:val="auto"/>
        </w:rPr>
      </w:pPr>
      <w:r>
        <w:rPr>
          <w:rFonts w:ascii="Arial" w:cs="Arial" w:eastAsia="Arial" w:hAnsi="Arial"/>
          <w:sz w:val="16"/>
          <w:szCs w:val="16"/>
          <w:color w:val="auto"/>
        </w:rPr>
        <w:t>The research term will be in effect for a period of time beginning in October 2017 through the later of October 2022 or 24 months after the Company achieves certain research milestones for the last eligible antibiotic programs. The Company is currently estimating a research term of five years for the Roche Collaboration Agreement, and the Company will revisit the research term estimate on an annual basis.</w:t>
      </w:r>
    </w:p>
    <w:p>
      <w:pPr>
        <w:spacing w:after="0" w:line="69"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The activities under the Roche Collaboration Agreement are governed by the joint steering committee. Both Roche and the Company have three members on the joint steering committee. The three joint steering committee representatives of each party will collectively have one vote, and the Joint Steering Committee will make decisions only by unanimous consent. If the Joint Steering Committee is unable to decide, the Company will have the right to make the final determination. The Joint Steering Committee will end six months after the end of the research term.</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Termination rights</w:t>
      </w:r>
    </w:p>
    <w:p>
      <w:pPr>
        <w:spacing w:after="0" w:line="124"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The Roche Collaboration Agreement automatically terminates if Roche does not exercise an option on a development candidate generally by October 2022. Roche may voluntarily terminate the Roche Collaboration Agreement in its entirety or on a program by program basis upon 90 days’ written notice.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Consideration</w:t>
      </w:r>
    </w:p>
    <w:p>
      <w:pPr>
        <w:spacing w:after="0" w:line="124"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Roche paid the Company a $23.0 million nonrefundable, up-front fee in October 2017. The Company estimates that the sum of the nonrefundable up-front fee already paid, potential option fees and potential milestone payments for preclinical events could total $87 million. The Company estimates that the total potential clinical, regulatory and sales milestones on products licensed to Roche could total an additional $300 million.</w:t>
      </w:r>
    </w:p>
    <w:p>
      <w:pPr>
        <w:spacing w:after="0" w:line="100" w:lineRule="exact"/>
        <w:rPr>
          <w:sz w:val="20"/>
          <w:szCs w:val="20"/>
          <w:color w:val="auto"/>
        </w:rPr>
      </w:pPr>
    </w:p>
    <w:p>
      <w:pPr>
        <w:jc w:val="both"/>
        <w:ind w:left="120" w:right="40"/>
        <w:spacing w:after="0" w:line="238" w:lineRule="auto"/>
        <w:rPr>
          <w:sz w:val="20"/>
          <w:szCs w:val="20"/>
          <w:color w:val="auto"/>
        </w:rPr>
      </w:pPr>
      <w:r>
        <w:rPr>
          <w:rFonts w:ascii="Arial" w:cs="Arial" w:eastAsia="Arial" w:hAnsi="Arial"/>
          <w:sz w:val="18"/>
          <w:szCs w:val="18"/>
          <w:color w:val="auto"/>
        </w:rPr>
        <w:t>As of December 31, 2017, the next potential milestone payment included in the above-mentioned total of $87 million that the Company could achieve under the Roche Collaboration Agreement is a nonsubstantive milestone payment of $5.0 million for the achievement of a discovery milestone.</w:t>
      </w:r>
    </w:p>
    <w:p>
      <w:pPr>
        <w:spacing w:after="0" w:line="100" w:lineRule="exact"/>
        <w:rPr>
          <w:sz w:val="20"/>
          <w:szCs w:val="20"/>
          <w:color w:val="auto"/>
        </w:rPr>
      </w:pPr>
    </w:p>
    <w:p>
      <w:pPr>
        <w:ind w:left="120" w:right="320"/>
        <w:spacing w:after="0" w:line="239" w:lineRule="auto"/>
        <w:rPr>
          <w:sz w:val="20"/>
          <w:szCs w:val="20"/>
          <w:color w:val="auto"/>
        </w:rPr>
      </w:pPr>
      <w:r>
        <w:rPr>
          <w:rFonts w:ascii="Arial" w:cs="Arial" w:eastAsia="Arial" w:hAnsi="Arial"/>
          <w:sz w:val="18"/>
          <w:szCs w:val="18"/>
          <w:color w:val="auto"/>
        </w:rPr>
        <w:t>The Company is eligible to receive tiered royalties for antibiotic programs for which Roche exercises its options up to low double digits on future net sales.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Roche Collaboration Agreement Accounting Analysis</w:t>
      </w:r>
    </w:p>
    <w:p>
      <w:pPr>
        <w:spacing w:after="0" w:line="124" w:lineRule="exact"/>
        <w:rPr>
          <w:sz w:val="20"/>
          <w:szCs w:val="20"/>
          <w:color w:val="auto"/>
        </w:rPr>
      </w:pPr>
    </w:p>
    <w:p>
      <w:pPr>
        <w:ind w:left="120" w:right="340"/>
        <w:spacing w:after="0" w:line="238" w:lineRule="auto"/>
        <w:rPr>
          <w:sz w:val="20"/>
          <w:szCs w:val="20"/>
          <w:color w:val="auto"/>
        </w:rPr>
      </w:pPr>
      <w:r>
        <w:rPr>
          <w:rFonts w:ascii="Arial" w:cs="Arial" w:eastAsia="Arial" w:hAnsi="Arial"/>
          <w:sz w:val="18"/>
          <w:szCs w:val="18"/>
          <w:color w:val="auto"/>
        </w:rPr>
        <w:t>The Company evaluated the Collaboration Agreement in accordance with the provisions of ASC, Topic 605-25, Revenue Recognition— Multiple Element Arrangements. The Roche Collaboration Agreement contains the following deliverables: (i) R&amp;D services for antibiotics; (ii) research license for the Company’s platform; and (iii) joint steering committee services.</w:t>
      </w:r>
    </w:p>
    <w:p>
      <w:pPr>
        <w:spacing w:after="0" w:line="100"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Company has concluded that the research license deliverables do not qualify for separation from the R&amp;D services deliverables. As it relates to the assessment of standalone value, the Company has determined that Roche cannot fully exploit the value of the research license deliverable without receipt of the Company’s R&amp;D services in the antibiotic programs. This is primarily due to the fact that Roche must rely upon the Company to provide the research and development services included in the research plan because the services incorporate technology that is proprietary to the Company. The services to be provided by the Company involve unique skills and specialized expertise technology that is not available in the marketplace. Accordingly, Roche must obtain the research and development services from the Company which significantly limits the ability for Roche</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060"/>
          </w:cols>
          <w:pgMar w:left="320" w:top="459" w:right="51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600"/>
        <w:spacing w:after="0" w:line="239" w:lineRule="auto"/>
        <w:rPr>
          <w:sz w:val="20"/>
          <w:szCs w:val="20"/>
          <w:color w:val="auto"/>
        </w:rPr>
      </w:pPr>
      <w:r>
        <w:rPr>
          <w:rFonts w:ascii="Arial" w:cs="Arial" w:eastAsia="Arial" w:hAnsi="Arial"/>
          <w:sz w:val="18"/>
          <w:szCs w:val="18"/>
          <w:color w:val="auto"/>
        </w:rPr>
        <w:t>to utilize the research license for its intended purpose on a standalone basis. The Company’s proprietary genome mining platform and know-how is critical. Therefore, the research license deliverables do not have standalone value from the R&amp;D services.</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deliverables are combined under one unit of accounting.</w:t>
      </w:r>
    </w:p>
    <w:p>
      <w:pPr>
        <w:spacing w:after="0" w:line="113" w:lineRule="exact"/>
        <w:rPr>
          <w:sz w:val="20"/>
          <w:szCs w:val="20"/>
          <w:color w:val="auto"/>
        </w:rPr>
      </w:pPr>
    </w:p>
    <w:p>
      <w:pPr>
        <w:ind w:left="340" w:hanging="224"/>
        <w:spacing w:after="0"/>
        <w:tabs>
          <w:tab w:leader="none" w:pos="3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Antibiotic program deliverables (consisting of the Research License and R&amp;D services).</w:t>
      </w:r>
    </w:p>
    <w:p>
      <w:pPr>
        <w:ind w:left="340" w:hanging="224"/>
        <w:spacing w:after="0"/>
        <w:tabs>
          <w:tab w:leader="none" w:pos="3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Joint Steering Committee services.</w:t>
      </w:r>
    </w:p>
    <w:p>
      <w:pPr>
        <w:spacing w:after="0" w:line="104"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The aggregate noncontingent consideration allocable to the Roche Collaboration Agreement of $23 million was allocated to the Antibiotic program deliverables. No amounts were allocated to the joint steering committee deliverable because the associated BESP was determined to be immaterial.</w:t>
      </w:r>
    </w:p>
    <w:p>
      <w:pPr>
        <w:spacing w:after="0" w:line="100" w:lineRule="exact"/>
        <w:rPr>
          <w:sz w:val="20"/>
          <w:szCs w:val="20"/>
          <w:color w:val="auto"/>
        </w:rPr>
      </w:pPr>
    </w:p>
    <w:p>
      <w:pPr>
        <w:ind w:left="120" w:right="180"/>
        <w:spacing w:after="0" w:line="239" w:lineRule="auto"/>
        <w:rPr>
          <w:sz w:val="20"/>
          <w:szCs w:val="20"/>
          <w:color w:val="auto"/>
        </w:rPr>
      </w:pPr>
      <w:r>
        <w:rPr>
          <w:rFonts w:ascii="Arial" w:cs="Arial" w:eastAsia="Arial" w:hAnsi="Arial"/>
          <w:sz w:val="18"/>
          <w:szCs w:val="18"/>
          <w:color w:val="auto"/>
        </w:rPr>
        <w:t>As there is no discernable patter of performance, the revenue is recognized on a straight-line basis over the research term estimated to last five years.</w:t>
      </w:r>
    </w:p>
    <w:p>
      <w:pPr>
        <w:spacing w:after="0" w:line="101"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The Company has evaluated all of the research milestones that may be received in connection with the Roche Collaboration Arrangement. In evaluating if a milestone is substantive, the Company assesses whether: (i) the consideration is commensurate with either the Company’s performance to achieve the milestone or the enhancement of the value of the delivered item(s) as a result of a specific outcome resulting from the Company’s performance to achieve the milestone, (ii) the consideration relates solely to past performance, and (iii) the consideration is reasonable relative to all of the deliverables and payment terms within the arrangement. The research milestones are not considered to be substantive. Therefore, when the Company achieves a research milestone, the Company will use the cumulative catch-up approach and spread the remaining milestone to revenue over the remaining research term. The Company has deemed all development milestones as substantive, and will use the milestone method of recognizing development milestones as revenue when achieved. All commercial milestones will be accounted for in the same manner as royalties and recorded as revenue upon achievement of the milestone, assuming all other revenue recognition criteria are met. The Company will recognize royalty revenue in the period of sale of the related product(s), based on the underlying contract terms, provided that the reported sales are reliably measurable, and the Company has no remaining performance obligations, assuming all other revenue recognition criteria are met.</w:t>
      </w:r>
    </w:p>
    <w:p>
      <w:pPr>
        <w:spacing w:after="0" w:line="106" w:lineRule="exact"/>
        <w:rPr>
          <w:sz w:val="20"/>
          <w:szCs w:val="20"/>
          <w:color w:val="auto"/>
        </w:rPr>
      </w:pPr>
    </w:p>
    <w:p>
      <w:pPr>
        <w:ind w:left="120" w:right="480"/>
        <w:spacing w:after="0" w:line="281" w:lineRule="auto"/>
        <w:rPr>
          <w:sz w:val="20"/>
          <w:szCs w:val="20"/>
          <w:color w:val="auto"/>
        </w:rPr>
      </w:pPr>
      <w:r>
        <w:rPr>
          <w:rFonts w:ascii="Arial" w:cs="Arial" w:eastAsia="Arial" w:hAnsi="Arial"/>
          <w:sz w:val="16"/>
          <w:szCs w:val="16"/>
          <w:color w:val="auto"/>
        </w:rPr>
        <w:t>The Company recognized approximately $1.1 million in collaboration revenue related solely to the up-front fee during the year ended December 31, 2017. The Company recorded deferred revenue of $4.6 million in current portion of deferred revenue and $17.3 million in deferred revenue less current portion for total deferred revenue of approximately $21.9 million as of December 31, 2017.</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 Summary of Sanofi Collaboration</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Overall</w:t>
      </w:r>
    </w:p>
    <w:p>
      <w:pPr>
        <w:spacing w:after="0" w:line="124" w:lineRule="exact"/>
        <w:rPr>
          <w:sz w:val="20"/>
          <w:szCs w:val="20"/>
          <w:color w:val="auto"/>
        </w:rPr>
      </w:pPr>
    </w:p>
    <w:p>
      <w:pPr>
        <w:ind w:left="120" w:right="140"/>
        <w:spacing w:after="0" w:line="236" w:lineRule="auto"/>
        <w:rPr>
          <w:sz w:val="20"/>
          <w:szCs w:val="20"/>
          <w:color w:val="auto"/>
        </w:rPr>
      </w:pPr>
      <w:r>
        <w:rPr>
          <w:rFonts w:ascii="Arial" w:cs="Arial" w:eastAsia="Arial" w:hAnsi="Arial"/>
          <w:sz w:val="18"/>
          <w:szCs w:val="18"/>
          <w:color w:val="auto"/>
        </w:rPr>
        <w:t>On January 8, 2016, the Company and Sanofi entered into a collaboration and license agreement (Sanofi Collaboration Agreement) utilizing the Company’s proprietary SMART</w:t>
      </w:r>
      <w:r>
        <w:rPr>
          <w:rFonts w:ascii="Arial" w:cs="Arial" w:eastAsia="Arial" w:hAnsi="Arial"/>
          <w:sz w:val="11"/>
          <w:szCs w:val="11"/>
          <w:color w:val="auto"/>
        </w:rPr>
        <w:t>™</w:t>
      </w:r>
      <w:r>
        <w:rPr>
          <w:rFonts w:ascii="Arial" w:cs="Arial" w:eastAsia="Arial" w:hAnsi="Arial"/>
          <w:sz w:val="18"/>
          <w:szCs w:val="18"/>
          <w:color w:val="auto"/>
        </w:rPr>
        <w:t xml:space="preserve"> and genome mining platforms to discover novel oncology therapeutics and antibiotics. The Sanofi Collaboration Agreement focused on the development of drugs targeting important human oncogenes and new antibiotics. The Company retained the rights to deploy its platforms to pursue discovery and development against all other targets, both alone and in collaboration with other companies.</w:t>
      </w:r>
    </w:p>
    <w:p>
      <w:pPr>
        <w:spacing w:after="0" w:line="103" w:lineRule="exact"/>
        <w:rPr>
          <w:sz w:val="20"/>
          <w:szCs w:val="20"/>
          <w:color w:val="auto"/>
        </w:rPr>
      </w:pPr>
    </w:p>
    <w:p>
      <w:pPr>
        <w:jc w:val="both"/>
        <w:ind w:left="120" w:right="280"/>
        <w:spacing w:after="0" w:line="238" w:lineRule="auto"/>
        <w:rPr>
          <w:sz w:val="20"/>
          <w:szCs w:val="20"/>
          <w:color w:val="auto"/>
        </w:rPr>
      </w:pPr>
      <w:r>
        <w:rPr>
          <w:rFonts w:ascii="Arial" w:cs="Arial" w:eastAsia="Arial" w:hAnsi="Arial"/>
          <w:sz w:val="18"/>
          <w:szCs w:val="18"/>
          <w:color w:val="auto"/>
        </w:rPr>
        <w:t>Under the terms of the Sanofi Collaboration Agreement, the Company would lead the research collaboration for a period of five years, and Sanofi would receive worldwide exclusive licenses to develop and commercialize product candidates discovered during the research term. The Company and Sanofi initially focused on three</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100"/>
          </w:cols>
          <w:pgMar w:left="320" w:top="459" w:right="47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00"/>
        <w:spacing w:after="0" w:line="239" w:lineRule="auto"/>
        <w:rPr>
          <w:sz w:val="20"/>
          <w:szCs w:val="20"/>
          <w:color w:val="auto"/>
        </w:rPr>
      </w:pPr>
      <w:r>
        <w:rPr>
          <w:rFonts w:ascii="Arial" w:cs="Arial" w:eastAsia="Arial" w:hAnsi="Arial"/>
          <w:sz w:val="18"/>
          <w:szCs w:val="18"/>
          <w:color w:val="auto"/>
        </w:rPr>
        <w:t>defined oncology programs targeting different mutants and states of the oncogenic protein RAS. For the antibiotic program, the Company led initial discovery efforts, and Sanofi would lead any subsequent discovery and development activities.</w:t>
      </w:r>
    </w:p>
    <w:p>
      <w:pPr>
        <w:spacing w:after="0" w:line="101"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The Company granted to Sanofi research licenses (co-exclusive, worldwide, royalty-free licenses). In addition, the Company granted to Sanofi development and commercialization licenses (exclusive, worldwide, royalty-bearing, sub licensable licenses in the prevention and treatment of all human and animal diseases). To the extent a collaboration program was terminated, the rights to both the research and development and commercialization licenses previously granted in relation to such terminated program immediately terminate.</w:t>
      </w:r>
    </w:p>
    <w:p>
      <w:pPr>
        <w:spacing w:after="0" w:line="100" w:lineRule="exact"/>
        <w:rPr>
          <w:sz w:val="20"/>
          <w:szCs w:val="20"/>
          <w:color w:val="auto"/>
        </w:rPr>
      </w:pPr>
    </w:p>
    <w:p>
      <w:pPr>
        <w:ind w:left="120" w:right="140"/>
        <w:spacing w:after="0" w:line="236" w:lineRule="auto"/>
        <w:rPr>
          <w:sz w:val="20"/>
          <w:szCs w:val="20"/>
          <w:color w:val="auto"/>
        </w:rPr>
      </w:pPr>
      <w:r>
        <w:rPr>
          <w:rFonts w:ascii="Arial" w:cs="Arial" w:eastAsia="Arial" w:hAnsi="Arial"/>
          <w:sz w:val="18"/>
          <w:szCs w:val="18"/>
          <w:color w:val="auto"/>
        </w:rPr>
        <w:t>The Company was solely responsible for the conduct of research and development activities for each collaboration program until the applicable transition stage (i.e., the specified point in time at which the research and development efforts are transitioned from the Company to Sanofi) for the respective collaboration program, unless otherwise agreed to by the parties in writing. Sanofi had no obligations to develop or commercialize under any collaboration program, until such time, if any, that the applicable transition has occurred. The Company reached the transition stage for the antibiotic program during the year ended December 31, 2016. The estimated research term for the antibiotic program was one year.</w:t>
      </w:r>
    </w:p>
    <w:p>
      <w:pPr>
        <w:spacing w:after="0" w:line="102" w:lineRule="exact"/>
        <w:rPr>
          <w:sz w:val="20"/>
          <w:szCs w:val="20"/>
          <w:color w:val="auto"/>
        </w:rPr>
      </w:pPr>
    </w:p>
    <w:p>
      <w:pPr>
        <w:ind w:left="120" w:right="340"/>
        <w:spacing w:after="0" w:line="239" w:lineRule="auto"/>
        <w:rPr>
          <w:sz w:val="20"/>
          <w:szCs w:val="20"/>
          <w:color w:val="auto"/>
        </w:rPr>
      </w:pPr>
      <w:r>
        <w:rPr>
          <w:rFonts w:ascii="Arial" w:cs="Arial" w:eastAsia="Arial" w:hAnsi="Arial"/>
          <w:sz w:val="18"/>
          <w:szCs w:val="18"/>
          <w:color w:val="auto"/>
        </w:rPr>
        <w:t>The activities under the Collaboration Agreement were governed by the joint steering committee. Both Sanofi and the Company had three members on the joint steering committee.</w:t>
      </w:r>
    </w:p>
    <w:p>
      <w:pPr>
        <w:spacing w:after="0" w:line="101"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The Company had the right to opt-in to co-commercialize an oncology candidate in the United States, no later than 90 days prior to the initiation of a registration clinical study of such oncology candidate. If the Company exercised the co-commercialization option for a particular oncology candidate, the Company and Sanofi would be jointly responsible for and have joint control over the co-commercialization of the oncology candidate in the United States.</w:t>
      </w:r>
    </w:p>
    <w:p>
      <w:pPr>
        <w:spacing w:after="0" w:line="100"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Additionally, in 2016, the Company restructured its existing senior credit agreement with Sanofi. Under the restructured agreement, the Company could borrow up to $30.0 million to fund expenses related to the Sanofi Collaboration Agreement. As the Company previously held a line of credit with the same interest rate, the Company concluded that the modification of the line of credit did not represent consideration exchanged in conjunction with the Sanofi Collaboration Agreement. See Note 5.</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Termination rights</w:t>
      </w:r>
    </w:p>
    <w:p>
      <w:pPr>
        <w:spacing w:after="0" w:line="124" w:lineRule="exact"/>
        <w:rPr>
          <w:sz w:val="20"/>
          <w:szCs w:val="20"/>
          <w:color w:val="auto"/>
        </w:rPr>
      </w:pPr>
    </w:p>
    <w:p>
      <w:pPr>
        <w:ind w:left="120" w:right="140"/>
        <w:spacing w:after="0" w:line="237" w:lineRule="auto"/>
        <w:rPr>
          <w:sz w:val="20"/>
          <w:szCs w:val="20"/>
          <w:color w:val="auto"/>
        </w:rPr>
      </w:pPr>
      <w:r>
        <w:rPr>
          <w:rFonts w:ascii="Arial" w:cs="Arial" w:eastAsia="Arial" w:hAnsi="Arial"/>
          <w:sz w:val="18"/>
          <w:szCs w:val="18"/>
          <w:color w:val="auto"/>
        </w:rPr>
        <w:t>The Sanofi Collaboration Agreement would automatically terminate if a development candidate was not generated for an oncology collaboration program prior to the expiration of the applicable research term (generally January 2021). Sanofi could voluntarily terminate the Sanofi Collaboration Agreement in its entirety or on a program by program basis upon 90 days’ written notice. All rights and license grants in the Sanofi Collaboration Agreement would immediately terminate, unless otherwise specified, after the 90-day notice period.</w:t>
      </w:r>
    </w:p>
    <w:p>
      <w:pPr>
        <w:spacing w:after="0" w:line="100" w:lineRule="exact"/>
        <w:rPr>
          <w:sz w:val="20"/>
          <w:szCs w:val="20"/>
          <w:color w:val="auto"/>
        </w:rPr>
      </w:pPr>
    </w:p>
    <w:p>
      <w:pPr>
        <w:jc w:val="both"/>
        <w:ind w:left="120" w:right="120"/>
        <w:spacing w:after="0" w:line="238" w:lineRule="auto"/>
        <w:rPr>
          <w:sz w:val="20"/>
          <w:szCs w:val="20"/>
          <w:color w:val="auto"/>
        </w:rPr>
      </w:pPr>
      <w:r>
        <w:rPr>
          <w:rFonts w:ascii="Arial" w:cs="Arial" w:eastAsia="Arial" w:hAnsi="Arial"/>
          <w:sz w:val="18"/>
          <w:szCs w:val="18"/>
          <w:color w:val="auto"/>
        </w:rPr>
        <w:t>In July 2017, Sanofi provided 90 days’ written notice to terminate the antibiotic portion of the Sanofi Collaboration Agreement, which officially terminated in October 2017. In November 2017, Sanofi provided 90 days’ written notice to terminate all oncology programs or the remaining portion of the research activities under the Sanofi Collaboration Agreement, which officially terminated in February 2018.</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Consideration</w:t>
      </w:r>
    </w:p>
    <w:p>
      <w:pPr>
        <w:spacing w:after="0" w:line="124" w:lineRule="exact"/>
        <w:rPr>
          <w:sz w:val="20"/>
          <w:szCs w:val="20"/>
          <w:color w:val="auto"/>
        </w:rPr>
      </w:pPr>
    </w:p>
    <w:p>
      <w:pPr>
        <w:ind w:left="120" w:right="900"/>
        <w:spacing w:after="0" w:line="239" w:lineRule="auto"/>
        <w:rPr>
          <w:sz w:val="20"/>
          <w:szCs w:val="20"/>
          <w:color w:val="auto"/>
        </w:rPr>
      </w:pPr>
      <w:r>
        <w:rPr>
          <w:rFonts w:ascii="Arial" w:cs="Arial" w:eastAsia="Arial" w:hAnsi="Arial"/>
          <w:sz w:val="18"/>
          <w:szCs w:val="18"/>
          <w:color w:val="auto"/>
        </w:rPr>
        <w:t>During the research term, the Company could request Sanofi to provide R&amp;D services. Subject to Sanofi’s available resources and capabilities, Sanofi could agree to provide up to $5.0 million in annual Sanofi R&amp;D services at no charge to the Company.</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120"/>
          </w:cols>
          <w:pgMar w:left="320" w:top="459" w:right="45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 was entitled to worldwide royalties provided it did not opt-in to co-commercialize an oncology candidate in the United States.</w:t>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Sanofi Collaboration Accounting Analysis</w:t>
      </w:r>
    </w:p>
    <w:p>
      <w:pPr>
        <w:spacing w:after="0" w:line="124"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The Company evaluated the Collaboration Agreement in accordance with the provisions of ASC, Topic 605-25, Revenue Recognition— Multiple Element Arrangements. The Company’s arrangement with Sanofi originally contained the following deliverables: R&amp;D services for the antibiotic program; R&amp;D services for the three oncology programs; research license for the antibiotic program; research license for the three oncology programs; and joint steering committee services.</w:t>
      </w:r>
    </w:p>
    <w:p>
      <w:pPr>
        <w:spacing w:after="0" w:line="100" w:lineRule="exact"/>
        <w:rPr>
          <w:sz w:val="20"/>
          <w:szCs w:val="20"/>
          <w:color w:val="auto"/>
        </w:rPr>
      </w:pPr>
    </w:p>
    <w:p>
      <w:pPr>
        <w:ind w:left="120" w:right="120"/>
        <w:spacing w:after="0" w:line="268" w:lineRule="auto"/>
        <w:rPr>
          <w:sz w:val="20"/>
          <w:szCs w:val="20"/>
          <w:color w:val="auto"/>
        </w:rPr>
      </w:pPr>
      <w:r>
        <w:rPr>
          <w:rFonts w:ascii="Arial" w:cs="Arial" w:eastAsia="Arial" w:hAnsi="Arial"/>
          <w:sz w:val="16"/>
          <w:szCs w:val="16"/>
          <w:color w:val="auto"/>
        </w:rPr>
        <w:t>The Company concluded that the research licenses (antibiotics and oncology programs) deliverables did not qualify for separation from the R&amp;D Services deliverables. As it related to the assessment of standalone value, the Company determined that Sanofi could not fully exploit the value of the research licenses deliverable without receipt of the Company’s R&amp;D services in both the antibiotics and the oncology programs. This was primarily due to the fact that Sanofi must rely upon the Company to provide the research and development services included in the research plan because the services incorporate technology that was proprietary to the Company. The services to be provided by the Company involved unique skills and specialized expertise technology that was not available in the marketplace. Accordingly, Sanofi must obtain the research and development services from the Company which significantly limited the ability for Sanofi to utilize the research licenses for its intended purpose on a standalone basis. The Company’s proprietary SMART</w:t>
      </w:r>
      <w:r>
        <w:rPr>
          <w:rFonts w:ascii="Arial" w:cs="Arial" w:eastAsia="Arial" w:hAnsi="Arial"/>
          <w:sz w:val="10"/>
          <w:szCs w:val="10"/>
          <w:color w:val="auto"/>
        </w:rPr>
        <w:t>™</w:t>
      </w:r>
      <w:r>
        <w:rPr>
          <w:rFonts w:ascii="Arial" w:cs="Arial" w:eastAsia="Arial" w:hAnsi="Arial"/>
          <w:sz w:val="16"/>
          <w:szCs w:val="16"/>
          <w:color w:val="auto"/>
        </w:rPr>
        <w:t xml:space="preserve"> and genome mining platforms and know-how was critical. Therefore, the research licenses deliverables did not have standalone value from the R&amp;D services.</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units of accounting for the Collaboration Agreement included:</w:t>
      </w:r>
    </w:p>
    <w:p>
      <w:pPr>
        <w:spacing w:after="0" w:line="117" w:lineRule="exact"/>
        <w:rPr>
          <w:sz w:val="20"/>
          <w:szCs w:val="20"/>
          <w:color w:val="auto"/>
        </w:rPr>
      </w:pPr>
    </w:p>
    <w:p>
      <w:pPr>
        <w:ind w:left="340" w:hanging="224"/>
        <w:spacing w:after="0"/>
        <w:tabs>
          <w:tab w:leader="none" w:pos="3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Antibiotic program deliverables (consisting of the Research License, Development and Commercialization License and R&amp;D services).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Oncology programs deliverables (consisting of the Research License, Development and Commercialization License and R&amp;D services).</w:t>
      </w:r>
    </w:p>
    <w:p>
      <w:pPr>
        <w:spacing w:after="0" w:line="140" w:lineRule="exact"/>
        <w:rPr>
          <w:rFonts w:ascii="Arial" w:cs="Arial" w:eastAsia="Arial" w:hAnsi="Arial"/>
          <w:sz w:val="16"/>
          <w:szCs w:val="16"/>
          <w:color w:val="auto"/>
        </w:rPr>
      </w:pPr>
    </w:p>
    <w:p>
      <w:pPr>
        <w:ind w:left="340" w:hanging="224"/>
        <w:spacing w:after="0"/>
        <w:tabs>
          <w:tab w:leader="none" w:pos="3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Joint Steering Committee services.</w:t>
      </w:r>
    </w:p>
    <w:p>
      <w:pPr>
        <w:spacing w:after="0" w:line="104" w:lineRule="exact"/>
        <w:rPr>
          <w:sz w:val="20"/>
          <w:szCs w:val="20"/>
          <w:color w:val="auto"/>
        </w:rPr>
      </w:pPr>
    </w:p>
    <w:p>
      <w:pPr>
        <w:ind w:left="120"/>
        <w:spacing w:after="0" w:line="267" w:lineRule="auto"/>
        <w:rPr>
          <w:sz w:val="20"/>
          <w:szCs w:val="20"/>
          <w:color w:val="auto"/>
        </w:rPr>
      </w:pPr>
      <w:r>
        <w:rPr>
          <w:rFonts w:ascii="Arial" w:cs="Arial" w:eastAsia="Arial" w:hAnsi="Arial"/>
          <w:sz w:val="16"/>
          <w:szCs w:val="16"/>
          <w:color w:val="auto"/>
        </w:rPr>
        <w:t>The Company determined that neither vendor-specific objective evidence of selling price nor third party evidence of selling price was available for any of the units of accounting identified at inception of the arrangement with Sanofi. Accordingly, the selling price of each unit of accounting was determined based on the Company’s best estimate of selling price or BESP. The Company developed the BESP for all of the units of accounting included in the Collaboration Agreement with the objective of determining the price at which it would sell such an item if it were to be sold regularly on a standalone basis. The Company developed the BESP for the primarily Antibiotic program unit of accounting (consisting of the Research License, Development and Commercialization License and R&amp;D services) and the Oncology programs unit of accounting (consisting of the Research License, Development and Commercialization License and R&amp;D services) based on the nature of the services to be performed and estimates of the associated effort and cost of the services, adjusted for a reasonable profit margin that would be expected to be realized under similar contracts. The Company developed the BESP for each of the Development and Commercialization license units of accounting based on the probability-weighted present value of expected future cash flows associated with each license related to each antibiotics or the oncology collaboration programs. In developing such estimates, the Company also considered applicable market conditions and relevant entity-specific factors, including those factors contemplated in negotiating the agreement, probability of success and the time needed to commercialize a product candidate pursuant to the associated license.</w:t>
      </w:r>
    </w:p>
    <w:p>
      <w:pPr>
        <w:spacing w:after="0" w:line="3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20"/>
          </w:cols>
          <w:pgMar w:left="320" w:top="459" w:right="45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20"/>
        <w:spacing w:after="0" w:line="264" w:lineRule="auto"/>
        <w:rPr>
          <w:sz w:val="20"/>
          <w:szCs w:val="20"/>
          <w:color w:val="auto"/>
        </w:rPr>
      </w:pPr>
      <w:r>
        <w:rPr>
          <w:rFonts w:ascii="Arial" w:cs="Arial" w:eastAsia="Arial" w:hAnsi="Arial"/>
          <w:sz w:val="16"/>
          <w:szCs w:val="16"/>
          <w:color w:val="auto"/>
        </w:rPr>
        <w:t>The aggregate noncontingent consideration allocable to the Collaboration Agreement of $4.0 million was allocated among the separate units of accounting using the relative selling price method as follows: (i) antibiotic licenses and R&amp;D services – approximately $0.4 million;</w:t>
      </w:r>
    </w:p>
    <w:p>
      <w:pPr>
        <w:ind w:left="120" w:right="300" w:hanging="4"/>
        <w:spacing w:after="0" w:line="237" w:lineRule="auto"/>
        <w:tabs>
          <w:tab w:leader="none" w:pos="364" w:val="left"/>
        </w:tabs>
        <w:numPr>
          <w:ilvl w:val="0"/>
          <w:numId w:val="140"/>
        </w:numPr>
        <w:rPr>
          <w:rFonts w:ascii="Arial" w:cs="Arial" w:eastAsia="Arial" w:hAnsi="Arial"/>
          <w:sz w:val="18"/>
          <w:szCs w:val="18"/>
          <w:color w:val="auto"/>
        </w:rPr>
      </w:pPr>
      <w:r>
        <w:rPr>
          <w:rFonts w:ascii="Arial" w:cs="Arial" w:eastAsia="Arial" w:hAnsi="Arial"/>
          <w:sz w:val="18"/>
          <w:szCs w:val="18"/>
          <w:color w:val="auto"/>
        </w:rPr>
        <w:t>oncology programs licenses and R&amp;D services – approximately $3.6 million. No amounts were allocated to the joint steering committee deliverable because the associated BESP was determined to be immaterial. The amounts allocated to each of the development and commercialization licenses were based on the respective BESP calculations, which reflected the level of risk and expected probability of success inherent in the nature of the associated research area.</w:t>
      </w:r>
    </w:p>
    <w:p>
      <w:pPr>
        <w:spacing w:after="0" w:line="100"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amount allocated to the oncology programs deliverables unit of account were recognized over the research term as the underlying services were performed. As there was no discernable pattern of performance, the revenue was recognized on a straight-line basis over the development period. The consideration allocated to the antibiotic program deliverables was recognized as received as the Company had completed its performance obligations related to this deliverable during the year ended December 31, 2016, and the development efforts were transitioned to Sanofi.</w:t>
      </w:r>
    </w:p>
    <w:p>
      <w:pPr>
        <w:spacing w:after="0" w:line="103" w:lineRule="exact"/>
        <w:rPr>
          <w:sz w:val="20"/>
          <w:szCs w:val="20"/>
          <w:color w:val="auto"/>
        </w:rPr>
      </w:pPr>
    </w:p>
    <w:p>
      <w:pPr>
        <w:ind w:left="120" w:right="20"/>
        <w:spacing w:after="0" w:line="268" w:lineRule="auto"/>
        <w:rPr>
          <w:sz w:val="20"/>
          <w:szCs w:val="20"/>
          <w:color w:val="auto"/>
        </w:rPr>
      </w:pPr>
      <w:r>
        <w:rPr>
          <w:rFonts w:ascii="Arial" w:cs="Arial" w:eastAsia="Arial" w:hAnsi="Arial"/>
          <w:sz w:val="16"/>
          <w:szCs w:val="16"/>
          <w:color w:val="auto"/>
        </w:rPr>
        <w:t>The Company originally evaluated all of the milestones that could be received in connection with the Collaboration Arrangement. In evaluating if a milestone was substantive, the Company assessed whether: (i) the consideration was commensurate with either the Company’s performance to achieve the milestone or the enhancement of the value of the delivered item(s) as a result of a specific outcome resulting from the Company’s performance to achieve the milestone, (ii) the consideration related solely to past performance, and (iii) the consideration was reasonable relative to all of the deliverables and payment terms within the arrangement. Certain development and regulatory milestones were considered substantive on the basis of the contingent nature of the milestone, specifically reviewing factors such as the scientific, clinical, regulatory, commercial and other risks that must be overcome to achieve the milestone as well as the level of effort and investment required. Accordingly, such amounts could have been recognized as revenue in full in the period in which the associated milestone was achieved, assuming all other revenue recognition criteria were met. Certain development milestones were not considered to be substantive. Such amounts were allocated to the units of account based relative fair value of the BESP.</w:t>
      </w:r>
    </w:p>
    <w:p>
      <w:pPr>
        <w:spacing w:after="0" w:line="284"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During the year ended December 31, 2016, the Company received a $1.0 million discovery milestone that was essentially an up-front payment related to an oncology collaboration program and a $3.0 million discovery milestone related to an oncology collaboration program that was considered nonsubstantive. Finally, during the year ended December 31, 2016, the Company achieved a $0.8 million milestone related to the antibiotic program. The Company is primarily responsible for the R&amp;D they are performing and as such receive milestones for this work performed and therefore, the Company concluded that milestone payments received are recorded gross. The Company recognized approximately $1.9 million in collaboration revenue during the year ended December 31, 2016. The Company used the cumulative catch-up approach in recognizing revenue associated with achieved nonsubstantive milestones. The Company recorded deferred revenue of approximately $2.9 million associated with the Sanofi Collaboration Agreement as of December 31, 2016.</w:t>
      </w:r>
    </w:p>
    <w:p>
      <w:pPr>
        <w:spacing w:after="0" w:line="100"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The Company received $2.1 million and $2.0 million of Sanofi R&amp;D services for the years ended December 31, 2017 and 2016, respectively. As Sanofi is responsible for the work related to R&amp;D services, the Company concluded that R&amp;D services provided by Sanofi are recorded net.</w:t>
      </w:r>
    </w:p>
    <w:p>
      <w:pPr>
        <w:spacing w:after="0" w:line="100" w:lineRule="exact"/>
        <w:rPr>
          <w:sz w:val="20"/>
          <w:szCs w:val="20"/>
          <w:color w:val="auto"/>
        </w:rPr>
      </w:pPr>
    </w:p>
    <w:p>
      <w:pPr>
        <w:ind w:left="120" w:right="540"/>
        <w:spacing w:after="0" w:line="239" w:lineRule="auto"/>
        <w:rPr>
          <w:sz w:val="20"/>
          <w:szCs w:val="20"/>
          <w:color w:val="auto"/>
        </w:rPr>
      </w:pPr>
      <w:r>
        <w:rPr>
          <w:rFonts w:ascii="Arial" w:cs="Arial" w:eastAsia="Arial" w:hAnsi="Arial"/>
          <w:sz w:val="18"/>
          <w:szCs w:val="18"/>
          <w:color w:val="auto"/>
        </w:rPr>
        <w:t>During the year ended December 31, 2017, the Company achieved five discovery milestones that were considered nonsubstantive and received $11.0 million in total milestone payments from Sanofi.</w:t>
      </w:r>
    </w:p>
    <w:p>
      <w:pPr>
        <w:spacing w:after="0" w:line="101"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As previously disclosed, in November 2017, Sanofi gave 90 days’ written notice to terminate all oncology programs in the Sanofi Collaboration Agreement, which officially terminated in February 2018. This resulted in an accounting change in estimate in 2017 with the research term ending in February 2018 (90 days later).</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20"/>
          </w:cols>
          <w:pgMar w:left="320" w:top="459" w:right="45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The Company recognized approximately $13.0 million of revenue related to the Sanofi Collaboration Agreement during the year ended December 31, 2017. The Company’s short-term deferred revenue as of December 31, 2017 totaled approximately $0.9 million from the Sanofi Collaboration Agreement, which will be recognized as revenue through the end of the research term in February 2018, at which time all services under the collaboration ended.</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5. Convertible notes payable, related party</w:t>
      </w:r>
    </w:p>
    <w:p>
      <w:pPr>
        <w:spacing w:after="0" w:line="134" w:lineRule="exact"/>
        <w:rPr>
          <w:sz w:val="20"/>
          <w:szCs w:val="20"/>
          <w:color w:val="auto"/>
        </w:rPr>
      </w:pPr>
    </w:p>
    <w:p>
      <w:pPr>
        <w:ind w:left="120" w:right="600"/>
        <w:spacing w:after="0" w:line="239" w:lineRule="auto"/>
        <w:rPr>
          <w:sz w:val="20"/>
          <w:szCs w:val="20"/>
          <w:color w:val="auto"/>
        </w:rPr>
      </w:pPr>
      <w:r>
        <w:rPr>
          <w:rFonts w:ascii="Arial" w:cs="Arial" w:eastAsia="Arial" w:hAnsi="Arial"/>
          <w:sz w:val="18"/>
          <w:szCs w:val="18"/>
          <w:color w:val="auto"/>
        </w:rPr>
        <w:t>On January 8, 2016, the Company restructured the prior senior credit agreement with Sanofi into convertible notes payable. Under the restructured agreement, the Company could borrow up to $30,000,000 to fund certain expenses.</w:t>
      </w:r>
    </w:p>
    <w:p>
      <w:pPr>
        <w:spacing w:after="0" w:line="101"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As previously disclosed, in November 2017, Sanofi provided 90 days’ written notice to terminate all oncology programs or the remaining portion of the research activities under the Sanofi Collaboration Agreement, which officially terminated in February 2018. With the termination of the Sanofi Collaboration Agreement, the maturity date of notes payable, related party became February 2020.</w:t>
      </w:r>
    </w:p>
    <w:p>
      <w:pPr>
        <w:spacing w:after="0" w:line="100"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The notes payable bore interest at LIBOR plus 8.5%. Subject to certain exceptions, there were no payments due prior to maturity, and interest is paid-in-kind. The notes payable were automatically convertible into shares of common stock upon the completion of an initial public offering and convertible at the option of the investor upon a financing in which the Company sold shares of a new series of preferred stock in which the Company receives proceeds of at least $30.0 million. The conversion rate upon such conversion was 95% of the initial public offering price or 95% of the financing purchase price. If the Company was acquired, then the acquirer of the Company had to pay $36.0 million in principal (120 percent of the outstanding debt of $30.0 million). The Company accounted for the amendment as a modification as the terms of the amendment were not substantially different from the original terms of the term loan.</w:t>
      </w:r>
    </w:p>
    <w:p>
      <w:pPr>
        <w:spacing w:after="0" w:line="101" w:lineRule="exact"/>
        <w:rPr>
          <w:sz w:val="20"/>
          <w:szCs w:val="20"/>
          <w:color w:val="auto"/>
        </w:rPr>
      </w:pPr>
    </w:p>
    <w:p>
      <w:pPr>
        <w:ind w:left="120" w:right="240"/>
        <w:spacing w:after="0" w:line="238" w:lineRule="auto"/>
        <w:rPr>
          <w:sz w:val="20"/>
          <w:szCs w:val="20"/>
          <w:color w:val="auto"/>
        </w:rPr>
      </w:pPr>
      <w:r>
        <w:rPr>
          <w:rFonts w:ascii="Arial" w:cs="Arial" w:eastAsia="Arial" w:hAnsi="Arial"/>
          <w:sz w:val="18"/>
          <w:szCs w:val="18"/>
          <w:color w:val="auto"/>
        </w:rPr>
        <w:t>The Company borrowed $8,999,731 and $17,451,965 during the years ended December 31, 2017 and 2016, respectively. The Company recorded noncash interest expense of $2,934,532 and $1,062,213 during the years ended December 31, 2017 and 2016, respectively. The effective interest rate was 10.1% and 9.6% for the years ended December 31, 2017 and 2016, respectively.</w:t>
      </w:r>
    </w:p>
    <w:p>
      <w:pPr>
        <w:spacing w:after="0" w:line="100"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In June 2018, the Company and Sanofi agreed to amend the terms of existing notes payable. All current and future interest due on the notes payable was cancelled and forgiven in full. In addition, a milestone payment (Sanofi to pay the Company) of $6 million under the Sanofi Collaboration Agreement was cancelled and forgiven in full. Sanofi has no further payment obligations due to the Company under the Sanofi Collaboration Agreement. The Company will exchange its existing notes payable for new notes payable with amended terms from Sanofi immediately prior to the closing of the Company’s first issuance and sale of preferred stock prior to December 31, 2019.</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6. Grants</w:t>
      </w:r>
    </w:p>
    <w:p>
      <w:pPr>
        <w:spacing w:after="0" w:line="134"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In September 2016, the Company was awarded a grant from the Cystic Fibrosis Foundation for the preclinical development of Neomorph antibiotics for treatment of Cystic Fibrosis related infections. In early 2017, the Company was awarded multiple antibiotic grants from Small Business Innovation Research through the government of the United States. In April 2017, the Company was awarded a grant for a total of $1.1 million from the Bill and Melinda Gates Foundation for research related to antibiotics for the treatment of tuberculosis and gram-negative infections.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120"/>
          </w:cols>
          <w:pgMar w:left="320" w:top="459" w:right="45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Revenue recorded under antibiotic grants during the year ended December 31, 2017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100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auto"/>
            </w:tcBorders>
          </w:tcPr>
          <w:p>
            <w:pPr>
              <w:spacing w:after="0"/>
              <w:rPr>
                <w:sz w:val="19"/>
                <w:szCs w:val="19"/>
                <w:color w:val="auto"/>
              </w:rPr>
            </w:pPr>
          </w:p>
        </w:tc>
      </w:tr>
      <w:tr>
        <w:trPr>
          <w:trHeight w:val="196"/>
        </w:trPr>
        <w:tc>
          <w:tcPr>
            <w:tcW w:w="10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Gates Foundation Grant</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649,569</w:t>
            </w:r>
          </w:p>
        </w:tc>
        <w:tc>
          <w:tcPr>
            <w:tcW w:w="80" w:type="dxa"/>
            <w:vAlign w:val="bottom"/>
            <w:shd w:val="clear" w:color="auto" w:fill="CCEEFF"/>
          </w:tcPr>
          <w:p>
            <w:pPr>
              <w:spacing w:after="0"/>
              <w:rPr>
                <w:sz w:val="17"/>
                <w:szCs w:val="17"/>
                <w:color w:val="auto"/>
              </w:rPr>
            </w:pPr>
          </w:p>
        </w:tc>
      </w:tr>
      <w:tr>
        <w:trPr>
          <w:trHeight w:val="203"/>
        </w:trPr>
        <w:tc>
          <w:tcPr>
            <w:tcW w:w="10020" w:type="dxa"/>
            <w:vAlign w:val="bottom"/>
          </w:tcPr>
          <w:p>
            <w:pPr>
              <w:spacing w:after="0" w:line="202" w:lineRule="exact"/>
              <w:rPr>
                <w:sz w:val="20"/>
                <w:szCs w:val="20"/>
                <w:color w:val="auto"/>
              </w:rPr>
            </w:pPr>
            <w:r>
              <w:rPr>
                <w:rFonts w:ascii="Arial" w:cs="Arial" w:eastAsia="Arial" w:hAnsi="Arial"/>
                <w:sz w:val="18"/>
                <w:szCs w:val="18"/>
                <w:color w:val="auto"/>
              </w:rPr>
              <w:t>Cystic Fibrosis Foundation Grant</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320,000</w:t>
            </w:r>
          </w:p>
        </w:tc>
        <w:tc>
          <w:tcPr>
            <w:tcW w:w="80" w:type="dxa"/>
            <w:vAlign w:val="bottom"/>
          </w:tcPr>
          <w:p>
            <w:pPr>
              <w:spacing w:after="0"/>
              <w:rPr>
                <w:sz w:val="17"/>
                <w:szCs w:val="17"/>
                <w:color w:val="auto"/>
              </w:rPr>
            </w:pPr>
          </w:p>
        </w:tc>
      </w:tr>
      <w:tr>
        <w:trPr>
          <w:trHeight w:val="203"/>
        </w:trPr>
        <w:tc>
          <w:tcPr>
            <w:tcW w:w="10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Small Business Innovation Research Grants</w:t>
            </w: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702,312</w:t>
            </w:r>
          </w:p>
        </w:tc>
        <w:tc>
          <w:tcPr>
            <w:tcW w:w="80" w:type="dxa"/>
            <w:vAlign w:val="bottom"/>
            <w:shd w:val="clear" w:color="auto" w:fill="CCEEFF"/>
          </w:tcPr>
          <w:p>
            <w:pPr>
              <w:spacing w:after="0"/>
              <w:rPr>
                <w:sz w:val="17"/>
                <w:szCs w:val="17"/>
                <w:color w:val="auto"/>
              </w:rPr>
            </w:pPr>
          </w:p>
        </w:tc>
      </w:tr>
      <w:tr>
        <w:trPr>
          <w:trHeight w:val="222"/>
        </w:trPr>
        <w:tc>
          <w:tcPr>
            <w:tcW w:w="100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Grant 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1,671,881</w:t>
            </w:r>
          </w:p>
        </w:tc>
        <w:tc>
          <w:tcPr>
            <w:tcW w:w="80" w:type="dxa"/>
            <w:vAlign w:val="bottom"/>
          </w:tcPr>
          <w:p>
            <w:pPr>
              <w:spacing w:after="0"/>
              <w:rPr>
                <w:sz w:val="19"/>
                <w:szCs w:val="19"/>
                <w:color w:val="auto"/>
              </w:rPr>
            </w:pPr>
          </w:p>
        </w:tc>
      </w:tr>
    </w:tbl>
    <w:p>
      <w:pPr>
        <w:spacing w:after="0" w:line="18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7. Balance sheet components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Prepaid expenses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9020" w:type="dxa"/>
            <w:vAlign w:val="bottom"/>
          </w:tcPr>
          <w:p>
            <w:pPr>
              <w:spacing w:after="0"/>
              <w:rPr>
                <w:sz w:val="19"/>
                <w:szCs w:val="19"/>
                <w:color w:val="auto"/>
              </w:rPr>
            </w:pPr>
          </w:p>
        </w:tc>
        <w:tc>
          <w:tcPr>
            <w:tcW w:w="200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9020" w:type="dxa"/>
            <w:vAlign w:val="bottom"/>
            <w:tcBorders>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3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auto"/>
            </w:tcBorders>
          </w:tcPr>
          <w:p>
            <w:pPr>
              <w:spacing w:after="0"/>
              <w:rPr>
                <w:sz w:val="19"/>
                <w:szCs w:val="19"/>
                <w:color w:val="auto"/>
              </w:rPr>
            </w:pPr>
          </w:p>
        </w:tc>
      </w:tr>
      <w:tr>
        <w:trPr>
          <w:trHeight w:val="196"/>
        </w:trPr>
        <w:tc>
          <w:tcPr>
            <w:tcW w:w="9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Prepaid software licenses</w:t>
            </w:r>
          </w:p>
        </w:tc>
        <w:tc>
          <w:tcPr>
            <w:tcW w:w="940" w:type="dxa"/>
            <w:vAlign w:val="bottom"/>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w w:val="97"/>
              </w:rPr>
              <w:t>$ 198,339</w:t>
            </w:r>
          </w:p>
        </w:tc>
        <w:tc>
          <w:tcPr>
            <w:tcW w:w="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206,346</w:t>
            </w:r>
          </w:p>
        </w:tc>
        <w:tc>
          <w:tcPr>
            <w:tcW w:w="80" w:type="dxa"/>
            <w:vAlign w:val="bottom"/>
            <w:shd w:val="clear" w:color="auto" w:fill="CCEEFF"/>
          </w:tcPr>
          <w:p>
            <w:pPr>
              <w:spacing w:after="0"/>
              <w:rPr>
                <w:sz w:val="17"/>
                <w:szCs w:val="17"/>
                <w:color w:val="auto"/>
              </w:rPr>
            </w:pP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Prepaid rent</w:t>
            </w:r>
          </w:p>
        </w:tc>
        <w:tc>
          <w:tcPr>
            <w:tcW w:w="9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172,761</w:t>
            </w:r>
          </w:p>
        </w:tc>
        <w:tc>
          <w:tcPr>
            <w:tcW w:w="3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165,205</w:t>
            </w:r>
          </w:p>
        </w:tc>
        <w:tc>
          <w:tcPr>
            <w:tcW w:w="80" w:type="dxa"/>
            <w:vAlign w:val="bottom"/>
          </w:tcPr>
          <w:p>
            <w:pPr>
              <w:spacing w:after="0"/>
              <w:rPr>
                <w:sz w:val="17"/>
                <w:szCs w:val="17"/>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Prepaid maintenance services</w:t>
            </w:r>
          </w:p>
        </w:tc>
        <w:tc>
          <w:tcPr>
            <w:tcW w:w="9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110,314</w:t>
            </w:r>
          </w:p>
        </w:tc>
        <w:tc>
          <w:tcPr>
            <w:tcW w:w="3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64,421</w:t>
            </w:r>
          </w:p>
        </w:tc>
      </w:tr>
      <w:tr>
        <w:trPr>
          <w:trHeight w:val="210"/>
        </w:trPr>
        <w:tc>
          <w:tcPr>
            <w:tcW w:w="902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94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46,144</w:t>
            </w: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107,830</w:t>
            </w:r>
          </w:p>
        </w:tc>
        <w:tc>
          <w:tcPr>
            <w:tcW w:w="80" w:type="dxa"/>
            <w:vAlign w:val="bottom"/>
          </w:tcPr>
          <w:p>
            <w:pPr>
              <w:spacing w:after="0"/>
              <w:rPr>
                <w:sz w:val="18"/>
                <w:szCs w:val="18"/>
                <w:color w:val="auto"/>
              </w:rPr>
            </w:pPr>
          </w:p>
        </w:tc>
      </w:tr>
      <w:tr>
        <w:trPr>
          <w:trHeight w:val="203"/>
        </w:trPr>
        <w:tc>
          <w:tcPr>
            <w:tcW w:w="90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Total prepaid expenses and other current assets</w:t>
            </w:r>
          </w:p>
        </w:tc>
        <w:tc>
          <w:tcPr>
            <w:tcW w:w="9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w w:val="97"/>
              </w:rPr>
              <w:t>$ 527,558</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543,802</w:t>
            </w:r>
          </w:p>
        </w:tc>
        <w:tc>
          <w:tcPr>
            <w:tcW w:w="80" w:type="dxa"/>
            <w:vAlign w:val="bottom"/>
            <w:shd w:val="clear" w:color="auto" w:fill="CCEEFF"/>
          </w:tcPr>
          <w:p>
            <w:pPr>
              <w:spacing w:after="0"/>
              <w:rPr>
                <w:sz w:val="17"/>
                <w:szCs w:val="17"/>
                <w:color w:val="auto"/>
              </w:rPr>
            </w:pPr>
          </w:p>
        </w:tc>
      </w:tr>
      <w:tr>
        <w:trPr>
          <w:trHeight w:val="20"/>
        </w:trPr>
        <w:tc>
          <w:tcPr>
            <w:tcW w:w="90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9"/>
        </w:trPr>
        <w:tc>
          <w:tcPr>
            <w:tcW w:w="9020" w:type="dxa"/>
            <w:vAlign w:val="bottom"/>
          </w:tcPr>
          <w:p>
            <w:pPr>
              <w:spacing w:after="0"/>
              <w:rPr>
                <w:sz w:val="20"/>
                <w:szCs w:val="20"/>
                <w:color w:val="auto"/>
              </w:rPr>
            </w:pPr>
            <w:r>
              <w:rPr>
                <w:rFonts w:ascii="Arial" w:cs="Arial" w:eastAsia="Arial" w:hAnsi="Arial"/>
                <w:sz w:val="18"/>
                <w:szCs w:val="18"/>
                <w:color w:val="auto"/>
              </w:rPr>
              <w:t>Accrued expenses consisted of the following:</w:t>
            </w: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9"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8680" w:type="dxa"/>
            <w:vAlign w:val="bottom"/>
          </w:tcPr>
          <w:p>
            <w:pPr>
              <w:spacing w:after="0"/>
              <w:rPr>
                <w:sz w:val="19"/>
                <w:szCs w:val="19"/>
                <w:color w:val="auto"/>
              </w:rPr>
            </w:pPr>
          </w:p>
        </w:tc>
        <w:tc>
          <w:tcPr>
            <w:tcW w:w="2340" w:type="dxa"/>
            <w:vAlign w:val="bottom"/>
            <w:gridSpan w:val="3"/>
          </w:tcPr>
          <w:p>
            <w:pPr>
              <w:ind w:left="56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8680" w:type="dxa"/>
            <w:vAlign w:val="bottom"/>
            <w:tcBorders>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2017</w:t>
            </w:r>
          </w:p>
        </w:tc>
        <w:tc>
          <w:tcPr>
            <w:tcW w:w="112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auto"/>
            </w:tcBorders>
          </w:tcPr>
          <w:p>
            <w:pPr>
              <w:spacing w:after="0"/>
              <w:rPr>
                <w:sz w:val="19"/>
                <w:szCs w:val="19"/>
                <w:color w:val="auto"/>
              </w:rPr>
            </w:pPr>
          </w:p>
        </w:tc>
      </w:tr>
      <w:tr>
        <w:trPr>
          <w:trHeight w:val="196"/>
        </w:trPr>
        <w:tc>
          <w:tcPr>
            <w:tcW w:w="8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Accrued compensation and benefits</w:t>
            </w:r>
          </w:p>
        </w:tc>
        <w:tc>
          <w:tcPr>
            <w:tcW w:w="1140" w:type="dxa"/>
            <w:vAlign w:val="bottom"/>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w w:val="96"/>
              </w:rPr>
              <w:t>$ 1,407,236</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$ 1,009,594</w:t>
            </w:r>
          </w:p>
        </w:tc>
        <w:tc>
          <w:tcPr>
            <w:tcW w:w="80" w:type="dxa"/>
            <w:vAlign w:val="bottom"/>
            <w:shd w:val="clear" w:color="auto" w:fill="CCEEFF"/>
          </w:tcPr>
          <w:p>
            <w:pPr>
              <w:spacing w:after="0"/>
              <w:rPr>
                <w:sz w:val="17"/>
                <w:szCs w:val="17"/>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Accrued contract research organization costs</w:t>
            </w:r>
          </w:p>
        </w:tc>
        <w:tc>
          <w:tcPr>
            <w:tcW w:w="11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381,757</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377,895</w:t>
            </w:r>
          </w:p>
        </w:tc>
        <w:tc>
          <w:tcPr>
            <w:tcW w:w="80" w:type="dxa"/>
            <w:vAlign w:val="bottom"/>
          </w:tcPr>
          <w:p>
            <w:pPr>
              <w:spacing w:after="0"/>
              <w:rPr>
                <w:sz w:val="17"/>
                <w:szCs w:val="17"/>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other</w:t>
            </w:r>
          </w:p>
        </w:tc>
        <w:tc>
          <w:tcPr>
            <w:tcW w:w="114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370,216</w:t>
            </w: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467,073</w:t>
            </w:r>
          </w:p>
        </w:tc>
        <w:tc>
          <w:tcPr>
            <w:tcW w:w="80" w:type="dxa"/>
            <w:vAlign w:val="bottom"/>
            <w:shd w:val="clear" w:color="auto" w:fill="CCEEFF"/>
          </w:tcPr>
          <w:p>
            <w:pPr>
              <w:spacing w:after="0"/>
              <w:rPr>
                <w:sz w:val="17"/>
                <w:szCs w:val="17"/>
                <w:color w:val="auto"/>
              </w:rPr>
            </w:pPr>
          </w:p>
        </w:tc>
      </w:tr>
      <w:tr>
        <w:trPr>
          <w:trHeight w:val="222"/>
        </w:trPr>
        <w:tc>
          <w:tcPr>
            <w:tcW w:w="86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accrued liabilities</w:t>
            </w:r>
          </w:p>
        </w:tc>
        <w:tc>
          <w:tcPr>
            <w:tcW w:w="11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6"/>
              </w:rPr>
              <w:t>$ 2,159,209</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$ 1,854,562</w:t>
            </w:r>
          </w:p>
        </w:tc>
        <w:tc>
          <w:tcPr>
            <w:tcW w:w="80" w:type="dxa"/>
            <w:vAlign w:val="bottom"/>
          </w:tcPr>
          <w:p>
            <w:pPr>
              <w:spacing w:after="0"/>
              <w:rPr>
                <w:sz w:val="19"/>
                <w:szCs w:val="19"/>
                <w:color w:val="auto"/>
              </w:rPr>
            </w:pPr>
          </w:p>
        </w:tc>
      </w:tr>
    </w:tbl>
    <w:p>
      <w:pPr>
        <w:spacing w:after="0" w:line="18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8. Convertible preferred stock and stockholders’ deficit</w:t>
      </w:r>
    </w:p>
    <w:p>
      <w:pPr>
        <w:spacing w:after="0" w:line="134" w:lineRule="exact"/>
        <w:rPr>
          <w:sz w:val="20"/>
          <w:szCs w:val="20"/>
          <w:color w:val="auto"/>
        </w:rPr>
      </w:pPr>
    </w:p>
    <w:p>
      <w:pPr>
        <w:ind w:left="120" w:right="160"/>
        <w:spacing w:after="0" w:line="237" w:lineRule="auto"/>
        <w:rPr>
          <w:sz w:val="20"/>
          <w:szCs w:val="20"/>
          <w:color w:val="auto"/>
        </w:rPr>
      </w:pPr>
      <w:r>
        <w:rPr>
          <w:rFonts w:ascii="Arial" w:cs="Arial" w:eastAsia="Arial" w:hAnsi="Arial"/>
          <w:sz w:val="18"/>
          <w:szCs w:val="18"/>
          <w:color w:val="auto"/>
        </w:rPr>
        <w:t>In January 2016, the Company amended the Limited Liability Company Agreement with its preferred shareholders, and restructured the Company as a C Corporation. In conjunction with the recapitalization, certain put and call rights that the Company’s two primarily investors held were eliminated, and the holders of preferred units received an equivalent number of shares of Series A preferred stock. The holders of common units received an equivalent number of common stock.</w:t>
      </w:r>
    </w:p>
    <w:p>
      <w:pPr>
        <w:spacing w:after="0" w:line="100" w:lineRule="exact"/>
        <w:rPr>
          <w:sz w:val="20"/>
          <w:szCs w:val="20"/>
          <w:color w:val="auto"/>
        </w:rPr>
      </w:pPr>
    </w:p>
    <w:p>
      <w:pPr>
        <w:ind w:left="120" w:right="220"/>
        <w:spacing w:after="0" w:line="236" w:lineRule="auto"/>
        <w:rPr>
          <w:sz w:val="20"/>
          <w:szCs w:val="20"/>
          <w:color w:val="auto"/>
        </w:rPr>
      </w:pPr>
      <w:r>
        <w:rPr>
          <w:rFonts w:ascii="Arial" w:cs="Arial" w:eastAsia="Arial" w:hAnsi="Arial"/>
          <w:sz w:val="18"/>
          <w:szCs w:val="18"/>
          <w:color w:val="auto"/>
        </w:rPr>
        <w:t>In evaluating the above restructuring, the Company considered that the rights and preferences of each class of equity before and after the restructuring and determined that there were no substantive changes in the rights and preferences. The fair value of each stockholders’ interest remained unchanged as a result of the above restructuring. The restructuring lacked economic substance and should be accounted for in a manner consistent with a common control transaction. Therefore, the Company concluded that the restructuring represented a modification of equity, and not an extinguishment, and that there was no incremental value given to the holders of the equity requiring recognition.</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Series A Convertible Preferred Stock (“Series A Preferred Stock”) has the following characteristics: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140"/>
          </w:cols>
          <w:pgMar w:left="320" w:top="459" w:right="43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w:t>
      </w:r>
    </w:p>
    <w:p>
      <w:pPr>
        <w:spacing w:after="0" w:line="124" w:lineRule="exact"/>
        <w:rPr>
          <w:sz w:val="20"/>
          <w:szCs w:val="20"/>
          <w:color w:val="auto"/>
        </w:rPr>
      </w:pPr>
    </w:p>
    <w:p>
      <w:pPr>
        <w:ind w:left="120" w:right="340"/>
        <w:spacing w:after="0" w:line="239" w:lineRule="auto"/>
        <w:rPr>
          <w:sz w:val="20"/>
          <w:szCs w:val="20"/>
          <w:color w:val="auto"/>
        </w:rPr>
      </w:pPr>
      <w:r>
        <w:rPr>
          <w:rFonts w:ascii="Arial" w:cs="Arial" w:eastAsia="Arial" w:hAnsi="Arial"/>
          <w:sz w:val="18"/>
          <w:szCs w:val="18"/>
          <w:color w:val="auto"/>
        </w:rPr>
        <w:t>The Series A Preferred Stock is entitled to vote together with the common stockholders as one class and are entitled to separate votes on certain matters.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24" w:lineRule="exact"/>
        <w:rPr>
          <w:sz w:val="20"/>
          <w:szCs w:val="20"/>
          <w:color w:val="auto"/>
        </w:rPr>
      </w:pPr>
    </w:p>
    <w:p>
      <w:pPr>
        <w:ind w:left="120" w:right="440"/>
        <w:spacing w:after="0" w:line="239" w:lineRule="auto"/>
        <w:rPr>
          <w:sz w:val="20"/>
          <w:szCs w:val="20"/>
          <w:color w:val="auto"/>
        </w:rPr>
      </w:pPr>
      <w:r>
        <w:rPr>
          <w:rFonts w:ascii="Arial" w:cs="Arial" w:eastAsia="Arial" w:hAnsi="Arial"/>
          <w:sz w:val="18"/>
          <w:szCs w:val="18"/>
          <w:color w:val="auto"/>
        </w:rPr>
        <w:t>The Series A stockholders are entitled to receive an annual, cumulative 8% dividend, when and if declared by the Board of Directors. No dividends have been declared through December 31, 2017.</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 preference</w:t>
      </w:r>
    </w:p>
    <w:p>
      <w:pPr>
        <w:spacing w:after="0" w:line="124" w:lineRule="exact"/>
        <w:rPr>
          <w:sz w:val="20"/>
          <w:szCs w:val="20"/>
          <w:color w:val="auto"/>
        </w:rPr>
      </w:pPr>
    </w:p>
    <w:p>
      <w:pPr>
        <w:ind w:left="120" w:right="240"/>
        <w:spacing w:after="0" w:line="238" w:lineRule="auto"/>
        <w:rPr>
          <w:sz w:val="20"/>
          <w:szCs w:val="20"/>
          <w:color w:val="auto"/>
        </w:rPr>
      </w:pPr>
      <w:r>
        <w:rPr>
          <w:rFonts w:ascii="Arial" w:cs="Arial" w:eastAsia="Arial" w:hAnsi="Arial"/>
          <w:sz w:val="18"/>
          <w:szCs w:val="18"/>
          <w:color w:val="auto"/>
        </w:rPr>
        <w:t>The Series A stockholders are entitled to a liquidation preference of their original purchase price of $1.00 per share for Series A Preferred Stock shares, plus accumulated dividends, in the event of liquidation, dissolution, or winding up of the Company. In the event the Company merges with, or is acquired by, another entity, such merger or acquisition could be deemed a dissolution.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Conversion</w:t>
      </w:r>
    </w:p>
    <w:p>
      <w:pPr>
        <w:spacing w:after="0" w:line="124"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The Series A Preferred Stock is convertible upon approval of the holders of at least 66.66% of the outstanding shares of Series A preferred stock, on a share-for-share basis, subject to certain antidilution adjustments. The Series A preferred stock converts automatically on a share-for-share basis into shares of common stock upon the closing of the shares of common stock to the public in a firm commitment underwritten public offering pursuant to an effective registration statement under the Securities Act of 1933, as amended, resulting in at least $40,000,000 of gross proceeds to the Company.</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 rights</w:t>
      </w:r>
    </w:p>
    <w:p>
      <w:pPr>
        <w:spacing w:after="0" w:line="124" w:lineRule="exact"/>
        <w:rPr>
          <w:sz w:val="20"/>
          <w:szCs w:val="20"/>
          <w:color w:val="auto"/>
        </w:rPr>
      </w:pPr>
    </w:p>
    <w:p>
      <w:pPr>
        <w:ind w:left="120" w:right="520"/>
        <w:spacing w:after="0" w:line="299" w:lineRule="auto"/>
        <w:rPr>
          <w:sz w:val="20"/>
          <w:szCs w:val="20"/>
          <w:color w:val="auto"/>
        </w:rPr>
      </w:pPr>
      <w:r>
        <w:rPr>
          <w:rFonts w:ascii="Arial" w:cs="Arial" w:eastAsia="Arial" w:hAnsi="Arial"/>
          <w:sz w:val="16"/>
          <w:szCs w:val="16"/>
          <w:color w:val="auto"/>
        </w:rPr>
        <w:t>The Series A Preferred Stock can be redeemed in a merger or consolidation involving the Company or a sale, lease, transfer, exclusive license or other disposition of substantially all the assets of the Company. The preferred stock is otherwise not redeemable.</w:t>
      </w:r>
    </w:p>
    <w:p>
      <w:pPr>
        <w:spacing w:after="0" w:line="55"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Prior to the 2016 restructuring to a C Corporation, the holders of the Company’s Series A Preferred Units, Common Units and Capital interests had certain voting, dividend rights, as well as liquidation preferences and conversion privileges. All rights, preferences, and privileges associated with these Units were terminated at the time of the Company’s restructuring to a C Corporation.</w:t>
      </w:r>
    </w:p>
    <w:p>
      <w:pPr>
        <w:spacing w:after="0" w:line="100" w:lineRule="exact"/>
        <w:rPr>
          <w:sz w:val="20"/>
          <w:szCs w:val="20"/>
          <w:color w:val="auto"/>
        </w:rPr>
      </w:pPr>
    </w:p>
    <w:p>
      <w:pPr>
        <w:ind w:left="120" w:right="860"/>
        <w:spacing w:after="0" w:line="239" w:lineRule="auto"/>
        <w:rPr>
          <w:sz w:val="20"/>
          <w:szCs w:val="20"/>
          <w:color w:val="auto"/>
        </w:rPr>
      </w:pPr>
      <w:r>
        <w:rPr>
          <w:rFonts w:ascii="Arial" w:cs="Arial" w:eastAsia="Arial" w:hAnsi="Arial"/>
          <w:sz w:val="18"/>
          <w:szCs w:val="18"/>
          <w:color w:val="auto"/>
        </w:rPr>
        <w:t>During the year ended December 31, 2017, the Company changed the classification of the Series A Preferred Stock balances from permanent equity to mezzanine equity. The change was applied retrospectively.</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w:t>
      </w:r>
    </w:p>
    <w:p>
      <w:pPr>
        <w:spacing w:after="0" w:line="124" w:lineRule="exact"/>
        <w:rPr>
          <w:sz w:val="20"/>
          <w:szCs w:val="20"/>
          <w:color w:val="auto"/>
        </w:rPr>
      </w:pPr>
    </w:p>
    <w:p>
      <w:pPr>
        <w:ind w:left="120" w:right="180"/>
        <w:spacing w:after="0" w:line="236" w:lineRule="auto"/>
        <w:rPr>
          <w:sz w:val="20"/>
          <w:szCs w:val="20"/>
          <w:color w:val="auto"/>
        </w:rPr>
      </w:pPr>
      <w:r>
        <w:rPr>
          <w:rFonts w:ascii="Arial" w:cs="Arial" w:eastAsia="Arial" w:hAnsi="Arial"/>
          <w:sz w:val="18"/>
          <w:szCs w:val="18"/>
          <w:color w:val="auto"/>
        </w:rPr>
        <w:t>Each holder of common stock is entitled to one vote per share of common stock. Subject to the rights of holders of Series A Preferred Stock as described above, holders of common stock are also entitled (i) to receive dividends whenever funds are legally available and when declared by the Board of Directors and (ii) upon a deemed liquidation, to receive ratably and equally with the holders of Series A Preferred Stock all the asset and funds of the Company remaining after the payment to the holders of Series A Preferred Stock of the amounts which they are entitled, as provided above.</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9. Equity awards</w:t>
      </w:r>
    </w:p>
    <w:p>
      <w:pPr>
        <w:spacing w:after="0" w:line="134" w:lineRule="exact"/>
        <w:rPr>
          <w:sz w:val="20"/>
          <w:szCs w:val="20"/>
          <w:color w:val="auto"/>
        </w:rPr>
      </w:pPr>
    </w:p>
    <w:p>
      <w:pPr>
        <w:ind w:left="120" w:right="500"/>
        <w:spacing w:after="0" w:line="239" w:lineRule="auto"/>
        <w:rPr>
          <w:sz w:val="20"/>
          <w:szCs w:val="20"/>
          <w:color w:val="auto"/>
        </w:rPr>
      </w:pPr>
      <w:r>
        <w:rPr>
          <w:rFonts w:ascii="Arial" w:cs="Arial" w:eastAsia="Arial" w:hAnsi="Arial"/>
          <w:sz w:val="18"/>
          <w:szCs w:val="18"/>
          <w:color w:val="auto"/>
        </w:rPr>
        <w:t>In January 2016, the Company amended the Limited Liability Company Agreement with its preferred shareholders, and restructured the Company as a C Corporation. The holders of participation units, the equity</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120"/>
          </w:cols>
          <w:pgMar w:left="320" w:top="459" w:right="45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award previously given to employees (and to nonemployees on occasion) were also called Capital Interests on the Statements of Convertible Preferred Stock and Stockholders’ Deficit. The holders of participation units received an equivalent number of shares of restricted stock on the same vesting schedule.</w:t>
      </w:r>
    </w:p>
    <w:p>
      <w:pPr>
        <w:spacing w:after="0" w:line="100" w:lineRule="exact"/>
        <w:rPr>
          <w:sz w:val="20"/>
          <w:szCs w:val="20"/>
          <w:color w:val="auto"/>
        </w:rPr>
      </w:pPr>
    </w:p>
    <w:p>
      <w:pPr>
        <w:ind w:left="120" w:right="240"/>
        <w:spacing w:after="0" w:line="269" w:lineRule="auto"/>
        <w:rPr>
          <w:sz w:val="20"/>
          <w:szCs w:val="20"/>
          <w:color w:val="auto"/>
        </w:rPr>
      </w:pPr>
      <w:r>
        <w:rPr>
          <w:rFonts w:ascii="Arial" w:cs="Arial" w:eastAsia="Arial" w:hAnsi="Arial"/>
          <w:sz w:val="16"/>
          <w:szCs w:val="16"/>
          <w:color w:val="auto"/>
        </w:rPr>
        <w:t>The Company adopted the 2016 Stock Option and Grant Plan (2016 Plan) during the above described restructuring in January 2016. The maximum number of shares reserved and available for issuance under the 2016 Plan is 20,064,924 shares. As of December 31, 2017, 3,004,141 restricted stock awards were available for future grant under the Plan. The Company has issued restricted stock (as opposed to stock options) to employees since the adoption of the 2016 Plan. Upon grant of the restricted stock award and payment of any applicable purchase price by the employee, a grantee of the restricted stock is considered the record owner and is entitled to vote the restricted stock. Restricted stock may not be sold, assigned, transferred, pledged or otherwise encumbered or disposed of except as specifically provided in the 2016 Plan or award agreement. If an employee leaves the Company, the Company has the right and option to repurchase the unvested restricted stock. Restricted stock granted by the Company typically vest over four years and have a contractual life of ten years.</w:t>
      </w:r>
    </w:p>
    <w:p>
      <w:pPr>
        <w:spacing w:after="0" w:line="78" w:lineRule="exact"/>
        <w:rPr>
          <w:sz w:val="20"/>
          <w:szCs w:val="20"/>
          <w:color w:val="auto"/>
        </w:rPr>
      </w:pPr>
    </w:p>
    <w:p>
      <w:pPr>
        <w:ind w:left="120" w:right="180"/>
        <w:spacing w:after="0" w:line="236" w:lineRule="auto"/>
        <w:rPr>
          <w:sz w:val="20"/>
          <w:szCs w:val="20"/>
          <w:color w:val="auto"/>
        </w:rPr>
      </w:pPr>
      <w:r>
        <w:rPr>
          <w:rFonts w:ascii="Arial" w:cs="Arial" w:eastAsia="Arial" w:hAnsi="Arial"/>
          <w:sz w:val="18"/>
          <w:szCs w:val="18"/>
          <w:color w:val="auto"/>
        </w:rPr>
        <w:t>The Company granted 1,107,150 and 3,742,345 shares of restricted stock to employees for the years ended December 31, 2017 and 2016, respectively. For all grants during the years ended December 31, 2017 and 2016, the employees paid the Company for the fair value of the restricted stock awards. As a result, the Company did not recognize any stock-based compensation for restricted stock grants made in 2017 and 2016. However, the Company did recognize stock-based compensation related to grants of participation units and capitalized interests prior to January 1, 2016.</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recorded stock-based compensation expense in the following expense categories in its Statements of Operations and</w:t>
      </w:r>
    </w:p>
    <w:p>
      <w:pPr>
        <w:ind w:left="120"/>
        <w:spacing w:after="0"/>
        <w:rPr>
          <w:sz w:val="20"/>
          <w:szCs w:val="20"/>
          <w:color w:val="auto"/>
        </w:rPr>
      </w:pPr>
      <w:r>
        <w:rPr>
          <w:rFonts w:ascii="Arial" w:cs="Arial" w:eastAsia="Arial" w:hAnsi="Arial"/>
          <w:sz w:val="18"/>
          <w:szCs w:val="18"/>
          <w:color w:val="auto"/>
        </w:rPr>
        <w:t>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5940" w:type="dxa"/>
            <w:vAlign w:val="bottom"/>
            <w:tcBorders>
              <w:bottom w:val="single" w:sz="8" w:color="auto"/>
            </w:tcBorders>
          </w:tcPr>
          <w:p>
            <w:pPr>
              <w:spacing w:after="0"/>
              <w:rPr>
                <w:sz w:val="19"/>
                <w:szCs w:val="19"/>
                <w:color w:val="auto"/>
              </w:rPr>
            </w:pPr>
          </w:p>
        </w:tc>
        <w:tc>
          <w:tcPr>
            <w:tcW w:w="40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auto"/>
            </w:tcBorders>
          </w:tcPr>
          <w:p>
            <w:pPr>
              <w:spacing w:after="0"/>
              <w:rPr>
                <w:sz w:val="19"/>
                <w:szCs w:val="19"/>
                <w:color w:val="auto"/>
              </w:rPr>
            </w:pPr>
          </w:p>
        </w:tc>
      </w:tr>
      <w:tr>
        <w:trPr>
          <w:trHeight w:val="196"/>
        </w:trPr>
        <w:tc>
          <w:tcPr>
            <w:tcW w:w="5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 expense</w:t>
            </w:r>
          </w:p>
        </w:tc>
        <w:tc>
          <w:tcPr>
            <w:tcW w:w="4020" w:type="dxa"/>
            <w:vAlign w:val="bottom"/>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$ 122,880</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$ 198,309</w:t>
            </w:r>
          </w:p>
        </w:tc>
        <w:tc>
          <w:tcPr>
            <w:tcW w:w="80" w:type="dxa"/>
            <w:vAlign w:val="bottom"/>
            <w:shd w:val="clear" w:color="auto" w:fill="CCEEFF"/>
          </w:tcPr>
          <w:p>
            <w:pPr>
              <w:spacing w:after="0"/>
              <w:rPr>
                <w:sz w:val="17"/>
                <w:szCs w:val="17"/>
                <w:color w:val="auto"/>
              </w:rPr>
            </w:pPr>
          </w:p>
        </w:tc>
      </w:tr>
      <w:tr>
        <w:trPr>
          <w:trHeight w:val="215"/>
        </w:trPr>
        <w:tc>
          <w:tcPr>
            <w:tcW w:w="5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General and administrative expense</w:t>
            </w:r>
          </w:p>
        </w:tc>
        <w:tc>
          <w:tcPr>
            <w:tcW w:w="4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517,598</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787,174</w:t>
            </w:r>
          </w:p>
        </w:tc>
        <w:tc>
          <w:tcPr>
            <w:tcW w:w="80" w:type="dxa"/>
            <w:vAlign w:val="bottom"/>
          </w:tcPr>
          <w:p>
            <w:pPr>
              <w:spacing w:after="0"/>
              <w:rPr>
                <w:sz w:val="18"/>
                <w:szCs w:val="18"/>
                <w:color w:val="auto"/>
              </w:rPr>
            </w:pPr>
          </w:p>
        </w:tc>
      </w:tr>
    </w:tbl>
    <w:p>
      <w:pPr>
        <w:spacing w:after="0" w:line="11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the year ended December 31, 2017, the above amounts included total stock-based expense for nonemployees of approximately $1,129.</w:t>
      </w:r>
    </w:p>
    <w:p>
      <w:pPr>
        <w:spacing w:after="0" w:line="127"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The following table summarizes the Company’s restricted stock activity for the year ended December 31, 2017, as well as total common stock at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7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Weighted-average</w:t>
            </w:r>
          </w:p>
        </w:tc>
      </w:tr>
      <w:tr>
        <w:trPr>
          <w:trHeight w:val="203"/>
        </w:trPr>
        <w:tc>
          <w:tcPr>
            <w:tcW w:w="7200" w:type="dxa"/>
            <w:vAlign w:val="bottom"/>
          </w:tcPr>
          <w:p>
            <w:pPr>
              <w:spacing w:after="0"/>
              <w:rPr>
                <w:sz w:val="17"/>
                <w:szCs w:val="17"/>
                <w:color w:val="auto"/>
              </w:rPr>
            </w:pPr>
          </w:p>
        </w:tc>
        <w:tc>
          <w:tcPr>
            <w:tcW w:w="1860" w:type="dxa"/>
            <w:vAlign w:val="bottom"/>
            <w:gridSpan w:val="2"/>
          </w:tcPr>
          <w:p>
            <w:pPr>
              <w:jc w:val="right"/>
              <w:ind w:right="720"/>
              <w:spacing w:after="0" w:line="202" w:lineRule="exact"/>
              <w:rPr>
                <w:sz w:val="20"/>
                <w:szCs w:val="20"/>
                <w:color w:val="auto"/>
              </w:rPr>
            </w:pPr>
            <w:r>
              <w:rPr>
                <w:rFonts w:ascii="Arial" w:cs="Arial" w:eastAsia="Arial" w:hAnsi="Arial"/>
                <w:sz w:val="18"/>
                <w:szCs w:val="18"/>
                <w:b w:val="1"/>
                <w:bCs w:val="1"/>
                <w:color w:val="auto"/>
              </w:rPr>
              <w:t>Number of</w:t>
            </w:r>
          </w:p>
        </w:tc>
        <w:tc>
          <w:tcPr>
            <w:tcW w:w="520" w:type="dxa"/>
            <w:vAlign w:val="bottom"/>
          </w:tcPr>
          <w:p>
            <w:pPr>
              <w:spacing w:after="0"/>
              <w:rPr>
                <w:sz w:val="17"/>
                <w:szCs w:val="17"/>
                <w:color w:val="auto"/>
              </w:rPr>
            </w:pPr>
          </w:p>
        </w:tc>
        <w:tc>
          <w:tcPr>
            <w:tcW w:w="144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96"/>
              </w:rPr>
              <w:t>grant date fair</w:t>
            </w:r>
          </w:p>
        </w:tc>
      </w:tr>
      <w:tr>
        <w:trPr>
          <w:trHeight w:val="221"/>
        </w:trPr>
        <w:tc>
          <w:tcPr>
            <w:tcW w:w="7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w w:val="95"/>
              </w:rPr>
              <w:t>restricted shares</w:t>
            </w:r>
          </w:p>
        </w:tc>
        <w:tc>
          <w:tcPr>
            <w:tcW w:w="5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95"/>
              </w:rPr>
              <w:t>value</w:t>
            </w:r>
          </w:p>
        </w:tc>
      </w:tr>
      <w:tr>
        <w:trPr>
          <w:trHeight w:val="196"/>
        </w:trPr>
        <w:tc>
          <w:tcPr>
            <w:tcW w:w="7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restricted stock on January 1, 2017</w:t>
            </w: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19,931,258</w:t>
            </w:r>
          </w:p>
        </w:tc>
        <w:tc>
          <w:tcPr>
            <w:tcW w:w="4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0.01</w:t>
            </w:r>
          </w:p>
        </w:tc>
        <w:tc>
          <w:tcPr>
            <w:tcW w:w="60" w:type="dxa"/>
            <w:vAlign w:val="bottom"/>
            <w:shd w:val="clear" w:color="auto" w:fill="CCEEFF"/>
          </w:tcPr>
          <w:p>
            <w:pPr>
              <w:spacing w:after="0"/>
              <w:rPr>
                <w:sz w:val="17"/>
                <w:szCs w:val="17"/>
                <w:color w:val="auto"/>
              </w:rPr>
            </w:pPr>
          </w:p>
        </w:tc>
      </w:tr>
      <w:tr>
        <w:trPr>
          <w:trHeight w:val="203"/>
        </w:trPr>
        <w:tc>
          <w:tcPr>
            <w:tcW w:w="7200" w:type="dxa"/>
            <w:vAlign w:val="bottom"/>
          </w:tcPr>
          <w:p>
            <w:pPr>
              <w:ind w:left="220"/>
              <w:spacing w:after="0" w:line="202" w:lineRule="exact"/>
              <w:rPr>
                <w:sz w:val="20"/>
                <w:szCs w:val="20"/>
                <w:color w:val="auto"/>
              </w:rPr>
            </w:pPr>
            <w:r>
              <w:rPr>
                <w:rFonts w:ascii="Arial" w:cs="Arial" w:eastAsia="Arial" w:hAnsi="Arial"/>
                <w:sz w:val="18"/>
                <w:szCs w:val="18"/>
                <w:color w:val="auto"/>
              </w:rPr>
              <w:t>Restricted stock granted</w:t>
            </w:r>
          </w:p>
        </w:tc>
        <w:tc>
          <w:tcPr>
            <w:tcW w:w="18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1,107,150</w:t>
            </w:r>
          </w:p>
        </w:tc>
        <w:tc>
          <w:tcPr>
            <w:tcW w:w="5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0.01</w:t>
            </w:r>
          </w:p>
        </w:tc>
        <w:tc>
          <w:tcPr>
            <w:tcW w:w="60" w:type="dxa"/>
            <w:vAlign w:val="bottom"/>
          </w:tcPr>
          <w:p>
            <w:pPr>
              <w:spacing w:after="0"/>
              <w:rPr>
                <w:sz w:val="17"/>
                <w:szCs w:val="17"/>
                <w:color w:val="auto"/>
              </w:rPr>
            </w:pPr>
          </w:p>
        </w:tc>
      </w:tr>
      <w:tr>
        <w:trPr>
          <w:trHeight w:val="203"/>
        </w:trPr>
        <w:tc>
          <w:tcPr>
            <w:tcW w:w="72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Restricted stock cancelled</w:t>
            </w:r>
          </w:p>
        </w:tc>
        <w:tc>
          <w:tcPr>
            <w:tcW w:w="1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(3,278,377)</w:t>
            </w:r>
          </w:p>
        </w:tc>
        <w:tc>
          <w:tcPr>
            <w:tcW w:w="5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0.01</w:t>
            </w:r>
          </w:p>
        </w:tc>
        <w:tc>
          <w:tcPr>
            <w:tcW w:w="60" w:type="dxa"/>
            <w:vAlign w:val="bottom"/>
            <w:shd w:val="clear" w:color="auto" w:fill="CCEEFF"/>
          </w:tcPr>
          <w:p>
            <w:pPr>
              <w:spacing w:after="0"/>
              <w:rPr>
                <w:sz w:val="17"/>
                <w:szCs w:val="17"/>
                <w:color w:val="auto"/>
              </w:rPr>
            </w:pPr>
          </w:p>
        </w:tc>
      </w:tr>
      <w:tr>
        <w:trPr>
          <w:trHeight w:val="222"/>
        </w:trPr>
        <w:tc>
          <w:tcPr>
            <w:tcW w:w="7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Restricted stock at December 31, 2017</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17,760,031</w:t>
            </w:r>
          </w:p>
        </w:tc>
        <w:tc>
          <w:tcPr>
            <w:tcW w:w="4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9"/>
                <w:szCs w:val="19"/>
                <w:color w:val="auto"/>
              </w:rPr>
            </w:pPr>
          </w:p>
        </w:tc>
      </w:tr>
    </w:tbl>
    <w:p>
      <w:pPr>
        <w:spacing w:after="0" w:line="111"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As of December 31, 2017, there was approximately $0.6 million of total unrecognized compensation cost related to restricted stock with time-based vesting, which is expected to be recognized over a remaining weighted-average vesting period of approximately 1.1 years. The weighted-average grant date fair value of restricted stock granted was $0.01 for the year ended December 31, 2017.</w:t>
      </w:r>
    </w:p>
    <w:p>
      <w:pPr>
        <w:spacing w:after="0" w:line="100" w:lineRule="exact"/>
        <w:rPr>
          <w:sz w:val="20"/>
          <w:szCs w:val="20"/>
          <w:color w:val="auto"/>
        </w:rPr>
      </w:pPr>
    </w:p>
    <w:p>
      <w:pPr>
        <w:ind w:left="120" w:right="300"/>
        <w:spacing w:after="0" w:line="239" w:lineRule="auto"/>
        <w:rPr>
          <w:sz w:val="20"/>
          <w:szCs w:val="20"/>
          <w:color w:val="auto"/>
        </w:rPr>
      </w:pPr>
      <w:r>
        <w:rPr>
          <w:rFonts w:ascii="Arial" w:cs="Arial" w:eastAsia="Arial" w:hAnsi="Arial"/>
          <w:sz w:val="18"/>
          <w:szCs w:val="18"/>
          <w:color w:val="auto"/>
        </w:rPr>
        <w:t>During the years ended December 31, 2017 and December 31, 2016, no shares subject to performance-based milestones vested, and the Company did not record any stock-based compensation related to these</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40"/>
          </w:cols>
          <w:pgMar w:left="320" w:top="459" w:right="43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120" w:right="680"/>
        <w:spacing w:after="0" w:line="299" w:lineRule="auto"/>
        <w:rPr>
          <w:sz w:val="20"/>
          <w:szCs w:val="20"/>
          <w:color w:val="auto"/>
        </w:rPr>
      </w:pPr>
      <w:r>
        <w:rPr>
          <w:rFonts w:ascii="Arial" w:cs="Arial" w:eastAsia="Arial" w:hAnsi="Arial"/>
          <w:sz w:val="16"/>
          <w:szCs w:val="16"/>
          <w:color w:val="auto"/>
        </w:rPr>
        <w:t>performance-based restricted stock as the vesting conditions are not probable of achievement. The Company cancelled all 2,100,000 unvested performance-based restricted shares upon the resignation of a former executive during the year ended December 31, 2017.</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10. Commitments and contingencies</w:t>
      </w:r>
    </w:p>
    <w:p>
      <w:pPr>
        <w:spacing w:after="0" w:line="134" w:lineRule="exact"/>
        <w:rPr>
          <w:sz w:val="20"/>
          <w:szCs w:val="20"/>
          <w:color w:val="auto"/>
        </w:rPr>
      </w:pPr>
    </w:p>
    <w:p>
      <w:pPr>
        <w:ind w:left="120" w:right="160"/>
        <w:spacing w:after="0" w:line="237" w:lineRule="auto"/>
        <w:rPr>
          <w:sz w:val="20"/>
          <w:szCs w:val="20"/>
          <w:color w:val="auto"/>
        </w:rPr>
      </w:pPr>
      <w:r>
        <w:rPr>
          <w:rFonts w:ascii="Arial" w:cs="Arial" w:eastAsia="Arial" w:hAnsi="Arial"/>
          <w:sz w:val="18"/>
          <w:szCs w:val="18"/>
          <w:color w:val="auto"/>
        </w:rPr>
        <w:t>In May 2017, the Company and the landlord finalized an extension of the Company’s primary facilities in Cambridge, Massachusetts through February 2023. The lease extension includes a rent increase of approximately 12% starting in March 2018 and three percent annual rent increases through 2023. In May 2017, the Company and the landlord reduced the security deposit related to the facility lease, which is the restricted cash on the Company’s balance sheet, by approximately $107,000.</w:t>
      </w:r>
    </w:p>
    <w:p>
      <w:pPr>
        <w:spacing w:after="0" w:line="100"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In conjunction with the original lease, the landlord provided the Company with a $3.5 million tenant improvement allowance, of which the entire amount was utilized in 2013 and represented normal tenant improvements. The improvements are recorded as leasehold improvements on the balance sheet. The incentive has been recorded as a lease incentive obligation which is being amortized as a reduction of rent expense over the term of the lease. At December 31, 2017 and 2016, the deferred rent and lease incentive obligations are recorded as deferred rent on the balance sheet.</w:t>
      </w:r>
    </w:p>
    <w:p>
      <w:pPr>
        <w:spacing w:after="0" w:line="103" w:lineRule="exact"/>
        <w:rPr>
          <w:sz w:val="20"/>
          <w:szCs w:val="20"/>
          <w:color w:val="auto"/>
        </w:rPr>
      </w:pPr>
    </w:p>
    <w:p>
      <w:pPr>
        <w:ind w:left="120" w:right="880"/>
        <w:spacing w:after="0" w:line="239" w:lineRule="auto"/>
        <w:rPr>
          <w:sz w:val="20"/>
          <w:szCs w:val="20"/>
          <w:color w:val="auto"/>
        </w:rPr>
      </w:pPr>
      <w:r>
        <w:rPr>
          <w:rFonts w:ascii="Arial" w:cs="Arial" w:eastAsia="Arial" w:hAnsi="Arial"/>
          <w:sz w:val="18"/>
          <w:szCs w:val="18"/>
          <w:color w:val="auto"/>
        </w:rPr>
        <w:t>The Company recorded rent expense of $859,634 and $781,273 for the years ended December 31, 2017 and December 31, 2016, respectively.</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Minimum rental payments under the operating leases as of December 31, 2017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020" w:type="dxa"/>
            <w:vAlign w:val="bottom"/>
          </w:tcPr>
          <w:p>
            <w:pPr>
              <w:spacing w:after="0"/>
              <w:rPr>
                <w:sz w:val="17"/>
                <w:szCs w:val="17"/>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8"/>
              </w:rPr>
              <w:t>Operating</w:t>
            </w:r>
          </w:p>
        </w:tc>
      </w:tr>
      <w:tr>
        <w:trPr>
          <w:trHeight w:val="221"/>
        </w:trPr>
        <w:tc>
          <w:tcPr>
            <w:tcW w:w="100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94"/>
              </w:rPr>
              <w:t>leases</w:t>
            </w:r>
          </w:p>
        </w:tc>
      </w:tr>
      <w:tr>
        <w:trPr>
          <w:trHeight w:val="196"/>
        </w:trPr>
        <w:tc>
          <w:tcPr>
            <w:tcW w:w="10020" w:type="dxa"/>
            <w:vAlign w:val="bottom"/>
            <w:shd w:val="clear" w:color="auto" w:fill="CCEEFF"/>
          </w:tcPr>
          <w:p>
            <w:pPr>
              <w:jc w:val="right"/>
              <w:ind w:right="9552"/>
              <w:spacing w:after="0" w:line="196" w:lineRule="exact"/>
              <w:rPr>
                <w:sz w:val="20"/>
                <w:szCs w:val="20"/>
                <w:color w:val="auto"/>
              </w:rPr>
            </w:pPr>
            <w:r>
              <w:rPr>
                <w:rFonts w:ascii="Arial" w:cs="Arial" w:eastAsia="Arial" w:hAnsi="Arial"/>
                <w:sz w:val="18"/>
                <w:szCs w:val="18"/>
                <w:color w:val="auto"/>
                <w:w w:val="89"/>
              </w:rPr>
              <w:t>2018</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$ 1,582,607</w:t>
            </w:r>
          </w:p>
        </w:tc>
        <w:tc>
          <w:tcPr>
            <w:tcW w:w="80" w:type="dxa"/>
            <w:vAlign w:val="bottom"/>
            <w:shd w:val="clear" w:color="auto" w:fill="CCEEFF"/>
          </w:tcPr>
          <w:p>
            <w:pPr>
              <w:spacing w:after="0"/>
              <w:rPr>
                <w:sz w:val="17"/>
                <w:szCs w:val="17"/>
                <w:color w:val="auto"/>
              </w:rPr>
            </w:pPr>
          </w:p>
        </w:tc>
      </w:tr>
      <w:tr>
        <w:trPr>
          <w:trHeight w:val="203"/>
        </w:trPr>
        <w:tc>
          <w:tcPr>
            <w:tcW w:w="10020" w:type="dxa"/>
            <w:vAlign w:val="bottom"/>
          </w:tcPr>
          <w:p>
            <w:pPr>
              <w:jc w:val="right"/>
              <w:ind w:right="9552"/>
              <w:spacing w:after="0" w:line="202" w:lineRule="exact"/>
              <w:rPr>
                <w:sz w:val="20"/>
                <w:szCs w:val="20"/>
                <w:color w:val="auto"/>
              </w:rPr>
            </w:pPr>
            <w:r>
              <w:rPr>
                <w:rFonts w:ascii="Arial" w:cs="Arial" w:eastAsia="Arial" w:hAnsi="Arial"/>
                <w:sz w:val="18"/>
                <w:szCs w:val="18"/>
                <w:color w:val="auto"/>
                <w:w w:val="89"/>
              </w:rPr>
              <w:t>2019</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1,651,034</w:t>
            </w:r>
          </w:p>
        </w:tc>
        <w:tc>
          <w:tcPr>
            <w:tcW w:w="80" w:type="dxa"/>
            <w:vAlign w:val="bottom"/>
          </w:tcPr>
          <w:p>
            <w:pPr>
              <w:spacing w:after="0"/>
              <w:rPr>
                <w:sz w:val="17"/>
                <w:szCs w:val="17"/>
                <w:color w:val="auto"/>
              </w:rPr>
            </w:pPr>
          </w:p>
        </w:tc>
      </w:tr>
      <w:tr>
        <w:trPr>
          <w:trHeight w:val="203"/>
        </w:trPr>
        <w:tc>
          <w:tcPr>
            <w:tcW w:w="10020" w:type="dxa"/>
            <w:vAlign w:val="bottom"/>
            <w:shd w:val="clear" w:color="auto" w:fill="CCEEFF"/>
          </w:tcPr>
          <w:p>
            <w:pPr>
              <w:jc w:val="right"/>
              <w:ind w:right="9552"/>
              <w:spacing w:after="0" w:line="202" w:lineRule="exact"/>
              <w:rPr>
                <w:sz w:val="20"/>
                <w:szCs w:val="20"/>
                <w:color w:val="auto"/>
              </w:rPr>
            </w:pPr>
            <w:r>
              <w:rPr>
                <w:rFonts w:ascii="Arial" w:cs="Arial" w:eastAsia="Arial" w:hAnsi="Arial"/>
                <w:sz w:val="18"/>
                <w:szCs w:val="18"/>
                <w:color w:val="auto"/>
                <w:w w:val="89"/>
              </w:rPr>
              <w:t>2020</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1,700,565</w:t>
            </w:r>
          </w:p>
        </w:tc>
        <w:tc>
          <w:tcPr>
            <w:tcW w:w="80" w:type="dxa"/>
            <w:vAlign w:val="bottom"/>
            <w:shd w:val="clear" w:color="auto" w:fill="CCEEFF"/>
          </w:tcPr>
          <w:p>
            <w:pPr>
              <w:spacing w:after="0"/>
              <w:rPr>
                <w:sz w:val="17"/>
                <w:szCs w:val="17"/>
                <w:color w:val="auto"/>
              </w:rPr>
            </w:pPr>
          </w:p>
        </w:tc>
      </w:tr>
      <w:tr>
        <w:trPr>
          <w:trHeight w:val="203"/>
        </w:trPr>
        <w:tc>
          <w:tcPr>
            <w:tcW w:w="10020" w:type="dxa"/>
            <w:vAlign w:val="bottom"/>
          </w:tcPr>
          <w:p>
            <w:pPr>
              <w:jc w:val="right"/>
              <w:ind w:right="9552"/>
              <w:spacing w:after="0" w:line="202" w:lineRule="exact"/>
              <w:rPr>
                <w:sz w:val="20"/>
                <w:szCs w:val="20"/>
                <w:color w:val="auto"/>
              </w:rPr>
            </w:pPr>
            <w:r>
              <w:rPr>
                <w:rFonts w:ascii="Arial" w:cs="Arial" w:eastAsia="Arial" w:hAnsi="Arial"/>
                <w:sz w:val="18"/>
                <w:szCs w:val="18"/>
                <w:color w:val="auto"/>
                <w:w w:val="89"/>
              </w:rPr>
              <w:t>2021</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1,751,582</w:t>
            </w:r>
          </w:p>
        </w:tc>
        <w:tc>
          <w:tcPr>
            <w:tcW w:w="80" w:type="dxa"/>
            <w:vAlign w:val="bottom"/>
          </w:tcPr>
          <w:p>
            <w:pPr>
              <w:spacing w:after="0"/>
              <w:rPr>
                <w:sz w:val="17"/>
                <w:szCs w:val="17"/>
                <w:color w:val="auto"/>
              </w:rPr>
            </w:pPr>
          </w:p>
        </w:tc>
      </w:tr>
      <w:tr>
        <w:trPr>
          <w:trHeight w:val="203"/>
        </w:trPr>
        <w:tc>
          <w:tcPr>
            <w:tcW w:w="10020" w:type="dxa"/>
            <w:vAlign w:val="bottom"/>
            <w:shd w:val="clear" w:color="auto" w:fill="CCEEFF"/>
          </w:tcPr>
          <w:p>
            <w:pPr>
              <w:jc w:val="right"/>
              <w:ind w:right="9552"/>
              <w:spacing w:after="0" w:line="202" w:lineRule="exact"/>
              <w:rPr>
                <w:sz w:val="20"/>
                <w:szCs w:val="20"/>
                <w:color w:val="auto"/>
              </w:rPr>
            </w:pPr>
            <w:r>
              <w:rPr>
                <w:rFonts w:ascii="Arial" w:cs="Arial" w:eastAsia="Arial" w:hAnsi="Arial"/>
                <w:sz w:val="18"/>
                <w:szCs w:val="18"/>
                <w:color w:val="auto"/>
                <w:w w:val="89"/>
              </w:rPr>
              <w:t>2022</w:t>
            </w: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1,804,129</w:t>
            </w:r>
          </w:p>
        </w:tc>
        <w:tc>
          <w:tcPr>
            <w:tcW w:w="80" w:type="dxa"/>
            <w:vAlign w:val="bottom"/>
            <w:shd w:val="clear" w:color="auto" w:fill="CCEEFF"/>
          </w:tcPr>
          <w:p>
            <w:pPr>
              <w:spacing w:after="0"/>
              <w:rPr>
                <w:sz w:val="17"/>
                <w:szCs w:val="17"/>
                <w:color w:val="auto"/>
              </w:rPr>
            </w:pPr>
          </w:p>
        </w:tc>
      </w:tr>
      <w:tr>
        <w:trPr>
          <w:trHeight w:val="222"/>
        </w:trPr>
        <w:tc>
          <w:tcPr>
            <w:tcW w:w="100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$ 8,489,917</w:t>
            </w:r>
          </w:p>
        </w:tc>
        <w:tc>
          <w:tcPr>
            <w:tcW w:w="80" w:type="dxa"/>
            <w:vAlign w:val="bottom"/>
          </w:tcPr>
          <w:p>
            <w:pPr>
              <w:spacing w:after="0"/>
              <w:rPr>
                <w:sz w:val="19"/>
                <w:szCs w:val="19"/>
                <w:color w:val="auto"/>
              </w:rPr>
            </w:pPr>
          </w:p>
        </w:tc>
      </w:tr>
    </w:tbl>
    <w:p>
      <w:pPr>
        <w:spacing w:after="0" w:line="111" w:lineRule="exact"/>
        <w:rPr>
          <w:sz w:val="20"/>
          <w:szCs w:val="20"/>
          <w:color w:val="auto"/>
        </w:rPr>
      </w:pPr>
    </w:p>
    <w:p>
      <w:pPr>
        <w:ind w:left="120" w:right="60"/>
        <w:spacing w:after="0" w:line="272" w:lineRule="auto"/>
        <w:rPr>
          <w:sz w:val="20"/>
          <w:szCs w:val="20"/>
          <w:color w:val="auto"/>
        </w:rPr>
      </w:pPr>
      <w:r>
        <w:rPr>
          <w:rFonts w:ascii="Arial" w:cs="Arial" w:eastAsia="Arial" w:hAnsi="Arial"/>
          <w:sz w:val="16"/>
          <w:szCs w:val="16"/>
          <w:color w:val="auto"/>
        </w:rPr>
        <w:t>The Company has entered into certain license agreements. Pursuant to the terms of those agreements, the Company may be required to pay up to $2,000,000 upon the achievement of various developments, regulatory and sales milestones. The payment of these amounts, however, is contingent upon the occurrence of various future events. Additionally, the Company has licensed technology from an academic institution for which it is required to pay annual license payments of $50,000 for as long as the patent is in effect. If any product related to the licenses technology from an academic institution are approved for sale, the Company may be required to pay a minimal royalty on future sales.</w:t>
      </w:r>
    </w:p>
    <w:p>
      <w:pPr>
        <w:spacing w:after="0" w:line="78"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The Cystic Fibrosis Foundation grant agreement contains provisions related to potential future amounts payable by the Company to the Cystic Fibrosis Foundation upon product approval and upon the achievement of certain sales milestones. In addition, in the event of a change of control or licensing, sale, or other transfer of the technology, the Company shall pay the Cystic Fibrosis Foundation a payment equal to a percentage of the related transaction price, not to exceed $1.4 million, which amount shall be reduced by any payments previously made by the Company in connection with a product approval.</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140"/>
          </w:cols>
          <w:pgMar w:left="320" w:top="459" w:right="43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11. Employee retirement/savings plan</w:t>
      </w:r>
    </w:p>
    <w:p>
      <w:pPr>
        <w:spacing w:after="0" w:line="134" w:lineRule="exact"/>
        <w:rPr>
          <w:sz w:val="20"/>
          <w:szCs w:val="20"/>
          <w:color w:val="auto"/>
        </w:rPr>
      </w:pPr>
    </w:p>
    <w:p>
      <w:pPr>
        <w:ind w:left="120" w:right="580"/>
        <w:spacing w:after="0" w:line="238" w:lineRule="auto"/>
        <w:rPr>
          <w:sz w:val="20"/>
          <w:szCs w:val="20"/>
          <w:color w:val="auto"/>
        </w:rPr>
      </w:pPr>
      <w:r>
        <w:rPr>
          <w:rFonts w:ascii="Arial" w:cs="Arial" w:eastAsia="Arial" w:hAnsi="Arial"/>
          <w:sz w:val="18"/>
          <w:szCs w:val="18"/>
          <w:color w:val="auto"/>
        </w:rPr>
        <w:t>The Company maintains an employee retirement/savings plan (the Retirement Plan) which permits participants to make tax-deferred contributions by salary reduction pursuant to Section 401(k) of the Internal Revenue Code. The Company does not provide a matching contribution to the Retirement Plan.</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12. Related-party transactions</w:t>
      </w:r>
    </w:p>
    <w:p>
      <w:pPr>
        <w:spacing w:after="0" w:line="13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In conjunction with the issuance of Series A preferred stock and common stock and the conversion of the prior credit agreement into convertible notes payable (Note 5), the Company simultaneously entered into a research collaboration with Sanofi in which it obtained an exclusive license focused on the development of drugs targeting important human oncogenes (Note 4). Under the terms of the Agreement, the Company would lead research collaboration for a period of five years, and Sanofi would potentially receive worldwide exclusive licenses to develop and commercialize the candidates discovered during the research term. The Company has total convertible notes payable from Sanofi of approximately $34 million and $22 million as of December 31, 2017 and 2016, respectively. (Note 5)</w:t>
      </w:r>
    </w:p>
    <w:p>
      <w:pPr>
        <w:spacing w:after="0" w:line="102"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The Company leases its facilities from an entity that participated in the Series A Unit financing in October 2012. Prior to and after the restructuring of the Company, the investor owned less than one percent of the Series A Preferred Units and Series A Preferred Stock of the Company, respectively. Payments made to the landlord totaled approximately $2.1 million and $2.2 million for the years ended December 31, 2017 and December 31, 2016, respectively.</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13. Income taxes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2017 U.S. tax reform</w:t>
      </w:r>
    </w:p>
    <w:p>
      <w:pPr>
        <w:spacing w:after="0" w:line="124"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On December 22, 2017, the Tax Cuts and Jobs Act (the “TCJA”) was signed into United States law. The TCJA includes a number of changes to existing tax law, including, among other things, a reduction in the federal corporate income tax rate to a flat rate of 21%, effective as of January 1, 2018, as well as limitation of the deduction for net operating losses to 80% of annual taxable income and elimination of net operating loss carrybacks, in each case, for losses arising in taxable years beginning after December 31, 2017 (though any such net operating losses may be carried forward indefinitely).</w:t>
      </w:r>
    </w:p>
    <w:p>
      <w:pPr>
        <w:spacing w:after="0" w:line="103" w:lineRule="exact"/>
        <w:rPr>
          <w:sz w:val="20"/>
          <w:szCs w:val="20"/>
          <w:color w:val="auto"/>
        </w:rPr>
      </w:pPr>
    </w:p>
    <w:p>
      <w:pPr>
        <w:ind w:left="120"/>
        <w:spacing w:after="0" w:line="281" w:lineRule="auto"/>
        <w:rPr>
          <w:sz w:val="20"/>
          <w:szCs w:val="20"/>
          <w:color w:val="auto"/>
        </w:rPr>
      </w:pPr>
      <w:r>
        <w:rPr>
          <w:rFonts w:ascii="Arial" w:cs="Arial" w:eastAsia="Arial" w:hAnsi="Arial"/>
          <w:sz w:val="16"/>
          <w:szCs w:val="16"/>
          <w:color w:val="auto"/>
        </w:rPr>
        <w:t>The Company remeasured certain deferred tax assets and liabilities based on the rates at which they are expected to reverse in the future. The provisional amount related to the re-measurement of the Company’s deferred tax balance was a reduction of $5.6 million. Due to the corresponding valuation allowance fully offsetting deferred taxes, there was no impact to the statement of operations and comprehensive loss.</w:t>
      </w:r>
    </w:p>
    <w:p>
      <w:pPr>
        <w:spacing w:after="0" w:line="69" w:lineRule="exact"/>
        <w:rPr>
          <w:sz w:val="20"/>
          <w:szCs w:val="20"/>
          <w:color w:val="auto"/>
        </w:rPr>
      </w:pPr>
    </w:p>
    <w:p>
      <w:pPr>
        <w:ind w:left="120" w:right="220"/>
        <w:spacing w:after="0" w:line="238" w:lineRule="auto"/>
        <w:rPr>
          <w:sz w:val="20"/>
          <w:szCs w:val="20"/>
          <w:color w:val="auto"/>
        </w:rPr>
      </w:pPr>
      <w:r>
        <w:rPr>
          <w:rFonts w:ascii="Arial" w:cs="Arial" w:eastAsia="Arial" w:hAnsi="Arial"/>
          <w:sz w:val="18"/>
          <w:szCs w:val="18"/>
          <w:color w:val="auto"/>
        </w:rPr>
        <w:t>The Company is still in the process of analyzing the impact to the Company of the TCJA and its analysis is not yet complete. Where the Company has been able to make reasonable estimates of the effects related to the TCJA, the Company has recorded provisional amounts. The ultimate impact to the Company’s financial statements of the TCJA may differ from the provisional amounts.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24"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There is no provision for income taxes because the Company has historically incurred and continues to incur operating losses and maintains a full valuation allowance against its net deferred tax assets. The Company has incurred pre-tax losses in the United States only for all periods presented.</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120"/>
          </w:cols>
          <w:pgMar w:left="320" w:top="459" w:right="45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provision for income tax differs from the amount expected by applying the federal statutory rate to the loss before taxes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95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2017</w:t>
            </w: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auto"/>
            </w:tcBorders>
          </w:tcPr>
          <w:p>
            <w:pPr>
              <w:spacing w:after="0"/>
              <w:rPr>
                <w:sz w:val="19"/>
                <w:szCs w:val="19"/>
                <w:color w:val="auto"/>
              </w:rPr>
            </w:pPr>
          </w:p>
        </w:tc>
      </w:tr>
      <w:tr>
        <w:trPr>
          <w:trHeight w:val="196"/>
        </w:trPr>
        <w:tc>
          <w:tcPr>
            <w:tcW w:w="9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Federal statutory income tax rate</w:t>
            </w:r>
          </w:p>
        </w:tc>
        <w:tc>
          <w:tcPr>
            <w:tcW w:w="720" w:type="dxa"/>
            <w:vAlign w:val="bottom"/>
            <w:shd w:val="clear" w:color="auto" w:fill="CCEEFF"/>
          </w:tcPr>
          <w:p>
            <w:pPr>
              <w:jc w:val="right"/>
              <w:ind w:right="72"/>
              <w:spacing w:after="0" w:line="196" w:lineRule="exact"/>
              <w:rPr>
                <w:sz w:val="20"/>
                <w:szCs w:val="20"/>
                <w:color w:val="auto"/>
              </w:rPr>
            </w:pPr>
            <w:r>
              <w:rPr>
                <w:rFonts w:ascii="Arial" w:cs="Arial" w:eastAsia="Arial" w:hAnsi="Arial"/>
                <w:sz w:val="18"/>
                <w:szCs w:val="18"/>
                <w:color w:val="auto"/>
              </w:rPr>
              <w:t>34.0%</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34.0%</w:t>
            </w:r>
          </w:p>
        </w:tc>
        <w:tc>
          <w:tcPr>
            <w:tcW w:w="120" w:type="dxa"/>
            <w:vAlign w:val="bottom"/>
            <w:shd w:val="clear" w:color="auto" w:fill="CCEEFF"/>
          </w:tcPr>
          <w:p>
            <w:pPr>
              <w:spacing w:after="0"/>
              <w:rPr>
                <w:sz w:val="17"/>
                <w:szCs w:val="17"/>
                <w:color w:val="auto"/>
              </w:rPr>
            </w:pPr>
          </w:p>
        </w:tc>
      </w:tr>
      <w:tr>
        <w:trPr>
          <w:trHeight w:val="203"/>
        </w:trPr>
        <w:tc>
          <w:tcPr>
            <w:tcW w:w="9560" w:type="dxa"/>
            <w:vAlign w:val="bottom"/>
          </w:tcPr>
          <w:p>
            <w:pPr>
              <w:spacing w:after="0" w:line="202" w:lineRule="exact"/>
              <w:rPr>
                <w:sz w:val="20"/>
                <w:szCs w:val="20"/>
                <w:color w:val="auto"/>
              </w:rPr>
            </w:pPr>
            <w:r>
              <w:rPr>
                <w:rFonts w:ascii="Arial" w:cs="Arial" w:eastAsia="Arial" w:hAnsi="Arial"/>
                <w:sz w:val="18"/>
                <w:szCs w:val="18"/>
                <w:color w:val="auto"/>
              </w:rPr>
              <w:t>State income tax rate, net of federal benefit</w:t>
            </w:r>
          </w:p>
        </w:tc>
        <w:tc>
          <w:tcPr>
            <w:tcW w:w="7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6.9</w:t>
            </w: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5.3</w:t>
            </w:r>
          </w:p>
        </w:tc>
      </w:tr>
      <w:tr>
        <w:trPr>
          <w:trHeight w:val="203"/>
        </w:trPr>
        <w:tc>
          <w:tcPr>
            <w:tcW w:w="9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tax credits</w:t>
            </w:r>
          </w:p>
        </w:tc>
        <w:tc>
          <w:tcPr>
            <w:tcW w:w="7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4.1</w:t>
            </w: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4.7</w:t>
            </w:r>
          </w:p>
        </w:tc>
      </w:tr>
      <w:tr>
        <w:trPr>
          <w:trHeight w:val="203"/>
        </w:trPr>
        <w:tc>
          <w:tcPr>
            <w:tcW w:w="9560" w:type="dxa"/>
            <w:vAlign w:val="bottom"/>
          </w:tcPr>
          <w:p>
            <w:pPr>
              <w:spacing w:after="0" w:line="202" w:lineRule="exact"/>
              <w:rPr>
                <w:sz w:val="20"/>
                <w:szCs w:val="20"/>
                <w:color w:val="auto"/>
              </w:rPr>
            </w:pPr>
            <w:r>
              <w:rPr>
                <w:rFonts w:ascii="Arial" w:cs="Arial" w:eastAsia="Arial" w:hAnsi="Arial"/>
                <w:sz w:val="18"/>
                <w:szCs w:val="18"/>
                <w:color w:val="auto"/>
              </w:rPr>
              <w:t>Write-off of net operating loss and research and development credit carryforwards</w:t>
            </w:r>
          </w:p>
        </w:tc>
        <w:tc>
          <w:tcPr>
            <w:tcW w:w="7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(82.1)</w:t>
            </w: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9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7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67.6</w:t>
            </w: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(42.3)</w:t>
            </w:r>
          </w:p>
        </w:tc>
      </w:tr>
      <w:tr>
        <w:trPr>
          <w:trHeight w:val="203"/>
        </w:trPr>
        <w:tc>
          <w:tcPr>
            <w:tcW w:w="9560" w:type="dxa"/>
            <w:vAlign w:val="bottom"/>
          </w:tcPr>
          <w:p>
            <w:pPr>
              <w:spacing w:after="0" w:line="202" w:lineRule="exact"/>
              <w:rPr>
                <w:sz w:val="20"/>
                <w:szCs w:val="20"/>
                <w:color w:val="auto"/>
              </w:rPr>
            </w:pPr>
            <w:r>
              <w:rPr>
                <w:rFonts w:ascii="Arial" w:cs="Arial" w:eastAsia="Arial" w:hAnsi="Arial"/>
                <w:sz w:val="18"/>
                <w:szCs w:val="18"/>
                <w:color w:val="auto"/>
              </w:rPr>
              <w:t>Non-deductible permanent expenses</w:t>
            </w:r>
          </w:p>
        </w:tc>
        <w:tc>
          <w:tcPr>
            <w:tcW w:w="7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(1.2)</w:t>
            </w: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(1.5)</w:t>
            </w:r>
          </w:p>
        </w:tc>
      </w:tr>
      <w:tr>
        <w:trPr>
          <w:trHeight w:val="203"/>
        </w:trPr>
        <w:tc>
          <w:tcPr>
            <w:tcW w:w="9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Remeasurement of deferred tax due to tax law change</w:t>
            </w:r>
          </w:p>
        </w:tc>
        <w:tc>
          <w:tcPr>
            <w:tcW w:w="7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(29.3)</w:t>
            </w: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9"/>
        </w:trPr>
        <w:tc>
          <w:tcPr>
            <w:tcW w:w="95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7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(0.2)</w:t>
            </w:r>
          </w:p>
        </w:tc>
      </w:tr>
      <w:tr>
        <w:trPr>
          <w:trHeight w:val="203"/>
        </w:trPr>
        <w:tc>
          <w:tcPr>
            <w:tcW w:w="9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720" w:type="dxa"/>
            <w:vAlign w:val="bottom"/>
            <w:tcBorders>
              <w:top w:val="single" w:sz="8" w:color="auto"/>
            </w:tcBorders>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0.0%</w:t>
            </w:r>
          </w:p>
        </w:tc>
        <w:tc>
          <w:tcPr>
            <w:tcW w:w="6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7"/>
                <w:szCs w:val="17"/>
                <w:color w:val="auto"/>
              </w:rPr>
            </w:pPr>
          </w:p>
        </w:tc>
      </w:tr>
      <w:tr>
        <w:trPr>
          <w:trHeight w:val="20"/>
        </w:trPr>
        <w:tc>
          <w:tcPr>
            <w:tcW w:w="9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Significant components of the Company’s net deferred tax asset at December 31, 2017 and 2016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558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auto"/>
            </w:tcBorders>
          </w:tcPr>
          <w:p>
            <w:pPr>
              <w:spacing w:after="0"/>
              <w:rPr>
                <w:sz w:val="19"/>
                <w:szCs w:val="19"/>
                <w:color w:val="auto"/>
              </w:rPr>
            </w:pPr>
          </w:p>
        </w:tc>
      </w:tr>
      <w:tr>
        <w:trPr>
          <w:trHeight w:val="48"/>
        </w:trPr>
        <w:tc>
          <w:tcPr>
            <w:tcW w:w="5580" w:type="dxa"/>
            <w:vAlign w:val="bottom"/>
          </w:tcPr>
          <w:p>
            <w:pPr>
              <w:spacing w:after="0"/>
              <w:rPr>
                <w:sz w:val="4"/>
                <w:szCs w:val="4"/>
                <w:color w:val="auto"/>
              </w:rPr>
            </w:pPr>
          </w:p>
        </w:tc>
        <w:tc>
          <w:tcPr>
            <w:tcW w:w="2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Deferred tax assets</w:t>
            </w:r>
          </w:p>
        </w:tc>
        <w:tc>
          <w:tcPr>
            <w:tcW w:w="2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580" w:type="dxa"/>
            <w:vAlign w:val="bottom"/>
          </w:tcPr>
          <w:p>
            <w:pPr>
              <w:ind w:left="220"/>
              <w:spacing w:after="0" w:line="202" w:lineRule="exact"/>
              <w:rPr>
                <w:sz w:val="20"/>
                <w:szCs w:val="20"/>
                <w:color w:val="auto"/>
              </w:rPr>
            </w:pPr>
            <w:r>
              <w:rPr>
                <w:rFonts w:ascii="Arial" w:cs="Arial" w:eastAsia="Arial" w:hAnsi="Arial"/>
                <w:sz w:val="18"/>
                <w:szCs w:val="18"/>
                <w:color w:val="auto"/>
              </w:rPr>
              <w:t>Net operating loss carryforwards</w:t>
            </w:r>
          </w:p>
        </w:tc>
        <w:tc>
          <w:tcPr>
            <w:tcW w:w="2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12,272,047</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23,870,603</w:t>
            </w:r>
          </w:p>
        </w:tc>
        <w:tc>
          <w:tcPr>
            <w:tcW w:w="120" w:type="dxa"/>
            <w:vAlign w:val="bottom"/>
          </w:tcPr>
          <w:p>
            <w:pPr>
              <w:spacing w:after="0"/>
              <w:rPr>
                <w:sz w:val="17"/>
                <w:szCs w:val="17"/>
                <w:color w:val="auto"/>
              </w:rPr>
            </w:pPr>
          </w:p>
        </w:tc>
      </w:tr>
      <w:tr>
        <w:trPr>
          <w:trHeight w:val="203"/>
        </w:trPr>
        <w:tc>
          <w:tcPr>
            <w:tcW w:w="55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Research and development credits</w:t>
            </w:r>
          </w:p>
        </w:tc>
        <w:tc>
          <w:tcPr>
            <w:tcW w:w="2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2,521,478</w:t>
            </w: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2,772,715</w:t>
            </w:r>
          </w:p>
        </w:tc>
        <w:tc>
          <w:tcPr>
            <w:tcW w:w="120" w:type="dxa"/>
            <w:vAlign w:val="bottom"/>
            <w:shd w:val="clear" w:color="auto" w:fill="CCEEFF"/>
          </w:tcPr>
          <w:p>
            <w:pPr>
              <w:spacing w:after="0"/>
              <w:rPr>
                <w:sz w:val="17"/>
                <w:szCs w:val="17"/>
                <w:color w:val="auto"/>
              </w:rPr>
            </w:pPr>
          </w:p>
        </w:tc>
      </w:tr>
      <w:tr>
        <w:trPr>
          <w:trHeight w:val="210"/>
        </w:trPr>
        <w:tc>
          <w:tcPr>
            <w:tcW w:w="5580" w:type="dxa"/>
            <w:vAlign w:val="bottom"/>
          </w:tcPr>
          <w:p>
            <w:pPr>
              <w:ind w:left="220"/>
              <w:spacing w:after="0" w:line="202" w:lineRule="exact"/>
              <w:rPr>
                <w:sz w:val="20"/>
                <w:szCs w:val="20"/>
                <w:color w:val="auto"/>
              </w:rPr>
            </w:pPr>
            <w:r>
              <w:rPr>
                <w:rFonts w:ascii="Arial" w:cs="Arial" w:eastAsia="Arial" w:hAnsi="Arial"/>
                <w:sz w:val="18"/>
                <w:szCs w:val="18"/>
                <w:color w:val="auto"/>
              </w:rPr>
              <w:t>Other</w:t>
            </w:r>
          </w:p>
        </w:tc>
        <w:tc>
          <w:tcPr>
            <w:tcW w:w="2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52"/>
              <w:spacing w:after="0" w:line="202" w:lineRule="exact"/>
              <w:rPr>
                <w:sz w:val="20"/>
                <w:szCs w:val="20"/>
                <w:color w:val="auto"/>
              </w:rPr>
            </w:pPr>
            <w:r>
              <w:rPr>
                <w:rFonts w:ascii="Arial" w:cs="Arial" w:eastAsia="Arial" w:hAnsi="Arial"/>
                <w:sz w:val="18"/>
                <w:szCs w:val="18"/>
                <w:color w:val="auto"/>
              </w:rPr>
              <w:t>468,468</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725,369</w:t>
            </w:r>
          </w:p>
        </w:tc>
        <w:tc>
          <w:tcPr>
            <w:tcW w:w="120" w:type="dxa"/>
            <w:vAlign w:val="bottom"/>
          </w:tcPr>
          <w:p>
            <w:pPr>
              <w:spacing w:after="0"/>
              <w:rPr>
                <w:sz w:val="18"/>
                <w:szCs w:val="18"/>
                <w:color w:val="auto"/>
              </w:rPr>
            </w:pPr>
          </w:p>
        </w:tc>
      </w:tr>
      <w:tr>
        <w:trPr>
          <w:trHeight w:val="203"/>
        </w:trPr>
        <w:tc>
          <w:tcPr>
            <w:tcW w:w="55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Gross deferred tax assets</w:t>
            </w:r>
          </w:p>
        </w:tc>
        <w:tc>
          <w:tcPr>
            <w:tcW w:w="2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15,261,993</w:t>
            </w: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27,368,687</w:t>
            </w:r>
          </w:p>
        </w:tc>
        <w:tc>
          <w:tcPr>
            <w:tcW w:w="120" w:type="dxa"/>
            <w:vAlign w:val="bottom"/>
            <w:shd w:val="clear" w:color="auto" w:fill="CCEEFF"/>
          </w:tcPr>
          <w:p>
            <w:pPr>
              <w:spacing w:after="0"/>
              <w:rPr>
                <w:sz w:val="17"/>
                <w:szCs w:val="17"/>
                <w:color w:val="auto"/>
              </w:rPr>
            </w:pPr>
          </w:p>
        </w:tc>
      </w:tr>
      <w:tr>
        <w:trPr>
          <w:trHeight w:val="209"/>
        </w:trPr>
        <w:tc>
          <w:tcPr>
            <w:tcW w:w="5580" w:type="dxa"/>
            <w:vAlign w:val="bottom"/>
          </w:tcPr>
          <w:p>
            <w:pPr>
              <w:spacing w:after="0" w:line="202" w:lineRule="exact"/>
              <w:rPr>
                <w:sz w:val="20"/>
                <w:szCs w:val="20"/>
                <w:color w:val="auto"/>
              </w:rPr>
            </w:pPr>
            <w:r>
              <w:rPr>
                <w:rFonts w:ascii="Arial" w:cs="Arial" w:eastAsia="Arial" w:hAnsi="Arial"/>
                <w:sz w:val="18"/>
                <w:szCs w:val="18"/>
                <w:color w:val="auto"/>
              </w:rPr>
              <w:t>Valuation allowance</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92"/>
              <w:spacing w:after="0" w:line="202" w:lineRule="exact"/>
              <w:rPr>
                <w:sz w:val="20"/>
                <w:szCs w:val="20"/>
                <w:color w:val="auto"/>
              </w:rPr>
            </w:pPr>
            <w:r>
              <w:rPr>
                <w:rFonts w:ascii="Arial" w:cs="Arial" w:eastAsia="Arial" w:hAnsi="Arial"/>
                <w:sz w:val="18"/>
                <w:szCs w:val="18"/>
                <w:color w:val="auto"/>
                <w:w w:val="97"/>
              </w:rPr>
              <w:t>(15,186,711)</w:t>
            </w:r>
          </w:p>
        </w:tc>
        <w:tc>
          <w:tcPr>
            <w:tcW w:w="340" w:type="dxa"/>
            <w:vAlign w:val="bottom"/>
          </w:tcPr>
          <w:p>
            <w:pPr>
              <w:spacing w:after="0"/>
              <w:rPr>
                <w:sz w:val="18"/>
                <w:szCs w:val="18"/>
                <w:color w:val="auto"/>
              </w:rPr>
            </w:pP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w w:val="97"/>
              </w:rPr>
              <w:t>(26,933,978)</w:t>
            </w:r>
          </w:p>
        </w:tc>
      </w:tr>
      <w:tr>
        <w:trPr>
          <w:trHeight w:val="203"/>
        </w:trPr>
        <w:tc>
          <w:tcPr>
            <w:tcW w:w="55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Net deferred tax assets</w:t>
            </w:r>
          </w:p>
        </w:tc>
        <w:tc>
          <w:tcPr>
            <w:tcW w:w="26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75,282</w:t>
            </w:r>
          </w:p>
        </w:tc>
        <w:tc>
          <w:tcPr>
            <w:tcW w:w="3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434,709</w:t>
            </w:r>
          </w:p>
        </w:tc>
        <w:tc>
          <w:tcPr>
            <w:tcW w:w="120" w:type="dxa"/>
            <w:vAlign w:val="bottom"/>
            <w:shd w:val="clear" w:color="auto" w:fill="CCEEFF"/>
          </w:tcPr>
          <w:p>
            <w:pPr>
              <w:spacing w:after="0"/>
              <w:rPr>
                <w:sz w:val="17"/>
                <w:szCs w:val="17"/>
                <w:color w:val="auto"/>
              </w:rPr>
            </w:pP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b w:val="1"/>
                <w:bCs w:val="1"/>
                <w:color w:val="auto"/>
              </w:rPr>
              <w:t>Deferred tax liabilities</w:t>
            </w:r>
          </w:p>
        </w:tc>
        <w:tc>
          <w:tcPr>
            <w:tcW w:w="2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5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Property and equipment</w:t>
            </w:r>
          </w:p>
        </w:tc>
        <w:tc>
          <w:tcPr>
            <w:tcW w:w="2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(75,282)</w:t>
            </w:r>
          </w:p>
        </w:tc>
        <w:tc>
          <w:tcPr>
            <w:tcW w:w="3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(434,709)</w:t>
            </w:r>
          </w:p>
        </w:tc>
      </w:tr>
      <w:tr>
        <w:trPr>
          <w:trHeight w:val="222"/>
        </w:trPr>
        <w:tc>
          <w:tcPr>
            <w:tcW w:w="558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Net deferred tax assets</w:t>
            </w:r>
          </w:p>
        </w:tc>
        <w:tc>
          <w:tcPr>
            <w:tcW w:w="266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bl>
    <w:p>
      <w:pPr>
        <w:spacing w:after="0" w:line="1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2017, the Company had federal and state net operating loss carryforwards of approximately $46,038,000 and</w:t>
      </w:r>
    </w:p>
    <w:p>
      <w:pPr>
        <w:ind w:left="120" w:right="640"/>
        <w:spacing w:after="0" w:line="239" w:lineRule="auto"/>
        <w:rPr>
          <w:sz w:val="20"/>
          <w:szCs w:val="20"/>
          <w:color w:val="auto"/>
        </w:rPr>
      </w:pPr>
      <w:r>
        <w:rPr>
          <w:rFonts w:ascii="Arial" w:cs="Arial" w:eastAsia="Arial" w:hAnsi="Arial"/>
          <w:sz w:val="18"/>
          <w:szCs w:val="18"/>
          <w:color w:val="auto"/>
        </w:rPr>
        <w:t>$41,203,000, respectively. The net operating loss carryforwards will expire at various times beginning in 2030 through 2037 for federal purposes and beginning in 2021 through 2022 for state purposes.</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2017, the Company also had federal and state research and development tax credit carryforwards of approximately</w:t>
      </w:r>
    </w:p>
    <w:p>
      <w:pPr>
        <w:ind w:left="120" w:right="200"/>
        <w:spacing w:after="0" w:line="239" w:lineRule="auto"/>
        <w:rPr>
          <w:sz w:val="20"/>
          <w:szCs w:val="20"/>
          <w:color w:val="auto"/>
        </w:rPr>
      </w:pPr>
      <w:r>
        <w:rPr>
          <w:rFonts w:ascii="Arial" w:cs="Arial" w:eastAsia="Arial" w:hAnsi="Arial"/>
          <w:sz w:val="18"/>
          <w:szCs w:val="18"/>
          <w:color w:val="auto"/>
        </w:rPr>
        <w:t>$1,649,000 and $1,017,000, respectively, to offset future income taxes. The tax credit carryforwards will expire at various times beginning in 2036 through 2037 for federal purposes and will expire at various times beginning in 2031 through 2032 for state purposes.</w:t>
      </w:r>
    </w:p>
    <w:p>
      <w:pPr>
        <w:spacing w:after="0" w:line="101" w:lineRule="exact"/>
        <w:rPr>
          <w:sz w:val="20"/>
          <w:szCs w:val="20"/>
          <w:color w:val="auto"/>
        </w:rPr>
      </w:pPr>
    </w:p>
    <w:p>
      <w:pPr>
        <w:ind w:left="120" w:right="200"/>
        <w:spacing w:after="0" w:line="236" w:lineRule="auto"/>
        <w:rPr>
          <w:sz w:val="20"/>
          <w:szCs w:val="20"/>
          <w:color w:val="auto"/>
        </w:rPr>
      </w:pPr>
      <w:r>
        <w:rPr>
          <w:rFonts w:ascii="Arial" w:cs="Arial" w:eastAsia="Arial" w:hAnsi="Arial"/>
          <w:sz w:val="18"/>
          <w:szCs w:val="18"/>
          <w:color w:val="auto"/>
        </w:rPr>
        <w:t>Utilization of the net operating loss and tax credit carryforwards may be subject to a substantial annual limitation under Section 382 and 383 of the Internal Revenue Code due to certain ownership changes that have occurred previously or that could occur in the future. These ownership changes may limit the amount of net operating loss and tax credit carryforwards that can be utilized annually to offset future taxable income and tax, respectively. Any limitation may result in expiration of a portion of the net operating loss carryforwards or tax credit carryforwards before utilization.</w:t>
      </w:r>
    </w:p>
    <w:p>
      <w:pPr>
        <w:spacing w:after="0" w:line="103" w:lineRule="exact"/>
        <w:rPr>
          <w:sz w:val="20"/>
          <w:szCs w:val="20"/>
          <w:color w:val="auto"/>
        </w:rPr>
      </w:pPr>
    </w:p>
    <w:p>
      <w:pPr>
        <w:ind w:left="120" w:right="40"/>
        <w:spacing w:after="0" w:line="281" w:lineRule="auto"/>
        <w:rPr>
          <w:sz w:val="20"/>
          <w:szCs w:val="20"/>
          <w:color w:val="auto"/>
        </w:rPr>
      </w:pPr>
      <w:r>
        <w:rPr>
          <w:rFonts w:ascii="Arial" w:cs="Arial" w:eastAsia="Arial" w:hAnsi="Arial"/>
          <w:sz w:val="16"/>
          <w:szCs w:val="16"/>
          <w:color w:val="auto"/>
        </w:rPr>
        <w:t>The Company completed a study in May 2018 to determine the impact of certain cumulative changes in the ownership interest of significant shareholders as defined under Sections 382 and 383. The study determined that such changes triggered certain limitations on the Company’s net operating loss and tax credit carryforwards that would have otherwise been available to offset future taxable income and tax, respectively.</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140"/>
          </w:cols>
          <w:pgMar w:left="320" w:top="459" w:right="43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620"/>
        <w:spacing w:after="0" w:line="238" w:lineRule="auto"/>
        <w:rPr>
          <w:sz w:val="20"/>
          <w:szCs w:val="20"/>
          <w:color w:val="auto"/>
        </w:rPr>
      </w:pPr>
      <w:r>
        <w:rPr>
          <w:rFonts w:ascii="Arial" w:cs="Arial" w:eastAsia="Arial" w:hAnsi="Arial"/>
          <w:sz w:val="18"/>
          <w:szCs w:val="18"/>
          <w:color w:val="auto"/>
        </w:rPr>
        <w:t>The 2017 amounts in the table above reflect the related limitations to federal and state net operating loss and tax credit carryforwards. Additional ownership changes could occur in the future that could further limit the federal and state net operating loss and tax credit carryforwards.</w:t>
      </w:r>
    </w:p>
    <w:p>
      <w:pPr>
        <w:spacing w:after="0" w:line="100"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Management of the Company has evaluated the positive and negative evidence bearing upon the realizability of its deferred tax assets, which are comprised principally of net operating loss carryforwards, capitalized assets, and research and development credits. Under the applicable accounting standards, management has considered the Company’s history of losses since inception and concluded that it is more likely than not that the Company will not recognize the benefits of federal and state deferred tax assets. Accordingly, a full valuation allowance of $15.2 million and $26.9 million has been established at December 31, 2017 and 2016, respectively.</w:t>
      </w:r>
    </w:p>
    <w:p>
      <w:pPr>
        <w:spacing w:after="0" w:line="103"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The Company has not recorded any amounts for unrecognized tax benefits as of December 31, 2017 and 2016. The Company’s policy is to record interest and penalties related to income taxes as part of its income tax provision. As of December 31, 2017 and 2016 the Company had no accrued interest or penalties related to uncertain tax positions.</w:t>
      </w:r>
    </w:p>
    <w:p>
      <w:pPr>
        <w:spacing w:after="0" w:line="100" w:lineRule="exact"/>
        <w:rPr>
          <w:sz w:val="20"/>
          <w:szCs w:val="20"/>
          <w:color w:val="auto"/>
        </w:rPr>
      </w:pPr>
    </w:p>
    <w:p>
      <w:pPr>
        <w:ind w:left="120" w:right="140"/>
        <w:spacing w:after="0" w:line="237" w:lineRule="auto"/>
        <w:rPr>
          <w:sz w:val="20"/>
          <w:szCs w:val="20"/>
          <w:color w:val="auto"/>
        </w:rPr>
      </w:pPr>
      <w:r>
        <w:rPr>
          <w:rFonts w:ascii="Arial" w:cs="Arial" w:eastAsia="Arial" w:hAnsi="Arial"/>
          <w:sz w:val="18"/>
          <w:szCs w:val="18"/>
          <w:color w:val="auto"/>
        </w:rPr>
        <w:t>The statute of limitations for assessment by the Internal Revenue Service (“IRS”) and state tax authorities is closed for tax years prior to December 31, 2014, although net operating loss and tax credit carryforwards that were generated prior to December 31, 2014 may still be adjusted upon examination by the IRS and state tax authorities if they either have been or will be used in a future period. There are currently no IRS or state tax audits in progress.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14. Subsequent events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has evaluated subsequent events through October 16, 2018, the date the financial statements were available to be issued.</w:t>
      </w:r>
    </w:p>
    <w:p>
      <w:pPr>
        <w:spacing w:after="0" w:line="104" w:lineRule="exact"/>
        <w:rPr>
          <w:sz w:val="20"/>
          <w:szCs w:val="20"/>
          <w:color w:val="auto"/>
        </w:rPr>
      </w:pPr>
    </w:p>
    <w:p>
      <w:pPr>
        <w:ind w:left="120" w:right="180"/>
        <w:spacing w:after="0" w:line="236" w:lineRule="auto"/>
        <w:rPr>
          <w:sz w:val="20"/>
          <w:szCs w:val="20"/>
          <w:color w:val="auto"/>
        </w:rPr>
      </w:pPr>
      <w:r>
        <w:rPr>
          <w:rFonts w:ascii="Arial" w:cs="Arial" w:eastAsia="Arial" w:hAnsi="Arial"/>
          <w:sz w:val="18"/>
          <w:szCs w:val="18"/>
          <w:color w:val="auto"/>
        </w:rPr>
        <w:t>As discussed in Note 5, in June 2018, the Company and Sanofi agreed to amend the terms of the existing notes payable. All current and future interest due on the notes payable was cancelled and forgiven in full. In addition, a milestone payment (Sanofi to pay the Company) of $6 million due to the Company under the Sanofi Collaboration Agreement was cancelled and forgiven in full. Sanofi has no further payment obligations due to the Company under the Sanofi Collaboration Agreement. The Company will exchange its existing notes payable for new notes payable, with an extended maturity date and certain other amended provisions, from Sanofi immediately prior to the closing of the Company’s first issuance and sale of preferred stock prior to December 31, 2019.</w:t>
      </w:r>
    </w:p>
    <w:p>
      <w:pPr>
        <w:spacing w:after="0" w:line="102" w:lineRule="exact"/>
        <w:rPr>
          <w:sz w:val="20"/>
          <w:szCs w:val="20"/>
          <w:color w:val="auto"/>
        </w:rPr>
      </w:pPr>
    </w:p>
    <w:p>
      <w:pPr>
        <w:ind w:left="120" w:right="300"/>
        <w:spacing w:after="0" w:line="239" w:lineRule="auto"/>
        <w:rPr>
          <w:sz w:val="20"/>
          <w:szCs w:val="20"/>
          <w:color w:val="auto"/>
        </w:rPr>
      </w:pPr>
      <w:r>
        <w:rPr>
          <w:rFonts w:ascii="Arial" w:cs="Arial" w:eastAsia="Arial" w:hAnsi="Arial"/>
          <w:sz w:val="18"/>
          <w:szCs w:val="18"/>
          <w:color w:val="auto"/>
        </w:rPr>
        <w:t>On October 3, 2018, the Company received $2 million in cash proceeds from an existing investor in exchange for a convertible promissory note purchase agreement with a maturity date of April 8, 2019 and an 8% annual interest rate.</w:t>
      </w:r>
    </w:p>
    <w:p>
      <w:pPr>
        <w:spacing w:after="0" w:line="101"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On October 15, 2018, the Company and Revolution Medicines, Inc. (“Revolution”) signed a merger agreement in which Revolution will acquire all the equity interests of the Company for a purchase price of approximately $70 million subject to adjustments and holdbacks for certain events. Subject to the achievement of certain closing conditions, including the conversion to preferred stock of all of the outstanding convertible notes payable held by Sanofi, the merger agreement is expected to close on or around October 22, 2018.</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120"/>
          </w:cols>
          <w:pgMar w:left="320" w:top="459" w:right="45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Warp Drive Bio, Inc.</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Condensed balance sheets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6995160"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6"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7920" w:type="dxa"/>
            <w:vAlign w:val="bottom"/>
          </w:tcPr>
          <w:p>
            <w:pPr>
              <w:spacing w:after="0"/>
              <w:rPr>
                <w:sz w:val="19"/>
                <w:szCs w:val="19"/>
                <w:color w:val="auto"/>
              </w:rPr>
            </w:pPr>
          </w:p>
        </w:tc>
        <w:tc>
          <w:tcPr>
            <w:tcW w:w="184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7"/>
              </w:rPr>
              <w:t>September 30,</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December 31,</w:t>
            </w:r>
          </w:p>
        </w:tc>
      </w:tr>
      <w:tr>
        <w:trPr>
          <w:trHeight w:val="223"/>
        </w:trPr>
        <w:tc>
          <w:tcPr>
            <w:tcW w:w="7920" w:type="dxa"/>
            <w:vAlign w:val="bottom"/>
            <w:tcBorders>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2018</w:t>
            </w:r>
          </w:p>
        </w:tc>
        <w:tc>
          <w:tcPr>
            <w:tcW w:w="640" w:type="dxa"/>
            <w:vAlign w:val="bottom"/>
            <w:tcBorders>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auto"/>
            </w:tcBorders>
          </w:tcPr>
          <w:p>
            <w:pPr>
              <w:spacing w:after="0"/>
              <w:rPr>
                <w:sz w:val="19"/>
                <w:szCs w:val="19"/>
                <w:color w:val="auto"/>
              </w:rPr>
            </w:pPr>
          </w:p>
        </w:tc>
      </w:tr>
    </w:tbl>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6995160" cy="12890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8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wp:posOffset>
            </wp:positionV>
            <wp:extent cx="6995160" cy="12890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340"/>
        <w:spacing w:after="0" w:line="234" w:lineRule="auto"/>
        <w:rPr>
          <w:sz w:val="20"/>
          <w:szCs w:val="20"/>
          <w:color w:val="auto"/>
        </w:rPr>
      </w:pPr>
      <w:r>
        <w:rPr>
          <w:rFonts w:ascii="Arial" w:cs="Arial" w:eastAsia="Arial" w:hAnsi="Arial"/>
          <w:sz w:val="18"/>
          <w:szCs w:val="18"/>
          <w:color w:val="auto"/>
        </w:rPr>
        <w:t>Cash and cash equivalents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12065</wp:posOffset>
            </wp:positionV>
            <wp:extent cx="6995160" cy="12890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Total current assets</w:t>
      </w:r>
    </w:p>
    <w:p>
      <w:pPr>
        <w:ind w:left="120"/>
        <w:spacing w:after="0" w:line="234" w:lineRule="auto"/>
        <w:rPr>
          <w:sz w:val="20"/>
          <w:szCs w:val="20"/>
          <w:color w:val="auto"/>
        </w:rPr>
      </w:pPr>
      <w:r>
        <w:rPr>
          <w:rFonts w:ascii="Arial" w:cs="Arial" w:eastAsia="Arial" w:hAnsi="Arial"/>
          <w:sz w:val="18"/>
          <w:szCs w:val="18"/>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12890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Restricted cash</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Total assets</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Liabilities, Convertible Preferred Stock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-120650</wp:posOffset>
            </wp:positionV>
            <wp:extent cx="6995160" cy="12890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wp:posOffset>
            </wp:positionV>
            <wp:extent cx="6995160" cy="12890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340"/>
        <w:spacing w:after="0" w:line="234" w:lineRule="auto"/>
        <w:rPr>
          <w:sz w:val="20"/>
          <w:szCs w:val="20"/>
          <w:color w:val="auto"/>
        </w:rPr>
      </w:pPr>
      <w:r>
        <w:rPr>
          <w:rFonts w:ascii="Arial" w:cs="Arial" w:eastAsia="Arial" w:hAnsi="Arial"/>
          <w:sz w:val="18"/>
          <w:szCs w:val="18"/>
          <w:color w:val="auto"/>
        </w:rPr>
        <w:t>Accounts payable</w:t>
      </w:r>
    </w:p>
    <w:p>
      <w:pPr>
        <w:ind w:left="340"/>
        <w:spacing w:after="0" w:line="235" w:lineRule="auto"/>
        <w:rPr>
          <w:sz w:val="20"/>
          <w:szCs w:val="20"/>
          <w:color w:val="auto"/>
        </w:rPr>
      </w:pPr>
      <w:r>
        <w:rPr>
          <w:rFonts w:ascii="Arial" w:cs="Arial" w:eastAsia="Arial" w:hAnsi="Arial"/>
          <w:sz w:val="18"/>
          <w:szCs w:val="18"/>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wp:posOffset>
            </wp:positionV>
            <wp:extent cx="6995160" cy="12890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340"/>
        <w:spacing w:after="0" w:line="235" w:lineRule="auto"/>
        <w:rPr>
          <w:sz w:val="20"/>
          <w:szCs w:val="20"/>
          <w:color w:val="auto"/>
        </w:rPr>
      </w:pPr>
      <w:r>
        <w:rPr>
          <w:rFonts w:ascii="Arial" w:cs="Arial" w:eastAsia="Arial" w:hAnsi="Arial"/>
          <w:sz w:val="18"/>
          <w:szCs w:val="18"/>
          <w:color w:val="auto"/>
        </w:rPr>
        <w:t>Current portion capital lease</w:t>
      </w:r>
    </w:p>
    <w:p>
      <w:pPr>
        <w:ind w:left="340"/>
        <w:spacing w:after="0" w:line="235" w:lineRule="auto"/>
        <w:rPr>
          <w:sz w:val="20"/>
          <w:szCs w:val="20"/>
          <w:color w:val="auto"/>
        </w:rPr>
      </w:pPr>
      <w:r>
        <w:rPr>
          <w:rFonts w:ascii="Arial" w:cs="Arial" w:eastAsia="Arial" w:hAnsi="Arial"/>
          <w:sz w:val="18"/>
          <w:szCs w:val="18"/>
          <w:color w:val="auto"/>
        </w:rPr>
        <w:t>Current portion of 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wp:posOffset>
            </wp:positionV>
            <wp:extent cx="6995160" cy="12890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Current portion of deferred rent</w:t>
      </w:r>
    </w:p>
    <w:p>
      <w:pPr>
        <w:spacing w:after="0" w:line="1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wp:posOffset>
            </wp:positionV>
            <wp:extent cx="6995160" cy="12890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4" w:lineRule="auto"/>
        <w:rPr>
          <w:sz w:val="20"/>
          <w:szCs w:val="20"/>
          <w:color w:val="auto"/>
        </w:rPr>
      </w:pPr>
      <w:r>
        <w:rPr>
          <w:rFonts w:ascii="Arial" w:cs="Arial" w:eastAsia="Arial" w:hAnsi="Arial"/>
          <w:sz w:val="18"/>
          <w:szCs w:val="18"/>
          <w:color w:val="auto"/>
        </w:rPr>
        <w:t>Convertible notes payable, related party</w:t>
      </w:r>
    </w:p>
    <w:p>
      <w:pPr>
        <w:ind w:left="120"/>
        <w:spacing w:after="0" w:line="235" w:lineRule="auto"/>
        <w:rPr>
          <w:sz w:val="20"/>
          <w:szCs w:val="20"/>
          <w:color w:val="auto"/>
        </w:rPr>
      </w:pPr>
      <w:r>
        <w:rPr>
          <w:rFonts w:ascii="Arial" w:cs="Arial" w:eastAsia="Arial" w:hAnsi="Arial"/>
          <w:sz w:val="18"/>
          <w:szCs w:val="18"/>
          <w:color w:val="auto"/>
        </w:rPr>
        <w:t>Capital lease, 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wp:posOffset>
            </wp:positionV>
            <wp:extent cx="6995160" cy="12890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5" w:lineRule="auto"/>
        <w:rPr>
          <w:sz w:val="20"/>
          <w:szCs w:val="20"/>
          <w:color w:val="auto"/>
        </w:rPr>
      </w:pPr>
      <w:r>
        <w:rPr>
          <w:rFonts w:ascii="Arial" w:cs="Arial" w:eastAsia="Arial" w:hAnsi="Arial"/>
          <w:sz w:val="18"/>
          <w:szCs w:val="18"/>
          <w:color w:val="auto"/>
        </w:rPr>
        <w:t>Deferred revenue, less current portion</w:t>
      </w:r>
    </w:p>
    <w:p>
      <w:pPr>
        <w:ind w:left="120"/>
        <w:spacing w:after="0"/>
        <w:rPr>
          <w:sz w:val="20"/>
          <w:szCs w:val="20"/>
          <w:color w:val="auto"/>
        </w:rPr>
      </w:pPr>
      <w:r>
        <w:rPr>
          <w:rFonts w:ascii="Arial" w:cs="Arial" w:eastAsia="Arial" w:hAnsi="Arial"/>
          <w:sz w:val="18"/>
          <w:szCs w:val="18"/>
          <w:color w:val="auto"/>
        </w:rPr>
        <w:t>Deferred rent, 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12065</wp:posOffset>
            </wp:positionV>
            <wp:extent cx="6995160" cy="12890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Total liabilities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Commitments and contingencies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38100</wp:posOffset>
            </wp:positionV>
            <wp:extent cx="6995160" cy="12890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Convertible preferred stock</w:t>
      </w:r>
    </w:p>
    <w:p>
      <w:pPr>
        <w:jc w:val="both"/>
        <w:ind w:left="540" w:right="240" w:hanging="215"/>
        <w:spacing w:after="0" w:line="237" w:lineRule="auto"/>
        <w:rPr>
          <w:sz w:val="20"/>
          <w:szCs w:val="20"/>
          <w:color w:val="auto"/>
        </w:rPr>
      </w:pPr>
      <w:r>
        <w:rPr>
          <w:rFonts w:ascii="Arial" w:cs="Arial" w:eastAsia="Arial" w:hAnsi="Arial"/>
          <w:sz w:val="18"/>
          <w:szCs w:val="18"/>
          <w:color w:val="auto"/>
        </w:rPr>
        <w:t>Series A convertible preferred stock, $0.001 par value; 75,000,000 shares authorized, issued and outstanding at September 30, 2018 and December 31, 2017; aggregate liquidation preference of $104,466,444 and $99,983,111 at September 30, 2018 and December 31,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36195</wp:posOffset>
            </wp:positionV>
            <wp:extent cx="6995160" cy="12890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Stockholders’ deficit</w:t>
      </w:r>
    </w:p>
    <w:p>
      <w:pPr>
        <w:jc w:val="center"/>
        <w:ind w:right="240"/>
        <w:spacing w:after="0" w:line="234" w:lineRule="auto"/>
        <w:rPr>
          <w:sz w:val="20"/>
          <w:szCs w:val="20"/>
          <w:color w:val="auto"/>
        </w:rPr>
      </w:pPr>
      <w:r>
        <w:rPr>
          <w:rFonts w:ascii="Arial" w:cs="Arial" w:eastAsia="Arial" w:hAnsi="Arial"/>
          <w:sz w:val="18"/>
          <w:szCs w:val="18"/>
          <w:color w:val="auto"/>
        </w:rPr>
        <w:t>Common stock, $0.001 par value; 121,500,000 shares authorized, 19,017,534 and</w:t>
      </w:r>
    </w:p>
    <w:p>
      <w:pPr>
        <w:jc w:val="center"/>
        <w:ind w:right="4760"/>
        <w:spacing w:after="0" w:line="235" w:lineRule="auto"/>
        <w:rPr>
          <w:sz w:val="20"/>
          <w:szCs w:val="20"/>
          <w:color w:val="auto"/>
        </w:rPr>
      </w:pPr>
      <w:r>
        <w:rPr>
          <w:rFonts w:ascii="Arial" w:cs="Arial" w:eastAsia="Arial" w:hAnsi="Arial"/>
          <w:sz w:val="18"/>
          <w:szCs w:val="18"/>
          <w:color w:val="auto"/>
        </w:rPr>
        <w:t>19,083,561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wp:posOffset>
            </wp:positionV>
            <wp:extent cx="6995160" cy="12827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995160" cy="128270"/>
                    </a:xfrm>
                    <a:prstGeom prst="rect">
                      <a:avLst/>
                    </a:prstGeom>
                    <a:noFill/>
                  </pic:spPr>
                </pic:pic>
              </a:graphicData>
            </a:graphic>
          </wp:anchor>
        </w:drawing>
      </w:r>
    </w:p>
    <w:p>
      <w:pPr>
        <w:jc w:val="center"/>
        <w:ind w:right="4740"/>
        <w:spacing w:after="0" w:line="235" w:lineRule="auto"/>
        <w:rPr>
          <w:sz w:val="20"/>
          <w:szCs w:val="20"/>
          <w:color w:val="auto"/>
        </w:rPr>
      </w:pPr>
      <w:r>
        <w:rPr>
          <w:rFonts w:ascii="Arial" w:cs="Arial" w:eastAsia="Arial" w:hAnsi="Arial"/>
          <w:sz w:val="18"/>
          <w:szCs w:val="18"/>
          <w:color w:val="auto"/>
        </w:rPr>
        <w:t>Additional paid-in capital</w:t>
      </w:r>
    </w:p>
    <w:p>
      <w:pPr>
        <w:ind w:left="340"/>
        <w:spacing w:after="0"/>
        <w:rPr>
          <w:sz w:val="20"/>
          <w:szCs w:val="20"/>
          <w:color w:val="auto"/>
        </w:rPr>
      </w:pPr>
      <w:r>
        <w:rPr>
          <w:rFonts w:ascii="Arial" w:cs="Arial" w:eastAsia="Arial" w:hAnsi="Arial"/>
          <w:sz w:val="18"/>
          <w:szCs w:val="18"/>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12065</wp:posOffset>
            </wp:positionV>
            <wp:extent cx="6995160" cy="12890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Total stockholders’ deficit</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Total liabilities, convertible preferred stock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3810</wp:posOffset>
            </wp:positionV>
            <wp:extent cx="692658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232"/>
              <w:spacing w:after="0"/>
              <w:rPr>
                <w:sz w:val="20"/>
                <w:szCs w:val="20"/>
                <w:color w:val="auto"/>
              </w:rPr>
            </w:pPr>
            <w:r>
              <w:rPr>
                <w:rFonts w:ascii="Arial" w:cs="Arial" w:eastAsia="Arial" w:hAnsi="Arial"/>
                <w:sz w:val="18"/>
                <w:szCs w:val="18"/>
                <w:color w:val="auto"/>
              </w:rPr>
              <w:t>589,215</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18,616,527</w:t>
            </w:r>
          </w:p>
        </w:tc>
      </w:tr>
      <w:tr>
        <w:trPr>
          <w:trHeight w:val="199"/>
        </w:trPr>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32"/>
              <w:spacing w:after="0" w:line="200" w:lineRule="exact"/>
              <w:rPr>
                <w:sz w:val="20"/>
                <w:szCs w:val="20"/>
                <w:color w:val="auto"/>
              </w:rPr>
            </w:pPr>
            <w:r>
              <w:rPr>
                <w:rFonts w:ascii="Arial" w:cs="Arial" w:eastAsia="Arial" w:hAnsi="Arial"/>
                <w:sz w:val="18"/>
                <w:szCs w:val="18"/>
                <w:color w:val="auto"/>
              </w:rPr>
              <w:t>568,283</w:t>
            </w: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527,558</w:t>
            </w:r>
          </w:p>
        </w:tc>
      </w:tr>
      <w:tr>
        <w:trPr>
          <w:trHeight w:val="213"/>
        </w:trPr>
        <w:tc>
          <w:tcPr>
            <w:tcW w:w="260" w:type="dxa"/>
            <w:vAlign w:val="bottom"/>
          </w:tcPr>
          <w:p>
            <w:pPr>
              <w:spacing w:after="0"/>
              <w:rPr>
                <w:sz w:val="18"/>
                <w:szCs w:val="18"/>
                <w:color w:val="auto"/>
              </w:rPr>
            </w:pPr>
          </w:p>
        </w:tc>
        <w:tc>
          <w:tcPr>
            <w:tcW w:w="1260" w:type="dxa"/>
            <w:vAlign w:val="bottom"/>
          </w:tcPr>
          <w:p>
            <w:pPr>
              <w:jc w:val="right"/>
              <w:ind w:right="232"/>
              <w:spacing w:after="0"/>
              <w:rPr>
                <w:sz w:val="20"/>
                <w:szCs w:val="20"/>
                <w:color w:val="auto"/>
              </w:rPr>
            </w:pPr>
            <w:r>
              <w:rPr>
                <w:rFonts w:ascii="Arial" w:cs="Arial" w:eastAsia="Arial" w:hAnsi="Arial"/>
                <w:sz w:val="18"/>
                <w:szCs w:val="18"/>
                <w:color w:val="auto"/>
              </w:rPr>
              <w:t>1,157,498</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19,144,085</w:t>
            </w:r>
          </w:p>
        </w:tc>
      </w:tr>
      <w:tr>
        <w:trPr>
          <w:trHeight w:val="203"/>
        </w:trPr>
        <w:tc>
          <w:tcPr>
            <w:tcW w:w="260" w:type="dxa"/>
            <w:vAlign w:val="bottom"/>
          </w:tcPr>
          <w:p>
            <w:pPr>
              <w:spacing w:after="0"/>
              <w:rPr>
                <w:sz w:val="17"/>
                <w:szCs w:val="17"/>
                <w:color w:val="auto"/>
              </w:rPr>
            </w:pPr>
          </w:p>
        </w:tc>
        <w:tc>
          <w:tcPr>
            <w:tcW w:w="126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2,768,167</w:t>
            </w:r>
          </w:p>
        </w:tc>
        <w:tc>
          <w:tcPr>
            <w:tcW w:w="5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4,008,581</w:t>
            </w:r>
          </w:p>
        </w:tc>
      </w:tr>
      <w:tr>
        <w:trPr>
          <w:trHeight w:val="199"/>
        </w:trPr>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32"/>
              <w:spacing w:after="0" w:line="200" w:lineRule="exact"/>
              <w:rPr>
                <w:sz w:val="20"/>
                <w:szCs w:val="20"/>
                <w:color w:val="auto"/>
              </w:rPr>
            </w:pPr>
            <w:r>
              <w:rPr>
                <w:rFonts w:ascii="Arial" w:cs="Arial" w:eastAsia="Arial" w:hAnsi="Arial"/>
                <w:sz w:val="18"/>
                <w:szCs w:val="18"/>
                <w:color w:val="auto"/>
              </w:rPr>
              <w:t>213,821</w:t>
            </w: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213,581</w:t>
            </w:r>
          </w:p>
        </w:tc>
      </w:tr>
      <w:tr>
        <w:trPr>
          <w:trHeight w:val="209"/>
        </w:trPr>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4,139,486</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23,366,247</w:t>
            </w:r>
          </w:p>
        </w:tc>
      </w:tr>
      <w:tr>
        <w:trPr>
          <w:trHeight w:val="685"/>
        </w:trPr>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232"/>
              <w:spacing w:after="0"/>
              <w:rPr>
                <w:sz w:val="20"/>
                <w:szCs w:val="20"/>
                <w:color w:val="auto"/>
              </w:rPr>
            </w:pPr>
            <w:r>
              <w:rPr>
                <w:rFonts w:ascii="Arial" w:cs="Arial" w:eastAsia="Arial" w:hAnsi="Arial"/>
                <w:sz w:val="18"/>
                <w:szCs w:val="18"/>
                <w:color w:val="auto"/>
              </w:rPr>
              <w:t>2,217,276</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1,816,045</w:t>
            </w:r>
          </w:p>
        </w:tc>
      </w:tr>
      <w:tr>
        <w:trPr>
          <w:trHeight w:val="203"/>
        </w:trPr>
        <w:tc>
          <w:tcPr>
            <w:tcW w:w="260" w:type="dxa"/>
            <w:vAlign w:val="bottom"/>
          </w:tcPr>
          <w:p>
            <w:pPr>
              <w:spacing w:after="0"/>
              <w:rPr>
                <w:sz w:val="17"/>
                <w:szCs w:val="17"/>
                <w:color w:val="auto"/>
              </w:rPr>
            </w:pPr>
          </w:p>
        </w:tc>
        <w:tc>
          <w:tcPr>
            <w:tcW w:w="126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2,030,374</w:t>
            </w:r>
          </w:p>
        </w:tc>
        <w:tc>
          <w:tcPr>
            <w:tcW w:w="5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2,159,209</w:t>
            </w:r>
          </w:p>
        </w:tc>
      </w:tr>
      <w:tr>
        <w:trPr>
          <w:trHeight w:val="203"/>
        </w:trPr>
        <w:tc>
          <w:tcPr>
            <w:tcW w:w="260" w:type="dxa"/>
            <w:vAlign w:val="bottom"/>
          </w:tcPr>
          <w:p>
            <w:pPr>
              <w:spacing w:after="0"/>
              <w:rPr>
                <w:sz w:val="17"/>
                <w:szCs w:val="17"/>
                <w:color w:val="auto"/>
              </w:rPr>
            </w:pPr>
          </w:p>
        </w:tc>
        <w:tc>
          <w:tcPr>
            <w:tcW w:w="126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135,730</w:t>
            </w:r>
          </w:p>
        </w:tc>
        <w:tc>
          <w:tcPr>
            <w:tcW w:w="5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114,866</w:t>
            </w:r>
          </w:p>
        </w:tc>
      </w:tr>
      <w:tr>
        <w:trPr>
          <w:trHeight w:val="203"/>
        </w:trPr>
        <w:tc>
          <w:tcPr>
            <w:tcW w:w="260" w:type="dxa"/>
            <w:vAlign w:val="bottom"/>
          </w:tcPr>
          <w:p>
            <w:pPr>
              <w:spacing w:after="0"/>
              <w:rPr>
                <w:sz w:val="17"/>
                <w:szCs w:val="17"/>
                <w:color w:val="auto"/>
              </w:rPr>
            </w:pPr>
          </w:p>
        </w:tc>
        <w:tc>
          <w:tcPr>
            <w:tcW w:w="126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4,600,000</w:t>
            </w:r>
          </w:p>
        </w:tc>
        <w:tc>
          <w:tcPr>
            <w:tcW w:w="5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5,482,353</w:t>
            </w:r>
          </w:p>
        </w:tc>
      </w:tr>
    </w:tbl>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107,783</w:t>
      </w:r>
    </w:p>
    <w:p>
      <w:pPr>
        <w:spacing w:after="0" w:line="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8,983,380</w:t>
      </w:r>
      <w:r>
        <w:rPr>
          <w:rFonts w:ascii="Arial" w:cs="Arial" w:eastAsia="Arial" w:hAnsi="Arial"/>
          <w:sz w:val="16"/>
          <w:szCs w:val="16"/>
          <w:color w:val="auto"/>
        </w:rPr>
        <w:t>9,680,256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-147320</wp:posOffset>
            </wp:positionV>
            <wp:extent cx="189420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ind w:left="320"/>
        <w:spacing w:after="0" w:line="234" w:lineRule="auto"/>
        <w:tabs>
          <w:tab w:leader="none" w:pos="2080" w:val="left"/>
        </w:tabs>
        <w:rPr>
          <w:sz w:val="20"/>
          <w:szCs w:val="20"/>
          <w:color w:val="auto"/>
        </w:rPr>
      </w:pPr>
      <w:r>
        <w:rPr>
          <w:rFonts w:ascii="Arial" w:cs="Arial" w:eastAsia="Arial" w:hAnsi="Arial"/>
          <w:sz w:val="18"/>
          <w:szCs w:val="18"/>
          <w:color w:val="auto"/>
        </w:rPr>
        <w:t>30,000,000</w:t>
      </w:r>
      <w:r>
        <w:rPr>
          <w:sz w:val="20"/>
          <w:szCs w:val="20"/>
          <w:color w:val="auto"/>
        </w:rPr>
        <w:tab/>
      </w:r>
      <w:r>
        <w:rPr>
          <w:rFonts w:ascii="Arial" w:cs="Arial" w:eastAsia="Arial" w:hAnsi="Arial"/>
          <w:sz w:val="18"/>
          <w:szCs w:val="18"/>
          <w:color w:val="auto"/>
        </w:rPr>
        <w:t>33,989,320</w:t>
      </w:r>
    </w:p>
    <w:p>
      <w:pPr>
        <w:jc w:val="both"/>
        <w:ind w:left="560"/>
        <w:spacing w:after="0" w:line="235" w:lineRule="auto"/>
        <w:tabs>
          <w:tab w:leader="none" w:pos="2320" w:val="left"/>
        </w:tabs>
        <w:rPr>
          <w:sz w:val="20"/>
          <w:szCs w:val="20"/>
          <w:color w:val="auto"/>
        </w:rPr>
      </w:pPr>
      <w:r>
        <w:rPr>
          <w:rFonts w:ascii="Arial" w:cs="Arial" w:eastAsia="Arial" w:hAnsi="Arial"/>
          <w:sz w:val="18"/>
          <w:szCs w:val="18"/>
          <w:color w:val="auto"/>
        </w:rPr>
        <w:t>198,565</w:t>
      </w:r>
      <w:r>
        <w:rPr>
          <w:sz w:val="20"/>
          <w:szCs w:val="20"/>
          <w:color w:val="auto"/>
        </w:rPr>
        <w:tab/>
      </w:r>
      <w:r>
        <w:rPr>
          <w:rFonts w:ascii="Arial" w:cs="Arial" w:eastAsia="Arial" w:hAnsi="Arial"/>
          <w:sz w:val="18"/>
          <w:szCs w:val="18"/>
          <w:color w:val="auto"/>
        </w:rPr>
        <w:t>301,364</w:t>
      </w:r>
    </w:p>
    <w:p>
      <w:pPr>
        <w:ind w:left="320"/>
        <w:spacing w:after="0" w:line="235" w:lineRule="auto"/>
        <w:tabs>
          <w:tab w:leader="none" w:pos="2080" w:val="left"/>
        </w:tabs>
        <w:rPr>
          <w:sz w:val="20"/>
          <w:szCs w:val="20"/>
          <w:color w:val="auto"/>
        </w:rPr>
      </w:pPr>
      <w:r>
        <w:rPr>
          <w:rFonts w:ascii="Arial" w:cs="Arial" w:eastAsia="Arial" w:hAnsi="Arial"/>
          <w:sz w:val="18"/>
          <w:szCs w:val="18"/>
          <w:color w:val="auto"/>
        </w:rPr>
        <w:t>13,800,000</w:t>
      </w:r>
      <w:r>
        <w:rPr>
          <w:sz w:val="20"/>
          <w:szCs w:val="20"/>
          <w:color w:val="auto"/>
        </w:rPr>
        <w:tab/>
      </w:r>
      <w:r>
        <w:rPr>
          <w:rFonts w:ascii="Arial" w:cs="Arial" w:eastAsia="Arial" w:hAnsi="Arial"/>
          <w:sz w:val="18"/>
          <w:szCs w:val="18"/>
          <w:color w:val="auto"/>
        </w:rPr>
        <w:t>17,250,000</w:t>
      </w:r>
    </w:p>
    <w:p>
      <w:pPr>
        <w:jc w:val="both"/>
        <w:ind w:left="560"/>
        <w:spacing w:after="0"/>
        <w:tabs>
          <w:tab w:leader="none" w:pos="2320" w:val="left"/>
        </w:tabs>
        <w:rPr>
          <w:sz w:val="20"/>
          <w:szCs w:val="20"/>
          <w:color w:val="auto"/>
        </w:rPr>
      </w:pPr>
      <w:r>
        <w:rPr>
          <w:rFonts w:ascii="Arial" w:cs="Arial" w:eastAsia="Arial" w:hAnsi="Arial"/>
          <w:sz w:val="18"/>
          <w:szCs w:val="18"/>
          <w:color w:val="auto"/>
        </w:rPr>
        <w:t>314,400</w:t>
      </w:r>
      <w:r>
        <w:rPr>
          <w:sz w:val="20"/>
          <w:szCs w:val="20"/>
          <w:color w:val="auto"/>
        </w:rPr>
        <w:tab/>
      </w:r>
      <w:r>
        <w:rPr>
          <w:rFonts w:ascii="Arial" w:cs="Arial" w:eastAsia="Arial" w:hAnsi="Arial"/>
          <w:sz w:val="18"/>
          <w:szCs w:val="18"/>
          <w:color w:val="auto"/>
        </w:rPr>
        <w:t>255,067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189420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894205" cy="8890"/>
                    </a:xfrm>
                    <a:prstGeom prst="rect">
                      <a:avLst/>
                    </a:prstGeom>
                    <a:noFill/>
                  </pic:spPr>
                </pic:pic>
              </a:graphicData>
            </a:graphic>
          </wp:anchor>
        </w:drawing>
      </w:r>
    </w:p>
    <w:p>
      <w:pPr>
        <w:spacing w:after="0" w:line="3" w:lineRule="exact"/>
        <w:rPr>
          <w:sz w:val="20"/>
          <w:szCs w:val="20"/>
          <w:color w:val="auto"/>
        </w:rPr>
      </w:pPr>
    </w:p>
    <w:p>
      <w:pPr>
        <w:ind w:left="320"/>
        <w:spacing w:after="0"/>
        <w:tabs>
          <w:tab w:leader="none" w:pos="2080" w:val="left"/>
        </w:tabs>
        <w:rPr>
          <w:sz w:val="20"/>
          <w:szCs w:val="20"/>
          <w:color w:val="auto"/>
        </w:rPr>
      </w:pPr>
      <w:r>
        <w:rPr>
          <w:rFonts w:ascii="Arial" w:cs="Arial" w:eastAsia="Arial" w:hAnsi="Arial"/>
          <w:sz w:val="18"/>
          <w:szCs w:val="18"/>
          <w:color w:val="auto"/>
        </w:rPr>
        <w:t>53,296,345</w:t>
      </w:r>
      <w:r>
        <w:rPr>
          <w:sz w:val="20"/>
          <w:szCs w:val="20"/>
          <w:color w:val="auto"/>
        </w:rPr>
        <w:tab/>
      </w:r>
      <w:r>
        <w:rPr>
          <w:rFonts w:ascii="Arial" w:cs="Arial" w:eastAsia="Arial" w:hAnsi="Arial"/>
          <w:sz w:val="18"/>
          <w:szCs w:val="18"/>
          <w:color w:val="auto"/>
        </w:rPr>
        <w:t>61,476,007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40" w:type="dxa"/>
            <w:vAlign w:val="bottom"/>
          </w:tcPr>
          <w:p>
            <w:pPr>
              <w:spacing w:after="0"/>
              <w:rPr>
                <w:sz w:val="18"/>
                <w:szCs w:val="18"/>
                <w:color w:val="auto"/>
              </w:rPr>
            </w:pPr>
          </w:p>
        </w:tc>
        <w:tc>
          <w:tcPr>
            <w:tcW w:w="1400" w:type="dxa"/>
            <w:vAlign w:val="bottom"/>
          </w:tcPr>
          <w:p>
            <w:pPr>
              <w:jc w:val="right"/>
              <w:ind w:right="252"/>
              <w:spacing w:after="0"/>
              <w:rPr>
                <w:sz w:val="20"/>
                <w:szCs w:val="20"/>
                <w:color w:val="auto"/>
              </w:rPr>
            </w:pPr>
            <w:r>
              <w:rPr>
                <w:rFonts w:ascii="Arial" w:cs="Arial" w:eastAsia="Arial" w:hAnsi="Arial"/>
                <w:sz w:val="18"/>
                <w:szCs w:val="18"/>
                <w:color w:val="auto"/>
              </w:rPr>
              <w:t>74,259,411</w:t>
            </w:r>
          </w:p>
        </w:tc>
        <w:tc>
          <w:tcPr>
            <w:tcW w:w="1440" w:type="dxa"/>
            <w:vAlign w:val="bottom"/>
          </w:tcPr>
          <w:p>
            <w:pPr>
              <w:jc w:val="right"/>
              <w:spacing w:after="0"/>
              <w:rPr>
                <w:sz w:val="20"/>
                <w:szCs w:val="20"/>
                <w:color w:val="auto"/>
              </w:rPr>
            </w:pPr>
            <w:r>
              <w:rPr>
                <w:rFonts w:ascii="Arial" w:cs="Arial" w:eastAsia="Arial" w:hAnsi="Arial"/>
                <w:sz w:val="18"/>
                <w:szCs w:val="18"/>
                <w:color w:val="auto"/>
              </w:rPr>
              <w:t>74,259,411</w:t>
            </w:r>
          </w:p>
        </w:tc>
        <w:tc>
          <w:tcPr>
            <w:tcW w:w="60" w:type="dxa"/>
            <w:vAlign w:val="bottom"/>
          </w:tcPr>
          <w:p>
            <w:pPr>
              <w:spacing w:after="0"/>
              <w:rPr>
                <w:sz w:val="18"/>
                <w:szCs w:val="18"/>
                <w:color w:val="auto"/>
              </w:rPr>
            </w:pPr>
          </w:p>
        </w:tc>
      </w:tr>
      <w:tr>
        <w:trPr>
          <w:trHeight w:val="667"/>
        </w:trPr>
        <w:tc>
          <w:tcPr>
            <w:tcW w:w="140" w:type="dxa"/>
            <w:vAlign w:val="bottom"/>
          </w:tcPr>
          <w:p>
            <w:pPr>
              <w:spacing w:after="0"/>
              <w:rPr>
                <w:sz w:val="24"/>
                <w:szCs w:val="24"/>
                <w:color w:val="auto"/>
              </w:rPr>
            </w:pPr>
          </w:p>
        </w:tc>
        <w:tc>
          <w:tcPr>
            <w:tcW w:w="1400" w:type="dxa"/>
            <w:vAlign w:val="bottom"/>
          </w:tcPr>
          <w:p>
            <w:pPr>
              <w:jc w:val="right"/>
              <w:ind w:right="252"/>
              <w:spacing w:after="0"/>
              <w:rPr>
                <w:sz w:val="20"/>
                <w:szCs w:val="20"/>
                <w:color w:val="auto"/>
              </w:rPr>
            </w:pPr>
            <w:r>
              <w:rPr>
                <w:rFonts w:ascii="Arial" w:cs="Arial" w:eastAsia="Arial" w:hAnsi="Arial"/>
                <w:sz w:val="18"/>
                <w:szCs w:val="18"/>
                <w:color w:val="auto"/>
              </w:rPr>
              <w:t>19,018</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19,084</w:t>
            </w:r>
          </w:p>
        </w:tc>
      </w:tr>
      <w:tr>
        <w:trPr>
          <w:trHeight w:val="203"/>
        </w:trPr>
        <w:tc>
          <w:tcPr>
            <w:tcW w:w="140" w:type="dxa"/>
            <w:vAlign w:val="bottom"/>
          </w:tcPr>
          <w:p>
            <w:pPr>
              <w:spacing w:after="0"/>
              <w:rPr>
                <w:sz w:val="17"/>
                <w:szCs w:val="17"/>
                <w:color w:val="auto"/>
              </w:rPr>
            </w:pPr>
          </w:p>
        </w:tc>
        <w:tc>
          <w:tcPr>
            <w:tcW w:w="140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5,450,595</w:t>
            </w:r>
          </w:p>
        </w:tc>
        <w:tc>
          <w:tcPr>
            <w:tcW w:w="1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5,088,905</w:t>
            </w:r>
          </w:p>
        </w:tc>
      </w:tr>
      <w:tr>
        <w:trPr>
          <w:trHeight w:val="199"/>
        </w:trPr>
        <w:tc>
          <w:tcPr>
            <w:tcW w:w="140" w:type="dxa"/>
            <w:vAlign w:val="bottom"/>
          </w:tcPr>
          <w:p>
            <w:pPr>
              <w:spacing w:after="0"/>
              <w:rPr>
                <w:sz w:val="17"/>
                <w:szCs w:val="17"/>
                <w:color w:val="auto"/>
              </w:rPr>
            </w:pPr>
          </w:p>
        </w:tc>
        <w:tc>
          <w:tcPr>
            <w:tcW w:w="1400" w:type="dxa"/>
            <w:vAlign w:val="bottom"/>
          </w:tcPr>
          <w:p>
            <w:pPr>
              <w:jc w:val="right"/>
              <w:ind w:right="192"/>
              <w:spacing w:after="0" w:line="200" w:lineRule="exact"/>
              <w:rPr>
                <w:sz w:val="20"/>
                <w:szCs w:val="20"/>
                <w:color w:val="auto"/>
              </w:rPr>
            </w:pPr>
            <w:r>
              <w:rPr>
                <w:rFonts w:ascii="Arial" w:cs="Arial" w:eastAsia="Arial" w:hAnsi="Arial"/>
                <w:sz w:val="18"/>
                <w:szCs w:val="18"/>
                <w:color w:val="auto"/>
                <w:w w:val="98"/>
              </w:rPr>
              <w:t>(128,885,883)</w:t>
            </w:r>
          </w:p>
        </w:tc>
        <w:tc>
          <w:tcPr>
            <w:tcW w:w="150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(117,477,160)</w:t>
            </w:r>
          </w:p>
        </w:tc>
      </w:tr>
      <w:tr>
        <w:trPr>
          <w:trHeight w:val="20"/>
        </w:trPr>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400" w:type="dxa"/>
            <w:vAlign w:val="bottom"/>
          </w:tcPr>
          <w:p>
            <w:pPr>
              <w:jc w:val="right"/>
              <w:ind w:right="192"/>
              <w:spacing w:after="0"/>
              <w:rPr>
                <w:sz w:val="20"/>
                <w:szCs w:val="20"/>
                <w:color w:val="auto"/>
              </w:rPr>
            </w:pPr>
            <w:r>
              <w:rPr>
                <w:rFonts w:ascii="Arial" w:cs="Arial" w:eastAsia="Arial" w:hAnsi="Arial"/>
                <w:sz w:val="18"/>
                <w:szCs w:val="18"/>
                <w:color w:val="auto"/>
                <w:w w:val="98"/>
              </w:rPr>
              <w:t>(123,416,270)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(112,369,171)</w:t>
            </w:r>
          </w:p>
        </w:tc>
      </w:tr>
      <w:tr>
        <w:trPr>
          <w:trHeight w:val="221"/>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252"/>
              <w:spacing w:after="0"/>
              <w:rPr>
                <w:sz w:val="20"/>
                <w:szCs w:val="20"/>
                <w:color w:val="auto"/>
              </w:rPr>
            </w:pPr>
            <w:r>
              <w:rPr>
                <w:rFonts w:ascii="Arial" w:cs="Arial" w:eastAsia="Arial" w:hAnsi="Arial"/>
                <w:sz w:val="18"/>
                <w:szCs w:val="18"/>
                <w:color w:val="auto"/>
              </w:rPr>
              <w:t>4,139,486</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23,366,247</w:t>
            </w:r>
          </w:p>
        </w:tc>
        <w:tc>
          <w:tcPr>
            <w:tcW w:w="60" w:type="dxa"/>
            <w:vAlign w:val="bottom"/>
          </w:tcPr>
          <w:p>
            <w:pPr>
              <w:spacing w:after="0"/>
              <w:rPr>
                <w:sz w:val="19"/>
                <w:szCs w:val="19"/>
                <w:color w:val="auto"/>
              </w:rPr>
            </w:pPr>
          </w:p>
        </w:tc>
      </w:tr>
    </w:tbl>
    <w:p>
      <w:pPr>
        <w:spacing w:after="0" w:line="109" w:lineRule="exact"/>
        <w:rPr>
          <w:sz w:val="20"/>
          <w:szCs w:val="20"/>
          <w:color w:val="auto"/>
        </w:rPr>
      </w:pPr>
    </w:p>
    <w:p>
      <w:pPr>
        <w:sectPr>
          <w:pgSz w:w="11900" w:h="16838" w:orient="portrait"/>
          <w:cols w:equalWidth="0" w:num="2">
            <w:col w:w="7320" w:space="720"/>
            <w:col w:w="3100"/>
          </w:cols>
          <w:pgMar w:left="320" w:top="459" w:right="439" w:bottom="1440" w:gutter="0" w:footer="0" w:header="0"/>
          <w:type w:val="continuous"/>
        </w:sectPr>
      </w:pPr>
    </w:p>
    <w:p>
      <w:pPr>
        <w:ind w:left="120"/>
        <w:spacing w:after="0"/>
        <w:rPr>
          <w:sz w:val="20"/>
          <w:szCs w:val="20"/>
          <w:color w:val="auto"/>
        </w:rPr>
      </w:pPr>
      <w:r>
        <w:rPr>
          <w:rFonts w:ascii="Arial" w:cs="Arial" w:eastAsia="Arial" w:hAnsi="Arial"/>
          <w:sz w:val="13"/>
          <w:szCs w:val="13"/>
          <w:i w:val="1"/>
          <w:iCs w:val="1"/>
          <w:color w:val="auto"/>
        </w:rPr>
        <w:t>The accompanying notes are an integral part of these condensed financial statements.</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F-63</w:t>
      </w:r>
    </w:p>
    <w:p>
      <w:pPr>
        <w:sectPr>
          <w:pgSz w:w="11900" w:h="16838" w:orient="portrait"/>
          <w:cols w:equalWidth="0" w:num="1">
            <w:col w:w="11140"/>
          </w:cols>
          <w:pgMar w:left="320" w:top="459" w:right="439" w:bottom="1440" w:gutter="0" w:footer="0" w:header="0"/>
          <w:type w:val="continuous"/>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Warp Drive Bio, Inc.</w:t>
      </w:r>
    </w:p>
    <w:p>
      <w:pPr>
        <w:spacing w:after="0" w:line="50" w:lineRule="exact"/>
        <w:rPr>
          <w:sz w:val="20"/>
          <w:szCs w:val="20"/>
          <w:color w:val="auto"/>
        </w:rPr>
      </w:pPr>
    </w:p>
    <w:p>
      <w:pPr>
        <w:ind w:left="120" w:right="1440"/>
        <w:spacing w:after="0" w:line="260" w:lineRule="auto"/>
        <w:rPr>
          <w:sz w:val="20"/>
          <w:szCs w:val="20"/>
          <w:color w:val="auto"/>
        </w:rPr>
      </w:pPr>
      <w:r>
        <w:rPr>
          <w:rFonts w:ascii="Arial" w:cs="Arial" w:eastAsia="Arial" w:hAnsi="Arial"/>
          <w:sz w:val="32"/>
          <w:szCs w:val="32"/>
          <w:b w:val="1"/>
          <w:bCs w:val="1"/>
          <w:color w:val="auto"/>
        </w:rPr>
        <w:t>Condensed statements of operations and comprehensive loss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48260</wp:posOffset>
            </wp:positionV>
            <wp:extent cx="6995160"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05" w:lineRule="exact"/>
        <w:rPr>
          <w:sz w:val="20"/>
          <w:szCs w:val="20"/>
          <w:color w:val="auto"/>
        </w:rPr>
      </w:pPr>
    </w:p>
    <w:p>
      <w:pPr>
        <w:jc w:val="center"/>
        <w:ind w:left="8000"/>
        <w:spacing w:after="0"/>
        <w:rPr>
          <w:sz w:val="20"/>
          <w:szCs w:val="20"/>
          <w:color w:val="auto"/>
        </w:rPr>
      </w:pPr>
      <w:r>
        <w:rPr>
          <w:rFonts w:ascii="Arial" w:cs="Arial" w:eastAsia="Arial" w:hAnsi="Arial"/>
          <w:sz w:val="18"/>
          <w:szCs w:val="18"/>
          <w:b w:val="1"/>
          <w:bCs w:val="1"/>
          <w:color w:val="auto"/>
        </w:rPr>
        <w:t>Nine months ended</w:t>
      </w:r>
    </w:p>
    <w:p>
      <w:pPr>
        <w:spacing w:after="0" w:line="18" w:lineRule="exact"/>
        <w:rPr>
          <w:sz w:val="20"/>
          <w:szCs w:val="20"/>
          <w:color w:val="auto"/>
        </w:rPr>
      </w:pPr>
    </w:p>
    <w:p>
      <w:pPr>
        <w:jc w:val="center"/>
        <w:ind w:left="800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-4445</wp:posOffset>
            </wp:positionV>
            <wp:extent cx="173990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221"/>
        </w:trPr>
        <w:tc>
          <w:tcPr>
            <w:tcW w:w="572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auto"/>
            </w:tcBorders>
          </w:tcPr>
          <w:p>
            <w:pPr>
              <w:spacing w:after="0"/>
              <w:rPr>
                <w:sz w:val="19"/>
                <w:szCs w:val="19"/>
                <w:color w:val="auto"/>
              </w:rPr>
            </w:pPr>
          </w:p>
        </w:tc>
      </w:tr>
      <w:tr>
        <w:trPr>
          <w:trHeight w:val="48"/>
        </w:trPr>
        <w:tc>
          <w:tcPr>
            <w:tcW w:w="57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2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5720" w:type="dxa"/>
            <w:vAlign w:val="bottom"/>
          </w:tcPr>
          <w:p>
            <w:pPr>
              <w:ind w:left="220"/>
              <w:spacing w:after="0" w:line="202" w:lineRule="exact"/>
              <w:rPr>
                <w:sz w:val="20"/>
                <w:szCs w:val="20"/>
                <w:color w:val="auto"/>
              </w:rPr>
            </w:pPr>
            <w:r>
              <w:rPr>
                <w:rFonts w:ascii="Arial" w:cs="Arial" w:eastAsia="Arial" w:hAnsi="Arial"/>
                <w:sz w:val="18"/>
                <w:szCs w:val="18"/>
                <w:color w:val="auto"/>
              </w:rPr>
              <w:t>Collaboration revenue, related party</w:t>
            </w:r>
          </w:p>
        </w:tc>
        <w:tc>
          <w:tcPr>
            <w:tcW w:w="26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882,353</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4,402,077</w:t>
            </w:r>
          </w:p>
        </w:tc>
      </w:tr>
      <w:tr>
        <w:trPr>
          <w:trHeight w:val="203"/>
        </w:trPr>
        <w:tc>
          <w:tcPr>
            <w:tcW w:w="57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Collaboration revenue</w:t>
            </w:r>
          </w:p>
        </w:tc>
        <w:tc>
          <w:tcPr>
            <w:tcW w:w="2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3,450,000</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10"/>
        </w:trPr>
        <w:tc>
          <w:tcPr>
            <w:tcW w:w="5720" w:type="dxa"/>
            <w:vAlign w:val="bottom"/>
          </w:tcPr>
          <w:p>
            <w:pPr>
              <w:ind w:left="220"/>
              <w:spacing w:after="0" w:line="202" w:lineRule="exact"/>
              <w:rPr>
                <w:sz w:val="20"/>
                <w:szCs w:val="20"/>
                <w:color w:val="auto"/>
              </w:rPr>
            </w:pPr>
            <w:r>
              <w:rPr>
                <w:rFonts w:ascii="Arial" w:cs="Arial" w:eastAsia="Arial" w:hAnsi="Arial"/>
                <w:sz w:val="18"/>
                <w:szCs w:val="18"/>
                <w:color w:val="auto"/>
              </w:rPr>
              <w:t>Grant revenue</w:t>
            </w:r>
          </w:p>
        </w:tc>
        <w:tc>
          <w:tcPr>
            <w:tcW w:w="2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463,931</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982,353</w:t>
            </w:r>
          </w:p>
        </w:tc>
        <w:tc>
          <w:tcPr>
            <w:tcW w:w="140" w:type="dxa"/>
            <w:vAlign w:val="bottom"/>
          </w:tcPr>
          <w:p>
            <w:pPr>
              <w:spacing w:after="0"/>
              <w:rPr>
                <w:sz w:val="18"/>
                <w:szCs w:val="18"/>
                <w:color w:val="auto"/>
              </w:rPr>
            </w:pPr>
          </w:p>
        </w:tc>
      </w:tr>
      <w:tr>
        <w:trPr>
          <w:trHeight w:val="203"/>
        </w:trPr>
        <w:tc>
          <w:tcPr>
            <w:tcW w:w="57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revenue</w:t>
            </w:r>
          </w:p>
        </w:tc>
        <w:tc>
          <w:tcPr>
            <w:tcW w:w="2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4,796,284</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5,384,430</w:t>
            </w:r>
          </w:p>
        </w:tc>
      </w:tr>
      <w:tr>
        <w:trPr>
          <w:trHeight w:val="203"/>
        </w:trPr>
        <w:tc>
          <w:tcPr>
            <w:tcW w:w="572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2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57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Research and development</w:t>
            </w:r>
          </w:p>
        </w:tc>
        <w:tc>
          <w:tcPr>
            <w:tcW w:w="2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14,936,903</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18,145,152</w:t>
            </w:r>
          </w:p>
        </w:tc>
        <w:tc>
          <w:tcPr>
            <w:tcW w:w="140" w:type="dxa"/>
            <w:vAlign w:val="bottom"/>
            <w:shd w:val="clear" w:color="auto" w:fill="CCEEFF"/>
          </w:tcPr>
          <w:p>
            <w:pPr>
              <w:spacing w:after="0"/>
              <w:rPr>
                <w:sz w:val="17"/>
                <w:szCs w:val="17"/>
                <w:color w:val="auto"/>
              </w:rPr>
            </w:pPr>
          </w:p>
        </w:tc>
      </w:tr>
      <w:tr>
        <w:trPr>
          <w:trHeight w:val="209"/>
        </w:trPr>
        <w:tc>
          <w:tcPr>
            <w:tcW w:w="5720" w:type="dxa"/>
            <w:vAlign w:val="bottom"/>
          </w:tcPr>
          <w:p>
            <w:pPr>
              <w:ind w:left="220"/>
              <w:spacing w:after="0" w:line="202" w:lineRule="exact"/>
              <w:rPr>
                <w:sz w:val="20"/>
                <w:szCs w:val="20"/>
                <w:color w:val="auto"/>
              </w:rPr>
            </w:pPr>
            <w:r>
              <w:rPr>
                <w:rFonts w:ascii="Arial" w:cs="Arial" w:eastAsia="Arial" w:hAnsi="Arial"/>
                <w:sz w:val="18"/>
                <w:szCs w:val="18"/>
                <w:color w:val="auto"/>
              </w:rPr>
              <w:t>General and administrative</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5,335,931</w:t>
            </w:r>
          </w:p>
        </w:tc>
        <w:tc>
          <w:tcPr>
            <w:tcW w:w="320" w:type="dxa"/>
            <w:vAlign w:val="bottom"/>
          </w:tcPr>
          <w:p>
            <w:pPr>
              <w:spacing w:after="0"/>
              <w:rPr>
                <w:sz w:val="18"/>
                <w:szCs w:val="18"/>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5,539,682</w:t>
            </w:r>
          </w:p>
        </w:tc>
      </w:tr>
      <w:tr>
        <w:trPr>
          <w:trHeight w:val="203"/>
        </w:trPr>
        <w:tc>
          <w:tcPr>
            <w:tcW w:w="57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operating expenses</w:t>
            </w:r>
          </w:p>
        </w:tc>
        <w:tc>
          <w:tcPr>
            <w:tcW w:w="2420" w:type="dxa"/>
            <w:vAlign w:val="bottom"/>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20,272,834</w:t>
            </w: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23,684,834</w:t>
            </w:r>
          </w:p>
        </w:tc>
        <w:tc>
          <w:tcPr>
            <w:tcW w:w="140" w:type="dxa"/>
            <w:vAlign w:val="bottom"/>
            <w:shd w:val="clear" w:color="auto" w:fill="CCEEFF"/>
          </w:tcPr>
          <w:p>
            <w:pPr>
              <w:spacing w:after="0"/>
              <w:rPr>
                <w:sz w:val="17"/>
                <w:szCs w:val="17"/>
                <w:color w:val="auto"/>
              </w:rPr>
            </w:pPr>
          </w:p>
        </w:tc>
      </w:tr>
      <w:tr>
        <w:trPr>
          <w:trHeight w:val="209"/>
        </w:trPr>
        <w:tc>
          <w:tcPr>
            <w:tcW w:w="5720" w:type="dxa"/>
            <w:vAlign w:val="bottom"/>
          </w:tcPr>
          <w:p>
            <w:pPr>
              <w:ind w:left="420"/>
              <w:spacing w:after="0"/>
              <w:rPr>
                <w:sz w:val="20"/>
                <w:szCs w:val="20"/>
                <w:color w:val="auto"/>
              </w:rPr>
            </w:pPr>
            <w:r>
              <w:rPr>
                <w:rFonts w:ascii="Arial" w:cs="Arial" w:eastAsia="Arial" w:hAnsi="Arial"/>
                <w:sz w:val="18"/>
                <w:szCs w:val="18"/>
                <w:color w:val="auto"/>
              </w:rPr>
              <w:t>Loss from operations</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(15,476,550)</w:t>
            </w:r>
          </w:p>
        </w:tc>
        <w:tc>
          <w:tcPr>
            <w:tcW w:w="3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(18,300,404)</w:t>
            </w:r>
          </w:p>
        </w:tc>
      </w:tr>
      <w:tr>
        <w:trPr>
          <w:trHeight w:val="203"/>
        </w:trPr>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Gain on restructuring of debt, related party</w:t>
            </w:r>
          </w:p>
        </w:tc>
        <w:tc>
          <w:tcPr>
            <w:tcW w:w="2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5,053,805</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03"/>
        </w:trPr>
        <w:tc>
          <w:tcPr>
            <w:tcW w:w="5720" w:type="dxa"/>
            <w:vAlign w:val="bottom"/>
          </w:tcPr>
          <w:p>
            <w:pPr>
              <w:spacing w:after="0" w:line="202" w:lineRule="exact"/>
              <w:rPr>
                <w:sz w:val="20"/>
                <w:szCs w:val="20"/>
                <w:color w:val="auto"/>
              </w:rPr>
            </w:pPr>
            <w:r>
              <w:rPr>
                <w:rFonts w:ascii="Arial" w:cs="Arial" w:eastAsia="Arial" w:hAnsi="Arial"/>
                <w:sz w:val="18"/>
                <w:szCs w:val="18"/>
                <w:color w:val="auto"/>
              </w:rPr>
              <w:t>Interest and income</w:t>
            </w:r>
          </w:p>
        </w:tc>
        <w:tc>
          <w:tcPr>
            <w:tcW w:w="2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101,527</w:t>
            </w:r>
          </w:p>
        </w:tc>
        <w:tc>
          <w:tcPr>
            <w:tcW w:w="3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16,697</w:t>
            </w:r>
          </w:p>
        </w:tc>
      </w:tr>
      <w:tr>
        <w:trPr>
          <w:trHeight w:val="203"/>
        </w:trPr>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2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(1,087,505)</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(2,112,225)</w:t>
            </w:r>
          </w:p>
        </w:tc>
      </w:tr>
      <w:tr>
        <w:trPr>
          <w:trHeight w:val="20"/>
        </w:trPr>
        <w:tc>
          <w:tcPr>
            <w:tcW w:w="57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2"/>
        </w:trPr>
        <w:tc>
          <w:tcPr>
            <w:tcW w:w="5720" w:type="dxa"/>
            <w:vAlign w:val="bottom"/>
          </w:tcPr>
          <w:p>
            <w:pPr>
              <w:ind w:left="420"/>
              <w:spacing w:after="0"/>
              <w:rPr>
                <w:sz w:val="20"/>
                <w:szCs w:val="20"/>
                <w:color w:val="auto"/>
              </w:rPr>
            </w:pPr>
            <w:r>
              <w:rPr>
                <w:rFonts w:ascii="Arial" w:cs="Arial" w:eastAsia="Arial" w:hAnsi="Arial"/>
                <w:sz w:val="18"/>
                <w:szCs w:val="18"/>
                <w:color w:val="auto"/>
              </w:rPr>
              <w:t>Net loss and comprehensive loss</w:t>
            </w:r>
          </w:p>
        </w:tc>
        <w:tc>
          <w:tcPr>
            <w:tcW w:w="2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(11,408,723)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(20,395,932)</w:t>
            </w:r>
          </w:p>
        </w:tc>
      </w:tr>
      <w:tr>
        <w:trPr>
          <w:trHeight w:val="20"/>
        </w:trPr>
        <w:tc>
          <w:tcPr>
            <w:tcW w:w="5720" w:type="dxa"/>
            <w:vAlign w:val="bottom"/>
            <w:shd w:val="clear" w:color="auto" w:fill="000000"/>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The accompanying notes are an integral part of these condensed financial statements.</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140"/>
          </w:cols>
          <w:pgMar w:left="320" w:top="459" w:right="43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Warp Drive Bio, Inc.</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Condensed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6995160"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6" w:lineRule="exact"/>
        <w:rPr>
          <w:sz w:val="20"/>
          <w:szCs w:val="20"/>
          <w:color w:val="auto"/>
        </w:rPr>
      </w:pPr>
    </w:p>
    <w:p>
      <w:pPr>
        <w:jc w:val="center"/>
        <w:ind w:left="8000"/>
        <w:spacing w:after="0"/>
        <w:rPr>
          <w:sz w:val="20"/>
          <w:szCs w:val="20"/>
          <w:color w:val="auto"/>
        </w:rPr>
      </w:pPr>
      <w:r>
        <w:rPr>
          <w:rFonts w:ascii="Arial" w:cs="Arial" w:eastAsia="Arial" w:hAnsi="Arial"/>
          <w:sz w:val="18"/>
          <w:szCs w:val="18"/>
          <w:b w:val="1"/>
          <w:bCs w:val="1"/>
          <w:color w:val="auto"/>
        </w:rPr>
        <w:t>Nine months ended</w:t>
      </w:r>
    </w:p>
    <w:p>
      <w:pPr>
        <w:spacing w:after="0" w:line="18" w:lineRule="exact"/>
        <w:rPr>
          <w:sz w:val="20"/>
          <w:szCs w:val="20"/>
          <w:color w:val="auto"/>
        </w:rPr>
      </w:pPr>
    </w:p>
    <w:p>
      <w:pPr>
        <w:jc w:val="center"/>
        <w:ind w:left="800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-4445</wp:posOffset>
            </wp:positionV>
            <wp:extent cx="17399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739900" cy="8890"/>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221"/>
        </w:trPr>
        <w:tc>
          <w:tcPr>
            <w:tcW w:w="68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auto"/>
            </w:tcBorders>
          </w:tcPr>
          <w:p>
            <w:pPr>
              <w:spacing w:after="0"/>
              <w:rPr>
                <w:sz w:val="19"/>
                <w:szCs w:val="19"/>
                <w:color w:val="auto"/>
              </w:rPr>
            </w:pPr>
          </w:p>
        </w:tc>
      </w:tr>
      <w:tr>
        <w:trPr>
          <w:trHeight w:val="48"/>
        </w:trPr>
        <w:tc>
          <w:tcPr>
            <w:tcW w:w="68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activities</w:t>
            </w: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4"/>
        </w:trPr>
        <w:tc>
          <w:tcPr>
            <w:tcW w:w="6880" w:type="dxa"/>
            <w:vAlign w:val="bottom"/>
          </w:tcPr>
          <w:p>
            <w:pPr>
              <w:spacing w:after="0"/>
              <w:rPr>
                <w:sz w:val="20"/>
                <w:szCs w:val="20"/>
                <w:color w:val="auto"/>
              </w:rPr>
            </w:pPr>
            <w:r>
              <w:rPr>
                <w:rFonts w:ascii="Arial" w:cs="Arial" w:eastAsia="Arial" w:hAnsi="Arial"/>
                <w:sz w:val="18"/>
                <w:szCs w:val="18"/>
                <w:color w:val="auto"/>
              </w:rPr>
              <w:t>Net loss</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(11,408,723)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(20,395,932)</w:t>
            </w:r>
          </w:p>
        </w:tc>
      </w:tr>
      <w:tr>
        <w:trPr>
          <w:trHeight w:val="56"/>
        </w:trPr>
        <w:tc>
          <w:tcPr>
            <w:tcW w:w="68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6880" w:type="dxa"/>
            <w:vAlign w:val="bottom"/>
          </w:tcPr>
          <w:p>
            <w:pPr>
              <w:ind w:left="220"/>
              <w:spacing w:after="0" w:line="202" w:lineRule="exact"/>
              <w:rPr>
                <w:sz w:val="20"/>
                <w:szCs w:val="20"/>
                <w:color w:val="auto"/>
              </w:rPr>
            </w:pPr>
            <w:r>
              <w:rPr>
                <w:rFonts w:ascii="Arial" w:cs="Arial" w:eastAsia="Arial" w:hAnsi="Arial"/>
                <w:sz w:val="18"/>
                <w:szCs w:val="18"/>
                <w:color w:val="auto"/>
              </w:rPr>
              <w:t>Noncash interest expense</w:t>
            </w: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1,064,484</w:t>
            </w: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2,112,225</w:t>
            </w:r>
          </w:p>
        </w:tc>
        <w:tc>
          <w:tcPr>
            <w:tcW w:w="140" w:type="dxa"/>
            <w:vAlign w:val="bottom"/>
          </w:tcPr>
          <w:p>
            <w:pPr>
              <w:spacing w:after="0"/>
              <w:rPr>
                <w:sz w:val="17"/>
                <w:szCs w:val="17"/>
                <w:color w:val="auto"/>
              </w:rPr>
            </w:pPr>
          </w:p>
        </w:tc>
      </w:tr>
      <w:tr>
        <w:trPr>
          <w:trHeight w:val="203"/>
        </w:trPr>
        <w:tc>
          <w:tcPr>
            <w:tcW w:w="68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Stock-based compensation</w:t>
            </w: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362,284</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508,649</w:t>
            </w:r>
          </w:p>
        </w:tc>
        <w:tc>
          <w:tcPr>
            <w:tcW w:w="140" w:type="dxa"/>
            <w:vAlign w:val="bottom"/>
            <w:shd w:val="clear" w:color="auto" w:fill="CCEEFF"/>
          </w:tcPr>
          <w:p>
            <w:pPr>
              <w:spacing w:after="0"/>
              <w:rPr>
                <w:sz w:val="17"/>
                <w:szCs w:val="17"/>
                <w:color w:val="auto"/>
              </w:rPr>
            </w:pPr>
          </w:p>
        </w:tc>
      </w:tr>
      <w:tr>
        <w:trPr>
          <w:trHeight w:val="203"/>
        </w:trPr>
        <w:tc>
          <w:tcPr>
            <w:tcW w:w="6880" w:type="dxa"/>
            <w:vAlign w:val="bottom"/>
          </w:tcPr>
          <w:p>
            <w:pPr>
              <w:ind w:left="220"/>
              <w:spacing w:after="0" w:line="202" w:lineRule="exact"/>
              <w:rPr>
                <w:sz w:val="20"/>
                <w:szCs w:val="20"/>
                <w:color w:val="auto"/>
              </w:rPr>
            </w:pPr>
            <w:r>
              <w:rPr>
                <w:rFonts w:ascii="Arial" w:cs="Arial" w:eastAsia="Arial" w:hAnsi="Arial"/>
                <w:sz w:val="18"/>
                <w:szCs w:val="18"/>
                <w:color w:val="auto"/>
              </w:rPr>
              <w:t>Gain on restructuring of debt, related party</w:t>
            </w: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(5,053,805)</w:t>
            </w:r>
          </w:p>
        </w:tc>
        <w:tc>
          <w:tcPr>
            <w:tcW w:w="3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03"/>
        </w:trPr>
        <w:tc>
          <w:tcPr>
            <w:tcW w:w="68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Gain on sale of fixed assets</w:t>
            </w: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(2,476)</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03"/>
        </w:trPr>
        <w:tc>
          <w:tcPr>
            <w:tcW w:w="6880" w:type="dxa"/>
            <w:vAlign w:val="bottom"/>
          </w:tcPr>
          <w:p>
            <w:pPr>
              <w:ind w:left="220"/>
              <w:spacing w:after="0" w:line="202" w:lineRule="exact"/>
              <w:rPr>
                <w:sz w:val="20"/>
                <w:szCs w:val="20"/>
                <w:color w:val="auto"/>
              </w:rPr>
            </w:pPr>
            <w:r>
              <w:rPr>
                <w:rFonts w:ascii="Arial" w:cs="Arial" w:eastAsia="Arial" w:hAnsi="Arial"/>
                <w:sz w:val="18"/>
                <w:szCs w:val="18"/>
                <w:color w:val="auto"/>
              </w:rPr>
              <w:t>Depreciation and amortization</w:t>
            </w: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1,442,952</w:t>
            </w: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1,869,436</w:t>
            </w:r>
          </w:p>
        </w:tc>
        <w:tc>
          <w:tcPr>
            <w:tcW w:w="140" w:type="dxa"/>
            <w:vAlign w:val="bottom"/>
          </w:tcPr>
          <w:p>
            <w:pPr>
              <w:spacing w:after="0"/>
              <w:rPr>
                <w:sz w:val="17"/>
                <w:szCs w:val="17"/>
                <w:color w:val="auto"/>
              </w:rPr>
            </w:pPr>
          </w:p>
        </w:tc>
      </w:tr>
      <w:tr>
        <w:trPr>
          <w:trHeight w:val="203"/>
        </w:trPr>
        <w:tc>
          <w:tcPr>
            <w:tcW w:w="68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6880" w:type="dxa"/>
            <w:vAlign w:val="bottom"/>
          </w:tcPr>
          <w:p>
            <w:pPr>
              <w:ind w:left="4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(40,725)</w:t>
            </w: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101,221</w:t>
            </w:r>
          </w:p>
        </w:tc>
        <w:tc>
          <w:tcPr>
            <w:tcW w:w="140" w:type="dxa"/>
            <w:vAlign w:val="bottom"/>
          </w:tcPr>
          <w:p>
            <w:pPr>
              <w:spacing w:after="0"/>
              <w:rPr>
                <w:sz w:val="17"/>
                <w:szCs w:val="17"/>
                <w:color w:val="auto"/>
              </w:rPr>
            </w:pPr>
          </w:p>
        </w:tc>
      </w:tr>
      <w:tr>
        <w:trPr>
          <w:trHeight w:val="203"/>
        </w:trPr>
        <w:tc>
          <w:tcPr>
            <w:tcW w:w="68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Accounts payable</w:t>
            </w: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424,867</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1,004,348</w:t>
            </w:r>
          </w:p>
        </w:tc>
        <w:tc>
          <w:tcPr>
            <w:tcW w:w="140" w:type="dxa"/>
            <w:vAlign w:val="bottom"/>
            <w:shd w:val="clear" w:color="auto" w:fill="CCEEFF"/>
          </w:tcPr>
          <w:p>
            <w:pPr>
              <w:spacing w:after="0"/>
              <w:rPr>
                <w:sz w:val="17"/>
                <w:szCs w:val="17"/>
                <w:color w:val="auto"/>
              </w:rPr>
            </w:pPr>
          </w:p>
        </w:tc>
      </w:tr>
      <w:tr>
        <w:trPr>
          <w:trHeight w:val="203"/>
        </w:trPr>
        <w:tc>
          <w:tcPr>
            <w:tcW w:w="6880" w:type="dxa"/>
            <w:vAlign w:val="bottom"/>
          </w:tcPr>
          <w:p>
            <w:pPr>
              <w:ind w:left="420"/>
              <w:spacing w:after="0" w:line="202" w:lineRule="exact"/>
              <w:rPr>
                <w:sz w:val="20"/>
                <w:szCs w:val="20"/>
                <w:color w:val="auto"/>
              </w:rPr>
            </w:pPr>
            <w:r>
              <w:rPr>
                <w:rFonts w:ascii="Arial" w:cs="Arial" w:eastAsia="Arial" w:hAnsi="Arial"/>
                <w:sz w:val="18"/>
                <w:szCs w:val="18"/>
                <w:color w:val="auto"/>
              </w:rPr>
              <w:t>Accrued expenses</w:t>
            </w: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(128,834)</w:t>
            </w:r>
          </w:p>
        </w:tc>
        <w:tc>
          <w:tcPr>
            <w:tcW w:w="320" w:type="dxa"/>
            <w:vAlign w:val="bottom"/>
          </w:tcPr>
          <w:p>
            <w:pPr>
              <w:spacing w:after="0"/>
              <w:rPr>
                <w:sz w:val="17"/>
                <w:szCs w:val="17"/>
                <w:color w:val="auto"/>
              </w:rPr>
            </w:pP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(173,096)</w:t>
            </w:r>
          </w:p>
        </w:tc>
      </w:tr>
      <w:tr>
        <w:trPr>
          <w:trHeight w:val="203"/>
        </w:trPr>
        <w:tc>
          <w:tcPr>
            <w:tcW w:w="68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Deferred revenue</w:t>
            </w: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(4,332,353)</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6,597,923</w:t>
            </w:r>
          </w:p>
        </w:tc>
        <w:tc>
          <w:tcPr>
            <w:tcW w:w="140" w:type="dxa"/>
            <w:vAlign w:val="bottom"/>
            <w:shd w:val="clear" w:color="auto" w:fill="CCEEFF"/>
          </w:tcPr>
          <w:p>
            <w:pPr>
              <w:spacing w:after="0"/>
              <w:rPr>
                <w:sz w:val="17"/>
                <w:szCs w:val="17"/>
                <w:color w:val="auto"/>
              </w:rPr>
            </w:pPr>
          </w:p>
        </w:tc>
      </w:tr>
      <w:tr>
        <w:trPr>
          <w:trHeight w:val="203"/>
        </w:trPr>
        <w:tc>
          <w:tcPr>
            <w:tcW w:w="6880" w:type="dxa"/>
            <w:vAlign w:val="bottom"/>
          </w:tcPr>
          <w:p>
            <w:pPr>
              <w:ind w:left="420"/>
              <w:spacing w:after="0" w:line="202" w:lineRule="exact"/>
              <w:rPr>
                <w:sz w:val="20"/>
                <w:szCs w:val="20"/>
                <w:color w:val="auto"/>
              </w:rPr>
            </w:pPr>
            <w:r>
              <w:rPr>
                <w:rFonts w:ascii="Arial" w:cs="Arial" w:eastAsia="Arial" w:hAnsi="Arial"/>
                <w:sz w:val="18"/>
                <w:szCs w:val="18"/>
                <w:color w:val="auto"/>
              </w:rPr>
              <w:t>Deferred rent</w:t>
            </w: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(48,450)</w:t>
            </w:r>
          </w:p>
        </w:tc>
        <w:tc>
          <w:tcPr>
            <w:tcW w:w="320" w:type="dxa"/>
            <w:vAlign w:val="bottom"/>
          </w:tcPr>
          <w:p>
            <w:pPr>
              <w:spacing w:after="0"/>
              <w:rPr>
                <w:sz w:val="17"/>
                <w:szCs w:val="17"/>
                <w:color w:val="auto"/>
              </w:rPr>
            </w:pP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(487,600)</w:t>
            </w:r>
          </w:p>
        </w:tc>
      </w:tr>
      <w:tr>
        <w:trPr>
          <w:trHeight w:val="27"/>
        </w:trPr>
        <w:tc>
          <w:tcPr>
            <w:tcW w:w="6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688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Net cash used in operating activities</w:t>
            </w: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(17,720,779)</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(8,862,826)</w:t>
            </w:r>
          </w:p>
        </w:tc>
      </w:tr>
      <w:tr>
        <w:trPr>
          <w:trHeight w:val="277"/>
        </w:trPr>
        <w:tc>
          <w:tcPr>
            <w:tcW w:w="68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2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03"/>
        </w:trPr>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Purchases of property and equipment</w:t>
            </w: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(226,174)</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(901,509)</w:t>
            </w:r>
          </w:p>
        </w:tc>
      </w:tr>
      <w:tr>
        <w:trPr>
          <w:trHeight w:val="203"/>
        </w:trPr>
        <w:tc>
          <w:tcPr>
            <w:tcW w:w="6880" w:type="dxa"/>
            <w:vAlign w:val="bottom"/>
          </w:tcPr>
          <w:p>
            <w:pPr>
              <w:spacing w:after="0" w:line="202" w:lineRule="exact"/>
              <w:rPr>
                <w:sz w:val="20"/>
                <w:szCs w:val="20"/>
                <w:color w:val="auto"/>
              </w:rPr>
            </w:pPr>
            <w:r>
              <w:rPr>
                <w:rFonts w:ascii="Arial" w:cs="Arial" w:eastAsia="Arial" w:hAnsi="Arial"/>
                <w:sz w:val="18"/>
                <w:szCs w:val="18"/>
                <w:color w:val="auto"/>
              </w:rPr>
              <w:t>Change in restricted cash</w:t>
            </w: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(240)</w:t>
            </w: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106,707</w:t>
            </w:r>
          </w:p>
        </w:tc>
        <w:tc>
          <w:tcPr>
            <w:tcW w:w="140" w:type="dxa"/>
            <w:vAlign w:val="bottom"/>
          </w:tcPr>
          <w:p>
            <w:pPr>
              <w:spacing w:after="0"/>
              <w:rPr>
                <w:sz w:val="17"/>
                <w:szCs w:val="17"/>
                <w:color w:val="auto"/>
              </w:rPr>
            </w:pPr>
          </w:p>
        </w:tc>
      </w:tr>
      <w:tr>
        <w:trPr>
          <w:trHeight w:val="203"/>
        </w:trPr>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sale of property and equipment</w:t>
            </w:r>
          </w:p>
        </w:tc>
        <w:tc>
          <w:tcPr>
            <w:tcW w:w="1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2,476</w:t>
            </w: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r>
      <w:tr>
        <w:trPr>
          <w:trHeight w:val="209"/>
        </w:trPr>
        <w:tc>
          <w:tcPr>
            <w:tcW w:w="6880" w:type="dxa"/>
            <w:vAlign w:val="bottom"/>
          </w:tcPr>
          <w:p>
            <w:pPr>
              <w:ind w:left="640"/>
              <w:spacing w:after="0"/>
              <w:rPr>
                <w:sz w:val="20"/>
                <w:szCs w:val="20"/>
                <w:color w:val="auto"/>
              </w:rPr>
            </w:pPr>
            <w:r>
              <w:rPr>
                <w:rFonts w:ascii="Arial" w:cs="Arial" w:eastAsia="Arial" w:hAnsi="Arial"/>
                <w:sz w:val="18"/>
                <w:szCs w:val="18"/>
                <w:color w:val="auto"/>
              </w:rPr>
              <w:t>Net cash used in investing activities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(223,938)</w:t>
            </w:r>
          </w:p>
        </w:tc>
        <w:tc>
          <w:tcPr>
            <w:tcW w:w="3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(794,802)</w:t>
            </w:r>
          </w:p>
        </w:tc>
      </w:tr>
      <w:tr>
        <w:trPr>
          <w:trHeight w:val="75"/>
        </w:trPr>
        <w:tc>
          <w:tcPr>
            <w:tcW w:w="68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22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2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r>
      <w:tr>
        <w:trPr>
          <w:trHeight w:val="203"/>
        </w:trPr>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Financing activities</w:t>
            </w: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6880" w:type="dxa"/>
            <w:vAlign w:val="bottom"/>
          </w:tcPr>
          <w:p>
            <w:pPr>
              <w:spacing w:after="0" w:line="202" w:lineRule="exact"/>
              <w:rPr>
                <w:sz w:val="20"/>
                <w:szCs w:val="20"/>
                <w:color w:val="auto"/>
              </w:rPr>
            </w:pPr>
            <w:r>
              <w:rPr>
                <w:rFonts w:ascii="Arial" w:cs="Arial" w:eastAsia="Arial" w:hAnsi="Arial"/>
                <w:sz w:val="18"/>
                <w:szCs w:val="18"/>
                <w:color w:val="auto"/>
              </w:rPr>
              <w:t>Proceeds from issuance of restricted stock</w:t>
            </w: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3,100</w:t>
            </w: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5,775</w:t>
            </w:r>
          </w:p>
        </w:tc>
        <w:tc>
          <w:tcPr>
            <w:tcW w:w="140" w:type="dxa"/>
            <w:vAlign w:val="bottom"/>
          </w:tcPr>
          <w:p>
            <w:pPr>
              <w:spacing w:after="0"/>
              <w:rPr>
                <w:sz w:val="17"/>
                <w:szCs w:val="17"/>
                <w:color w:val="auto"/>
              </w:rPr>
            </w:pPr>
          </w:p>
        </w:tc>
      </w:tr>
      <w:tr>
        <w:trPr>
          <w:trHeight w:val="203"/>
        </w:trPr>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Repurchase of unvested restricted stock</w:t>
            </w: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(3,760)</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(4,780)</w:t>
            </w:r>
          </w:p>
        </w:tc>
      </w:tr>
      <w:tr>
        <w:trPr>
          <w:trHeight w:val="203"/>
        </w:trPr>
        <w:tc>
          <w:tcPr>
            <w:tcW w:w="6880" w:type="dxa"/>
            <w:vAlign w:val="bottom"/>
          </w:tcPr>
          <w:p>
            <w:pPr>
              <w:spacing w:after="0" w:line="202" w:lineRule="exact"/>
              <w:rPr>
                <w:sz w:val="20"/>
                <w:szCs w:val="20"/>
                <w:color w:val="auto"/>
              </w:rPr>
            </w:pPr>
            <w:r>
              <w:rPr>
                <w:rFonts w:ascii="Arial" w:cs="Arial" w:eastAsia="Arial" w:hAnsi="Arial"/>
                <w:sz w:val="18"/>
                <w:szCs w:val="18"/>
                <w:color w:val="auto"/>
              </w:rPr>
              <w:t>Proceeds from notes payable, related party</w:t>
            </w: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8,999,731</w:t>
            </w:r>
          </w:p>
        </w:tc>
        <w:tc>
          <w:tcPr>
            <w:tcW w:w="140" w:type="dxa"/>
            <w:vAlign w:val="bottom"/>
          </w:tcPr>
          <w:p>
            <w:pPr>
              <w:spacing w:after="0"/>
              <w:rPr>
                <w:sz w:val="17"/>
                <w:szCs w:val="17"/>
                <w:color w:val="auto"/>
              </w:rPr>
            </w:pPr>
          </w:p>
        </w:tc>
      </w:tr>
      <w:tr>
        <w:trPr>
          <w:trHeight w:val="203"/>
        </w:trPr>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Repayments of capital lease</w:t>
            </w: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(81,935)</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17"/>
        </w:trPr>
        <w:tc>
          <w:tcPr>
            <w:tcW w:w="6880" w:type="dxa"/>
            <w:vAlign w:val="bottom"/>
          </w:tcPr>
          <w:p>
            <w:pPr>
              <w:ind w:left="640"/>
              <w:spacing w:after="0"/>
              <w:rPr>
                <w:sz w:val="20"/>
                <w:szCs w:val="20"/>
                <w:color w:val="auto"/>
              </w:rPr>
            </w:pPr>
            <w:r>
              <w:rPr>
                <w:rFonts w:ascii="Arial" w:cs="Arial" w:eastAsia="Arial" w:hAnsi="Arial"/>
                <w:sz w:val="18"/>
                <w:szCs w:val="18"/>
                <w:color w:val="auto"/>
              </w:rPr>
              <w:t>Net cash provided by (used in) financing activities</w:t>
            </w:r>
          </w:p>
        </w:tc>
        <w:tc>
          <w:tcPr>
            <w:tcW w:w="12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(82,595)</w:t>
            </w: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9,000,726</w:t>
            </w:r>
          </w:p>
        </w:tc>
        <w:tc>
          <w:tcPr>
            <w:tcW w:w="140" w:type="dxa"/>
            <w:vAlign w:val="bottom"/>
          </w:tcPr>
          <w:p>
            <w:pPr>
              <w:spacing w:after="0"/>
              <w:rPr>
                <w:sz w:val="18"/>
                <w:szCs w:val="18"/>
                <w:color w:val="auto"/>
              </w:rPr>
            </w:pPr>
          </w:p>
        </w:tc>
      </w:tr>
      <w:tr>
        <w:trPr>
          <w:trHeight w:val="203"/>
        </w:trPr>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increase (decrease) in cash and cash equivalents</w:t>
            </w: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(18,027,312)</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(656,902)</w:t>
            </w:r>
          </w:p>
        </w:tc>
      </w:tr>
      <w:tr>
        <w:trPr>
          <w:trHeight w:val="209"/>
        </w:trPr>
        <w:tc>
          <w:tcPr>
            <w:tcW w:w="688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1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3"/>
        </w:trPr>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of period</w:t>
            </w:r>
          </w:p>
        </w:tc>
        <w:tc>
          <w:tcPr>
            <w:tcW w:w="1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18,616,527</w:t>
            </w: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2,173,765</w:t>
            </w:r>
          </w:p>
        </w:tc>
        <w:tc>
          <w:tcPr>
            <w:tcW w:w="140" w:type="dxa"/>
            <w:vAlign w:val="bottom"/>
            <w:shd w:val="clear" w:color="auto" w:fill="CCEEFF"/>
          </w:tcPr>
          <w:p>
            <w:pPr>
              <w:spacing w:after="0"/>
              <w:rPr>
                <w:sz w:val="17"/>
                <w:szCs w:val="17"/>
                <w:color w:val="auto"/>
              </w:rPr>
            </w:pPr>
          </w:p>
        </w:tc>
      </w:tr>
      <w:tr>
        <w:trPr>
          <w:trHeight w:val="210"/>
        </w:trPr>
        <w:tc>
          <w:tcPr>
            <w:tcW w:w="6880" w:type="dxa"/>
            <w:vAlign w:val="bottom"/>
          </w:tcPr>
          <w:p>
            <w:pPr>
              <w:spacing w:after="0"/>
              <w:rPr>
                <w:sz w:val="20"/>
                <w:szCs w:val="20"/>
                <w:color w:val="auto"/>
              </w:rPr>
            </w:pPr>
            <w:r>
              <w:rPr>
                <w:rFonts w:ascii="Arial" w:cs="Arial" w:eastAsia="Arial" w:hAnsi="Arial"/>
                <w:sz w:val="18"/>
                <w:szCs w:val="18"/>
                <w:color w:val="auto"/>
              </w:rPr>
              <w:t>End of period</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589,215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1,516,863</w:t>
            </w:r>
          </w:p>
        </w:tc>
        <w:tc>
          <w:tcPr>
            <w:tcW w:w="140" w:type="dxa"/>
            <w:vAlign w:val="bottom"/>
          </w:tcPr>
          <w:p>
            <w:pPr>
              <w:spacing w:after="0"/>
              <w:rPr>
                <w:sz w:val="18"/>
                <w:szCs w:val="18"/>
                <w:color w:val="auto"/>
              </w:rPr>
            </w:pPr>
          </w:p>
        </w:tc>
      </w:tr>
      <w:tr>
        <w:trPr>
          <w:trHeight w:val="75"/>
        </w:trPr>
        <w:tc>
          <w:tcPr>
            <w:tcW w:w="68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22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2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r>
      <w:tr>
        <w:trPr>
          <w:trHeight w:val="203"/>
        </w:trPr>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Supplemental disclosure of noncash activities</w:t>
            </w: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5"/>
        </w:trPr>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Equipment purchases included in accounts payable</w:t>
            </w:r>
          </w:p>
        </w:tc>
        <w:tc>
          <w:tcPr>
            <w:tcW w:w="14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w:t>
            </w:r>
          </w:p>
        </w:tc>
        <w:tc>
          <w:tcPr>
            <w:tcW w:w="140" w:type="dxa"/>
            <w:vAlign w:val="bottom"/>
          </w:tcPr>
          <w:p>
            <w:pPr>
              <w:spacing w:after="0"/>
              <w:rPr>
                <w:sz w:val="18"/>
                <w:szCs w:val="18"/>
                <w:color w:val="auto"/>
              </w:rPr>
            </w:pPr>
          </w:p>
        </w:tc>
      </w:tr>
    </w:tbl>
    <w:p>
      <w:pPr>
        <w:spacing w:after="0" w:line="200" w:lineRule="exact"/>
        <w:rPr>
          <w:sz w:val="20"/>
          <w:szCs w:val="20"/>
          <w:color w:val="auto"/>
        </w:rPr>
      </w:pPr>
    </w:p>
    <w:p>
      <w:pPr>
        <w:spacing w:after="0" w:line="393"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The accompanying notes are an integral part of these condensed financial statements.</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140"/>
          </w:cols>
          <w:pgMar w:left="320" w:top="459" w:right="43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Warp Drive Bio, Inc.</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Notes to the unaudited condensed financial statements</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 Organization and basis of presentation</w:t>
      </w:r>
    </w:p>
    <w:p>
      <w:pPr>
        <w:spacing w:after="0" w:line="134"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Warp Drive Bio, Inc. (the “Company”) operates on the core principle that nature is the most powerful inventor of new drugs, unconstrained by the boundaries of modern science.</w:t>
      </w:r>
    </w:p>
    <w:p>
      <w:pPr>
        <w:spacing w:after="0" w:line="101" w:lineRule="exact"/>
        <w:rPr>
          <w:sz w:val="20"/>
          <w:szCs w:val="20"/>
          <w:color w:val="auto"/>
        </w:rPr>
      </w:pPr>
    </w:p>
    <w:p>
      <w:pPr>
        <w:ind w:left="120" w:right="200"/>
        <w:spacing w:after="0" w:line="272" w:lineRule="auto"/>
        <w:rPr>
          <w:sz w:val="20"/>
          <w:szCs w:val="20"/>
          <w:color w:val="auto"/>
        </w:rPr>
      </w:pPr>
      <w:r>
        <w:rPr>
          <w:rFonts w:ascii="Arial" w:cs="Arial" w:eastAsia="Arial" w:hAnsi="Arial"/>
          <w:sz w:val="16"/>
          <w:szCs w:val="16"/>
          <w:color w:val="auto"/>
        </w:rPr>
        <w:t>The Company is deploying innovative Small Molecule-Assisted Receptor Targeting (SMART</w:t>
      </w:r>
      <w:r>
        <w:rPr>
          <w:rFonts w:ascii="Arial" w:cs="Arial" w:eastAsia="Arial" w:hAnsi="Arial"/>
          <w:sz w:val="10"/>
          <w:szCs w:val="10"/>
          <w:color w:val="auto"/>
        </w:rPr>
        <w:t>™</w:t>
      </w:r>
      <w:r>
        <w:rPr>
          <w:rFonts w:ascii="Arial" w:cs="Arial" w:eastAsia="Arial" w:hAnsi="Arial"/>
          <w:sz w:val="16"/>
          <w:szCs w:val="16"/>
          <w:color w:val="auto"/>
        </w:rPr>
        <w:t>) and Genomic Mining / antibiotic platforms to discover new medicines that have the potential to make a significant difference in the lives of patients. The Company was launched in 2011 through a partnership with Sanofi and with financing from Third Rock Ventures and Greylock Partners. As described in Note 13, on October 24, 2018, the Company and Revolution Medicines, Inc. (“Revolution”) completed a sale pursuant to an Agreement and Plan of Merger in which Revolution acquired all the Series A convertible preferred stock and the common stock of the Company.</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24"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The accompanying unaudited interim financial statements of Warp Drive Bio, Inc. (the “Company”) should be read in conjunction with the Company’s audited financial statements as of and for the year ended December 31, 2017. The accompanying financial statements have been prepared in accordance with accounting principles generally accepted in the United States of America (“GAAP”) for interim financial information. Accordingly, since they are interim statements, the accompanying financial statements do not include all of the information and notes required by GAAP for a complete financial statement presentation. In the opinion of management, the interim financial statements reflect all adjustments consisting of normal, recurring adjustments that are necessary for a fair statement of the financial position, results of operations and cash flows for the condensed interim periods presented. Interim results are not necessarily indicative of results for a full year.</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w:t>
      </w:r>
    </w:p>
    <w:p>
      <w:pPr>
        <w:spacing w:after="0" w:line="124"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The Company’s financial statements have been prepared on the basis of continuity of operations, realization of assets and the satisfaction of liabilities and commitments in the ordinary course of business. The Company has primarily funded its operations with proceeds from the sales of preferred stock, convertible notes and payments received from collaboration arrangements.</w:t>
      </w:r>
    </w:p>
    <w:p>
      <w:pPr>
        <w:spacing w:after="0" w:line="100" w:lineRule="exact"/>
        <w:rPr>
          <w:sz w:val="20"/>
          <w:szCs w:val="20"/>
          <w:color w:val="auto"/>
        </w:rPr>
      </w:pPr>
    </w:p>
    <w:p>
      <w:pPr>
        <w:ind w:left="120" w:right="80"/>
        <w:spacing w:after="0" w:line="272" w:lineRule="auto"/>
        <w:rPr>
          <w:sz w:val="20"/>
          <w:szCs w:val="20"/>
          <w:color w:val="auto"/>
        </w:rPr>
      </w:pPr>
      <w:r>
        <w:rPr>
          <w:rFonts w:ascii="Arial" w:cs="Arial" w:eastAsia="Arial" w:hAnsi="Arial"/>
          <w:sz w:val="16"/>
          <w:szCs w:val="16"/>
          <w:color w:val="auto"/>
        </w:rPr>
        <w:t>The Company has incurred losses since its inception, including net losses of approximately $11.4 million and $18.2 million for the nine months ended September 30, 2018 and year ended December 31, 2017, respectively. As of September 30, 2018, the Company had an accumulated deficit of approximately $128.9 million. The Company expects that its operating losses and negative cash flows will continue for the foreseeable future. On October 3, 2018, the Company received $2 million in cash proceeds from an existing investor in exchange for a convertible promissory note purchase agreement with a maturity date of April 8, 2019 and an 8% annual interest rate. (See Note 13).</w:t>
      </w:r>
    </w:p>
    <w:p>
      <w:pPr>
        <w:spacing w:after="0" w:line="78" w:lineRule="exact"/>
        <w:rPr>
          <w:sz w:val="20"/>
          <w:szCs w:val="20"/>
          <w:color w:val="auto"/>
        </w:rPr>
      </w:pPr>
    </w:p>
    <w:p>
      <w:pPr>
        <w:ind w:left="120" w:right="160"/>
        <w:spacing w:after="0" w:line="236" w:lineRule="auto"/>
        <w:rPr>
          <w:sz w:val="20"/>
          <w:szCs w:val="20"/>
          <w:color w:val="auto"/>
        </w:rPr>
      </w:pPr>
      <w:r>
        <w:rPr>
          <w:rFonts w:ascii="Arial" w:cs="Arial" w:eastAsia="Arial" w:hAnsi="Arial"/>
          <w:sz w:val="18"/>
          <w:szCs w:val="18"/>
          <w:color w:val="auto"/>
        </w:rPr>
        <w:t>The future viability of the Company is dependent on its ability to draw down additional capital from its parent company to finance its operations. There is no assurance that the Company will be successful in obtaining such financing from its parent. If adequate funds are not available to the Company, the Company may be required to delay, reduce or eliminate research and development programs, reduce operational costs, or obtain funds through arrangements with collaborators on terms unfavorable to the Company. The circumstances described above raise substantial doubt about the Company’s ability to continue as a going concern as of the date the financial statements are issued. The financial statements do not include any adjustments that might result from the outcome of this uncertainty.</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100"/>
          </w:cols>
          <w:pgMar w:left="320" w:top="459" w:right="47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2. Significant accounting policies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4" w:lineRule="exact"/>
        <w:rPr>
          <w:sz w:val="20"/>
          <w:szCs w:val="20"/>
          <w:color w:val="auto"/>
        </w:rPr>
      </w:pPr>
    </w:p>
    <w:p>
      <w:pPr>
        <w:jc w:val="both"/>
        <w:ind w:left="120" w:right="120"/>
        <w:spacing w:after="0" w:line="238"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24" w:lineRule="exact"/>
        <w:rPr>
          <w:sz w:val="20"/>
          <w:szCs w:val="20"/>
          <w:color w:val="auto"/>
        </w:rPr>
      </w:pPr>
    </w:p>
    <w:p>
      <w:pPr>
        <w:ind w:left="120" w:right="520"/>
        <w:spacing w:after="0" w:line="239" w:lineRule="auto"/>
        <w:rPr>
          <w:sz w:val="20"/>
          <w:szCs w:val="20"/>
          <w:color w:val="auto"/>
        </w:rPr>
      </w:pPr>
      <w:r>
        <w:rPr>
          <w:rFonts w:ascii="Arial" w:cs="Arial" w:eastAsia="Arial" w:hAnsi="Arial"/>
          <w:sz w:val="18"/>
          <w:szCs w:val="18"/>
          <w:color w:val="auto"/>
        </w:rPr>
        <w:t>The Company’s significant accounting policies are described in Note 2, “Summary of Significant Accounting Policies,” in the Company’s audited financial statements for the year ended December 31, 2017.</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Newly adopted accounting pronouncements</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In March 2016, the FASB issued ASU No. 2016-09, Improvements to Employee Share-Based Payment Accounting, or ASU No. 2016-09, which simplifies several aspects of the accounting for share-based payment transactions, including the income tax consequences, classification of awards as either equity or liabilities and classification of cash flows. In 2018, the Company adopted ASU 2016-09 and elected to account prospectively for forfeitures as they occur rather than apply an estimated forfeiture rate to stock-based compensation expense. The adoption of ASU 2016-09 had no impact on the Company’s financial position, results of operations or cash flows.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Newly issued accounting pronouncements</w:t>
      </w:r>
    </w:p>
    <w:p>
      <w:pPr>
        <w:spacing w:after="0" w:line="124" w:lineRule="exact"/>
        <w:rPr>
          <w:sz w:val="20"/>
          <w:szCs w:val="20"/>
          <w:color w:val="auto"/>
        </w:rPr>
      </w:pPr>
    </w:p>
    <w:p>
      <w:pPr>
        <w:ind w:left="120" w:right="60"/>
        <w:spacing w:after="0" w:line="235" w:lineRule="auto"/>
        <w:rPr>
          <w:sz w:val="20"/>
          <w:szCs w:val="20"/>
          <w:color w:val="auto"/>
        </w:rPr>
      </w:pPr>
      <w:r>
        <w:rPr>
          <w:rFonts w:ascii="Arial" w:cs="Arial" w:eastAsia="Arial" w:hAnsi="Arial"/>
          <w:sz w:val="18"/>
          <w:szCs w:val="18"/>
          <w:color w:val="auto"/>
        </w:rPr>
        <w:t>In May 2014, the Financial Accounting Standards Board, or FASB, issued Accounting Standard Update, or ASU No. 2014-9, Revenue from Contracts with Customers, which supersedes all existing revenue recognition requirements, including most industry-specific guidance. The new standard requires a company to recognize revenue when it transfers goods or services to customers in an amount that reflects the consideration that the Company expects to receive for those goods or services. The update also requires additional disclosure about the nature, amount, timing and uncertainty of revenue and cash flows arising from customer contracts, including significant judgments and changes in judgments and assets recognized from costs incurred to obtain or fulfill a contract. ASU 2014-09 is effective for private companies for annual reporting periods beginning after December 15, 2018 and should be applied retrospectively to each prior reporting period presented or retrospectively with the cumulative effect of initially applying this update recognized at the date of initial application. The Company is currently evaluating the impact of the adoption of this standard on its financial statements.</w:t>
      </w:r>
    </w:p>
    <w:p>
      <w:pPr>
        <w:spacing w:after="0" w:line="106" w:lineRule="exact"/>
        <w:rPr>
          <w:sz w:val="20"/>
          <w:szCs w:val="20"/>
          <w:color w:val="auto"/>
        </w:rPr>
      </w:pPr>
    </w:p>
    <w:p>
      <w:pPr>
        <w:ind w:left="120" w:right="100"/>
        <w:spacing w:after="0" w:line="235" w:lineRule="auto"/>
        <w:rPr>
          <w:sz w:val="20"/>
          <w:szCs w:val="20"/>
          <w:color w:val="auto"/>
        </w:rPr>
      </w:pPr>
      <w:r>
        <w:rPr>
          <w:rFonts w:ascii="Arial" w:cs="Arial" w:eastAsia="Arial" w:hAnsi="Arial"/>
          <w:sz w:val="18"/>
          <w:szCs w:val="18"/>
          <w:color w:val="auto"/>
        </w:rPr>
        <w:t>In February 2016, the FASB issued ASU 2016-02, Leases. This standard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12 months regardless of their classification. Leases with a term of 12 months or less will be accounted for similar to existing guidance for operating leases today. ASU 2016-02 is effective for private companies for annual reporting periods beginning after December 15, 2019. The Company is currently evaluating the impact of the adoption of this standard on its financial statements.</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120"/>
          </w:cols>
          <w:pgMar w:left="320" w:top="459" w:right="45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In November 2016, FASB issued ASU No. 2016-18, Statement of Cash Flows, Restricted Cash, or ASU No. 2016-18, which provides guidance on the presentation of restricted cash and restricted cash equivalents in the statement of cash flows. Under ASU No. 2016-18, the statement of cash flows shall explain the change during the period in the total of cash, cash equivalents, and amounts generally described as restricted cash or restricted cash equivalents. Amounts generally described as restricted cash and cash equivalents should now be included with cash and cash equivalents when reconciling the beginning-of-period and end-of-period amounts shown on the statements of cash flows. This ASU is effective for private companies for reporting periods beginning after December 15, 2018, with early adoption permitted. Other than the revised statement of cash flows presentation, the adoption of ASU No. 2016-18 will not have an impact on the Company’s financial statements.</w:t>
      </w:r>
    </w:p>
    <w:p>
      <w:pPr>
        <w:spacing w:after="0" w:line="100" w:lineRule="exact"/>
        <w:rPr>
          <w:sz w:val="20"/>
          <w:szCs w:val="20"/>
          <w:color w:val="auto"/>
        </w:rPr>
      </w:pPr>
    </w:p>
    <w:p>
      <w:pPr>
        <w:ind w:left="120" w:right="100"/>
        <w:spacing w:after="0" w:line="269" w:lineRule="auto"/>
        <w:rPr>
          <w:sz w:val="20"/>
          <w:szCs w:val="20"/>
          <w:color w:val="auto"/>
        </w:rPr>
      </w:pPr>
      <w:r>
        <w:rPr>
          <w:rFonts w:ascii="Arial" w:cs="Arial" w:eastAsia="Arial" w:hAnsi="Arial"/>
          <w:sz w:val="16"/>
          <w:szCs w:val="16"/>
          <w:color w:val="auto"/>
        </w:rPr>
        <w:t>In August 2018, the FASB issued ASU 2018-13, Fair Value Measurement (Topic 820)—Disclosure Framework—Changes to the Disclosure Requirements for Fair Value Measurement. ASU 2018-13 removes the disclosure requirement for the amount and reasons for transfers between Level 1 and Level 2 fair value measurements as well as the process for Level 3 fair value measurements. In addition, the ASU adds the disclosure requirements for changes in unrealized gains and losses included in Other comprehensive income (loss) for recurring Level 3 fair value measurements held at the end of the reporting period as well as the range and weighted average of significant unobservable inputs used to develop Level 3 fair value measurements. The ASU is effective for fiscal years beginning after December 15, 2019, and interim periods within those fiscal years and will be applied on a retrospective basis to all periods presented. Early adoption is permitted. The Company is currently evaluating the impact this standard will have on its financial statements and related disclosures.</w:t>
      </w:r>
    </w:p>
    <w:p>
      <w:pPr>
        <w:spacing w:after="0" w:line="78"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In November 2018, the FASB issued ASU 2018-18, Collaboration Arrangements (Topic 808): Clarifying the Interaction between Topic 808 and Topic 606 to clarify the interaction between the accounting guidance for collaborative arrangements and revenue from contracts with customers. The amendments become effective for the Company’s fiscal year, including interim periods, beginning January 1, 2021. Early adoption, including adoption in any interim period, is permitted. This guidance is required to be applied retrospectively as of the date of the Company’s adoption of the new revenue standard on January 1, 2019. The Company is currently evaluating the timing of the Company’s adoption and the expected impact this guidance could have on its financial statements and related disclosures.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3. Property and equipment</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Property and equipment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2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September 30,</w:t>
            </w:r>
          </w:p>
        </w:tc>
        <w:tc>
          <w:tcPr>
            <w:tcW w:w="1400" w:type="dxa"/>
            <w:vAlign w:val="bottom"/>
            <w:gridSpan w:val="3"/>
          </w:tcPr>
          <w:p>
            <w:pPr>
              <w:ind w:left="14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4220" w:type="dxa"/>
            <w:vAlign w:val="bottom"/>
            <w:tcBorders>
              <w:bottom w:val="single" w:sz="8" w:color="auto"/>
            </w:tcBorders>
          </w:tcPr>
          <w:p>
            <w:pPr>
              <w:spacing w:after="0"/>
              <w:rPr>
                <w:sz w:val="19"/>
                <w:szCs w:val="19"/>
                <w:color w:val="auto"/>
              </w:rPr>
            </w:pPr>
          </w:p>
        </w:tc>
        <w:tc>
          <w:tcPr>
            <w:tcW w:w="4020" w:type="dxa"/>
            <w:vAlign w:val="bottom"/>
            <w:tcBorders>
              <w:bottom w:val="single" w:sz="8" w:color="auto"/>
            </w:tcBorders>
          </w:tcPr>
          <w:p>
            <w:pPr>
              <w:jc w:val="center"/>
              <w:ind w:left="212"/>
              <w:spacing w:after="0"/>
              <w:rPr>
                <w:sz w:val="20"/>
                <w:szCs w:val="20"/>
                <w:color w:val="auto"/>
              </w:rPr>
            </w:pPr>
            <w:r>
              <w:rPr>
                <w:rFonts w:ascii="Arial" w:cs="Arial" w:eastAsia="Arial" w:hAnsi="Arial"/>
                <w:sz w:val="18"/>
                <w:szCs w:val="18"/>
                <w:b w:val="1"/>
                <w:bCs w:val="1"/>
                <w:color w:val="auto"/>
                <w:w w:val="97"/>
              </w:rPr>
              <w:t>Useful life</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auto"/>
            </w:tcBorders>
          </w:tcPr>
          <w:p>
            <w:pPr>
              <w:spacing w:after="0"/>
              <w:rPr>
                <w:sz w:val="19"/>
                <w:szCs w:val="19"/>
                <w:color w:val="auto"/>
              </w:rPr>
            </w:pPr>
          </w:p>
        </w:tc>
      </w:tr>
      <w:tr>
        <w:trPr>
          <w:trHeight w:val="196"/>
        </w:trPr>
        <w:tc>
          <w:tcPr>
            <w:tcW w:w="4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Lab equipment</w:t>
            </w:r>
          </w:p>
        </w:tc>
        <w:tc>
          <w:tcPr>
            <w:tcW w:w="4020" w:type="dxa"/>
            <w:vAlign w:val="bottom"/>
            <w:shd w:val="clear" w:color="auto" w:fill="CCEEFF"/>
          </w:tcPr>
          <w:p>
            <w:pPr>
              <w:jc w:val="center"/>
              <w:ind w:left="232"/>
              <w:spacing w:after="0" w:line="196" w:lineRule="exact"/>
              <w:rPr>
                <w:sz w:val="20"/>
                <w:szCs w:val="20"/>
                <w:color w:val="auto"/>
              </w:rPr>
            </w:pPr>
            <w:r>
              <w:rPr>
                <w:rFonts w:ascii="Arial" w:cs="Arial" w:eastAsia="Arial" w:hAnsi="Arial"/>
                <w:sz w:val="18"/>
                <w:szCs w:val="18"/>
                <w:color w:val="auto"/>
                <w:w w:val="98"/>
              </w:rPr>
              <w:t>5 years</w:t>
            </w: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rPr>
              <w:t>9,131,787</w:t>
            </w:r>
          </w:p>
        </w:tc>
        <w:tc>
          <w:tcPr>
            <w:tcW w:w="300" w:type="dxa"/>
            <w:vAlign w:val="bottom"/>
            <w:shd w:val="clear" w:color="auto" w:fill="CCEEFF"/>
          </w:tcPr>
          <w:p>
            <w:pPr>
              <w:ind w:left="14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8,971,721</w:t>
            </w: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Computer equipment and software</w:t>
            </w:r>
          </w:p>
        </w:tc>
        <w:tc>
          <w:tcPr>
            <w:tcW w:w="4020" w:type="dxa"/>
            <w:vAlign w:val="bottom"/>
          </w:tcPr>
          <w:p>
            <w:pPr>
              <w:jc w:val="center"/>
              <w:ind w:left="232"/>
              <w:spacing w:after="0" w:line="202" w:lineRule="exact"/>
              <w:rPr>
                <w:sz w:val="20"/>
                <w:szCs w:val="20"/>
                <w:color w:val="auto"/>
              </w:rPr>
            </w:pPr>
            <w:r>
              <w:rPr>
                <w:rFonts w:ascii="Arial" w:cs="Arial" w:eastAsia="Arial" w:hAnsi="Arial"/>
                <w:sz w:val="18"/>
                <w:szCs w:val="18"/>
                <w:color w:val="auto"/>
                <w:w w:val="98"/>
              </w:rPr>
              <w:t>3 years</w:t>
            </w:r>
          </w:p>
        </w:tc>
        <w:tc>
          <w:tcPr>
            <w:tcW w:w="180" w:type="dxa"/>
            <w:vAlign w:val="bottom"/>
          </w:tcPr>
          <w:p>
            <w:pPr>
              <w:spacing w:after="0"/>
              <w:rPr>
                <w:sz w:val="17"/>
                <w:szCs w:val="17"/>
                <w:color w:val="auto"/>
              </w:rPr>
            </w:pPr>
          </w:p>
        </w:tc>
        <w:tc>
          <w:tcPr>
            <w:tcW w:w="12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762,334</w:t>
            </w:r>
          </w:p>
        </w:tc>
        <w:tc>
          <w:tcPr>
            <w:tcW w:w="30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738,132</w:t>
            </w: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Office furniture</w:t>
            </w:r>
          </w:p>
        </w:tc>
        <w:tc>
          <w:tcPr>
            <w:tcW w:w="4020" w:type="dxa"/>
            <w:vAlign w:val="bottom"/>
            <w:shd w:val="clear" w:color="auto" w:fill="CCEEFF"/>
          </w:tcPr>
          <w:p>
            <w:pPr>
              <w:jc w:val="center"/>
              <w:ind w:left="232"/>
              <w:spacing w:after="0" w:line="202" w:lineRule="exact"/>
              <w:rPr>
                <w:sz w:val="20"/>
                <w:szCs w:val="20"/>
                <w:color w:val="auto"/>
              </w:rPr>
            </w:pPr>
            <w:r>
              <w:rPr>
                <w:rFonts w:ascii="Arial" w:cs="Arial" w:eastAsia="Arial" w:hAnsi="Arial"/>
                <w:sz w:val="18"/>
                <w:szCs w:val="18"/>
                <w:color w:val="auto"/>
                <w:w w:val="98"/>
              </w:rPr>
              <w:t>5 years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129,460</w:t>
            </w:r>
          </w:p>
        </w:tc>
        <w:tc>
          <w:tcPr>
            <w:tcW w:w="3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129,460</w:t>
            </w:r>
          </w:p>
        </w:tc>
      </w:tr>
      <w:tr>
        <w:trPr>
          <w:trHeight w:val="210"/>
        </w:trPr>
        <w:tc>
          <w:tcPr>
            <w:tcW w:w="422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4020" w:type="dxa"/>
            <w:vAlign w:val="bottom"/>
          </w:tcPr>
          <w:p>
            <w:pPr>
              <w:jc w:val="center"/>
              <w:ind w:left="232"/>
              <w:spacing w:after="0" w:line="202" w:lineRule="exact"/>
              <w:rPr>
                <w:sz w:val="20"/>
                <w:szCs w:val="20"/>
                <w:color w:val="auto"/>
              </w:rPr>
            </w:pPr>
            <w:r>
              <w:rPr>
                <w:rFonts w:ascii="Arial" w:cs="Arial" w:eastAsia="Arial" w:hAnsi="Arial"/>
                <w:sz w:val="18"/>
                <w:szCs w:val="18"/>
                <w:color w:val="auto"/>
                <w:w w:val="97"/>
              </w:rPr>
              <w:t>Lesser of useful life or lease term</w:t>
            </w:r>
          </w:p>
        </w:tc>
        <w:tc>
          <w:tcPr>
            <w:tcW w:w="180" w:type="dxa"/>
            <w:vAlign w:val="bottom"/>
          </w:tcPr>
          <w:p>
            <w:pPr>
              <w:spacing w:after="0"/>
              <w:rPr>
                <w:sz w:val="18"/>
                <w:szCs w:val="18"/>
                <w:color w:val="auto"/>
              </w:rPr>
            </w:pPr>
          </w:p>
        </w:tc>
        <w:tc>
          <w:tcPr>
            <w:tcW w:w="12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4,827,801</w:t>
            </w:r>
          </w:p>
        </w:tc>
        <w:tc>
          <w:tcPr>
            <w:tcW w:w="300" w:type="dxa"/>
            <w:vAlign w:val="bottom"/>
          </w:tcPr>
          <w:p>
            <w:pPr>
              <w:spacing w:after="0"/>
              <w:rPr>
                <w:sz w:val="18"/>
                <w:szCs w:val="18"/>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4,827,801</w:t>
            </w:r>
          </w:p>
        </w:tc>
      </w:tr>
      <w:tr>
        <w:trPr>
          <w:trHeight w:val="203"/>
        </w:trPr>
        <w:tc>
          <w:tcPr>
            <w:tcW w:w="42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Total property and equipment, at cost</w:t>
            </w:r>
          </w:p>
        </w:tc>
        <w:tc>
          <w:tcPr>
            <w:tcW w:w="40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14,851,382</w:t>
            </w:r>
          </w:p>
        </w:tc>
        <w:tc>
          <w:tcPr>
            <w:tcW w:w="3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14,667,114</w:t>
            </w:r>
          </w:p>
        </w:tc>
        <w:tc>
          <w:tcPr>
            <w:tcW w:w="120" w:type="dxa"/>
            <w:vAlign w:val="bottom"/>
            <w:shd w:val="clear" w:color="auto" w:fill="CCEEFF"/>
          </w:tcPr>
          <w:p>
            <w:pPr>
              <w:spacing w:after="0"/>
              <w:rPr>
                <w:sz w:val="17"/>
                <w:szCs w:val="17"/>
                <w:color w:val="auto"/>
              </w:rPr>
            </w:pP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Accumulated depreciation and amortization</w:t>
            </w:r>
          </w:p>
        </w:tc>
        <w:tc>
          <w:tcPr>
            <w:tcW w:w="4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(12,083,215)</w:t>
            </w:r>
          </w:p>
        </w:tc>
        <w:tc>
          <w:tcPr>
            <w:tcW w:w="300" w:type="dxa"/>
            <w:vAlign w:val="bottom"/>
          </w:tcPr>
          <w:p>
            <w:pPr>
              <w:spacing w:after="0"/>
              <w:rPr>
                <w:sz w:val="17"/>
                <w:szCs w:val="17"/>
                <w:color w:val="auto"/>
              </w:rPr>
            </w:pP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9"/>
              </w:rPr>
              <w:t>(10,658,533)</w:t>
            </w:r>
          </w:p>
        </w:tc>
      </w:tr>
      <w:tr>
        <w:trPr>
          <w:trHeight w:val="27"/>
        </w:trPr>
        <w:tc>
          <w:tcPr>
            <w:tcW w:w="42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42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Property and equipment, net</w:t>
            </w:r>
          </w:p>
        </w:tc>
        <w:tc>
          <w:tcPr>
            <w:tcW w:w="4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2,768,167</w:t>
            </w:r>
          </w:p>
        </w:tc>
        <w:tc>
          <w:tcPr>
            <w:tcW w:w="3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4,008,581</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9"/>
        </w:trPr>
        <w:tc>
          <w:tcPr>
            <w:tcW w:w="4220" w:type="dxa"/>
            <w:vAlign w:val="bottom"/>
          </w:tcPr>
          <w:p>
            <w:pPr>
              <w:spacing w:after="0"/>
              <w:rPr>
                <w:sz w:val="24"/>
                <w:szCs w:val="24"/>
                <w:color w:val="auto"/>
              </w:rPr>
            </w:pPr>
          </w:p>
        </w:tc>
        <w:tc>
          <w:tcPr>
            <w:tcW w:w="4020" w:type="dxa"/>
            <w:vAlign w:val="bottom"/>
          </w:tcPr>
          <w:p>
            <w:pPr>
              <w:ind w:left="1100"/>
              <w:spacing w:after="0"/>
              <w:rPr>
                <w:sz w:val="20"/>
                <w:szCs w:val="20"/>
                <w:color w:val="auto"/>
              </w:rPr>
            </w:pPr>
            <w:r>
              <w:rPr>
                <w:rFonts w:ascii="Arial" w:cs="Arial" w:eastAsia="Arial" w:hAnsi="Arial"/>
                <w:sz w:val="18"/>
                <w:szCs w:val="18"/>
                <w:color w:val="auto"/>
              </w:rPr>
              <w:t>F-68</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4. Collaborations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Roche collaboration</w:t>
      </w:r>
    </w:p>
    <w:p>
      <w:pPr>
        <w:spacing w:after="0" w:line="124"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In October 2017, the Company and F. Hoffman-La Roche Limited and Hoffman-La Roche Inc. (“Roche”) entered into a collaboration agreement (“Roche Collaboration Agreement”) utilizing the Company’s proprietary genome mining platform to discover and develop multiple novel classes of antibiotics.</w:t>
      </w:r>
    </w:p>
    <w:p>
      <w:pPr>
        <w:spacing w:after="0" w:line="100"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Under the Roche Collaboration Agreement, the Company is focused on antibiotics with activity against clinically important, drug-resistant, Gram-negative pathogens. The Company’s platform enables access to natural product drugs that have not been analyzed previously, due to historical technology limitations.</w:t>
      </w:r>
    </w:p>
    <w:p>
      <w:pPr>
        <w:spacing w:after="0" w:line="100"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The Company is solely responsible for the conduct of research and development activities for each antibiotic program through selection of a drug development candidate. Roche may or may not exercise options for antibiotic programs at the drug development candidate stage. Roche has no obligations to develop or commercialize under the Roche Collaboration Agreement, until such time, if any, that Roche exercises an option for a drug development candidate.</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Roche paid the Company a $23 million nonrefundable, up-front fee in October 2017.</w:t>
      </w:r>
    </w:p>
    <w:p>
      <w:pPr>
        <w:spacing w:after="0" w:line="104" w:lineRule="exact"/>
        <w:rPr>
          <w:sz w:val="20"/>
          <w:szCs w:val="20"/>
          <w:color w:val="auto"/>
        </w:rPr>
      </w:pPr>
    </w:p>
    <w:p>
      <w:pPr>
        <w:ind w:left="120" w:right="140"/>
        <w:spacing w:after="0" w:line="239" w:lineRule="auto"/>
        <w:rPr>
          <w:sz w:val="20"/>
          <w:szCs w:val="20"/>
          <w:color w:val="auto"/>
        </w:rPr>
      </w:pPr>
      <w:r>
        <w:rPr>
          <w:rFonts w:ascii="Arial" w:cs="Arial" w:eastAsia="Arial" w:hAnsi="Arial"/>
          <w:sz w:val="18"/>
          <w:szCs w:val="18"/>
          <w:color w:val="auto"/>
        </w:rPr>
        <w:t>The Company estimates that the sum of the nonrefundable up-front fee already paid, potential option fees and potential milestone payments for preclinical events could total $87 million.</w:t>
      </w:r>
    </w:p>
    <w:p>
      <w:pPr>
        <w:spacing w:after="0" w:line="101" w:lineRule="exact"/>
        <w:rPr>
          <w:sz w:val="20"/>
          <w:szCs w:val="20"/>
          <w:color w:val="auto"/>
        </w:rPr>
      </w:pPr>
    </w:p>
    <w:p>
      <w:pPr>
        <w:ind w:left="120" w:right="740"/>
        <w:spacing w:after="0" w:line="239" w:lineRule="auto"/>
        <w:rPr>
          <w:sz w:val="20"/>
          <w:szCs w:val="20"/>
          <w:color w:val="auto"/>
        </w:rPr>
      </w:pPr>
      <w:r>
        <w:rPr>
          <w:rFonts w:ascii="Arial" w:cs="Arial" w:eastAsia="Arial" w:hAnsi="Arial"/>
          <w:sz w:val="18"/>
          <w:szCs w:val="18"/>
          <w:color w:val="auto"/>
        </w:rPr>
        <w:t>The Company estimates that the total potential clinical, regulatory and sales milestones on products licensed to Roche could total an additional $300 million.</w:t>
      </w:r>
    </w:p>
    <w:p>
      <w:pPr>
        <w:spacing w:after="0" w:line="101"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The research term will be in effect for a period of time beginning in October 2017 through the later of October 2022 or 24 months after the Company achieves certain research milestones for the last eligible antibiotic programs. The Company is currently estimating a research term of five years for the Roche Collaboration Agreement.</w:t>
      </w:r>
    </w:p>
    <w:p>
      <w:pPr>
        <w:spacing w:after="0" w:line="100"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The Roche Collaboration Agreement automatically terminates if Roche does not exercise an option on a development candidate by October 2022. Roche may voluntarily terminate the Roche Collaboration Agreement in its entirety or on a program by program basis upon 90 days’ written notice.</w:t>
      </w:r>
    </w:p>
    <w:p>
      <w:pPr>
        <w:spacing w:after="0" w:line="100" w:lineRule="exact"/>
        <w:rPr>
          <w:sz w:val="20"/>
          <w:szCs w:val="20"/>
          <w:color w:val="auto"/>
        </w:rPr>
      </w:pPr>
    </w:p>
    <w:p>
      <w:pPr>
        <w:ind w:left="120" w:right="380"/>
        <w:spacing w:after="0" w:line="239" w:lineRule="auto"/>
        <w:rPr>
          <w:sz w:val="20"/>
          <w:szCs w:val="20"/>
          <w:color w:val="auto"/>
        </w:rPr>
      </w:pPr>
      <w:r>
        <w:rPr>
          <w:rFonts w:ascii="Arial" w:cs="Arial" w:eastAsia="Arial" w:hAnsi="Arial"/>
          <w:sz w:val="18"/>
          <w:szCs w:val="18"/>
          <w:color w:val="auto"/>
        </w:rPr>
        <w:t>The Company is eligible to receive tiered royalties for antibiotic programs for which Roche exercises its options up to low double digits on future net sales.</w:t>
      </w:r>
    </w:p>
    <w:p>
      <w:pPr>
        <w:spacing w:after="0" w:line="101" w:lineRule="exact"/>
        <w:rPr>
          <w:sz w:val="20"/>
          <w:szCs w:val="20"/>
          <w:color w:val="auto"/>
        </w:rPr>
      </w:pPr>
    </w:p>
    <w:p>
      <w:pPr>
        <w:ind w:left="120" w:right="200"/>
        <w:spacing w:after="0" w:line="239" w:lineRule="auto"/>
        <w:rPr>
          <w:sz w:val="20"/>
          <w:szCs w:val="20"/>
          <w:color w:val="auto"/>
        </w:rPr>
      </w:pPr>
      <w:r>
        <w:rPr>
          <w:rFonts w:ascii="Arial" w:cs="Arial" w:eastAsia="Arial" w:hAnsi="Arial"/>
          <w:sz w:val="18"/>
          <w:szCs w:val="18"/>
          <w:color w:val="auto"/>
        </w:rPr>
        <w:t>As there is no discernable patter of performance, the revenue is recognized on a straight-line basis over the research term, assumed to last five years.</w:t>
      </w:r>
    </w:p>
    <w:p>
      <w:pPr>
        <w:spacing w:after="0" w:line="101" w:lineRule="exact"/>
        <w:rPr>
          <w:sz w:val="20"/>
          <w:szCs w:val="20"/>
          <w:color w:val="auto"/>
        </w:rPr>
      </w:pPr>
    </w:p>
    <w:p>
      <w:pPr>
        <w:jc w:val="both"/>
        <w:ind w:left="120" w:right="80"/>
        <w:spacing w:after="0" w:line="238" w:lineRule="auto"/>
        <w:rPr>
          <w:sz w:val="20"/>
          <w:szCs w:val="20"/>
          <w:color w:val="auto"/>
        </w:rPr>
      </w:pPr>
      <w:r>
        <w:rPr>
          <w:rFonts w:ascii="Arial" w:cs="Arial" w:eastAsia="Arial" w:hAnsi="Arial"/>
          <w:sz w:val="18"/>
          <w:szCs w:val="18"/>
          <w:color w:val="auto"/>
        </w:rPr>
        <w:t>The Company recognized approximately $3.5 million in collaboration revenue related solely to the up-front fee during the nine months ended September 30, 2018. The Company recorded total deferred revenue of approximately $18.4 million ($4.6 million in current portion of deferred revenue and $13.8 million in deferred revenue less current portion) as of September 30, 2018.</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Sanofi collaboration</w:t>
      </w:r>
    </w:p>
    <w:p>
      <w:pPr>
        <w:spacing w:after="0" w:line="124"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In January 2016, the Company and Sanofi entered into a collaboration and license agreement (Sanofi Collaboration Agreement) utilizing the Company’s proprietary SMART</w:t>
      </w:r>
      <w:r>
        <w:rPr>
          <w:rFonts w:ascii="Arial" w:cs="Arial" w:eastAsia="Arial" w:hAnsi="Arial"/>
          <w:sz w:val="11"/>
          <w:szCs w:val="11"/>
          <w:color w:val="auto"/>
        </w:rPr>
        <w:t>™</w:t>
      </w:r>
      <w:r>
        <w:rPr>
          <w:rFonts w:ascii="Arial" w:cs="Arial" w:eastAsia="Arial" w:hAnsi="Arial"/>
          <w:sz w:val="18"/>
          <w:szCs w:val="18"/>
          <w:color w:val="auto"/>
        </w:rPr>
        <w:t xml:space="preserve"> and genome mining platforms to discover novel oncology therapeutics and antibiotics. The Sanofi Collaboration Agreement focused on the development of drugs targeting important human oncogenes and new antibiotics. The Company was solely responsible for the conduct of research and development activities for each collaboration program until the</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120"/>
          </w:cols>
          <w:pgMar w:left="320" w:top="459" w:right="45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120" w:right="80"/>
        <w:spacing w:after="0" w:line="281" w:lineRule="auto"/>
        <w:rPr>
          <w:sz w:val="20"/>
          <w:szCs w:val="20"/>
          <w:color w:val="auto"/>
        </w:rPr>
      </w:pPr>
      <w:r>
        <w:rPr>
          <w:rFonts w:ascii="Arial" w:cs="Arial" w:eastAsia="Arial" w:hAnsi="Arial"/>
          <w:sz w:val="16"/>
          <w:szCs w:val="16"/>
          <w:color w:val="auto"/>
        </w:rPr>
        <w:t>applicable transition stage (i.e., the specified point in time at which the research and development efforts are transitioned from the Company to Sanofi) for the respective collaboration program, unless otherwise agreed to by the parties in writing. Sanofi had no obligations to develop or commercialize under any collaboration program, until such time, if any, that the applicable transition has occurred.</w:t>
      </w:r>
    </w:p>
    <w:p>
      <w:pPr>
        <w:spacing w:after="0" w:line="69" w:lineRule="exact"/>
        <w:rPr>
          <w:sz w:val="20"/>
          <w:szCs w:val="20"/>
          <w:color w:val="auto"/>
        </w:rPr>
      </w:pPr>
    </w:p>
    <w:p>
      <w:pPr>
        <w:jc w:val="both"/>
        <w:ind w:left="120" w:right="240"/>
        <w:spacing w:after="0" w:line="299" w:lineRule="auto"/>
        <w:rPr>
          <w:sz w:val="20"/>
          <w:szCs w:val="20"/>
          <w:color w:val="auto"/>
        </w:rPr>
      </w:pPr>
      <w:r>
        <w:rPr>
          <w:rFonts w:ascii="Arial" w:cs="Arial" w:eastAsia="Arial" w:hAnsi="Arial"/>
          <w:sz w:val="16"/>
          <w:szCs w:val="16"/>
          <w:color w:val="auto"/>
        </w:rPr>
        <w:t>Under the terms of the Sanofi Collaboration Agreement, the Company would lead the research collaboration for a period of five years, and Sanofi would receive worldwide exclusive licenses to develop and commercialize product candidates discovered during the research term.</w:t>
      </w:r>
    </w:p>
    <w:p>
      <w:pPr>
        <w:spacing w:after="0" w:line="55"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The Company and Sanofi initially focused on three defined oncology programs targeting different mutants and states of the oncogenic protein Ras. For the antibiotic program, the Company led initial discovery efforts, and Sanofi would lead any subsequent discovery and development activities. The Company reached the transition stage for the antibiotic program during the year ended December 31, 2016. The estimated research term for the antibiotic program was one year.</w:t>
      </w:r>
    </w:p>
    <w:p>
      <w:pPr>
        <w:spacing w:after="0" w:line="100" w:lineRule="exact"/>
        <w:rPr>
          <w:sz w:val="20"/>
          <w:szCs w:val="20"/>
          <w:color w:val="auto"/>
        </w:rPr>
      </w:pPr>
    </w:p>
    <w:p>
      <w:pPr>
        <w:jc w:val="both"/>
        <w:ind w:left="120" w:right="60"/>
        <w:spacing w:after="0" w:line="238" w:lineRule="auto"/>
        <w:rPr>
          <w:sz w:val="20"/>
          <w:szCs w:val="20"/>
          <w:color w:val="auto"/>
        </w:rPr>
      </w:pPr>
      <w:r>
        <w:rPr>
          <w:rFonts w:ascii="Arial" w:cs="Arial" w:eastAsia="Arial" w:hAnsi="Arial"/>
          <w:sz w:val="18"/>
          <w:szCs w:val="18"/>
          <w:color w:val="auto"/>
        </w:rPr>
        <w:t>In July 2017, Sanofi provided 90 days’ written notice to terminate the antibiotic portion of the Sanofi Collaboration Agreement, which officially terminated in October 2017. In November 2017, Sanofi provided 90 days’ written notice to terminate all oncology programs or the remaining portion of the research activities under the Sanofi Collaboration Agreement, which officially terminated in February 2018.</w:t>
      </w:r>
    </w:p>
    <w:p>
      <w:pPr>
        <w:spacing w:after="0" w:line="100"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From the start of the Sanofi Collaboration Agreement through December 31, 2017, the Company received $15.8 million in milestone payments from Sanofi. In June 2018, a milestone payment of $6.0 million, which was achieved in December 2017, was cancelled and forgiven in full per the terms of the convertible notes payable amendment (see Note 5). This milestone payment was not previously recorded for accounting purposes due to collectability not being reasonably assured.</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did not receive any milestone payments from Sanofi during the nine months ended September 30, 2018.</w:t>
      </w:r>
    </w:p>
    <w:p>
      <w:pPr>
        <w:spacing w:after="0" w:line="104"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The Company recognized approximately $0.9 million of revenue related to the Sanofi Collaboration Agreement during the nine months ended September 30, 2018. The Company had zero deferred revenue as of September 30, 2018 related to the Sanofi Collaboration Agreement and no additional revenue will be recognized as the Company has fulfilled its obligations to Sanofi up through the termination date which occurred in February 2018.</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5. Convertible notes payable, related party</w:t>
      </w:r>
    </w:p>
    <w:p>
      <w:pPr>
        <w:spacing w:after="0" w:line="134" w:lineRule="exact"/>
        <w:rPr>
          <w:sz w:val="20"/>
          <w:szCs w:val="20"/>
          <w:color w:val="auto"/>
        </w:rPr>
      </w:pPr>
    </w:p>
    <w:p>
      <w:pPr>
        <w:ind w:left="120" w:right="40"/>
        <w:spacing w:after="0" w:line="235" w:lineRule="auto"/>
        <w:rPr>
          <w:sz w:val="20"/>
          <w:szCs w:val="20"/>
          <w:color w:val="auto"/>
        </w:rPr>
      </w:pPr>
      <w:r>
        <w:rPr>
          <w:rFonts w:ascii="Arial" w:cs="Arial" w:eastAsia="Arial" w:hAnsi="Arial"/>
          <w:sz w:val="18"/>
          <w:szCs w:val="18"/>
          <w:color w:val="auto"/>
        </w:rPr>
        <w:t>Under the January 2016 convertible notes payable agreement with Sanofi, the Company could borrow up to $30.0 million to fund certain expenses. The notes payable bore interest at LIBOR plus 8.5%. Subject to certain exceptions, there were no payments due prior to maturity, and interest is paid-in-kind. The notes payable were automatically convertible into shares of common stock upon the completion of an initial public offering and convertible at the option of the investor upon a financing in which the Company sold shares of a new series of preferred stock in which the Company receives proceeds of at least $30.0 million. The conversion rate upon such conversion was 95% of the initial public offering price or 95% of the financing purchase price. If the Company was acquired, the debt would be settled at 120% of the outstanding principal balance or $36.0 million. On October 17, 2018, in conjunction with the acquisition of the Company by Revolution (“Parties”), the Parties agreed to convert the debt to 18 million shares of Series A Preferred stock or 5.4 million Revolution shares, which had a fair value of $2.06 per share.</w:t>
      </w:r>
    </w:p>
    <w:p>
      <w:pPr>
        <w:spacing w:after="0" w:line="106" w:lineRule="exact"/>
        <w:rPr>
          <w:sz w:val="20"/>
          <w:szCs w:val="20"/>
          <w:color w:val="auto"/>
        </w:rPr>
      </w:pPr>
    </w:p>
    <w:p>
      <w:pPr>
        <w:ind w:left="120" w:right="540"/>
        <w:spacing w:after="0" w:line="239" w:lineRule="auto"/>
        <w:rPr>
          <w:sz w:val="20"/>
          <w:szCs w:val="20"/>
          <w:color w:val="auto"/>
        </w:rPr>
      </w:pPr>
      <w:r>
        <w:rPr>
          <w:rFonts w:ascii="Arial" w:cs="Arial" w:eastAsia="Arial" w:hAnsi="Arial"/>
          <w:sz w:val="18"/>
          <w:szCs w:val="18"/>
          <w:color w:val="auto"/>
        </w:rPr>
        <w:t>In November 2017, Sanofi provided 90 days’ written notice to terminate all oncology programs or the remaining portion of the research activities under the Sanofi Collaboration Agreement, which officially terminated in</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060"/>
          </w:cols>
          <w:pgMar w:left="320" w:top="459" w:right="51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60"/>
        <w:spacing w:after="0" w:line="239" w:lineRule="auto"/>
        <w:rPr>
          <w:sz w:val="20"/>
          <w:szCs w:val="20"/>
          <w:color w:val="auto"/>
        </w:rPr>
      </w:pPr>
      <w:r>
        <w:rPr>
          <w:rFonts w:ascii="Arial" w:cs="Arial" w:eastAsia="Arial" w:hAnsi="Arial"/>
          <w:sz w:val="18"/>
          <w:szCs w:val="18"/>
          <w:color w:val="auto"/>
        </w:rPr>
        <w:t>February 2018. With the termination of the Sanofi Collaboration Agreement, the maturity date of the convertible notes payable, related party became February 2020.</w:t>
      </w:r>
    </w:p>
    <w:p>
      <w:pPr>
        <w:spacing w:after="0" w:line="101" w:lineRule="exact"/>
        <w:rPr>
          <w:sz w:val="20"/>
          <w:szCs w:val="20"/>
          <w:color w:val="auto"/>
        </w:rPr>
      </w:pPr>
    </w:p>
    <w:p>
      <w:pPr>
        <w:ind w:left="120" w:right="140"/>
        <w:spacing w:after="0" w:line="236" w:lineRule="auto"/>
        <w:rPr>
          <w:sz w:val="20"/>
          <w:szCs w:val="20"/>
          <w:color w:val="auto"/>
        </w:rPr>
      </w:pPr>
      <w:r>
        <w:rPr>
          <w:rFonts w:ascii="Arial" w:cs="Arial" w:eastAsia="Arial" w:hAnsi="Arial"/>
          <w:sz w:val="18"/>
          <w:szCs w:val="18"/>
          <w:color w:val="auto"/>
        </w:rPr>
        <w:t>In June 2018, the Company and Sanofi (“Parties”) agreed to amend the terms of the existing convertible notes payable. Per the terms of the amended agreement, all current and future interest due on the convertible notes payable was cancelled and forgiven in full. Additionally, the Parties agreed to exchange the existing convertible notes payable with new notes payable with an extended maturity date and certain other amended provisions immediately prior to a future closing of the Company’s first issuance and sale of preferred stock prior to December 31, 2019. As no preferred stock financing occurred prior to the merger between Revolution and the Company (see Note 13), no exchange of notes payable occurred.</w:t>
      </w:r>
    </w:p>
    <w:p>
      <w:pPr>
        <w:spacing w:after="0" w:line="102"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The Company recognized a gain on the restructuring of debt, related party due to the cancellation of current and future interest due on the convertible notes payable of $5.1 million in the nine months ended September 30, 2018. The restructuring of debt was considered a troubled debt restructuring because of the doubt surrounding the Company’s ability to continue as a going concern and Sanofi was granting the Company a concession, namely cancelling all current and future interest due on the convertible notes payable.</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6. Fair value measurements</w:t>
      </w:r>
    </w:p>
    <w:p>
      <w:pPr>
        <w:spacing w:after="0" w:line="134" w:lineRule="exact"/>
        <w:rPr>
          <w:sz w:val="20"/>
          <w:szCs w:val="20"/>
          <w:color w:val="auto"/>
        </w:rPr>
      </w:pPr>
    </w:p>
    <w:p>
      <w:pPr>
        <w:jc w:val="both"/>
        <w:ind w:left="120" w:right="280"/>
        <w:spacing w:after="0" w:line="238" w:lineRule="auto"/>
        <w:rPr>
          <w:sz w:val="20"/>
          <w:szCs w:val="20"/>
          <w:color w:val="auto"/>
        </w:rPr>
      </w:pPr>
      <w:r>
        <w:rPr>
          <w:rFonts w:ascii="Arial" w:cs="Arial" w:eastAsia="Arial" w:hAnsi="Arial"/>
          <w:sz w:val="18"/>
          <w:szCs w:val="18"/>
          <w:color w:val="auto"/>
        </w:rPr>
        <w:t>Financial Accounting Standards Board Accounting Standards Codification (ASC) 825, Financial Instruments, requires disclosure of the fair value of financial instruments. For financial instruments including cash equivalents, accounts payable and accrued expenses, the carrying amount approximates fair value due to their short-term nature.</w:t>
      </w:r>
    </w:p>
    <w:p>
      <w:pPr>
        <w:spacing w:after="0" w:line="100"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ASC 820, Fair Value Measurements and Disclosures (ASC 820), defines fair value and establishes a framework for measuring fair value in accordance with GAAP and expands disclosures about fair value measurements. ASC 820 codifies the definition of fair value as the price that would be received to sell an asset or paid to transfer a liability in an orderly transaction between market participants at the measurement date, clarifies the principle that fair value should be based on the assumptions market participants would use when pricing the asset or liability, and establishes a fair value hierarchy that prioritizes the information used to develop those assumptions. The valuation hierarchy is based upon the transparency of inputs to the valuation of an asset or liability as of the measurement date.</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Fair value measurements are classified and disclosed in one of the following three categories: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104" w:lineRule="exact"/>
        <w:rPr>
          <w:sz w:val="20"/>
          <w:szCs w:val="20"/>
          <w:color w:val="auto"/>
        </w:rPr>
      </w:pPr>
    </w:p>
    <w:p>
      <w:pPr>
        <w:jc w:val="both"/>
        <w:ind w:left="340" w:right="440"/>
        <w:spacing w:after="0" w:line="238" w:lineRule="auto"/>
        <w:rPr>
          <w:sz w:val="20"/>
          <w:szCs w:val="20"/>
          <w:color w:val="auto"/>
        </w:rPr>
      </w:pPr>
      <w:r>
        <w:rPr>
          <w:rFonts w:ascii="Arial" w:cs="Arial" w:eastAsia="Arial" w:hAnsi="Arial"/>
          <w:sz w:val="18"/>
          <w:szCs w:val="18"/>
          <w:color w:val="auto"/>
        </w:rPr>
        <w:t>Level 2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00" w:lineRule="exact"/>
        <w:rPr>
          <w:sz w:val="20"/>
          <w:szCs w:val="20"/>
          <w:color w:val="auto"/>
        </w:rPr>
      </w:pPr>
    </w:p>
    <w:p>
      <w:pPr>
        <w:jc w:val="center"/>
        <w:ind w:left="580" w:right="80"/>
        <w:spacing w:after="0" w:line="411" w:lineRule="auto"/>
        <w:rPr>
          <w:sz w:val="20"/>
          <w:szCs w:val="20"/>
          <w:color w:val="auto"/>
        </w:rPr>
      </w:pPr>
      <w:r>
        <w:rPr>
          <w:rFonts w:ascii="Arial" w:cs="Arial" w:eastAsia="Arial" w:hAnsi="Arial"/>
          <w:sz w:val="18"/>
          <w:szCs w:val="18"/>
          <w:color w:val="auto"/>
        </w:rPr>
        <w:t>Level 3 Unobservable inputs that are supported by little or no market activity and that are significant to the fair value of assets or liabilities. F-71</w:t>
      </w:r>
    </w:p>
    <w:p>
      <w:pPr>
        <w:sectPr>
          <w:pgSz w:w="11900" w:h="16838" w:orient="portrait"/>
          <w:cols w:equalWidth="0" w:num="1">
            <w:col w:w="11100"/>
          </w:cols>
          <w:pgMar w:left="320" w:top="459" w:right="47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380"/>
        <w:spacing w:after="0" w:line="239" w:lineRule="auto"/>
        <w:rPr>
          <w:sz w:val="20"/>
          <w:szCs w:val="20"/>
          <w:color w:val="auto"/>
        </w:rPr>
      </w:pPr>
      <w:r>
        <w:rPr>
          <w:rFonts w:ascii="Arial" w:cs="Arial" w:eastAsia="Arial" w:hAnsi="Arial"/>
          <w:sz w:val="18"/>
          <w:szCs w:val="18"/>
          <w:color w:val="auto"/>
        </w:rPr>
        <w:t>The Company measures the following financial assets at fair value on a recurring basis. The fair value of these assets was determined as follows at September 30, 2018 and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171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jc w:val="right"/>
              <w:ind w:right="512"/>
              <w:spacing w:after="0"/>
              <w:rPr>
                <w:sz w:val="20"/>
                <w:szCs w:val="20"/>
                <w:color w:val="auto"/>
              </w:rPr>
            </w:pPr>
            <w:r>
              <w:rPr>
                <w:rFonts w:ascii="Arial" w:cs="Arial" w:eastAsia="Arial" w:hAnsi="Arial"/>
                <w:sz w:val="18"/>
                <w:szCs w:val="18"/>
                <w:b w:val="1"/>
                <w:bCs w:val="1"/>
                <w:color w:val="auto"/>
                <w:w w:val="95"/>
              </w:rPr>
              <w:t>Other</w:t>
            </w:r>
          </w:p>
        </w:tc>
        <w:tc>
          <w:tcPr>
            <w:tcW w:w="380" w:type="dxa"/>
            <w:vAlign w:val="bottom"/>
          </w:tcPr>
          <w:p>
            <w:pPr>
              <w:spacing w:after="0"/>
              <w:rPr>
                <w:sz w:val="17"/>
                <w:szCs w:val="17"/>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7"/>
              </w:rPr>
              <w:t>Significant</w:t>
            </w:r>
          </w:p>
        </w:tc>
      </w:tr>
      <w:tr>
        <w:trPr>
          <w:trHeight w:val="203"/>
        </w:trPr>
        <w:tc>
          <w:tcPr>
            <w:tcW w:w="4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3"/>
          </w:tcPr>
          <w:p>
            <w:pPr>
              <w:ind w:left="160"/>
              <w:spacing w:after="0" w:line="202" w:lineRule="exact"/>
              <w:rPr>
                <w:sz w:val="20"/>
                <w:szCs w:val="20"/>
                <w:color w:val="auto"/>
              </w:rPr>
            </w:pPr>
            <w:r>
              <w:rPr>
                <w:rFonts w:ascii="Arial" w:cs="Arial" w:eastAsia="Arial" w:hAnsi="Arial"/>
                <w:sz w:val="18"/>
                <w:szCs w:val="18"/>
                <w:b w:val="1"/>
                <w:bCs w:val="1"/>
                <w:color w:val="auto"/>
              </w:rPr>
              <w:t>Balance at</w:t>
            </w:r>
          </w:p>
        </w:tc>
        <w:tc>
          <w:tcPr>
            <w:tcW w:w="1940" w:type="dxa"/>
            <w:vAlign w:val="bottom"/>
            <w:gridSpan w:val="2"/>
          </w:tcPr>
          <w:p>
            <w:pPr>
              <w:ind w:left="240"/>
              <w:spacing w:after="0" w:line="202" w:lineRule="exact"/>
              <w:rPr>
                <w:sz w:val="20"/>
                <w:szCs w:val="20"/>
                <w:color w:val="auto"/>
              </w:rPr>
            </w:pPr>
            <w:r>
              <w:rPr>
                <w:rFonts w:ascii="Arial" w:cs="Arial" w:eastAsia="Arial" w:hAnsi="Arial"/>
                <w:sz w:val="18"/>
                <w:szCs w:val="18"/>
                <w:b w:val="1"/>
                <w:bCs w:val="1"/>
                <w:color w:val="auto"/>
              </w:rPr>
              <w:t>Active markets</w:t>
            </w:r>
          </w:p>
        </w:tc>
        <w:tc>
          <w:tcPr>
            <w:tcW w:w="1500" w:type="dxa"/>
            <w:vAlign w:val="bottom"/>
            <w:gridSpan w:val="2"/>
          </w:tcPr>
          <w:p>
            <w:pPr>
              <w:jc w:val="right"/>
              <w:ind w:right="272"/>
              <w:spacing w:after="0" w:line="202" w:lineRule="exact"/>
              <w:rPr>
                <w:sz w:val="20"/>
                <w:szCs w:val="20"/>
                <w:color w:val="auto"/>
              </w:rPr>
            </w:pPr>
            <w:r>
              <w:rPr>
                <w:rFonts w:ascii="Arial" w:cs="Arial" w:eastAsia="Arial" w:hAnsi="Arial"/>
                <w:sz w:val="18"/>
                <w:szCs w:val="18"/>
                <w:b w:val="1"/>
                <w:bCs w:val="1"/>
                <w:color w:val="auto"/>
              </w:rPr>
              <w:t>observable</w:t>
            </w:r>
          </w:p>
        </w:tc>
        <w:tc>
          <w:tcPr>
            <w:tcW w:w="1480" w:type="dxa"/>
            <w:vAlign w:val="bottom"/>
            <w:gridSpan w:val="3"/>
          </w:tcPr>
          <w:p>
            <w:pPr>
              <w:ind w:left="280"/>
              <w:spacing w:after="0" w:line="202" w:lineRule="exact"/>
              <w:rPr>
                <w:sz w:val="20"/>
                <w:szCs w:val="20"/>
                <w:color w:val="auto"/>
              </w:rPr>
            </w:pPr>
            <w:r>
              <w:rPr>
                <w:rFonts w:ascii="Arial" w:cs="Arial" w:eastAsia="Arial" w:hAnsi="Arial"/>
                <w:sz w:val="18"/>
                <w:szCs w:val="18"/>
                <w:b w:val="1"/>
                <w:bCs w:val="1"/>
                <w:color w:val="auto"/>
              </w:rPr>
              <w:t>unobservable</w:t>
            </w:r>
          </w:p>
        </w:tc>
      </w:tr>
      <w:tr>
        <w:trPr>
          <w:trHeight w:val="203"/>
        </w:trPr>
        <w:tc>
          <w:tcPr>
            <w:tcW w:w="4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September 30,</w:t>
            </w:r>
          </w:p>
        </w:tc>
        <w:tc>
          <w:tcPr>
            <w:tcW w:w="1940" w:type="dxa"/>
            <w:vAlign w:val="bottom"/>
            <w:gridSpan w:val="2"/>
          </w:tcPr>
          <w:p>
            <w:pPr>
              <w:ind w:left="360"/>
              <w:spacing w:after="0" w:line="202" w:lineRule="exact"/>
              <w:rPr>
                <w:sz w:val="20"/>
                <w:szCs w:val="20"/>
                <w:color w:val="auto"/>
              </w:rPr>
            </w:pPr>
            <w:r>
              <w:rPr>
                <w:rFonts w:ascii="Arial" w:cs="Arial" w:eastAsia="Arial" w:hAnsi="Arial"/>
                <w:sz w:val="18"/>
                <w:szCs w:val="18"/>
                <w:b w:val="1"/>
                <w:bCs w:val="1"/>
                <w:color w:val="auto"/>
              </w:rPr>
              <w:t>for identical</w:t>
            </w:r>
          </w:p>
        </w:tc>
        <w:tc>
          <w:tcPr>
            <w:tcW w:w="1500" w:type="dxa"/>
            <w:vAlign w:val="bottom"/>
            <w:gridSpan w:val="2"/>
          </w:tcPr>
          <w:p>
            <w:pPr>
              <w:ind w:left="400"/>
              <w:spacing w:after="0" w:line="202" w:lineRule="exact"/>
              <w:rPr>
                <w:sz w:val="20"/>
                <w:szCs w:val="20"/>
                <w:color w:val="auto"/>
              </w:rPr>
            </w:pPr>
            <w:r>
              <w:rPr>
                <w:rFonts w:ascii="Arial" w:cs="Arial" w:eastAsia="Arial" w:hAnsi="Arial"/>
                <w:sz w:val="18"/>
                <w:szCs w:val="18"/>
                <w:b w:val="1"/>
                <w:bCs w:val="1"/>
                <w:color w:val="auto"/>
              </w:rPr>
              <w:t>inputs</w:t>
            </w:r>
          </w:p>
        </w:tc>
        <w:tc>
          <w:tcPr>
            <w:tcW w:w="380" w:type="dxa"/>
            <w:vAlign w:val="bottom"/>
          </w:tcPr>
          <w:p>
            <w:pPr>
              <w:spacing w:after="0"/>
              <w:rPr>
                <w:sz w:val="17"/>
                <w:szCs w:val="17"/>
                <w:color w:val="auto"/>
              </w:rPr>
            </w:pPr>
          </w:p>
        </w:tc>
        <w:tc>
          <w:tcPr>
            <w:tcW w:w="110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96"/>
              </w:rPr>
              <w:t>inputs</w:t>
            </w:r>
          </w:p>
        </w:tc>
      </w:tr>
      <w:tr>
        <w:trPr>
          <w:trHeight w:val="221"/>
        </w:trPr>
        <w:tc>
          <w:tcPr>
            <w:tcW w:w="4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2018</w:t>
            </w:r>
          </w:p>
        </w:tc>
        <w:tc>
          <w:tcPr>
            <w:tcW w:w="194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assets (Level 1)</w:t>
            </w:r>
          </w:p>
        </w:tc>
        <w:tc>
          <w:tcPr>
            <w:tcW w:w="1500" w:type="dxa"/>
            <w:vAlign w:val="bottom"/>
            <w:tcBorders>
              <w:bottom w:val="single" w:sz="8" w:color="auto"/>
            </w:tcBorders>
            <w:gridSpan w:val="2"/>
          </w:tcPr>
          <w:p>
            <w:pPr>
              <w:jc w:val="right"/>
              <w:ind w:right="412"/>
              <w:spacing w:after="0"/>
              <w:rPr>
                <w:sz w:val="20"/>
                <w:szCs w:val="20"/>
                <w:color w:val="auto"/>
              </w:rPr>
            </w:pPr>
            <w:r>
              <w:rPr>
                <w:rFonts w:ascii="Arial" w:cs="Arial" w:eastAsia="Arial" w:hAnsi="Arial"/>
                <w:sz w:val="18"/>
                <w:szCs w:val="18"/>
                <w:b w:val="1"/>
                <w:bCs w:val="1"/>
                <w:color w:val="auto"/>
              </w:rPr>
              <w:t>(level 2)</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b w:val="1"/>
                <w:bCs w:val="1"/>
                <w:color w:val="auto"/>
                <w:w w:val="98"/>
              </w:rPr>
              <w:t>(level 3)</w:t>
            </w:r>
          </w:p>
        </w:tc>
      </w:tr>
      <w:tr>
        <w:trPr>
          <w:trHeight w:val="48"/>
        </w:trPr>
        <w:tc>
          <w:tcPr>
            <w:tcW w:w="4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rPr>
              <w:t>Money market funds</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414,268</w:t>
            </w:r>
          </w:p>
        </w:tc>
        <w:tc>
          <w:tcPr>
            <w:tcW w:w="480" w:type="dxa"/>
            <w:vAlign w:val="bottom"/>
            <w:tcBorders>
              <w:bottom w:val="single" w:sz="8" w:color="auto"/>
            </w:tcBorders>
          </w:tcPr>
          <w:p>
            <w:pPr>
              <w:ind w:left="200"/>
              <w:spacing w:after="0" w:line="202"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332"/>
              <w:spacing w:after="0" w:line="202" w:lineRule="exact"/>
              <w:rPr>
                <w:sz w:val="20"/>
                <w:szCs w:val="20"/>
                <w:color w:val="auto"/>
              </w:rPr>
            </w:pPr>
            <w:r>
              <w:rPr>
                <w:rFonts w:ascii="Arial" w:cs="Arial" w:eastAsia="Arial" w:hAnsi="Arial"/>
                <w:sz w:val="18"/>
                <w:szCs w:val="18"/>
                <w:color w:val="auto"/>
              </w:rPr>
              <w:t>414,268</w:t>
            </w:r>
          </w:p>
        </w:tc>
        <w:tc>
          <w:tcPr>
            <w:tcW w:w="420" w:type="dxa"/>
            <w:vAlign w:val="bottom"/>
            <w:tcBorders>
              <w:bottom w:val="single" w:sz="8" w:color="auto"/>
            </w:tcBorders>
          </w:tcPr>
          <w:p>
            <w:pPr>
              <w:ind w:left="200"/>
              <w:spacing w:after="0" w:line="202"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ind w:left="28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equivalents</w:t>
            </w:r>
          </w:p>
        </w:tc>
        <w:tc>
          <w:tcPr>
            <w:tcW w:w="54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414,268</w:t>
            </w:r>
          </w:p>
        </w:tc>
        <w:tc>
          <w:tcPr>
            <w:tcW w:w="4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32"/>
              <w:spacing w:after="0" w:line="202" w:lineRule="exact"/>
              <w:rPr>
                <w:sz w:val="20"/>
                <w:szCs w:val="20"/>
                <w:color w:val="auto"/>
              </w:rPr>
            </w:pPr>
            <w:r>
              <w:rPr>
                <w:rFonts w:ascii="Arial" w:cs="Arial" w:eastAsia="Arial" w:hAnsi="Arial"/>
                <w:sz w:val="18"/>
                <w:szCs w:val="18"/>
                <w:color w:val="auto"/>
              </w:rPr>
              <w:t>414,268</w:t>
            </w:r>
          </w:p>
        </w:tc>
        <w:tc>
          <w:tcPr>
            <w:tcW w:w="4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gridSpan w:val="2"/>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42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gridSpan w:val="2"/>
          </w:tcPr>
          <w:p>
            <w:pPr>
              <w:spacing w:after="0"/>
              <w:rPr>
                <w:sz w:val="22"/>
                <w:szCs w:val="22"/>
                <w:color w:val="auto"/>
              </w:rPr>
            </w:pPr>
          </w:p>
        </w:tc>
        <w:tc>
          <w:tcPr>
            <w:tcW w:w="1500" w:type="dxa"/>
            <w:vAlign w:val="bottom"/>
            <w:tcBorders>
              <w:bottom w:val="single" w:sz="8" w:color="auto"/>
            </w:tcBorders>
            <w:gridSpan w:val="2"/>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r>
      <w:tr>
        <w:trPr>
          <w:trHeight w:val="224"/>
        </w:trPr>
        <w:tc>
          <w:tcPr>
            <w:tcW w:w="4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940" w:type="dxa"/>
            <w:vAlign w:val="bottom"/>
            <w:gridSpan w:val="2"/>
          </w:tcPr>
          <w:p>
            <w:pPr>
              <w:ind w:left="340"/>
              <w:spacing w:after="0"/>
              <w:rPr>
                <w:sz w:val="20"/>
                <w:szCs w:val="20"/>
                <w:color w:val="auto"/>
              </w:rPr>
            </w:pPr>
            <w:r>
              <w:rPr>
                <w:rFonts w:ascii="Arial" w:cs="Arial" w:eastAsia="Arial" w:hAnsi="Arial"/>
                <w:sz w:val="18"/>
                <w:szCs w:val="18"/>
                <w:b w:val="1"/>
                <w:bCs w:val="1"/>
                <w:color w:val="auto"/>
              </w:rPr>
              <w:t>Quoted prices in</w:t>
            </w:r>
          </w:p>
        </w:tc>
        <w:tc>
          <w:tcPr>
            <w:tcW w:w="1500" w:type="dxa"/>
            <w:vAlign w:val="bottom"/>
            <w:gridSpan w:val="2"/>
          </w:tcPr>
          <w:p>
            <w:pPr>
              <w:ind w:left="320"/>
              <w:spacing w:after="0"/>
              <w:rPr>
                <w:sz w:val="20"/>
                <w:szCs w:val="20"/>
                <w:color w:val="auto"/>
              </w:rPr>
            </w:pPr>
            <w:r>
              <w:rPr>
                <w:rFonts w:ascii="Arial" w:cs="Arial" w:eastAsia="Arial" w:hAnsi="Arial"/>
                <w:sz w:val="18"/>
                <w:szCs w:val="18"/>
                <w:b w:val="1"/>
                <w:bCs w:val="1"/>
                <w:color w:val="auto"/>
              </w:rPr>
              <w:t>Significant</w:t>
            </w: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3"/>
        </w:trPr>
        <w:tc>
          <w:tcPr>
            <w:tcW w:w="4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940" w:type="dxa"/>
            <w:vAlign w:val="bottom"/>
            <w:gridSpan w:val="2"/>
          </w:tcPr>
          <w:p>
            <w:pPr>
              <w:jc w:val="center"/>
              <w:ind w:left="32"/>
              <w:spacing w:after="0" w:line="202" w:lineRule="exact"/>
              <w:rPr>
                <w:sz w:val="20"/>
                <w:szCs w:val="20"/>
                <w:color w:val="auto"/>
              </w:rPr>
            </w:pPr>
            <w:r>
              <w:rPr>
                <w:rFonts w:ascii="Arial" w:cs="Arial" w:eastAsia="Arial" w:hAnsi="Arial"/>
                <w:sz w:val="18"/>
                <w:szCs w:val="18"/>
                <w:b w:val="1"/>
                <w:bCs w:val="1"/>
                <w:color w:val="auto"/>
                <w:w w:val="97"/>
              </w:rPr>
              <w:t>active markets</w:t>
            </w:r>
          </w:p>
        </w:tc>
        <w:tc>
          <w:tcPr>
            <w:tcW w:w="420" w:type="dxa"/>
            <w:vAlign w:val="bottom"/>
          </w:tcPr>
          <w:p>
            <w:pPr>
              <w:spacing w:after="0"/>
              <w:rPr>
                <w:sz w:val="17"/>
                <w:szCs w:val="17"/>
                <w:color w:val="auto"/>
              </w:rPr>
            </w:pPr>
          </w:p>
        </w:tc>
        <w:tc>
          <w:tcPr>
            <w:tcW w:w="1080" w:type="dxa"/>
            <w:vAlign w:val="bottom"/>
          </w:tcPr>
          <w:p>
            <w:pPr>
              <w:jc w:val="right"/>
              <w:ind w:right="412"/>
              <w:spacing w:after="0" w:line="202" w:lineRule="exact"/>
              <w:rPr>
                <w:sz w:val="20"/>
                <w:szCs w:val="20"/>
                <w:color w:val="auto"/>
              </w:rPr>
            </w:pPr>
            <w:r>
              <w:rPr>
                <w:rFonts w:ascii="Arial" w:cs="Arial" w:eastAsia="Arial" w:hAnsi="Arial"/>
                <w:sz w:val="18"/>
                <w:szCs w:val="18"/>
                <w:b w:val="1"/>
                <w:bCs w:val="1"/>
                <w:color w:val="auto"/>
              </w:rPr>
              <w:t>other</w:t>
            </w:r>
          </w:p>
        </w:tc>
        <w:tc>
          <w:tcPr>
            <w:tcW w:w="380" w:type="dxa"/>
            <w:vAlign w:val="bottom"/>
          </w:tcPr>
          <w:p>
            <w:pPr>
              <w:spacing w:after="0"/>
              <w:rPr>
                <w:sz w:val="17"/>
                <w:szCs w:val="17"/>
                <w:color w:val="auto"/>
              </w:rPr>
            </w:pPr>
          </w:p>
        </w:tc>
        <w:tc>
          <w:tcPr>
            <w:tcW w:w="1100" w:type="dxa"/>
            <w:vAlign w:val="bottom"/>
            <w:gridSpan w:val="2"/>
          </w:tcPr>
          <w:p>
            <w:pPr>
              <w:jc w:val="center"/>
              <w:ind w:right="160"/>
              <w:spacing w:after="0" w:line="202" w:lineRule="exact"/>
              <w:rPr>
                <w:sz w:val="20"/>
                <w:szCs w:val="20"/>
                <w:color w:val="auto"/>
              </w:rPr>
            </w:pPr>
            <w:r>
              <w:rPr>
                <w:rFonts w:ascii="Arial" w:cs="Arial" w:eastAsia="Arial" w:hAnsi="Arial"/>
                <w:sz w:val="18"/>
                <w:szCs w:val="18"/>
                <w:b w:val="1"/>
                <w:bCs w:val="1"/>
                <w:color w:val="auto"/>
                <w:w w:val="97"/>
              </w:rPr>
              <w:t>Significant</w:t>
            </w:r>
          </w:p>
        </w:tc>
      </w:tr>
      <w:tr>
        <w:trPr>
          <w:trHeight w:val="203"/>
        </w:trPr>
        <w:tc>
          <w:tcPr>
            <w:tcW w:w="4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ind w:left="40"/>
              <w:spacing w:after="0" w:line="202" w:lineRule="exact"/>
              <w:rPr>
                <w:sz w:val="20"/>
                <w:szCs w:val="20"/>
                <w:color w:val="auto"/>
              </w:rPr>
            </w:pPr>
            <w:r>
              <w:rPr>
                <w:rFonts w:ascii="Arial" w:cs="Arial" w:eastAsia="Arial" w:hAnsi="Arial"/>
                <w:sz w:val="18"/>
                <w:szCs w:val="18"/>
                <w:b w:val="1"/>
                <w:bCs w:val="1"/>
                <w:color w:val="auto"/>
              </w:rPr>
              <w:t>Balance at</w:t>
            </w:r>
          </w:p>
        </w:tc>
        <w:tc>
          <w:tcPr>
            <w:tcW w:w="480" w:type="dxa"/>
            <w:vAlign w:val="bottom"/>
          </w:tcPr>
          <w:p>
            <w:pPr>
              <w:spacing w:after="0"/>
              <w:rPr>
                <w:sz w:val="17"/>
                <w:szCs w:val="17"/>
                <w:color w:val="auto"/>
              </w:rPr>
            </w:pPr>
          </w:p>
        </w:tc>
        <w:tc>
          <w:tcPr>
            <w:tcW w:w="1460" w:type="dxa"/>
            <w:vAlign w:val="bottom"/>
          </w:tcPr>
          <w:p>
            <w:pPr>
              <w:jc w:val="center"/>
              <w:ind w:right="272"/>
              <w:spacing w:after="0" w:line="202" w:lineRule="exact"/>
              <w:rPr>
                <w:sz w:val="20"/>
                <w:szCs w:val="20"/>
                <w:color w:val="auto"/>
              </w:rPr>
            </w:pPr>
            <w:r>
              <w:rPr>
                <w:rFonts w:ascii="Arial" w:cs="Arial" w:eastAsia="Arial" w:hAnsi="Arial"/>
                <w:sz w:val="18"/>
                <w:szCs w:val="18"/>
                <w:b w:val="1"/>
                <w:bCs w:val="1"/>
                <w:color w:val="auto"/>
                <w:w w:val="96"/>
              </w:rPr>
              <w:t>for identical</w:t>
            </w:r>
          </w:p>
        </w:tc>
        <w:tc>
          <w:tcPr>
            <w:tcW w:w="1500" w:type="dxa"/>
            <w:vAlign w:val="bottom"/>
            <w:gridSpan w:val="2"/>
          </w:tcPr>
          <w:p>
            <w:pPr>
              <w:jc w:val="right"/>
              <w:ind w:right="172"/>
              <w:spacing w:after="0" w:line="202" w:lineRule="exact"/>
              <w:rPr>
                <w:sz w:val="20"/>
                <w:szCs w:val="20"/>
                <w:color w:val="auto"/>
              </w:rPr>
            </w:pPr>
            <w:r>
              <w:rPr>
                <w:rFonts w:ascii="Arial" w:cs="Arial" w:eastAsia="Arial" w:hAnsi="Arial"/>
                <w:sz w:val="18"/>
                <w:szCs w:val="18"/>
                <w:b w:val="1"/>
                <w:bCs w:val="1"/>
                <w:color w:val="auto"/>
              </w:rPr>
              <w:t>observable</w:t>
            </w:r>
          </w:p>
        </w:tc>
        <w:tc>
          <w:tcPr>
            <w:tcW w:w="1480" w:type="dxa"/>
            <w:vAlign w:val="bottom"/>
            <w:gridSpan w:val="3"/>
          </w:tcPr>
          <w:p>
            <w:pPr>
              <w:ind w:left="280"/>
              <w:spacing w:after="0" w:line="202" w:lineRule="exact"/>
              <w:rPr>
                <w:sz w:val="20"/>
                <w:szCs w:val="20"/>
                <w:color w:val="auto"/>
              </w:rPr>
            </w:pPr>
            <w:r>
              <w:rPr>
                <w:rFonts w:ascii="Arial" w:cs="Arial" w:eastAsia="Arial" w:hAnsi="Arial"/>
                <w:sz w:val="18"/>
                <w:szCs w:val="18"/>
                <w:b w:val="1"/>
                <w:bCs w:val="1"/>
                <w:color w:val="auto"/>
              </w:rPr>
              <w:t>unobservable</w:t>
            </w:r>
          </w:p>
        </w:tc>
      </w:tr>
      <w:tr>
        <w:trPr>
          <w:trHeight w:val="203"/>
        </w:trPr>
        <w:tc>
          <w:tcPr>
            <w:tcW w:w="4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December 31,</w:t>
            </w:r>
          </w:p>
        </w:tc>
        <w:tc>
          <w:tcPr>
            <w:tcW w:w="480" w:type="dxa"/>
            <w:vAlign w:val="bottom"/>
          </w:tcPr>
          <w:p>
            <w:pPr>
              <w:spacing w:after="0"/>
              <w:rPr>
                <w:sz w:val="17"/>
                <w:szCs w:val="17"/>
                <w:color w:val="auto"/>
              </w:rPr>
            </w:pPr>
          </w:p>
        </w:tc>
        <w:tc>
          <w:tcPr>
            <w:tcW w:w="1460" w:type="dxa"/>
            <w:vAlign w:val="bottom"/>
          </w:tcPr>
          <w:p>
            <w:pPr>
              <w:jc w:val="center"/>
              <w:ind w:right="272"/>
              <w:spacing w:after="0" w:line="202" w:lineRule="exact"/>
              <w:rPr>
                <w:sz w:val="20"/>
                <w:szCs w:val="20"/>
                <w:color w:val="auto"/>
              </w:rPr>
            </w:pPr>
            <w:r>
              <w:rPr>
                <w:rFonts w:ascii="Arial" w:cs="Arial" w:eastAsia="Arial" w:hAnsi="Arial"/>
                <w:sz w:val="18"/>
                <w:szCs w:val="18"/>
                <w:b w:val="1"/>
                <w:bCs w:val="1"/>
                <w:color w:val="auto"/>
                <w:w w:val="96"/>
              </w:rPr>
              <w:t>assets</w:t>
            </w:r>
          </w:p>
        </w:tc>
        <w:tc>
          <w:tcPr>
            <w:tcW w:w="420" w:type="dxa"/>
            <w:vAlign w:val="bottom"/>
          </w:tcPr>
          <w:p>
            <w:pPr>
              <w:spacing w:after="0"/>
              <w:rPr>
                <w:sz w:val="17"/>
                <w:szCs w:val="17"/>
                <w:color w:val="auto"/>
              </w:rPr>
            </w:pPr>
          </w:p>
        </w:tc>
        <w:tc>
          <w:tcPr>
            <w:tcW w:w="1080" w:type="dxa"/>
            <w:vAlign w:val="bottom"/>
          </w:tcPr>
          <w:p>
            <w:pPr>
              <w:jc w:val="right"/>
              <w:ind w:right="372"/>
              <w:spacing w:after="0" w:line="202" w:lineRule="exact"/>
              <w:rPr>
                <w:sz w:val="20"/>
                <w:szCs w:val="20"/>
                <w:color w:val="auto"/>
              </w:rPr>
            </w:pPr>
            <w:r>
              <w:rPr>
                <w:rFonts w:ascii="Arial" w:cs="Arial" w:eastAsia="Arial" w:hAnsi="Arial"/>
                <w:sz w:val="18"/>
                <w:szCs w:val="18"/>
                <w:b w:val="1"/>
                <w:bCs w:val="1"/>
                <w:color w:val="auto"/>
              </w:rPr>
              <w:t>inputs</w:t>
            </w:r>
          </w:p>
        </w:tc>
        <w:tc>
          <w:tcPr>
            <w:tcW w:w="380" w:type="dxa"/>
            <w:vAlign w:val="bottom"/>
          </w:tcPr>
          <w:p>
            <w:pPr>
              <w:spacing w:after="0"/>
              <w:rPr>
                <w:sz w:val="17"/>
                <w:szCs w:val="17"/>
                <w:color w:val="auto"/>
              </w:rPr>
            </w:pPr>
          </w:p>
        </w:tc>
        <w:tc>
          <w:tcPr>
            <w:tcW w:w="110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96"/>
              </w:rPr>
              <w:t>inputs</w:t>
            </w:r>
          </w:p>
        </w:tc>
      </w:tr>
      <w:tr>
        <w:trPr>
          <w:trHeight w:val="235"/>
        </w:trPr>
        <w:tc>
          <w:tcPr>
            <w:tcW w:w="4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2017</w:t>
            </w:r>
          </w:p>
        </w:tc>
        <w:tc>
          <w:tcPr>
            <w:tcW w:w="4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272"/>
              <w:spacing w:after="0"/>
              <w:rPr>
                <w:sz w:val="20"/>
                <w:szCs w:val="20"/>
                <w:color w:val="auto"/>
              </w:rPr>
            </w:pPr>
            <w:r>
              <w:rPr>
                <w:rFonts w:ascii="Arial" w:cs="Arial" w:eastAsia="Arial" w:hAnsi="Arial"/>
                <w:sz w:val="18"/>
                <w:szCs w:val="18"/>
                <w:b w:val="1"/>
                <w:bCs w:val="1"/>
                <w:color w:val="auto"/>
                <w:w w:val="95"/>
              </w:rPr>
              <w:t>(Level 1)</w:t>
            </w: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95"/>
              </w:rPr>
              <w:t>(Level 2)</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98"/>
              </w:rPr>
              <w:t>(Level 3)</w:t>
            </w:r>
          </w:p>
        </w:tc>
      </w:tr>
      <w:tr>
        <w:trPr>
          <w:trHeight w:val="48"/>
        </w:trPr>
        <w:tc>
          <w:tcPr>
            <w:tcW w:w="4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rPr>
              <w:t>Money market funds</w:t>
            </w:r>
          </w:p>
        </w:tc>
        <w:tc>
          <w:tcPr>
            <w:tcW w:w="540" w:type="dxa"/>
            <w:vAlign w:val="bottom"/>
            <w:gridSpan w:val="2"/>
          </w:tcPr>
          <w:p>
            <w:pPr>
              <w:spacing w:after="0"/>
              <w:rPr>
                <w:sz w:val="18"/>
                <w:szCs w:val="18"/>
                <w:color w:val="auto"/>
              </w:rPr>
            </w:pPr>
          </w:p>
        </w:tc>
        <w:tc>
          <w:tcPr>
            <w:tcW w:w="1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18,411,704</w:t>
            </w:r>
          </w:p>
        </w:tc>
        <w:tc>
          <w:tcPr>
            <w:tcW w:w="480" w:type="dxa"/>
            <w:vAlign w:val="bottom"/>
            <w:tcBorders>
              <w:bottom w:val="single" w:sz="8" w:color="auto"/>
            </w:tcBorders>
          </w:tcPr>
          <w:p>
            <w:pPr>
              <w:ind w:left="340"/>
              <w:spacing w:after="0" w:line="202"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132"/>
              <w:spacing w:after="0" w:line="202" w:lineRule="exact"/>
              <w:rPr>
                <w:sz w:val="20"/>
                <w:szCs w:val="20"/>
                <w:color w:val="auto"/>
              </w:rPr>
            </w:pPr>
            <w:r>
              <w:rPr>
                <w:rFonts w:ascii="Arial" w:cs="Arial" w:eastAsia="Arial" w:hAnsi="Arial"/>
                <w:sz w:val="18"/>
                <w:szCs w:val="18"/>
                <w:color w:val="auto"/>
              </w:rPr>
              <w:t>18,411,704</w:t>
            </w:r>
          </w:p>
        </w:tc>
        <w:tc>
          <w:tcPr>
            <w:tcW w:w="420" w:type="dxa"/>
            <w:vAlign w:val="bottom"/>
            <w:tcBorders>
              <w:bottom w:val="single" w:sz="8" w:color="auto"/>
            </w:tcBorders>
          </w:tcPr>
          <w:p>
            <w:pPr>
              <w:ind w:left="32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ind w:left="28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equivalents</w:t>
            </w:r>
          </w:p>
        </w:tc>
        <w:tc>
          <w:tcPr>
            <w:tcW w:w="640" w:type="dxa"/>
            <w:vAlign w:val="bottom"/>
            <w:gridSpan w:val="3"/>
            <w:shd w:val="clear" w:color="auto" w:fill="CCEEFF"/>
          </w:tcPr>
          <w:p>
            <w:pPr>
              <w:ind w:left="54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18,411,704</w:t>
            </w:r>
          </w:p>
        </w:tc>
        <w:tc>
          <w:tcPr>
            <w:tcW w:w="4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18,411,704</w:t>
            </w:r>
          </w:p>
        </w:tc>
        <w:tc>
          <w:tcPr>
            <w:tcW w:w="4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
        </w:trPr>
        <w:tc>
          <w:tcPr>
            <w:tcW w:w="4860" w:type="dxa"/>
            <w:vAlign w:val="bottom"/>
            <w:tcBorders>
              <w:bottom w:val="single" w:sz="8" w:color="auto"/>
            </w:tcBorders>
            <w:gridSpan w:val="4"/>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6"/>
        </w:trPr>
        <w:tc>
          <w:tcPr>
            <w:tcW w:w="4860" w:type="dxa"/>
            <w:vAlign w:val="bottom"/>
            <w:gridSpan w:val="4"/>
          </w:tcPr>
          <w:p>
            <w:pPr>
              <w:spacing w:after="0"/>
              <w:rPr>
                <w:sz w:val="20"/>
                <w:szCs w:val="20"/>
                <w:color w:val="auto"/>
              </w:rPr>
            </w:pPr>
            <w:r>
              <w:rPr>
                <w:rFonts w:ascii="Arial" w:cs="Arial" w:eastAsia="Arial" w:hAnsi="Arial"/>
                <w:sz w:val="22"/>
                <w:szCs w:val="22"/>
                <w:b w:val="1"/>
                <w:bCs w:val="1"/>
                <w:color w:val="auto"/>
              </w:rPr>
              <w:t>7. Prepaid expenses and other current assets</w:t>
            </w: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2"/>
        </w:trPr>
        <w:tc>
          <w:tcPr>
            <w:tcW w:w="6100" w:type="dxa"/>
            <w:vAlign w:val="bottom"/>
            <w:gridSpan w:val="5"/>
          </w:tcPr>
          <w:p>
            <w:pPr>
              <w:spacing w:after="0"/>
              <w:rPr>
                <w:sz w:val="20"/>
                <w:szCs w:val="20"/>
                <w:color w:val="auto"/>
              </w:rPr>
            </w:pPr>
            <w:r>
              <w:rPr>
                <w:rFonts w:ascii="Arial" w:cs="Arial" w:eastAsia="Arial" w:hAnsi="Arial"/>
                <w:sz w:val="18"/>
                <w:szCs w:val="18"/>
                <w:color w:val="auto"/>
              </w:rPr>
              <w:t>Prepaid expenses and other current assets consist of the following:</w:t>
            </w: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7"/>
        </w:trPr>
        <w:tc>
          <w:tcPr>
            <w:tcW w:w="4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2"/>
          </w:tcPr>
          <w:p>
            <w:pPr>
              <w:spacing w:after="0"/>
              <w:rPr>
                <w:sz w:val="10"/>
                <w:szCs w:val="10"/>
                <w:color w:val="auto"/>
              </w:rPr>
            </w:pPr>
          </w:p>
        </w:tc>
        <w:tc>
          <w:tcPr>
            <w:tcW w:w="1480" w:type="dxa"/>
            <w:vAlign w:val="bottom"/>
            <w:tcBorders>
              <w:bottom w:val="single" w:sz="8" w:color="auto"/>
            </w:tcBorders>
            <w:gridSpan w:val="3"/>
          </w:tcPr>
          <w:p>
            <w:pPr>
              <w:spacing w:after="0"/>
              <w:rPr>
                <w:sz w:val="10"/>
                <w:szCs w:val="10"/>
                <w:color w:val="auto"/>
              </w:rPr>
            </w:pPr>
          </w:p>
        </w:tc>
      </w:tr>
      <w:tr>
        <w:trPr>
          <w:trHeight w:val="224"/>
        </w:trPr>
        <w:tc>
          <w:tcPr>
            <w:tcW w:w="4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September 30,</w:t>
            </w:r>
          </w:p>
        </w:tc>
        <w:tc>
          <w:tcPr>
            <w:tcW w:w="1480" w:type="dxa"/>
            <w:vAlign w:val="bottom"/>
            <w:gridSpan w:val="3"/>
          </w:tcPr>
          <w:p>
            <w:pPr>
              <w:ind w:left="28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4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ind w:left="400"/>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99"/>
              </w:rPr>
              <w:t>2017</w:t>
            </w:r>
          </w:p>
        </w:tc>
        <w:tc>
          <w:tcPr>
            <w:tcW w:w="60" w:type="dxa"/>
            <w:vAlign w:val="bottom"/>
            <w:tcBorders>
              <w:bottom w:val="single" w:sz="8" w:color="auto"/>
            </w:tcBorders>
          </w:tcPr>
          <w:p>
            <w:pPr>
              <w:spacing w:after="0"/>
              <w:rPr>
                <w:sz w:val="19"/>
                <w:szCs w:val="19"/>
                <w:color w:val="auto"/>
              </w:rPr>
            </w:pPr>
          </w:p>
        </w:tc>
      </w:tr>
      <w:tr>
        <w:trPr>
          <w:trHeight w:val="196"/>
        </w:trPr>
        <w:tc>
          <w:tcPr>
            <w:tcW w:w="4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Prepaid software licenses</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12"/>
              <w:spacing w:after="0" w:line="196" w:lineRule="exact"/>
              <w:rPr>
                <w:sz w:val="20"/>
                <w:szCs w:val="20"/>
                <w:color w:val="auto"/>
              </w:rPr>
            </w:pPr>
            <w:r>
              <w:rPr>
                <w:rFonts w:ascii="Arial" w:cs="Arial" w:eastAsia="Arial" w:hAnsi="Arial"/>
                <w:sz w:val="18"/>
                <w:szCs w:val="18"/>
                <w:color w:val="auto"/>
              </w:rPr>
              <w:t>196,113</w:t>
            </w:r>
          </w:p>
        </w:tc>
        <w:tc>
          <w:tcPr>
            <w:tcW w:w="380" w:type="dxa"/>
            <w:vAlign w:val="bottom"/>
            <w:shd w:val="clear" w:color="auto" w:fill="CCEEFF"/>
          </w:tcPr>
          <w:p>
            <w:pPr>
              <w:ind w:left="28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198,339</w:t>
            </w: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Prepaid rent</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187,261</w:t>
            </w:r>
          </w:p>
        </w:tc>
        <w:tc>
          <w:tcPr>
            <w:tcW w:w="380" w:type="dxa"/>
            <w:vAlign w:val="bottom"/>
          </w:tcPr>
          <w:p>
            <w:pPr>
              <w:spacing w:after="0"/>
              <w:rPr>
                <w:sz w:val="17"/>
                <w:szCs w:val="17"/>
                <w:color w:val="auto"/>
              </w:rPr>
            </w:pP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172,761</w:t>
            </w: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Prepaid maintenance services</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160,873</w:t>
            </w:r>
          </w:p>
        </w:tc>
        <w:tc>
          <w:tcPr>
            <w:tcW w:w="3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110,314</w:t>
            </w:r>
          </w:p>
        </w:tc>
      </w:tr>
      <w:tr>
        <w:trPr>
          <w:trHeight w:val="210"/>
        </w:trPr>
        <w:tc>
          <w:tcPr>
            <w:tcW w:w="422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12"/>
              <w:spacing w:after="0" w:line="202" w:lineRule="exact"/>
              <w:rPr>
                <w:sz w:val="20"/>
                <w:szCs w:val="20"/>
                <w:color w:val="auto"/>
              </w:rPr>
            </w:pPr>
            <w:r>
              <w:rPr>
                <w:rFonts w:ascii="Arial" w:cs="Arial" w:eastAsia="Arial" w:hAnsi="Arial"/>
                <w:sz w:val="18"/>
                <w:szCs w:val="18"/>
                <w:color w:val="auto"/>
              </w:rPr>
              <w:t>24,036</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46,144</w:t>
            </w:r>
          </w:p>
        </w:tc>
        <w:tc>
          <w:tcPr>
            <w:tcW w:w="60" w:type="dxa"/>
            <w:vAlign w:val="bottom"/>
          </w:tcPr>
          <w:p>
            <w:pPr>
              <w:spacing w:after="0"/>
              <w:rPr>
                <w:sz w:val="18"/>
                <w:szCs w:val="18"/>
                <w:color w:val="auto"/>
              </w:rPr>
            </w:pPr>
          </w:p>
        </w:tc>
      </w:tr>
      <w:tr>
        <w:trPr>
          <w:trHeight w:val="203"/>
        </w:trPr>
        <w:tc>
          <w:tcPr>
            <w:tcW w:w="42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Total prepaid expenses and other current assets</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568,283</w:t>
            </w:r>
          </w:p>
        </w:tc>
        <w:tc>
          <w:tcPr>
            <w:tcW w:w="3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527,558</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8. Convertible preferred stock and stockholders’ deficit</w:t>
      </w:r>
    </w:p>
    <w:p>
      <w:pPr>
        <w:spacing w:after="0" w:line="134" w:lineRule="exact"/>
        <w:rPr>
          <w:sz w:val="20"/>
          <w:szCs w:val="20"/>
          <w:color w:val="auto"/>
        </w:rPr>
      </w:pPr>
    </w:p>
    <w:p>
      <w:pPr>
        <w:ind w:left="120" w:right="160"/>
        <w:spacing w:after="0" w:line="237" w:lineRule="auto"/>
        <w:rPr>
          <w:sz w:val="20"/>
          <w:szCs w:val="20"/>
          <w:color w:val="auto"/>
        </w:rPr>
      </w:pPr>
      <w:r>
        <w:rPr>
          <w:rFonts w:ascii="Arial" w:cs="Arial" w:eastAsia="Arial" w:hAnsi="Arial"/>
          <w:sz w:val="18"/>
          <w:szCs w:val="18"/>
          <w:color w:val="auto"/>
        </w:rPr>
        <w:t>In January 2016, the Company amended the Limited Liability Company Agreement with its preferred shareholders, and restructured the Company as a C Corporation. In conjunction with the recapitalization, certain put and call rights that the Company’s two primarily investors held were eliminated, and the holders of preferred units received an equivalent number of shares of Series A preferred stock. The holders of common units received an equivalent number of common stock.</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Series A Convertible Preferred Stock (“Series A Preferred Stock”) has the following characteristics: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w:t>
      </w:r>
    </w:p>
    <w:p>
      <w:pPr>
        <w:spacing w:after="0" w:line="124" w:lineRule="exact"/>
        <w:rPr>
          <w:sz w:val="20"/>
          <w:szCs w:val="20"/>
          <w:color w:val="auto"/>
        </w:rPr>
      </w:pPr>
    </w:p>
    <w:p>
      <w:pPr>
        <w:ind w:left="120" w:right="360"/>
        <w:spacing w:after="0" w:line="239" w:lineRule="auto"/>
        <w:rPr>
          <w:sz w:val="20"/>
          <w:szCs w:val="20"/>
          <w:color w:val="auto"/>
        </w:rPr>
      </w:pPr>
      <w:r>
        <w:rPr>
          <w:rFonts w:ascii="Arial" w:cs="Arial" w:eastAsia="Arial" w:hAnsi="Arial"/>
          <w:sz w:val="18"/>
          <w:szCs w:val="18"/>
          <w:color w:val="auto"/>
        </w:rPr>
        <w:t>The Series A Preferred Stock is entitled to vote together with the common stockholders as one class and are entitled to separate votes on certain matters.</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140"/>
          </w:cols>
          <w:pgMar w:left="320" w:top="459" w:right="43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24" w:lineRule="exact"/>
        <w:rPr>
          <w:sz w:val="20"/>
          <w:szCs w:val="20"/>
          <w:color w:val="auto"/>
        </w:rPr>
      </w:pPr>
    </w:p>
    <w:p>
      <w:pPr>
        <w:ind w:left="120" w:right="340"/>
        <w:spacing w:after="0" w:line="239" w:lineRule="auto"/>
        <w:rPr>
          <w:sz w:val="20"/>
          <w:szCs w:val="20"/>
          <w:color w:val="auto"/>
        </w:rPr>
      </w:pPr>
      <w:r>
        <w:rPr>
          <w:rFonts w:ascii="Arial" w:cs="Arial" w:eastAsia="Arial" w:hAnsi="Arial"/>
          <w:sz w:val="18"/>
          <w:szCs w:val="18"/>
          <w:color w:val="auto"/>
        </w:rPr>
        <w:t>The Series A stockholders are entitled to receive an annual, cumulative 8% dividend, when and if declared by the Board of Directors. No dividends have been declared through September 30, 2018.</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 preference</w:t>
      </w:r>
    </w:p>
    <w:p>
      <w:pPr>
        <w:spacing w:after="0" w:line="124"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The Series A stockholders are entitled to a liquidation preference of their original purchase price of $1.00 per share for Series A Preferred Stock shares, plus accumulated dividends, in the event of liquidation, dissolution, or winding up of the Company. In the event the Company merges with, or is acquired by, another entity, such merger or acquisition could be deemed a dissolution.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Conversion</w:t>
      </w:r>
    </w:p>
    <w:p>
      <w:pPr>
        <w:spacing w:after="0" w:line="124" w:lineRule="exact"/>
        <w:rPr>
          <w:sz w:val="20"/>
          <w:szCs w:val="20"/>
          <w:color w:val="auto"/>
        </w:rPr>
      </w:pPr>
    </w:p>
    <w:p>
      <w:pPr>
        <w:ind w:left="120" w:right="140"/>
        <w:spacing w:after="0" w:line="281" w:lineRule="auto"/>
        <w:rPr>
          <w:sz w:val="20"/>
          <w:szCs w:val="20"/>
          <w:color w:val="auto"/>
        </w:rPr>
      </w:pPr>
      <w:r>
        <w:rPr>
          <w:rFonts w:ascii="Arial" w:cs="Arial" w:eastAsia="Arial" w:hAnsi="Arial"/>
          <w:sz w:val="16"/>
          <w:szCs w:val="16"/>
          <w:color w:val="auto"/>
        </w:rPr>
        <w:t>The Series A Preferred Stock is convertible upon approval of the holders of at least 66.66% of the outstanding shares of Series A preferred stock, on a share-for-share basis, subject to certain antidilution adjustments. The Series A preferred stock converts automatically on a share-for-share basis into shares of common stock up on the closing of a qualified initial public offering (IPO), as defined.</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 rights</w:t>
      </w:r>
    </w:p>
    <w:p>
      <w:pPr>
        <w:spacing w:after="0" w:line="124"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The Series A Preferred Stock can be redeemed upon a deemed liquidation, as defined by the articles of incorporation. The preferred stock is otherwise not redeemable.</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w:t>
      </w:r>
    </w:p>
    <w:p>
      <w:pPr>
        <w:spacing w:after="0" w:line="124"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Each holder of common stock is entitled to one vote per share of common stock. Subject to the rights of holders of Series A Preferred Stock as described above, holders of common stock are also entitled (i) to receive dividends whenever funds are legally available and when declared by the Board of Directors and (ii) upon a deemed liquidation, to receive ratably and equally with the holders of Series A Preferred Stock all the asset and funds of the Company remaining after the payment to the holders of Series A Preferred Stock of the amounts which they are entitled, as provided above.</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9. Commitments and contingencies</w:t>
      </w:r>
    </w:p>
    <w:p>
      <w:pPr>
        <w:spacing w:after="0" w:line="134" w:lineRule="exact"/>
        <w:rPr>
          <w:sz w:val="20"/>
          <w:szCs w:val="20"/>
          <w:color w:val="auto"/>
        </w:rPr>
      </w:pPr>
    </w:p>
    <w:p>
      <w:pPr>
        <w:jc w:val="both"/>
        <w:ind w:left="120" w:right="320"/>
        <w:spacing w:after="0" w:line="238" w:lineRule="auto"/>
        <w:rPr>
          <w:sz w:val="20"/>
          <w:szCs w:val="20"/>
          <w:color w:val="auto"/>
        </w:rPr>
      </w:pPr>
      <w:r>
        <w:rPr>
          <w:rFonts w:ascii="Arial" w:cs="Arial" w:eastAsia="Arial" w:hAnsi="Arial"/>
          <w:sz w:val="18"/>
          <w:szCs w:val="18"/>
          <w:color w:val="auto"/>
        </w:rPr>
        <w:t>In May 2017, the Company and the landlord finalized an extension of the Company’s facility lease in Cambridge, Massachusetts through February 2023. The lease extension includes a rent increase of approximately 12% starting in March 2018 and three percent annual rent increases through 2023.</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lease</w:t>
      </w:r>
    </w:p>
    <w:p>
      <w:pPr>
        <w:spacing w:after="0" w:line="124" w:lineRule="exact"/>
        <w:rPr>
          <w:sz w:val="20"/>
          <w:szCs w:val="20"/>
          <w:color w:val="auto"/>
        </w:rPr>
      </w:pPr>
    </w:p>
    <w:p>
      <w:pPr>
        <w:jc w:val="both"/>
        <w:ind w:left="120" w:right="320"/>
        <w:spacing w:after="0" w:line="239" w:lineRule="auto"/>
        <w:rPr>
          <w:sz w:val="20"/>
          <w:szCs w:val="20"/>
          <w:color w:val="auto"/>
        </w:rPr>
      </w:pPr>
      <w:r>
        <w:rPr>
          <w:rFonts w:ascii="Arial" w:cs="Arial" w:eastAsia="Arial" w:hAnsi="Arial"/>
          <w:sz w:val="18"/>
          <w:szCs w:val="18"/>
          <w:color w:val="auto"/>
        </w:rPr>
        <w:t>The Company recorded rent expense of $1.1 million and $0.6 million for the nine months ended September 30, 2018 and September 30, 2017, respectively.</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020"/>
          </w:cols>
          <w:pgMar w:left="320" w:top="459" w:right="55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September 30, 2018, the Company had the following contractual obligations related to its facility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5440" w:type="dxa"/>
            <w:vAlign w:val="bottom"/>
            <w:tcBorders>
              <w:bottom w:val="single" w:sz="8" w:color="auto"/>
            </w:tcBorders>
          </w:tcPr>
          <w:p>
            <w:pPr>
              <w:spacing w:after="0"/>
              <w:rPr>
                <w:sz w:val="19"/>
                <w:szCs w:val="19"/>
                <w:color w:val="auto"/>
              </w:rPr>
            </w:pPr>
          </w:p>
        </w:tc>
        <w:tc>
          <w:tcPr>
            <w:tcW w:w="5580" w:type="dxa"/>
            <w:vAlign w:val="bottom"/>
            <w:tcBorders>
              <w:bottom w:val="single" w:sz="8" w:color="auto"/>
            </w:tcBorders>
            <w:gridSpan w:val="4"/>
          </w:tcPr>
          <w:p>
            <w:pPr>
              <w:ind w:left="4100"/>
              <w:spacing w:after="0"/>
              <w:rPr>
                <w:sz w:val="20"/>
                <w:szCs w:val="20"/>
                <w:color w:val="auto"/>
              </w:rPr>
            </w:pPr>
            <w:r>
              <w:rPr>
                <w:rFonts w:ascii="Arial" w:cs="Arial" w:eastAsia="Arial" w:hAnsi="Arial"/>
                <w:sz w:val="18"/>
                <w:szCs w:val="18"/>
                <w:b w:val="1"/>
                <w:bCs w:val="1"/>
                <w:color w:val="auto"/>
              </w:rPr>
              <w:t>Operating leases</w:t>
            </w:r>
          </w:p>
        </w:tc>
      </w:tr>
      <w:tr>
        <w:trPr>
          <w:trHeight w:val="196"/>
        </w:trPr>
        <w:tc>
          <w:tcPr>
            <w:tcW w:w="5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2018 (remainder)</w:t>
            </w:r>
          </w:p>
        </w:tc>
        <w:tc>
          <w:tcPr>
            <w:tcW w:w="4460" w:type="dxa"/>
            <w:vAlign w:val="bottom"/>
            <w:gridSpan w:val="2"/>
            <w:shd w:val="clear" w:color="auto" w:fill="CCEEFF"/>
          </w:tcPr>
          <w:p>
            <w:pPr>
              <w:ind w:left="410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402,691</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2019</w:t>
            </w:r>
          </w:p>
        </w:tc>
        <w:tc>
          <w:tcPr>
            <w:tcW w:w="4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1,659,087</w:t>
            </w:r>
          </w:p>
        </w:tc>
      </w:tr>
      <w:tr>
        <w:trPr>
          <w:trHeight w:val="203"/>
        </w:trPr>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2020</w:t>
            </w:r>
          </w:p>
        </w:tc>
        <w:tc>
          <w:tcPr>
            <w:tcW w:w="4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1,700,565</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2021</w:t>
            </w:r>
          </w:p>
        </w:tc>
        <w:tc>
          <w:tcPr>
            <w:tcW w:w="4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1,751,582</w:t>
            </w:r>
          </w:p>
        </w:tc>
      </w:tr>
      <w:tr>
        <w:trPr>
          <w:trHeight w:val="203"/>
        </w:trPr>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2022</w:t>
            </w:r>
          </w:p>
        </w:tc>
        <w:tc>
          <w:tcPr>
            <w:tcW w:w="4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1,804,129</w:t>
            </w:r>
          </w:p>
        </w:tc>
      </w:tr>
      <w:tr>
        <w:trPr>
          <w:trHeight w:val="210"/>
        </w:trPr>
        <w:tc>
          <w:tcPr>
            <w:tcW w:w="54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302,155</w:t>
            </w:r>
          </w:p>
        </w:tc>
        <w:tc>
          <w:tcPr>
            <w:tcW w:w="60" w:type="dxa"/>
            <w:vAlign w:val="bottom"/>
          </w:tcPr>
          <w:p>
            <w:pPr>
              <w:spacing w:after="0"/>
              <w:rPr>
                <w:sz w:val="18"/>
                <w:szCs w:val="18"/>
                <w:color w:val="auto"/>
              </w:rPr>
            </w:pPr>
          </w:p>
        </w:tc>
      </w:tr>
      <w:tr>
        <w:trPr>
          <w:trHeight w:val="203"/>
        </w:trPr>
        <w:tc>
          <w:tcPr>
            <w:tcW w:w="5440" w:type="dxa"/>
            <w:vAlign w:val="bottom"/>
            <w:shd w:val="clear" w:color="auto" w:fill="CCEEFF"/>
          </w:tcPr>
          <w:p>
            <w:pPr>
              <w:spacing w:after="0"/>
              <w:rPr>
                <w:sz w:val="17"/>
                <w:szCs w:val="17"/>
                <w:color w:val="auto"/>
              </w:rPr>
            </w:pPr>
          </w:p>
        </w:tc>
        <w:tc>
          <w:tcPr>
            <w:tcW w:w="4460" w:type="dxa"/>
            <w:vAlign w:val="bottom"/>
            <w:gridSpan w:val="2"/>
            <w:shd w:val="clear" w:color="auto" w:fill="CCEEFF"/>
          </w:tcPr>
          <w:p>
            <w:pPr>
              <w:ind w:left="410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7,620,209</w:t>
            </w:r>
          </w:p>
        </w:tc>
      </w:tr>
      <w:tr>
        <w:trPr>
          <w:trHeight w:val="20"/>
        </w:trPr>
        <w:tc>
          <w:tcPr>
            <w:tcW w:w="5440" w:type="dxa"/>
            <w:vAlign w:val="bottom"/>
            <w:tcBorders>
              <w:bottom w:val="single" w:sz="8" w:color="auto"/>
            </w:tcBorders>
          </w:tcPr>
          <w:p>
            <w:pPr>
              <w:spacing w:after="0" w:line="20" w:lineRule="exact"/>
              <w:rPr>
                <w:sz w:val="1"/>
                <w:szCs w:val="1"/>
                <w:color w:val="auto"/>
              </w:rPr>
            </w:pPr>
          </w:p>
        </w:tc>
        <w:tc>
          <w:tcPr>
            <w:tcW w:w="4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Capital lease obligations</w:t>
      </w:r>
    </w:p>
    <w:p>
      <w:pPr>
        <w:spacing w:after="0" w:line="124" w:lineRule="exact"/>
        <w:rPr>
          <w:sz w:val="20"/>
          <w:szCs w:val="20"/>
          <w:color w:val="auto"/>
        </w:rPr>
      </w:pPr>
    </w:p>
    <w:p>
      <w:pPr>
        <w:ind w:left="120" w:right="600"/>
        <w:spacing w:after="0" w:line="239" w:lineRule="auto"/>
        <w:rPr>
          <w:sz w:val="20"/>
          <w:szCs w:val="20"/>
          <w:color w:val="auto"/>
        </w:rPr>
      </w:pPr>
      <w:r>
        <w:rPr>
          <w:rFonts w:ascii="Arial" w:cs="Arial" w:eastAsia="Arial" w:hAnsi="Arial"/>
          <w:sz w:val="18"/>
          <w:szCs w:val="18"/>
          <w:color w:val="auto"/>
        </w:rPr>
        <w:t>The Company’s capital lease obligations amounted to $0.3 million and $0.4 million as of September 30, 2018 and December 30, 2017, respectively.</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Licenses</w:t>
      </w:r>
    </w:p>
    <w:p>
      <w:pPr>
        <w:spacing w:after="0" w:line="124" w:lineRule="exact"/>
        <w:rPr>
          <w:sz w:val="20"/>
          <w:szCs w:val="20"/>
          <w:color w:val="auto"/>
        </w:rPr>
      </w:pPr>
    </w:p>
    <w:p>
      <w:pPr>
        <w:ind w:left="120" w:right="60"/>
        <w:spacing w:after="0" w:line="272" w:lineRule="auto"/>
        <w:rPr>
          <w:sz w:val="20"/>
          <w:szCs w:val="20"/>
          <w:color w:val="auto"/>
        </w:rPr>
      </w:pPr>
      <w:r>
        <w:rPr>
          <w:rFonts w:ascii="Arial" w:cs="Arial" w:eastAsia="Arial" w:hAnsi="Arial"/>
          <w:sz w:val="16"/>
          <w:szCs w:val="16"/>
          <w:color w:val="auto"/>
        </w:rPr>
        <w:t>The Company has entered into certain license agreements. Pursuant to the terms of those agreements, the Company may be required to pay up to $2.0 million upon the achievement of various developments, regulatory and sales milestones. The payment of these amounts, however, is contingent upon the occurrence of various future events. Additionally, the Company has licensed technology from an academic institution for which it is required to pay annual license payments of $50,000 for as long as the patent is in effect. If any product related to the licenses technology from an academic institution are approved for sale, the Company may be required to pay a minimal royalty on future sales.</w:t>
      </w:r>
    </w:p>
    <w:p>
      <w:pPr>
        <w:spacing w:after="0" w:line="78"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The Cystic Fibrosis Foundation antibiotic grant agreement contains provisions related to potential future amounts payable by the Company to the Cystic Fibrosis Foundation upon product approval and achievement of certain sales milestones. In addition, in the event of a change in control or licensing, sale, or other transfer of the technology, the Company shall pay the Cystic Fibrosis Foundation a payment equal to a percentage of the related transaction price, not to exceed $1.4 million, which amount shall be reduced by any payments previously made by the Company in connection with a product approval. In conjunction with the acquisition of the Company by Revolution in October 2018, $1.4 million became due. See Note 13 for more details.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10. Income taxes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2017 U.S. tax reform</w:t>
      </w:r>
    </w:p>
    <w:p>
      <w:pPr>
        <w:spacing w:after="0" w:line="124" w:lineRule="exact"/>
        <w:rPr>
          <w:sz w:val="20"/>
          <w:szCs w:val="20"/>
          <w:color w:val="auto"/>
        </w:rPr>
      </w:pPr>
    </w:p>
    <w:p>
      <w:pPr>
        <w:ind w:left="120" w:right="100"/>
        <w:spacing w:after="0" w:line="269" w:lineRule="auto"/>
        <w:rPr>
          <w:sz w:val="20"/>
          <w:szCs w:val="20"/>
          <w:color w:val="auto"/>
        </w:rPr>
      </w:pPr>
      <w:r>
        <w:rPr>
          <w:rFonts w:ascii="Arial" w:cs="Arial" w:eastAsia="Arial" w:hAnsi="Arial"/>
          <w:sz w:val="16"/>
          <w:szCs w:val="16"/>
          <w:color w:val="auto"/>
        </w:rPr>
        <w:t>On December 22, 2017, the Tax Cuts and Jobs Act (the “TCJA”) was signed into United States law. The TCJA includes a number of changes to existing tax law, including, among other things, a permanent reduction in the federal corporate income tax rate from 34% to 21%, effective as of January 1, 2018, as well as limitation of the deduction for net operating losses to 80% of annual taxable income and elimination of net operating loss carrybacks, in each case, for losses arising in taxable years beginning after December 31, 2017 (though any such net operating losses may be carried forward indefinitely). The tax rate change resulted in (i) a reduction in the gross amount of the Company’s deferred tax assets recorded as of December 31, 2017, without an impact on the net amount of its deferred tax assets, which are recorded with a full valuation allowance, and (ii) no income tax expense or benefit being recognized as of the enactment date of the TCJA.</w:t>
      </w:r>
    </w:p>
    <w:p>
      <w:pPr>
        <w:spacing w:after="0" w:line="82" w:lineRule="exact"/>
        <w:rPr>
          <w:sz w:val="20"/>
          <w:szCs w:val="20"/>
          <w:color w:val="auto"/>
        </w:rPr>
      </w:pPr>
    </w:p>
    <w:p>
      <w:pPr>
        <w:ind w:left="120" w:right="120"/>
        <w:spacing w:after="0" w:line="239" w:lineRule="auto"/>
        <w:rPr>
          <w:sz w:val="20"/>
          <w:szCs w:val="20"/>
          <w:color w:val="auto"/>
        </w:rPr>
      </w:pPr>
      <w:r>
        <w:rPr>
          <w:rFonts w:ascii="Arial" w:cs="Arial" w:eastAsia="Arial" w:hAnsi="Arial"/>
          <w:sz w:val="18"/>
          <w:szCs w:val="18"/>
          <w:color w:val="auto"/>
        </w:rPr>
        <w:t>In December 2017, the SEC staff issued Staff Accounting Bulletin No. 118, Income Tax Accounting Implications of the Tax Cuts and Jobs Act (“SAB 118”) which allows the Company to record provisional amounts during a</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140"/>
          </w:cols>
          <w:pgMar w:left="320" w:top="459" w:right="43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measurement period not to extend beyond one year of the enactment date. During the three and nine months ended September 30, 2018, the Company did not make any adjustments to the provisional amounts recorded as a result of the TCJA. The Company’s accounting for the elements of U.S. Tax Reform is complete.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24" w:lineRule="exact"/>
        <w:rPr>
          <w:sz w:val="20"/>
          <w:szCs w:val="20"/>
          <w:color w:val="auto"/>
        </w:rPr>
      </w:pPr>
    </w:p>
    <w:p>
      <w:pPr>
        <w:ind w:left="120" w:right="140"/>
        <w:spacing w:after="0" w:line="236" w:lineRule="auto"/>
        <w:rPr>
          <w:sz w:val="20"/>
          <w:szCs w:val="20"/>
          <w:color w:val="auto"/>
        </w:rPr>
      </w:pPr>
      <w:r>
        <w:rPr>
          <w:rFonts w:ascii="Arial" w:cs="Arial" w:eastAsia="Arial" w:hAnsi="Arial"/>
          <w:sz w:val="18"/>
          <w:szCs w:val="18"/>
          <w:color w:val="auto"/>
        </w:rPr>
        <w:t>During the nine months ended September 30, 2018 and 2017, the Company recorded no income tax benefits for the net operating losses incurred or for the research and development tax credits generated in each period due to its uncertainty of realizing a benefit from those items. The Company has provided a valuation allowance for the full amounts of its net deferred tax assets because, at September 30, 2018 and December 31, 2017, it was more likely than not that any future benefit from deductible temporary differences and net operating loss and tax credit carryforwards would not be realized.</w:t>
      </w:r>
    </w:p>
    <w:p>
      <w:pPr>
        <w:spacing w:after="0" w:line="10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As of September 30, 2018 and December 31, 2017, the Company had not recorded any amounts for unrecognized tax benefits. The statute of limitations for assessment by the Internal Revenue Service (“IRS”) and state tax authorities is closed for tax years prior to December 31, 2014, although net operating loss and tax credit carryforwards that were generated prior to December 31, 2014 may still be adjusted upon examination by the IRS and state tax authorities if they either have been or will be used in a future period. There are currently no IRS or state tax audits in progress.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11. Related party transactions</w:t>
      </w:r>
    </w:p>
    <w:p>
      <w:pPr>
        <w:spacing w:after="0" w:line="134" w:lineRule="exact"/>
        <w:rPr>
          <w:sz w:val="20"/>
          <w:szCs w:val="20"/>
          <w:color w:val="auto"/>
        </w:rPr>
      </w:pPr>
    </w:p>
    <w:p>
      <w:pPr>
        <w:ind w:left="120"/>
        <w:spacing w:after="0" w:line="271" w:lineRule="auto"/>
        <w:rPr>
          <w:sz w:val="20"/>
          <w:szCs w:val="20"/>
          <w:color w:val="auto"/>
        </w:rPr>
      </w:pPr>
      <w:r>
        <w:rPr>
          <w:rFonts w:ascii="Arial" w:cs="Arial" w:eastAsia="Arial" w:hAnsi="Arial"/>
          <w:sz w:val="16"/>
          <w:szCs w:val="16"/>
          <w:color w:val="auto"/>
        </w:rPr>
        <w:t>In conjunction with the issuance of Series A preferred stock and common stock and the conversion of the prior credit agreement into convertible notes payable (Note 5), the Company simultaneously entered into a research collaboration with Sanofi in 2016 in which it obtained an exclusive license focused on the development of drugs targeting important human oncogenes (Note 4). Under the terms of the Agreement, the Company would lead research collaboration for a period of five years, and Sanofi would potentially receive worldwide exclusive licenses to develop and commercialize the candidates discovered during the research term. The Company has total convertible notes payable from Sanofi of approximately $30 million and $34 million as of September 30, 2018 and December 31, 2017, respectively. (See Notes 5 and 13)</w:t>
      </w:r>
    </w:p>
    <w:p>
      <w:pPr>
        <w:spacing w:after="0" w:line="76" w:lineRule="exact"/>
        <w:rPr>
          <w:sz w:val="20"/>
          <w:szCs w:val="20"/>
          <w:color w:val="auto"/>
        </w:rPr>
      </w:pPr>
    </w:p>
    <w:p>
      <w:pPr>
        <w:ind w:left="120" w:right="220"/>
        <w:spacing w:after="0" w:line="237" w:lineRule="auto"/>
        <w:rPr>
          <w:sz w:val="20"/>
          <w:szCs w:val="20"/>
          <w:color w:val="auto"/>
        </w:rPr>
      </w:pPr>
      <w:r>
        <w:rPr>
          <w:rFonts w:ascii="Arial" w:cs="Arial" w:eastAsia="Arial" w:hAnsi="Arial"/>
          <w:sz w:val="18"/>
          <w:szCs w:val="18"/>
          <w:color w:val="auto"/>
        </w:rPr>
        <w:t>The Company leases its facilities from an entity that participated in the Series A Unit financing in October 2012. Prior to and after the restructuring of the Company, the investor owned less than one percent of the Series A Preferred Units and Series A Preferred Stock of the Company, respectively. Payments made to the landlord totaled approximately $1.2 million and $1.1 million for the nine months ended September 30, 2018 and 2017, respectively.</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120"/>
          </w:cols>
          <w:pgMar w:left="320" w:top="459" w:right="45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12. Stock-based compensation</w:t>
      </w:r>
    </w:p>
    <w:p>
      <w:pPr>
        <w:spacing w:after="0" w:line="13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In January 2016, the Company amended the Limited Liability Company Agreement with its preferred shareholders and restructured the Company as a C Corporation. The holders of participation units, the equity award previously given to employees (and to nonemployees on occasion) received an equivalent number of shares of restricted stock on the same vesting schedule. Restricted stock granted by the Company typically vest over four years and have a contractual life of ten years. The following table provides stock-based compensation by the financial statement line item in which it is reflected: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6995160" cy="171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2" w:lineRule="exact"/>
        <w:rPr>
          <w:sz w:val="20"/>
          <w:szCs w:val="20"/>
          <w:color w:val="auto"/>
        </w:rPr>
      </w:pPr>
    </w:p>
    <w:p>
      <w:pPr>
        <w:jc w:val="center"/>
        <w:ind w:left="8940"/>
        <w:spacing w:after="0"/>
        <w:rPr>
          <w:sz w:val="20"/>
          <w:szCs w:val="20"/>
          <w:color w:val="auto"/>
        </w:rPr>
      </w:pPr>
      <w:r>
        <w:rPr>
          <w:rFonts w:ascii="Arial" w:cs="Arial" w:eastAsia="Arial" w:hAnsi="Arial"/>
          <w:sz w:val="18"/>
          <w:szCs w:val="18"/>
          <w:b w:val="1"/>
          <w:bCs w:val="1"/>
          <w:color w:val="auto"/>
        </w:rPr>
        <w:t>Nine months ended</w:t>
      </w:r>
    </w:p>
    <w:p>
      <w:pPr>
        <w:spacing w:after="0" w:line="18" w:lineRule="exact"/>
        <w:rPr>
          <w:sz w:val="20"/>
          <w:szCs w:val="20"/>
          <w:color w:val="auto"/>
        </w:rPr>
      </w:pPr>
    </w:p>
    <w:p>
      <w:pPr>
        <w:jc w:val="center"/>
        <w:ind w:left="894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-4445</wp:posOffset>
            </wp:positionV>
            <wp:extent cx="122555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221"/>
        </w:trPr>
        <w:tc>
          <w:tcPr>
            <w:tcW w:w="90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auto"/>
            </w:tcBorders>
          </w:tcPr>
          <w:p>
            <w:pPr>
              <w:spacing w:after="0"/>
              <w:rPr>
                <w:sz w:val="19"/>
                <w:szCs w:val="19"/>
                <w:color w:val="auto"/>
              </w:rPr>
            </w:pPr>
          </w:p>
        </w:tc>
      </w:tr>
      <w:tr>
        <w:trPr>
          <w:trHeight w:val="196"/>
        </w:trPr>
        <w:tc>
          <w:tcPr>
            <w:tcW w:w="9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 expense</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55,382</w:t>
            </w:r>
          </w:p>
        </w:tc>
        <w:tc>
          <w:tcPr>
            <w:tcW w:w="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96,759</w:t>
            </w:r>
          </w:p>
        </w:tc>
      </w:tr>
      <w:tr>
        <w:trPr>
          <w:trHeight w:val="210"/>
        </w:trPr>
        <w:tc>
          <w:tcPr>
            <w:tcW w:w="9020" w:type="dxa"/>
            <w:vAlign w:val="bottom"/>
          </w:tcPr>
          <w:p>
            <w:pPr>
              <w:spacing w:after="0" w:line="202" w:lineRule="exact"/>
              <w:rPr>
                <w:sz w:val="20"/>
                <w:szCs w:val="20"/>
                <w:color w:val="auto"/>
              </w:rPr>
            </w:pPr>
            <w:r>
              <w:rPr>
                <w:rFonts w:ascii="Arial" w:cs="Arial" w:eastAsia="Arial" w:hAnsi="Arial"/>
                <w:sz w:val="18"/>
                <w:szCs w:val="18"/>
                <w:color w:val="auto"/>
              </w:rPr>
              <w:t>General and administrative expense</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w w:val="98"/>
              </w:rPr>
              <w:t>306,902</w:t>
            </w: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411,890</w:t>
            </w:r>
          </w:p>
        </w:tc>
        <w:tc>
          <w:tcPr>
            <w:tcW w:w="80" w:type="dxa"/>
            <w:vAlign w:val="bottom"/>
          </w:tcPr>
          <w:p>
            <w:pPr>
              <w:spacing w:after="0"/>
              <w:rPr>
                <w:sz w:val="18"/>
                <w:szCs w:val="18"/>
                <w:color w:val="auto"/>
              </w:rPr>
            </w:pPr>
          </w:p>
        </w:tc>
      </w:tr>
      <w:tr>
        <w:trPr>
          <w:trHeight w:val="203"/>
        </w:trPr>
        <w:tc>
          <w:tcPr>
            <w:tcW w:w="90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w w:val="98"/>
              </w:rPr>
              <w:t>362,284</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508,649</w:t>
            </w:r>
          </w:p>
        </w:tc>
        <w:tc>
          <w:tcPr>
            <w:tcW w:w="80" w:type="dxa"/>
            <w:vAlign w:val="bottom"/>
            <w:shd w:val="clear" w:color="auto" w:fill="CCEEFF"/>
          </w:tcPr>
          <w:p>
            <w:pPr>
              <w:spacing w:after="0"/>
              <w:rPr>
                <w:sz w:val="17"/>
                <w:szCs w:val="17"/>
                <w:color w:val="auto"/>
              </w:rPr>
            </w:pPr>
          </w:p>
        </w:tc>
      </w:tr>
      <w:tr>
        <w:trPr>
          <w:trHeight w:val="20"/>
        </w:trPr>
        <w:tc>
          <w:tcPr>
            <w:tcW w:w="9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11"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The Company granted 310,000 and 577,500 shares of restricted stock to employees during the nine months ended September 30, 2018 and 2017, respectively. For all the grants during the nine months ended September 30, 2018 and 2017, the employees paid the Company the fair value of the restricted awards. As a result, the Company did not recognize any stock-based compensation for the restricted stock grants made during the nine months ended September 30, 2018 and 2017. However, the Company did recognize stock-based compensation related to grants of participation units prior to January 1, 2016.</w:t>
      </w:r>
    </w:p>
    <w:p>
      <w:pPr>
        <w:spacing w:after="0" w:line="103" w:lineRule="exact"/>
        <w:rPr>
          <w:sz w:val="20"/>
          <w:szCs w:val="20"/>
          <w:color w:val="auto"/>
        </w:rPr>
      </w:pPr>
    </w:p>
    <w:p>
      <w:pPr>
        <w:ind w:left="120" w:right="160"/>
        <w:spacing w:after="0" w:line="235" w:lineRule="auto"/>
        <w:rPr>
          <w:sz w:val="20"/>
          <w:szCs w:val="20"/>
          <w:color w:val="auto"/>
        </w:rPr>
      </w:pPr>
      <w:r>
        <w:rPr>
          <w:rFonts w:ascii="Arial" w:cs="Arial" w:eastAsia="Arial" w:hAnsi="Arial"/>
          <w:sz w:val="18"/>
          <w:szCs w:val="18"/>
          <w:color w:val="auto"/>
        </w:rPr>
        <w:t>The Company has utilized significant estimates and assumptions in determining the fair value of its common stock and common units. The Board of Directors determined the estimated fair value of the Company’s common stock based on a number of objective and subjective factors, including the lack of an active public market for the Company’s common and convertible preferred stock; the prices of shares of the Company’s convertible preferred stock that the Company had sold to outside investors in arm’s length transactions, and the rights, preferences, and privileges of that convertible preferred stock relative to the Company’s common stock; the Company’s results of operations and financial condition; the Company’s entry into collaboration agreements; the material risks related to the Company’s business; the Company’s business strategy; the market performance of publicly traded companies in the life sciences and biotechnology sectors; and the likelihood of achieving a liquidity event for the holders of the Company’s common stock, such as an initial public offering (IPO), given prevailing market conditions. Significant changes to the key assumptions used in the valuations could have resulted in different fair values of the Company’s common stock at each valuation date.</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13. Subsequent events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 has evaluated subsequent events through September 19, 2019, the date the financial statements were available to be issued.</w:t>
      </w:r>
    </w:p>
    <w:p>
      <w:pPr>
        <w:spacing w:after="0" w:line="127" w:lineRule="exact"/>
        <w:rPr>
          <w:sz w:val="20"/>
          <w:szCs w:val="20"/>
          <w:color w:val="auto"/>
        </w:rPr>
      </w:pPr>
    </w:p>
    <w:p>
      <w:pPr>
        <w:ind w:left="120" w:right="320"/>
        <w:spacing w:after="0" w:line="239" w:lineRule="auto"/>
        <w:rPr>
          <w:sz w:val="20"/>
          <w:szCs w:val="20"/>
          <w:color w:val="auto"/>
        </w:rPr>
      </w:pPr>
      <w:r>
        <w:rPr>
          <w:rFonts w:ascii="Arial" w:cs="Arial" w:eastAsia="Arial" w:hAnsi="Arial"/>
          <w:sz w:val="18"/>
          <w:szCs w:val="18"/>
          <w:color w:val="auto"/>
        </w:rPr>
        <w:t>On October 3, 2018, the Company received $2 million in cash proceeds from an existing investor in exchange for a convertible promissory note purchase agreement with a maturity date of April 8, 2019 and an 8% annual interest rate.</w:t>
      </w:r>
    </w:p>
    <w:p>
      <w:pPr>
        <w:spacing w:after="0" w:line="101"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On October 17, 2018, the Company and Sanofi entered into a Note Conversion Agreement to convert the $30 million convertible notes payable to 18 million shares of Series A convertible preferred stock of the Company just before the sale pursuant to an Agreement and Plan of Merger with Revolution on October 24, 2018.</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140"/>
          </w:cols>
          <w:pgMar w:left="320" w:top="459" w:right="43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On October 24, 2018, the Company and Revolution closed the sale pursuant to an Agreement and Plan of Merger in which Revolution acquired all the Series A convertible preferred stock and the common stock of the Company in exchange for Revolution Series B preferred stock for total consideration valued $69.0 million, subject to adjustments and holdbacks for certain events.</w:t>
      </w:r>
    </w:p>
    <w:p>
      <w:pPr>
        <w:spacing w:after="0" w:line="100"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As a result of the merger agreement, the Cystic Fibrosis Foundation received approximately $1.4M of Revolution Series B preferred stock in accordance with the contractual terms of the Company’s grant agreement with the Cystic Fibrosis Foundation (See Note 9).</w:t>
      </w:r>
    </w:p>
    <w:p>
      <w:pPr>
        <w:spacing w:after="0" w:line="14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0960"/>
          </w:cols>
          <w:pgMar w:left="320" w:top="459" w:right="61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640"/>
        <w:spacing w:after="0"/>
        <w:rPr>
          <w:sz w:val="20"/>
          <w:szCs w:val="20"/>
          <w:color w:val="auto"/>
        </w:rPr>
      </w:pPr>
      <w:r>
        <w:rPr>
          <w:rFonts w:ascii="Arial" w:cs="Arial" w:eastAsia="Arial" w:hAnsi="Arial"/>
          <w:sz w:val="32"/>
          <w:szCs w:val="32"/>
          <w:b w:val="1"/>
          <w:bCs w:val="1"/>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1572260</wp:posOffset>
            </wp:positionV>
            <wp:extent cx="2031365" cy="44577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03136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i w:val="1"/>
          <w:i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0"/>
        <w:spacing w:after="0"/>
        <w:tabs>
          <w:tab w:leader="none" w:pos="2860" w:val="left"/>
          <w:tab w:leader="none" w:pos="5120" w:val="left"/>
          <w:tab w:leader="none" w:pos="8400" w:val="left"/>
        </w:tabs>
        <w:rPr>
          <w:sz w:val="20"/>
          <w:szCs w:val="20"/>
          <w:color w:val="auto"/>
        </w:rPr>
      </w:pPr>
      <w:r>
        <w:rPr>
          <w:rFonts w:ascii="Arial" w:cs="Arial" w:eastAsia="Arial" w:hAnsi="Arial"/>
          <w:sz w:val="24"/>
          <w:szCs w:val="24"/>
          <w:b w:val="1"/>
          <w:bCs w:val="1"/>
          <w:color w:val="auto"/>
        </w:rPr>
        <w:t>J.P. Morgan</w:t>
      </w:r>
      <w:r>
        <w:rPr>
          <w:sz w:val="20"/>
          <w:szCs w:val="20"/>
          <w:color w:val="auto"/>
        </w:rPr>
        <w:tab/>
      </w:r>
      <w:r>
        <w:rPr>
          <w:rFonts w:ascii="Arial" w:cs="Arial" w:eastAsia="Arial" w:hAnsi="Arial"/>
          <w:sz w:val="24"/>
          <w:szCs w:val="24"/>
          <w:b w:val="1"/>
          <w:bCs w:val="1"/>
          <w:color w:val="auto"/>
        </w:rPr>
        <w:t>Cowen</w:t>
      </w:r>
      <w:r>
        <w:rPr>
          <w:sz w:val="20"/>
          <w:szCs w:val="20"/>
          <w:color w:val="auto"/>
        </w:rPr>
        <w:tab/>
      </w:r>
      <w:r>
        <w:rPr>
          <w:rFonts w:ascii="Arial" w:cs="Arial" w:eastAsia="Arial" w:hAnsi="Arial"/>
          <w:sz w:val="24"/>
          <w:szCs w:val="24"/>
          <w:b w:val="1"/>
          <w:bCs w:val="1"/>
          <w:color w:val="auto"/>
        </w:rPr>
        <w:t>SVB Leerink</w:t>
      </w:r>
      <w:r>
        <w:rPr>
          <w:sz w:val="20"/>
          <w:szCs w:val="20"/>
          <w:color w:val="auto"/>
        </w:rPr>
        <w:tab/>
      </w:r>
      <w:r>
        <w:rPr>
          <w:rFonts w:ascii="Arial" w:cs="Arial" w:eastAsia="Arial" w:hAnsi="Arial"/>
          <w:sz w:val="24"/>
          <w:szCs w:val="24"/>
          <w:b w:val="1"/>
          <w:bCs w:val="1"/>
          <w:color w:val="auto"/>
        </w:rPr>
        <w:t>Guggenheim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1780" w:type="dxa"/>
            <w:vAlign w:val="bottom"/>
          </w:tcPr>
          <w:p>
            <w:pPr>
              <w:spacing w:after="0"/>
              <w:rPr>
                <w:sz w:val="20"/>
                <w:szCs w:val="20"/>
                <w:color w:val="auto"/>
              </w:rPr>
            </w:pPr>
            <w:r>
              <w:rPr>
                <w:rFonts w:ascii="Arial" w:cs="Arial" w:eastAsia="Arial" w:hAnsi="Arial"/>
                <w:sz w:val="18"/>
                <w:szCs w:val="18"/>
                <w:color w:val="auto"/>
              </w:rPr>
              <w:t>Prospectus dated</w:t>
            </w:r>
          </w:p>
        </w:tc>
        <w:tc>
          <w:tcPr>
            <w:tcW w:w="900" w:type="dxa"/>
            <w:vAlign w:val="bottom"/>
          </w:tcPr>
          <w:p>
            <w:pPr>
              <w:jc w:val="right"/>
              <w:spacing w:after="0"/>
              <w:rPr>
                <w:sz w:val="20"/>
                <w:szCs w:val="20"/>
                <w:color w:val="auto"/>
              </w:rPr>
            </w:pPr>
            <w:r>
              <w:rPr>
                <w:rFonts w:ascii="Arial" w:cs="Arial" w:eastAsia="Arial" w:hAnsi="Arial"/>
                <w:sz w:val="18"/>
                <w:szCs w:val="18"/>
                <w:color w:val="auto"/>
              </w:rPr>
              <w:t>, 2019</w:t>
            </w:r>
          </w:p>
        </w:tc>
      </w:tr>
    </w:tbl>
    <w:p>
      <w:pPr>
        <w:sectPr>
          <w:pgSz w:w="11900" w:h="16838" w:orient="portrait"/>
          <w:cols w:equalWidth="0" w:num="1">
            <w:col w:w="11140"/>
          </w:cols>
          <w:pgMar w:left="320" w:top="459" w:right="43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PART II</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Information not required in prospectus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13. Other expenses of issuance and distribution.</w:t>
      </w:r>
    </w:p>
    <w:p>
      <w:pPr>
        <w:spacing w:after="0" w:line="124"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The following table sets forth the costs and expenses, other than the underwriting discounts and commissions, payable by the registrant in connection with the sale of common stock being registered. All amounts are estimates except for the Securities and Exchange Commission, or SEC, registration fee, the FINRA filing fee and the Nasdaq Global Market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171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9880" w:type="dxa"/>
            <w:vAlign w:val="bottom"/>
          </w:tcPr>
          <w:p>
            <w:pPr>
              <w:spacing w:after="0"/>
              <w:rPr>
                <w:sz w:val="17"/>
                <w:szCs w:val="17"/>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6"/>
              </w:rPr>
              <w:t>Amount paid</w:t>
            </w:r>
          </w:p>
        </w:tc>
      </w:tr>
      <w:tr>
        <w:trPr>
          <w:trHeight w:val="221"/>
        </w:trPr>
        <w:tc>
          <w:tcPr>
            <w:tcW w:w="9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Item</w:t>
            </w:r>
          </w:p>
        </w:tc>
        <w:tc>
          <w:tcPr>
            <w:tcW w:w="1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w w:val="98"/>
              </w:rPr>
              <w:t>or to be paid</w:t>
            </w:r>
          </w:p>
        </w:tc>
      </w:tr>
      <w:tr>
        <w:trPr>
          <w:trHeight w:val="196"/>
        </w:trPr>
        <w:tc>
          <w:tcPr>
            <w:tcW w:w="9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SEC registration fee</w:t>
            </w:r>
          </w:p>
        </w:tc>
        <w:tc>
          <w:tcPr>
            <w:tcW w:w="560" w:type="dxa"/>
            <w:vAlign w:val="bottom"/>
            <w:shd w:val="clear" w:color="auto" w:fill="CCEEFF"/>
          </w:tcPr>
          <w:p>
            <w:pPr>
              <w:jc w:val="right"/>
              <w:ind w:right="372"/>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r>
      <w:tr>
        <w:trPr>
          <w:trHeight w:val="203"/>
        </w:trPr>
        <w:tc>
          <w:tcPr>
            <w:tcW w:w="9880" w:type="dxa"/>
            <w:vAlign w:val="bottom"/>
          </w:tcPr>
          <w:p>
            <w:pPr>
              <w:spacing w:after="0" w:line="202" w:lineRule="exact"/>
              <w:rPr>
                <w:sz w:val="20"/>
                <w:szCs w:val="20"/>
                <w:color w:val="auto"/>
              </w:rPr>
            </w:pPr>
            <w:r>
              <w:rPr>
                <w:rFonts w:ascii="Arial" w:cs="Arial" w:eastAsia="Arial" w:hAnsi="Arial"/>
                <w:sz w:val="18"/>
                <w:szCs w:val="18"/>
                <w:color w:val="auto"/>
              </w:rPr>
              <w:t>FINRA filing fee</w:t>
            </w:r>
          </w:p>
        </w:tc>
        <w:tc>
          <w:tcPr>
            <w:tcW w:w="560" w:type="dxa"/>
            <w:vAlign w:val="bottom"/>
          </w:tcPr>
          <w:p>
            <w:pPr>
              <w:spacing w:after="0"/>
              <w:rPr>
                <w:sz w:val="17"/>
                <w:szCs w:val="17"/>
                <w:color w:val="auto"/>
              </w:rPr>
            </w:pP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9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Nasdaq Global Market Listing fee</w:t>
            </w:r>
          </w:p>
        </w:tc>
        <w:tc>
          <w:tcPr>
            <w:tcW w:w="5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9880" w:type="dxa"/>
            <w:vAlign w:val="bottom"/>
          </w:tcPr>
          <w:p>
            <w:pPr>
              <w:spacing w:after="0" w:line="202" w:lineRule="exact"/>
              <w:rPr>
                <w:sz w:val="20"/>
                <w:szCs w:val="20"/>
                <w:color w:val="auto"/>
              </w:rPr>
            </w:pPr>
            <w:r>
              <w:rPr>
                <w:rFonts w:ascii="Arial" w:cs="Arial" w:eastAsia="Arial" w:hAnsi="Arial"/>
                <w:sz w:val="18"/>
                <w:szCs w:val="18"/>
                <w:color w:val="auto"/>
              </w:rPr>
              <w:t>Printing and engraving expenses</w:t>
            </w:r>
          </w:p>
        </w:tc>
        <w:tc>
          <w:tcPr>
            <w:tcW w:w="560" w:type="dxa"/>
            <w:vAlign w:val="bottom"/>
          </w:tcPr>
          <w:p>
            <w:pPr>
              <w:spacing w:after="0"/>
              <w:rPr>
                <w:sz w:val="17"/>
                <w:szCs w:val="17"/>
                <w:color w:val="auto"/>
              </w:rPr>
            </w:pP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9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Legal fees and expenses</w:t>
            </w:r>
          </w:p>
        </w:tc>
        <w:tc>
          <w:tcPr>
            <w:tcW w:w="5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9880" w:type="dxa"/>
            <w:vAlign w:val="bottom"/>
          </w:tcPr>
          <w:p>
            <w:pPr>
              <w:spacing w:after="0" w:line="202" w:lineRule="exact"/>
              <w:rPr>
                <w:sz w:val="20"/>
                <w:szCs w:val="20"/>
                <w:color w:val="auto"/>
              </w:rPr>
            </w:pPr>
            <w:r>
              <w:rPr>
                <w:rFonts w:ascii="Arial" w:cs="Arial" w:eastAsia="Arial" w:hAnsi="Arial"/>
                <w:sz w:val="18"/>
                <w:szCs w:val="18"/>
                <w:color w:val="auto"/>
              </w:rPr>
              <w:t>Accounting fees and expenses</w:t>
            </w:r>
          </w:p>
        </w:tc>
        <w:tc>
          <w:tcPr>
            <w:tcW w:w="560" w:type="dxa"/>
            <w:vAlign w:val="bottom"/>
          </w:tcPr>
          <w:p>
            <w:pPr>
              <w:spacing w:after="0"/>
              <w:rPr>
                <w:sz w:val="17"/>
                <w:szCs w:val="17"/>
                <w:color w:val="auto"/>
              </w:rPr>
            </w:pP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9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Blue Sky, qualification fees and expenses</w:t>
            </w:r>
          </w:p>
        </w:tc>
        <w:tc>
          <w:tcPr>
            <w:tcW w:w="5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9880" w:type="dxa"/>
            <w:vAlign w:val="bottom"/>
          </w:tcPr>
          <w:p>
            <w:pPr>
              <w:spacing w:after="0" w:line="202" w:lineRule="exact"/>
              <w:rPr>
                <w:sz w:val="20"/>
                <w:szCs w:val="20"/>
                <w:color w:val="auto"/>
              </w:rPr>
            </w:pPr>
            <w:r>
              <w:rPr>
                <w:rFonts w:ascii="Arial" w:cs="Arial" w:eastAsia="Arial" w:hAnsi="Arial"/>
                <w:sz w:val="18"/>
                <w:szCs w:val="18"/>
                <w:color w:val="auto"/>
              </w:rPr>
              <w:t>Transfer Agent fees and expenses</w:t>
            </w:r>
          </w:p>
        </w:tc>
        <w:tc>
          <w:tcPr>
            <w:tcW w:w="560" w:type="dxa"/>
            <w:vAlign w:val="bottom"/>
          </w:tcPr>
          <w:p>
            <w:pPr>
              <w:spacing w:after="0"/>
              <w:rPr>
                <w:sz w:val="17"/>
                <w:szCs w:val="17"/>
                <w:color w:val="auto"/>
              </w:rPr>
            </w:pP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9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Miscellaneous expenses</w:t>
            </w:r>
          </w:p>
        </w:tc>
        <w:tc>
          <w:tcPr>
            <w:tcW w:w="5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22"/>
        </w:trPr>
        <w:tc>
          <w:tcPr>
            <w:tcW w:w="9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5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bl>
    <w:p>
      <w:pPr>
        <w:spacing w:after="0" w:line="67" w:lineRule="exact"/>
        <w:rPr>
          <w:sz w:val="20"/>
          <w:szCs w:val="20"/>
          <w:color w:val="auto"/>
        </w:rPr>
      </w:pPr>
    </w:p>
    <w:p>
      <w:pPr>
        <w:ind w:left="440" w:hanging="324"/>
        <w:spacing w:after="0"/>
        <w:tabs>
          <w:tab w:leader="none" w:pos="440" w:val="left"/>
        </w:tabs>
        <w:numPr>
          <w:ilvl w:val="0"/>
          <w:numId w:val="142"/>
        </w:numPr>
        <w:rPr>
          <w:rFonts w:ascii="Arial" w:cs="Arial" w:eastAsia="Arial" w:hAnsi="Arial"/>
          <w:sz w:val="13"/>
          <w:szCs w:val="13"/>
          <w:color w:val="auto"/>
        </w:rPr>
      </w:pPr>
      <w:r>
        <w:rPr>
          <w:rFonts w:ascii="Arial" w:cs="Arial" w:eastAsia="Arial" w:hAnsi="Arial"/>
          <w:sz w:val="13"/>
          <w:szCs w:val="13"/>
          <w:color w:val="auto"/>
        </w:rPr>
        <w:t>To be completed by amendment.</w:t>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14. Indemnification of directors and officers.</w:t>
      </w:r>
    </w:p>
    <w:p>
      <w:pPr>
        <w:spacing w:after="0" w:line="12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As permitted by Section 102 of the Delaware General Corporation Law, we have adopted provisions in our amended and restated certificate of incorporation and bylaws that limit or eliminate the personal liability of our directors for a breach of their fiduciary duty of care as a director. The duty of care generally requires that, when acting on behalf of the corporation, directors exercise an informed business judgment based on all material information reasonably available to them. Consequently, a director will not be personally liable to us or our stockholders for monetary damages for breach of fiduciary duty as a director, except for liability for:</w:t>
      </w:r>
    </w:p>
    <w:p>
      <w:pPr>
        <w:spacing w:after="0" w:line="112" w:lineRule="exact"/>
        <w:rPr>
          <w:sz w:val="20"/>
          <w:szCs w:val="20"/>
          <w:color w:val="auto"/>
        </w:rPr>
      </w:pPr>
    </w:p>
    <w:p>
      <w:pPr>
        <w:ind w:left="340" w:hanging="224"/>
        <w:spacing w:after="0"/>
        <w:tabs>
          <w:tab w:leader="none" w:pos="3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ind w:left="340" w:hanging="224"/>
        <w:spacing w:after="0" w:line="234" w:lineRule="auto"/>
        <w:tabs>
          <w:tab w:leader="none" w:pos="3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ind w:left="340" w:hanging="224"/>
        <w:spacing w:after="0" w:line="234" w:lineRule="auto"/>
        <w:tabs>
          <w:tab w:leader="none" w:pos="3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act related to unlawful stock repurchases, redemptions or other distributions or payment of dividends; or</w:t>
      </w:r>
    </w:p>
    <w:p>
      <w:pPr>
        <w:ind w:left="340" w:hanging="224"/>
        <w:spacing w:after="0"/>
        <w:tabs>
          <w:tab w:leader="none" w:pos="3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04"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These limitations of liability do not affect the availability of equitable remedies such as injunctive relief or rescission. Our amended and restated certificate of incorporation also authorizes us to indemnify our officers, directors and other agents to the fullest extent permitted under Delaware law.</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permitted by Section 145 of the Delaware General Corporation Law, our amended and restated bylaws provide that:</w:t>
      </w:r>
    </w:p>
    <w:p>
      <w:pPr>
        <w:spacing w:after="0" w:line="117" w:lineRule="exact"/>
        <w:rPr>
          <w:sz w:val="20"/>
          <w:szCs w:val="20"/>
          <w:color w:val="auto"/>
        </w:rPr>
      </w:pPr>
    </w:p>
    <w:p>
      <w:pPr>
        <w:ind w:left="340" w:right="100" w:hanging="224"/>
        <w:spacing w:after="0" w:line="239" w:lineRule="auto"/>
        <w:tabs>
          <w:tab w:leader="none" w:pos="3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we shall indemnify our directors and officers, and may indemnify our employees and agents to the fullest extent permitted by the Delaware General Corporation Law, subject to limited exceptions;</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40"/>
          </w:cols>
          <w:pgMar w:left="320" w:top="459" w:right="43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300" w:hanging="224"/>
        <w:spacing w:after="0" w:line="239" w:lineRule="auto"/>
        <w:tabs>
          <w:tab w:leader="none" w:pos="3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we shall advance expenses to our directors and officers and may advance expenses to our employees and agents in connection with a legal proceeding to the fullest extent permitted by the Delaware General Corporation Law, subject to limited exceptions; and</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rights provided in our amended and restated bylaws are not exclusive.</w:t>
      </w:r>
    </w:p>
    <w:p>
      <w:pPr>
        <w:spacing w:after="0" w:line="104" w:lineRule="exact"/>
        <w:rPr>
          <w:sz w:val="20"/>
          <w:szCs w:val="20"/>
          <w:color w:val="auto"/>
        </w:rPr>
      </w:pPr>
    </w:p>
    <w:p>
      <w:pPr>
        <w:ind w:left="120" w:right="80"/>
        <w:spacing w:after="0" w:line="235" w:lineRule="auto"/>
        <w:rPr>
          <w:sz w:val="20"/>
          <w:szCs w:val="20"/>
          <w:color w:val="auto"/>
        </w:rPr>
      </w:pPr>
      <w:r>
        <w:rPr>
          <w:rFonts w:ascii="Arial" w:cs="Arial" w:eastAsia="Arial" w:hAnsi="Arial"/>
          <w:sz w:val="18"/>
          <w:szCs w:val="18"/>
          <w:color w:val="auto"/>
        </w:rPr>
        <w:t>Our amended and restated certificate of incorporation, to be attached as Exhibit 3.3 hereto, and our amended and restated bylaws, to be attached as Exhibit 3.5 hereto, provide for the indemnification provisions described above and elsewhere herein. We have entered into separate indemnification agreements with our directors and officers which may be broader than the specific indemnification provisions contained in the Delaware General Corporation Law. These indemnification agreements generally require us, among other things, to indemnify our officers and directors against liabilities that may arise by reason of their status or service as directors or officers, other than liabilities arising from willful misconduct. These indemnification agreements also generally require us to advance any expenses incurred by the directors or officers as a result of any proceeding against them as to which they could be indemnified. In addition, we have purchased a policy of directors’ and officers’ liability insurance that insures our directors and officers against the cost of defense, settlement or payment of a judgment in some circumstances. These indemnification provisions and the indemnification agreements may be sufficiently broad to permit indemnification of our officers and directors for liabilities, including reimbursement of expenses incurred, arising under the Securities Act of 1933, as amended, or the Securities Act.</w:t>
      </w:r>
    </w:p>
    <w:p>
      <w:pPr>
        <w:spacing w:after="0" w:line="106" w:lineRule="exact"/>
        <w:rPr>
          <w:sz w:val="20"/>
          <w:szCs w:val="20"/>
          <w:color w:val="auto"/>
        </w:rPr>
      </w:pPr>
    </w:p>
    <w:p>
      <w:pPr>
        <w:ind w:left="120" w:right="420"/>
        <w:spacing w:after="0" w:line="299" w:lineRule="auto"/>
        <w:rPr>
          <w:sz w:val="20"/>
          <w:szCs w:val="20"/>
          <w:color w:val="auto"/>
        </w:rPr>
      </w:pPr>
      <w:r>
        <w:rPr>
          <w:rFonts w:ascii="Arial" w:cs="Arial" w:eastAsia="Arial" w:hAnsi="Arial"/>
          <w:sz w:val="16"/>
          <w:szCs w:val="16"/>
          <w:color w:val="auto"/>
        </w:rPr>
        <w:t>The form of Underwriting Agreement, to be attached as Exhibit 1.1 hereto, provides for indemnification by the underwriters of us and our officers who sign this Registration Statement and directors for specified liabilities, including matters arising under the Securities Act.</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15. Recent sales of unregistered securities.</w:t>
      </w:r>
    </w:p>
    <w:p>
      <w:pPr>
        <w:spacing w:after="0" w:line="124"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The following list sets forth information as to all securities we have sold since January 1, 2016, which were not registered under the Securities Act.</w:t>
      </w:r>
    </w:p>
    <w:p>
      <w:pPr>
        <w:spacing w:after="0" w:line="114" w:lineRule="exact"/>
        <w:rPr>
          <w:sz w:val="20"/>
          <w:szCs w:val="20"/>
          <w:color w:val="auto"/>
        </w:rPr>
      </w:pPr>
    </w:p>
    <w:p>
      <w:pPr>
        <w:ind w:left="540" w:right="420" w:hanging="424"/>
        <w:spacing w:after="0" w:line="239" w:lineRule="auto"/>
        <w:tabs>
          <w:tab w:leader="none" w:pos="5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 February, July, October and December 2016 and April and May 2017, we issued an aggregate of 50,194,267 shares of Series A preferred stock to five accredited investors at a price per share of $1.00, for a total amount raised of $50.2 million.</w:t>
      </w:r>
    </w:p>
    <w:p>
      <w:pPr>
        <w:spacing w:after="0" w:line="114" w:lineRule="exact"/>
        <w:rPr>
          <w:rFonts w:ascii="Arial" w:cs="Arial" w:eastAsia="Arial" w:hAnsi="Arial"/>
          <w:sz w:val="18"/>
          <w:szCs w:val="18"/>
          <w:color w:val="auto"/>
        </w:rPr>
      </w:pPr>
    </w:p>
    <w:p>
      <w:pPr>
        <w:ind w:left="540" w:right="40" w:hanging="424"/>
        <w:spacing w:after="0" w:line="239" w:lineRule="auto"/>
        <w:tabs>
          <w:tab w:leader="none" w:pos="5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 March and June 2018, we issued an aggregate of 37,620,613 shares of Series B preferred stock to 17 accredited investors at a price per share of $1.50, for a total amount raised of $56.4 million.</w:t>
      </w:r>
    </w:p>
    <w:p>
      <w:pPr>
        <w:spacing w:after="0" w:line="114" w:lineRule="exact"/>
        <w:rPr>
          <w:rFonts w:ascii="Arial" w:cs="Arial" w:eastAsia="Arial" w:hAnsi="Arial"/>
          <w:sz w:val="18"/>
          <w:szCs w:val="18"/>
          <w:color w:val="auto"/>
        </w:rPr>
      </w:pPr>
    </w:p>
    <w:p>
      <w:pPr>
        <w:ind w:left="540" w:right="220" w:hanging="424"/>
        <w:spacing w:after="0" w:line="239" w:lineRule="auto"/>
        <w:tabs>
          <w:tab w:leader="none" w:pos="5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 October 2018, we issued an aggregate of 33,079,554 shares of Series B preferred stock to 91 accredited investors pursuant to our acquisition of Warp Drive Bio, Inc.</w:t>
      </w:r>
    </w:p>
    <w:p>
      <w:pPr>
        <w:spacing w:after="0" w:line="114" w:lineRule="exact"/>
        <w:rPr>
          <w:rFonts w:ascii="Arial" w:cs="Arial" w:eastAsia="Arial" w:hAnsi="Arial"/>
          <w:sz w:val="18"/>
          <w:szCs w:val="18"/>
          <w:color w:val="auto"/>
        </w:rPr>
      </w:pPr>
    </w:p>
    <w:p>
      <w:pPr>
        <w:ind w:left="540" w:right="20" w:hanging="424"/>
        <w:spacing w:after="0" w:line="239" w:lineRule="auto"/>
        <w:tabs>
          <w:tab w:leader="none" w:pos="5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 October 2018, we issued an aggregate of 975,620 shares of Series B preferred stock to one accredited investors at a price per share of $2.06 pursuant to the conversion of a promissory note.</w:t>
      </w:r>
    </w:p>
    <w:p>
      <w:pPr>
        <w:spacing w:after="0" w:line="114" w:lineRule="exact"/>
        <w:rPr>
          <w:rFonts w:ascii="Arial" w:cs="Arial" w:eastAsia="Arial" w:hAnsi="Arial"/>
          <w:sz w:val="18"/>
          <w:szCs w:val="18"/>
          <w:color w:val="auto"/>
        </w:rPr>
      </w:pPr>
    </w:p>
    <w:p>
      <w:pPr>
        <w:ind w:left="540" w:right="100" w:hanging="424"/>
        <w:spacing w:after="0" w:line="239" w:lineRule="auto"/>
        <w:tabs>
          <w:tab w:leader="none" w:pos="5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 November 2018, we issued an aggregate of 2,119,418 shares of Series B preferred stock to eight accredited investors at a price per share of $2.06, for a total amount raised of $4.4 million.</w:t>
      </w:r>
    </w:p>
    <w:p>
      <w:pPr>
        <w:spacing w:after="0" w:line="114" w:lineRule="exact"/>
        <w:rPr>
          <w:rFonts w:ascii="Arial" w:cs="Arial" w:eastAsia="Arial" w:hAnsi="Arial"/>
          <w:sz w:val="18"/>
          <w:szCs w:val="18"/>
          <w:color w:val="auto"/>
        </w:rPr>
      </w:pPr>
    </w:p>
    <w:p>
      <w:pPr>
        <w:ind w:left="540" w:right="200" w:hanging="424"/>
        <w:spacing w:after="0" w:line="239" w:lineRule="auto"/>
        <w:tabs>
          <w:tab w:leader="none" w:pos="5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 June and July 2019, we issued an aggregate of 48,683,038 shares of Series C preferred stock to 34 accredited investors at a price per share of $2.06, for a total amount raised of $100.3 million.</w:t>
      </w:r>
    </w:p>
    <w:p>
      <w:pPr>
        <w:spacing w:after="0" w:line="114" w:lineRule="exact"/>
        <w:rPr>
          <w:rFonts w:ascii="Arial" w:cs="Arial" w:eastAsia="Arial" w:hAnsi="Arial"/>
          <w:sz w:val="18"/>
          <w:szCs w:val="18"/>
          <w:color w:val="auto"/>
        </w:rPr>
      </w:pPr>
    </w:p>
    <w:p>
      <w:pPr>
        <w:ind w:left="540" w:right="140" w:hanging="424"/>
        <w:spacing w:after="0" w:line="238" w:lineRule="auto"/>
        <w:tabs>
          <w:tab w:leader="none" w:pos="5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We granted stock options and stock awards to employees, directors and consultants covering an aggregate of 31,133,516 shares of common stock, at a weighted-average exercise price of $0.55 per share. Of these, options covering an aggregate of 1,976,559 shares were cancelled without being exercised.</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080"/>
          </w:cols>
          <w:pgMar w:left="320" w:top="459" w:right="49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40" w:right="520" w:hanging="424"/>
        <w:spacing w:after="0" w:line="239" w:lineRule="auto"/>
        <w:tabs>
          <w:tab w:leader="none" w:pos="5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We sold an aggregate of 7,933,905 shares of common stock to employees, directors and consultants for cash consideration in the aggregate amount of $1.0 million pursuant to stock options and restricted stock awards.</w:t>
      </w:r>
    </w:p>
    <w:p>
      <w:pPr>
        <w:spacing w:after="0" w:line="101"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We claimed exemption from registration under the Securities Act for the sale and issuance of securities in the transactions described in paragraphs (1) through (5) by virtue of Section 4(a)(2) and/or Regulation D promulgated thereunder as transactions not involving any public offering. All of the purchasers of unregistered securities for which we relied on Section 4(a)(2) and/or Regulation D represented that they were accredited investors as defined under the Securities Act. We claimed such exemption on the basis that (a) the purchasers in each case represented that they intended to acquire the securities for investment only and not with a view to the distribution thereof and that they either received adequate information about the registrant or had access, through employment or other relationships, to such information and (b) appropriate legends were affixed to the stock certificates issued in such transactions.</w:t>
      </w:r>
    </w:p>
    <w:p>
      <w:pPr>
        <w:spacing w:after="0" w:line="101" w:lineRule="exact"/>
        <w:rPr>
          <w:sz w:val="20"/>
          <w:szCs w:val="20"/>
          <w:color w:val="auto"/>
        </w:rPr>
      </w:pPr>
    </w:p>
    <w:p>
      <w:pPr>
        <w:ind w:left="120" w:right="180"/>
        <w:spacing w:after="0" w:line="237" w:lineRule="auto"/>
        <w:rPr>
          <w:sz w:val="20"/>
          <w:szCs w:val="20"/>
          <w:color w:val="auto"/>
        </w:rPr>
      </w:pPr>
      <w:r>
        <w:rPr>
          <w:rFonts w:ascii="Arial" w:cs="Arial" w:eastAsia="Arial" w:hAnsi="Arial"/>
          <w:sz w:val="18"/>
          <w:szCs w:val="18"/>
          <w:color w:val="auto"/>
        </w:rPr>
        <w:t>We claimed exemption from registration under the Securities Act for the sales and issuances of securities in the transactions described in paragraphs (6) and (7) above under Section 4(a)(2) of the Securities Act in that such sales and issuances did not involve a public offering or under Rule 701 promulgated under the Securities Act, in that they were offered and sold either pursuant to written compensatory plans or pursuant to a written contract relating to compensation, as provided by Rule 701.</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16. Exhibits and financial statement schedules.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6995160" cy="171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740" w:type="dxa"/>
            <w:vAlign w:val="bottom"/>
          </w:tcPr>
          <w:p>
            <w:pPr>
              <w:spacing w:after="0"/>
              <w:rPr>
                <w:sz w:val="17"/>
                <w:szCs w:val="17"/>
                <w:color w:val="auto"/>
              </w:rPr>
            </w:pPr>
          </w:p>
        </w:tc>
        <w:tc>
          <w:tcPr>
            <w:tcW w:w="7140" w:type="dxa"/>
            <w:vAlign w:val="bottom"/>
          </w:tcPr>
          <w:p>
            <w:pPr>
              <w:spacing w:after="0"/>
              <w:rPr>
                <w:sz w:val="17"/>
                <w:szCs w:val="17"/>
                <w:color w:val="auto"/>
              </w:rPr>
            </w:pPr>
          </w:p>
        </w:tc>
        <w:tc>
          <w:tcPr>
            <w:tcW w:w="3140" w:type="dxa"/>
            <w:vAlign w:val="bottom"/>
            <w:gridSpan w:val="3"/>
          </w:tcPr>
          <w:p>
            <w:pPr>
              <w:jc w:val="right"/>
              <w:ind w:right="892"/>
              <w:spacing w:after="0"/>
              <w:rPr>
                <w:sz w:val="20"/>
                <w:szCs w:val="20"/>
                <w:color w:val="auto"/>
              </w:rPr>
            </w:pPr>
            <w:r>
              <w:rPr>
                <w:rFonts w:ascii="Arial" w:cs="Arial" w:eastAsia="Arial" w:hAnsi="Arial"/>
                <w:sz w:val="18"/>
                <w:szCs w:val="18"/>
                <w:b w:val="1"/>
                <w:bCs w:val="1"/>
                <w:color w:val="auto"/>
                <w:w w:val="96"/>
              </w:rPr>
              <w:t>Incorporated by reference</w:t>
            </w:r>
          </w:p>
        </w:tc>
        <w:tc>
          <w:tcPr>
            <w:tcW w:w="0" w:type="dxa"/>
            <w:vAlign w:val="bottom"/>
          </w:tcPr>
          <w:p>
            <w:pPr>
              <w:spacing w:after="0"/>
              <w:rPr>
                <w:sz w:val="1"/>
                <w:szCs w:val="1"/>
                <w:color w:val="auto"/>
              </w:rPr>
            </w:pPr>
          </w:p>
        </w:tc>
      </w:tr>
      <w:tr>
        <w:trPr>
          <w:trHeight w:val="32"/>
        </w:trPr>
        <w:tc>
          <w:tcPr>
            <w:tcW w:w="740" w:type="dxa"/>
            <w:vAlign w:val="bottom"/>
            <w:vMerge w:val="restart"/>
          </w:tcPr>
          <w:p>
            <w:pPr>
              <w:spacing w:after="0" w:line="202" w:lineRule="exact"/>
              <w:rPr>
                <w:sz w:val="20"/>
                <w:szCs w:val="20"/>
                <w:color w:val="auto"/>
              </w:rPr>
            </w:pPr>
            <w:r>
              <w:rPr>
                <w:rFonts w:ascii="Arial" w:cs="Arial" w:eastAsia="Arial" w:hAnsi="Arial"/>
                <w:sz w:val="18"/>
                <w:szCs w:val="18"/>
                <w:b w:val="1"/>
                <w:bCs w:val="1"/>
                <w:color w:val="auto"/>
              </w:rPr>
              <w:t>Exhibit</w:t>
            </w:r>
          </w:p>
        </w:tc>
        <w:tc>
          <w:tcPr>
            <w:tcW w:w="71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0" w:type="dxa"/>
            <w:vAlign w:val="bottom"/>
            <w:vMerge w:val="restart"/>
          </w:tcPr>
          <w:p>
            <w:pPr>
              <w:jc w:val="right"/>
              <w:spacing w:after="0" w:line="202" w:lineRule="exact"/>
              <w:rPr>
                <w:sz w:val="20"/>
                <w:szCs w:val="20"/>
                <w:color w:val="auto"/>
              </w:rPr>
            </w:pPr>
            <w:r>
              <w:rPr>
                <w:rFonts w:ascii="Arial" w:cs="Arial" w:eastAsia="Arial" w:hAnsi="Arial"/>
                <w:sz w:val="18"/>
                <w:szCs w:val="18"/>
                <w:b w:val="1"/>
                <w:bCs w:val="1"/>
                <w:color w:val="auto"/>
              </w:rPr>
              <w:t>Filed</w:t>
            </w:r>
          </w:p>
        </w:tc>
        <w:tc>
          <w:tcPr>
            <w:tcW w:w="0" w:type="dxa"/>
            <w:vAlign w:val="bottom"/>
          </w:tcPr>
          <w:p>
            <w:pPr>
              <w:spacing w:after="0"/>
              <w:rPr>
                <w:sz w:val="1"/>
                <w:szCs w:val="1"/>
                <w:color w:val="auto"/>
              </w:rPr>
            </w:pPr>
          </w:p>
        </w:tc>
      </w:tr>
      <w:tr>
        <w:trPr>
          <w:trHeight w:val="150"/>
        </w:trPr>
        <w:tc>
          <w:tcPr>
            <w:tcW w:w="740" w:type="dxa"/>
            <w:vAlign w:val="bottom"/>
            <w:vMerge w:val="continue"/>
          </w:tcPr>
          <w:p>
            <w:pPr>
              <w:spacing w:after="0"/>
              <w:rPr>
                <w:sz w:val="13"/>
                <w:szCs w:val="13"/>
                <w:color w:val="auto"/>
              </w:rPr>
            </w:pPr>
          </w:p>
        </w:tc>
        <w:tc>
          <w:tcPr>
            <w:tcW w:w="7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71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Exhibit description</w:t>
            </w: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Form</w:t>
            </w:r>
          </w:p>
        </w:tc>
        <w:tc>
          <w:tcPr>
            <w:tcW w:w="2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Date   Number   herewith</w:t>
            </w:r>
          </w:p>
        </w:tc>
        <w:tc>
          <w:tcPr>
            <w:tcW w:w="0" w:type="dxa"/>
            <w:vAlign w:val="bottom"/>
          </w:tcPr>
          <w:p>
            <w:pPr>
              <w:spacing w:after="0"/>
              <w:rPr>
                <w:sz w:val="1"/>
                <w:szCs w:val="1"/>
                <w:color w:val="auto"/>
              </w:rPr>
            </w:pPr>
          </w:p>
        </w:tc>
      </w:tr>
      <w:tr>
        <w:trPr>
          <w:trHeight w:val="261"/>
        </w:trPr>
        <w:tc>
          <w:tcPr>
            <w:tcW w:w="740" w:type="dxa"/>
            <w:vAlign w:val="bottom"/>
          </w:tcPr>
          <w:p>
            <w:pPr>
              <w:jc w:val="right"/>
              <w:ind w:right="252"/>
              <w:spacing w:after="0"/>
              <w:rPr>
                <w:sz w:val="20"/>
                <w:szCs w:val="20"/>
                <w:color w:val="auto"/>
              </w:rPr>
            </w:pPr>
            <w:r>
              <w:rPr>
                <w:rFonts w:ascii="Arial" w:cs="Arial" w:eastAsia="Arial" w:hAnsi="Arial"/>
                <w:sz w:val="18"/>
                <w:szCs w:val="18"/>
                <w:color w:val="auto"/>
              </w:rPr>
              <w:t>1.1*</w:t>
            </w:r>
          </w:p>
        </w:tc>
        <w:tc>
          <w:tcPr>
            <w:tcW w:w="7140" w:type="dxa"/>
            <w:vAlign w:val="bottom"/>
          </w:tcPr>
          <w:p>
            <w:pPr>
              <w:ind w:left="100"/>
              <w:spacing w:after="0"/>
              <w:rPr>
                <w:sz w:val="20"/>
                <w:szCs w:val="20"/>
                <w:color w:val="auto"/>
              </w:rPr>
            </w:pPr>
            <w:r>
              <w:rPr>
                <w:rFonts w:ascii="Arial" w:cs="Arial" w:eastAsia="Arial" w:hAnsi="Arial"/>
                <w:sz w:val="18"/>
                <w:szCs w:val="18"/>
                <w:color w:val="auto"/>
              </w:rPr>
              <w:t>Form of Underwriting Agreement.</w:t>
            </w:r>
          </w:p>
        </w:tc>
        <w:tc>
          <w:tcPr>
            <w:tcW w:w="7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740" w:type="dxa"/>
            <w:vAlign w:val="bottom"/>
          </w:tcPr>
          <w:p>
            <w:pPr>
              <w:jc w:val="right"/>
              <w:ind w:right="252"/>
              <w:spacing w:after="0"/>
              <w:rPr>
                <w:sz w:val="20"/>
                <w:szCs w:val="20"/>
                <w:color w:val="auto"/>
              </w:rPr>
            </w:pPr>
            <w:r>
              <w:rPr>
                <w:rFonts w:ascii="Arial" w:cs="Arial" w:eastAsia="Arial" w:hAnsi="Arial"/>
                <w:sz w:val="18"/>
                <w:szCs w:val="18"/>
                <w:color w:val="auto"/>
              </w:rPr>
              <w:t>2.1*</w:t>
            </w:r>
          </w:p>
        </w:tc>
        <w:tc>
          <w:tcPr>
            <w:tcW w:w="7140" w:type="dxa"/>
            <w:vAlign w:val="bottom"/>
          </w:tcPr>
          <w:p>
            <w:pPr>
              <w:ind w:left="100"/>
              <w:spacing w:after="0"/>
              <w:rPr>
                <w:sz w:val="20"/>
                <w:szCs w:val="20"/>
                <w:color w:val="auto"/>
              </w:rPr>
            </w:pPr>
            <w:r>
              <w:rPr>
                <w:rFonts w:ascii="Arial" w:cs="Arial" w:eastAsia="Arial" w:hAnsi="Arial"/>
                <w:sz w:val="18"/>
                <w:szCs w:val="18"/>
                <w:color w:val="auto"/>
                <w:w w:val="99"/>
              </w:rPr>
              <w:t>Agreement and Plan of Merger, dated as of October 15, 2018, by and among Revolution</w:t>
            </w:r>
          </w:p>
        </w:tc>
        <w:tc>
          <w:tcPr>
            <w:tcW w:w="7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740" w:type="dxa"/>
            <w:vAlign w:val="bottom"/>
          </w:tcPr>
          <w:p>
            <w:pPr>
              <w:spacing w:after="0"/>
              <w:rPr>
                <w:sz w:val="18"/>
                <w:szCs w:val="18"/>
                <w:color w:val="auto"/>
              </w:rPr>
            </w:pPr>
          </w:p>
        </w:tc>
        <w:tc>
          <w:tcPr>
            <w:tcW w:w="7140" w:type="dxa"/>
            <w:vAlign w:val="bottom"/>
          </w:tcPr>
          <w:p>
            <w:pPr>
              <w:ind w:left="100"/>
              <w:spacing w:after="0"/>
              <w:rPr>
                <w:sz w:val="20"/>
                <w:szCs w:val="20"/>
                <w:color w:val="auto"/>
              </w:rPr>
            </w:pPr>
            <w:r>
              <w:rPr>
                <w:rFonts w:ascii="Arial" w:cs="Arial" w:eastAsia="Arial" w:hAnsi="Arial"/>
                <w:sz w:val="18"/>
                <w:szCs w:val="18"/>
                <w:color w:val="auto"/>
                <w:w w:val="99"/>
              </w:rPr>
              <w:t>Medicines, Inc., Trotsky Merger Sub, Inc., Warp Drive Bio, Inc., and Fortis Advisors LLC.</w:t>
            </w:r>
          </w:p>
        </w:tc>
        <w:tc>
          <w:tcPr>
            <w:tcW w:w="7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40" w:type="dxa"/>
            <w:vAlign w:val="bottom"/>
          </w:tcPr>
          <w:p>
            <w:pPr>
              <w:jc w:val="right"/>
              <w:ind w:right="252"/>
              <w:spacing w:after="0"/>
              <w:rPr>
                <w:sz w:val="20"/>
                <w:szCs w:val="20"/>
                <w:color w:val="auto"/>
              </w:rPr>
            </w:pPr>
            <w:r>
              <w:rPr>
                <w:rFonts w:ascii="Arial" w:cs="Arial" w:eastAsia="Arial" w:hAnsi="Arial"/>
                <w:sz w:val="18"/>
                <w:szCs w:val="18"/>
                <w:color w:val="auto"/>
              </w:rPr>
              <w:t>3.1*</w:t>
            </w:r>
          </w:p>
        </w:tc>
        <w:tc>
          <w:tcPr>
            <w:tcW w:w="7140" w:type="dxa"/>
            <w:vAlign w:val="bottom"/>
          </w:tcPr>
          <w:p>
            <w:pPr>
              <w:ind w:left="100"/>
              <w:spacing w:after="0"/>
              <w:rPr>
                <w:sz w:val="20"/>
                <w:szCs w:val="20"/>
                <w:color w:val="auto"/>
              </w:rPr>
            </w:pPr>
            <w:r>
              <w:rPr>
                <w:rFonts w:ascii="Arial" w:cs="Arial" w:eastAsia="Arial" w:hAnsi="Arial"/>
                <w:sz w:val="18"/>
                <w:szCs w:val="18"/>
                <w:color w:val="auto"/>
              </w:rPr>
              <w:t>Amended and Restated Certificate of Incorporation, as amended, currently in effect.</w:t>
            </w:r>
          </w:p>
        </w:tc>
        <w:tc>
          <w:tcPr>
            <w:tcW w:w="7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0" w:type="dxa"/>
            <w:vAlign w:val="bottom"/>
          </w:tcPr>
          <w:p>
            <w:pPr>
              <w:jc w:val="right"/>
              <w:ind w:right="252"/>
              <w:spacing w:after="0"/>
              <w:rPr>
                <w:sz w:val="20"/>
                <w:szCs w:val="20"/>
                <w:color w:val="auto"/>
              </w:rPr>
            </w:pPr>
            <w:r>
              <w:rPr>
                <w:rFonts w:ascii="Arial" w:cs="Arial" w:eastAsia="Arial" w:hAnsi="Arial"/>
                <w:sz w:val="18"/>
                <w:szCs w:val="18"/>
                <w:color w:val="auto"/>
              </w:rPr>
              <w:t>3.2*</w:t>
            </w:r>
          </w:p>
        </w:tc>
        <w:tc>
          <w:tcPr>
            <w:tcW w:w="7140" w:type="dxa"/>
            <w:vAlign w:val="bottom"/>
          </w:tcPr>
          <w:p>
            <w:pPr>
              <w:ind w:left="100"/>
              <w:spacing w:after="0"/>
              <w:rPr>
                <w:sz w:val="20"/>
                <w:szCs w:val="20"/>
                <w:color w:val="auto"/>
              </w:rPr>
            </w:pPr>
            <w:r>
              <w:rPr>
                <w:rFonts w:ascii="Arial" w:cs="Arial" w:eastAsia="Arial" w:hAnsi="Arial"/>
                <w:sz w:val="18"/>
                <w:szCs w:val="18"/>
                <w:color w:val="auto"/>
              </w:rPr>
              <w:t>Amended and Restated Certificate of Incorporation, effecting a stock split.</w:t>
            </w:r>
          </w:p>
        </w:tc>
        <w:tc>
          <w:tcPr>
            <w:tcW w:w="7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740" w:type="dxa"/>
            <w:vAlign w:val="bottom"/>
          </w:tcPr>
          <w:p>
            <w:pPr>
              <w:jc w:val="right"/>
              <w:ind w:right="252"/>
              <w:spacing w:after="0"/>
              <w:rPr>
                <w:sz w:val="20"/>
                <w:szCs w:val="20"/>
                <w:color w:val="auto"/>
              </w:rPr>
            </w:pPr>
            <w:r>
              <w:rPr>
                <w:rFonts w:ascii="Arial" w:cs="Arial" w:eastAsia="Arial" w:hAnsi="Arial"/>
                <w:sz w:val="18"/>
                <w:szCs w:val="18"/>
                <w:color w:val="auto"/>
              </w:rPr>
              <w:t>3.3*</w:t>
            </w:r>
          </w:p>
        </w:tc>
        <w:tc>
          <w:tcPr>
            <w:tcW w:w="7140" w:type="dxa"/>
            <w:vAlign w:val="bottom"/>
          </w:tcPr>
          <w:p>
            <w:pPr>
              <w:ind w:left="100"/>
              <w:spacing w:after="0"/>
              <w:rPr>
                <w:sz w:val="20"/>
                <w:szCs w:val="20"/>
                <w:color w:val="auto"/>
              </w:rPr>
            </w:pPr>
            <w:r>
              <w:rPr>
                <w:rFonts w:ascii="Arial" w:cs="Arial" w:eastAsia="Arial" w:hAnsi="Arial"/>
                <w:sz w:val="18"/>
                <w:szCs w:val="18"/>
                <w:color w:val="auto"/>
              </w:rPr>
              <w:t>Form of Amended and Restated Certificate of Incorporation, to be in effect immediately</w:t>
            </w:r>
          </w:p>
        </w:tc>
        <w:tc>
          <w:tcPr>
            <w:tcW w:w="7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740" w:type="dxa"/>
            <w:vAlign w:val="bottom"/>
          </w:tcPr>
          <w:p>
            <w:pPr>
              <w:spacing w:after="0"/>
              <w:rPr>
                <w:sz w:val="18"/>
                <w:szCs w:val="18"/>
                <w:color w:val="auto"/>
              </w:rPr>
            </w:pPr>
          </w:p>
        </w:tc>
        <w:tc>
          <w:tcPr>
            <w:tcW w:w="7140" w:type="dxa"/>
            <w:vAlign w:val="bottom"/>
          </w:tcPr>
          <w:p>
            <w:pPr>
              <w:ind w:left="100"/>
              <w:spacing w:after="0"/>
              <w:rPr>
                <w:sz w:val="20"/>
                <w:szCs w:val="20"/>
                <w:color w:val="auto"/>
              </w:rPr>
            </w:pPr>
            <w:r>
              <w:rPr>
                <w:rFonts w:ascii="Arial" w:cs="Arial" w:eastAsia="Arial" w:hAnsi="Arial"/>
                <w:sz w:val="18"/>
                <w:szCs w:val="18"/>
                <w:color w:val="auto"/>
              </w:rPr>
              <w:t>prior to the consummation of this offering.</w:t>
            </w:r>
          </w:p>
        </w:tc>
        <w:tc>
          <w:tcPr>
            <w:tcW w:w="7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40" w:type="dxa"/>
            <w:vAlign w:val="bottom"/>
          </w:tcPr>
          <w:p>
            <w:pPr>
              <w:jc w:val="right"/>
              <w:ind w:right="252"/>
              <w:spacing w:after="0"/>
              <w:rPr>
                <w:sz w:val="20"/>
                <w:szCs w:val="20"/>
                <w:color w:val="auto"/>
              </w:rPr>
            </w:pPr>
            <w:r>
              <w:rPr>
                <w:rFonts w:ascii="Arial" w:cs="Arial" w:eastAsia="Arial" w:hAnsi="Arial"/>
                <w:sz w:val="18"/>
                <w:szCs w:val="18"/>
                <w:color w:val="auto"/>
              </w:rPr>
              <w:t>3.4*</w:t>
            </w:r>
          </w:p>
        </w:tc>
        <w:tc>
          <w:tcPr>
            <w:tcW w:w="7140" w:type="dxa"/>
            <w:vAlign w:val="bottom"/>
          </w:tcPr>
          <w:p>
            <w:pPr>
              <w:ind w:left="100"/>
              <w:spacing w:after="0"/>
              <w:rPr>
                <w:sz w:val="20"/>
                <w:szCs w:val="20"/>
                <w:color w:val="auto"/>
              </w:rPr>
            </w:pPr>
            <w:r>
              <w:rPr>
                <w:rFonts w:ascii="Arial" w:cs="Arial" w:eastAsia="Arial" w:hAnsi="Arial"/>
                <w:sz w:val="18"/>
                <w:szCs w:val="18"/>
                <w:color w:val="auto"/>
              </w:rPr>
              <w:t>Bylaws, currently in effect.</w:t>
            </w:r>
          </w:p>
        </w:tc>
        <w:tc>
          <w:tcPr>
            <w:tcW w:w="7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740" w:type="dxa"/>
            <w:vAlign w:val="bottom"/>
          </w:tcPr>
          <w:p>
            <w:pPr>
              <w:jc w:val="right"/>
              <w:ind w:right="252"/>
              <w:spacing w:after="0"/>
              <w:rPr>
                <w:sz w:val="20"/>
                <w:szCs w:val="20"/>
                <w:color w:val="auto"/>
              </w:rPr>
            </w:pPr>
            <w:r>
              <w:rPr>
                <w:rFonts w:ascii="Arial" w:cs="Arial" w:eastAsia="Arial" w:hAnsi="Arial"/>
                <w:sz w:val="18"/>
                <w:szCs w:val="18"/>
                <w:color w:val="auto"/>
              </w:rPr>
              <w:t>3.5*</w:t>
            </w:r>
          </w:p>
        </w:tc>
        <w:tc>
          <w:tcPr>
            <w:tcW w:w="7140" w:type="dxa"/>
            <w:vAlign w:val="bottom"/>
          </w:tcPr>
          <w:p>
            <w:pPr>
              <w:ind w:left="100"/>
              <w:spacing w:after="0"/>
              <w:rPr>
                <w:sz w:val="20"/>
                <w:szCs w:val="20"/>
                <w:color w:val="auto"/>
              </w:rPr>
            </w:pPr>
            <w:r>
              <w:rPr>
                <w:rFonts w:ascii="Arial" w:cs="Arial" w:eastAsia="Arial" w:hAnsi="Arial"/>
                <w:sz w:val="18"/>
                <w:szCs w:val="18"/>
                <w:color w:val="auto"/>
              </w:rPr>
              <w:t>Form of Amended and Restated Bylaws, to be in effect immediately prior to the</w:t>
            </w:r>
          </w:p>
        </w:tc>
        <w:tc>
          <w:tcPr>
            <w:tcW w:w="7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740" w:type="dxa"/>
            <w:vAlign w:val="bottom"/>
          </w:tcPr>
          <w:p>
            <w:pPr>
              <w:spacing w:after="0"/>
              <w:rPr>
                <w:sz w:val="18"/>
                <w:szCs w:val="18"/>
                <w:color w:val="auto"/>
              </w:rPr>
            </w:pPr>
          </w:p>
        </w:tc>
        <w:tc>
          <w:tcPr>
            <w:tcW w:w="7140" w:type="dxa"/>
            <w:vAlign w:val="bottom"/>
          </w:tcPr>
          <w:p>
            <w:pPr>
              <w:ind w:left="100"/>
              <w:spacing w:after="0"/>
              <w:rPr>
                <w:sz w:val="20"/>
                <w:szCs w:val="20"/>
                <w:color w:val="auto"/>
              </w:rPr>
            </w:pPr>
            <w:r>
              <w:rPr>
                <w:rFonts w:ascii="Arial" w:cs="Arial" w:eastAsia="Arial" w:hAnsi="Arial"/>
                <w:sz w:val="18"/>
                <w:szCs w:val="18"/>
                <w:color w:val="auto"/>
              </w:rPr>
              <w:t>consummation of this offering.</w:t>
            </w:r>
          </w:p>
        </w:tc>
        <w:tc>
          <w:tcPr>
            <w:tcW w:w="7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40" w:type="dxa"/>
            <w:vAlign w:val="bottom"/>
          </w:tcPr>
          <w:p>
            <w:pPr>
              <w:jc w:val="right"/>
              <w:ind w:right="252"/>
              <w:spacing w:after="0"/>
              <w:rPr>
                <w:sz w:val="20"/>
                <w:szCs w:val="20"/>
                <w:color w:val="auto"/>
              </w:rPr>
            </w:pPr>
            <w:r>
              <w:rPr>
                <w:rFonts w:ascii="Arial" w:cs="Arial" w:eastAsia="Arial" w:hAnsi="Arial"/>
                <w:sz w:val="18"/>
                <w:szCs w:val="18"/>
                <w:color w:val="auto"/>
              </w:rPr>
              <w:t>4.1*</w:t>
            </w:r>
          </w:p>
        </w:tc>
        <w:tc>
          <w:tcPr>
            <w:tcW w:w="7140" w:type="dxa"/>
            <w:vAlign w:val="bottom"/>
          </w:tcPr>
          <w:p>
            <w:pPr>
              <w:ind w:left="100"/>
              <w:spacing w:after="0"/>
              <w:rPr>
                <w:sz w:val="20"/>
                <w:szCs w:val="20"/>
                <w:color w:val="auto"/>
              </w:rPr>
            </w:pPr>
            <w:r>
              <w:rPr>
                <w:rFonts w:ascii="Arial" w:cs="Arial" w:eastAsia="Arial" w:hAnsi="Arial"/>
                <w:sz w:val="18"/>
                <w:szCs w:val="18"/>
                <w:color w:val="auto"/>
              </w:rPr>
              <w:t>Reference is made to Exhibits 3.1 through 3.5.</w:t>
            </w:r>
          </w:p>
        </w:tc>
        <w:tc>
          <w:tcPr>
            <w:tcW w:w="7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0" w:type="dxa"/>
            <w:vAlign w:val="bottom"/>
          </w:tcPr>
          <w:p>
            <w:pPr>
              <w:jc w:val="right"/>
              <w:ind w:right="252"/>
              <w:spacing w:after="0"/>
              <w:rPr>
                <w:sz w:val="20"/>
                <w:szCs w:val="20"/>
                <w:color w:val="auto"/>
              </w:rPr>
            </w:pPr>
            <w:r>
              <w:rPr>
                <w:rFonts w:ascii="Arial" w:cs="Arial" w:eastAsia="Arial" w:hAnsi="Arial"/>
                <w:sz w:val="18"/>
                <w:szCs w:val="18"/>
                <w:color w:val="auto"/>
              </w:rPr>
              <w:t>4.2*</w:t>
            </w:r>
          </w:p>
        </w:tc>
        <w:tc>
          <w:tcPr>
            <w:tcW w:w="7140" w:type="dxa"/>
            <w:vAlign w:val="bottom"/>
          </w:tcPr>
          <w:p>
            <w:pPr>
              <w:ind w:left="100"/>
              <w:spacing w:after="0"/>
              <w:rPr>
                <w:sz w:val="20"/>
                <w:szCs w:val="20"/>
                <w:color w:val="auto"/>
              </w:rPr>
            </w:pPr>
            <w:r>
              <w:rPr>
                <w:rFonts w:ascii="Arial" w:cs="Arial" w:eastAsia="Arial" w:hAnsi="Arial"/>
                <w:sz w:val="18"/>
                <w:szCs w:val="18"/>
                <w:color w:val="auto"/>
              </w:rPr>
              <w:t>Form of Common Stock Certificate.</w:t>
            </w:r>
          </w:p>
        </w:tc>
        <w:tc>
          <w:tcPr>
            <w:tcW w:w="7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0" w:type="dxa"/>
            <w:vAlign w:val="bottom"/>
          </w:tcPr>
          <w:p>
            <w:pPr>
              <w:jc w:val="right"/>
              <w:ind w:right="252"/>
              <w:spacing w:after="0"/>
              <w:rPr>
                <w:sz w:val="20"/>
                <w:szCs w:val="20"/>
                <w:color w:val="auto"/>
              </w:rPr>
            </w:pPr>
            <w:r>
              <w:rPr>
                <w:rFonts w:ascii="Arial" w:cs="Arial" w:eastAsia="Arial" w:hAnsi="Arial"/>
                <w:sz w:val="18"/>
                <w:szCs w:val="18"/>
                <w:color w:val="auto"/>
              </w:rPr>
              <w:t>5.1*</w:t>
            </w:r>
          </w:p>
        </w:tc>
        <w:tc>
          <w:tcPr>
            <w:tcW w:w="7140" w:type="dxa"/>
            <w:vAlign w:val="bottom"/>
          </w:tcPr>
          <w:p>
            <w:pPr>
              <w:ind w:left="100"/>
              <w:spacing w:after="0"/>
              <w:rPr>
                <w:sz w:val="20"/>
                <w:szCs w:val="20"/>
                <w:color w:val="auto"/>
              </w:rPr>
            </w:pPr>
            <w:r>
              <w:rPr>
                <w:rFonts w:ascii="Arial" w:cs="Arial" w:eastAsia="Arial" w:hAnsi="Arial"/>
                <w:sz w:val="18"/>
                <w:szCs w:val="18"/>
                <w:color w:val="auto"/>
              </w:rPr>
              <w:t>Opinion of Latham &amp; Watkins LLP.</w:t>
            </w:r>
          </w:p>
        </w:tc>
        <w:tc>
          <w:tcPr>
            <w:tcW w:w="7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740" w:type="dxa"/>
            <w:vAlign w:val="bottom"/>
          </w:tcPr>
          <w:p>
            <w:pPr>
              <w:spacing w:after="0"/>
              <w:rPr>
                <w:sz w:val="20"/>
                <w:szCs w:val="20"/>
                <w:color w:val="auto"/>
              </w:rPr>
            </w:pPr>
            <w:r>
              <w:rPr>
                <w:rFonts w:ascii="Arial" w:cs="Arial" w:eastAsia="Arial" w:hAnsi="Arial"/>
                <w:sz w:val="18"/>
                <w:szCs w:val="18"/>
                <w:color w:val="auto"/>
              </w:rPr>
              <w:t>10.1†</w:t>
            </w:r>
          </w:p>
        </w:tc>
        <w:tc>
          <w:tcPr>
            <w:tcW w:w="7140" w:type="dxa"/>
            <w:vAlign w:val="bottom"/>
          </w:tcPr>
          <w:p>
            <w:pPr>
              <w:ind w:left="100"/>
              <w:spacing w:after="0"/>
              <w:rPr>
                <w:sz w:val="20"/>
                <w:szCs w:val="20"/>
                <w:color w:val="auto"/>
              </w:rPr>
            </w:pPr>
            <w:r>
              <w:rPr>
                <w:rFonts w:ascii="Arial" w:cs="Arial" w:eastAsia="Arial" w:hAnsi="Arial"/>
                <w:sz w:val="18"/>
                <w:szCs w:val="18"/>
                <w:color w:val="auto"/>
              </w:rPr>
              <w:t>Collaborative Research, Development and Commercialization Agreement, dated as of</w:t>
            </w:r>
          </w:p>
        </w:tc>
        <w:tc>
          <w:tcPr>
            <w:tcW w:w="7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740" w:type="dxa"/>
            <w:vAlign w:val="bottom"/>
            <w:tcBorders>
              <w:bottom w:val="single" w:sz="8" w:color="auto"/>
            </w:tcBorders>
          </w:tcPr>
          <w:p>
            <w:pPr>
              <w:spacing w:after="0"/>
              <w:rPr>
                <w:sz w:val="18"/>
                <w:szCs w:val="18"/>
                <w:color w:val="auto"/>
              </w:rPr>
            </w:pPr>
          </w:p>
        </w:tc>
        <w:tc>
          <w:tcPr>
            <w:tcW w:w="71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June 8, 2018, by and between Revolution Medicines, Inc. and Aventis, Inc., as amended.</w:t>
            </w:r>
          </w:p>
        </w:tc>
        <w:tc>
          <w:tcPr>
            <w:tcW w:w="7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40"/>
          </w:cols>
          <w:pgMar w:left="320" w:top="459" w:right="43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71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52"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20" w:type="dxa"/>
            <w:vAlign w:val="bottom"/>
            <w:vMerge w:val="restart"/>
          </w:tcPr>
          <w:p>
            <w:pPr>
              <w:spacing w:after="0"/>
              <w:rPr>
                <w:sz w:val="20"/>
                <w:szCs w:val="20"/>
                <w:color w:val="auto"/>
              </w:rPr>
            </w:pPr>
            <w:r>
              <w:rPr>
                <w:rFonts w:ascii="Arial" w:cs="Arial" w:eastAsia="Arial" w:hAnsi="Arial"/>
                <w:sz w:val="18"/>
                <w:szCs w:val="18"/>
                <w:b w:val="1"/>
                <w:bCs w:val="1"/>
                <w:color w:val="auto"/>
              </w:rPr>
              <w:t>Exhibit</w:t>
            </w:r>
          </w:p>
        </w:tc>
        <w:tc>
          <w:tcPr>
            <w:tcW w:w="5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6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Incorporated by reference</w:t>
            </w: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Filed</w:t>
            </w:r>
          </w:p>
        </w:tc>
        <w:tc>
          <w:tcPr>
            <w:tcW w:w="0" w:type="dxa"/>
            <w:vAlign w:val="bottom"/>
          </w:tcPr>
          <w:p>
            <w:pPr>
              <w:spacing w:after="0"/>
              <w:rPr>
                <w:sz w:val="1"/>
                <w:szCs w:val="1"/>
                <w:color w:val="auto"/>
              </w:rPr>
            </w:pPr>
          </w:p>
        </w:tc>
      </w:tr>
      <w:tr>
        <w:trPr>
          <w:trHeight w:val="151"/>
        </w:trPr>
        <w:tc>
          <w:tcPr>
            <w:tcW w:w="820" w:type="dxa"/>
            <w:vAlign w:val="bottom"/>
            <w:vMerge w:val="continue"/>
          </w:tcPr>
          <w:p>
            <w:pPr>
              <w:spacing w:after="0"/>
              <w:rPr>
                <w:sz w:val="13"/>
                <w:szCs w:val="13"/>
                <w:color w:val="auto"/>
              </w:rPr>
            </w:pPr>
          </w:p>
        </w:tc>
        <w:tc>
          <w:tcPr>
            <w:tcW w:w="52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52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Exhibit description</w:t>
            </w:r>
          </w:p>
        </w:tc>
        <w:tc>
          <w:tcPr>
            <w:tcW w:w="15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Form</w:t>
            </w:r>
          </w:p>
        </w:tc>
        <w:tc>
          <w:tcPr>
            <w:tcW w:w="7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Date</w:t>
            </w:r>
          </w:p>
        </w:tc>
        <w:tc>
          <w:tcPr>
            <w:tcW w:w="10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Number</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herewith</w:t>
            </w:r>
          </w:p>
        </w:tc>
        <w:tc>
          <w:tcPr>
            <w:tcW w:w="0" w:type="dxa"/>
            <w:vAlign w:val="bottom"/>
          </w:tcPr>
          <w:p>
            <w:pPr>
              <w:spacing w:after="0"/>
              <w:rPr>
                <w:sz w:val="1"/>
                <w:szCs w:val="1"/>
                <w:color w:val="auto"/>
              </w:rPr>
            </w:pPr>
          </w:p>
        </w:tc>
      </w:tr>
      <w:tr>
        <w:trPr>
          <w:trHeight w:val="253"/>
        </w:trPr>
        <w:tc>
          <w:tcPr>
            <w:tcW w:w="820" w:type="dxa"/>
            <w:vAlign w:val="bottom"/>
          </w:tcPr>
          <w:p>
            <w:pPr>
              <w:spacing w:after="0"/>
              <w:rPr>
                <w:sz w:val="20"/>
                <w:szCs w:val="20"/>
                <w:color w:val="auto"/>
              </w:rPr>
            </w:pPr>
            <w:r>
              <w:rPr>
                <w:rFonts w:ascii="Arial" w:cs="Arial" w:eastAsia="Arial" w:hAnsi="Arial"/>
                <w:sz w:val="18"/>
                <w:szCs w:val="18"/>
                <w:color w:val="auto"/>
              </w:rPr>
              <w:t>10.2*</w:t>
            </w:r>
          </w:p>
        </w:tc>
        <w:tc>
          <w:tcPr>
            <w:tcW w:w="7540" w:type="dxa"/>
            <w:vAlign w:val="bottom"/>
            <w:gridSpan w:val="3"/>
          </w:tcPr>
          <w:p>
            <w:pPr>
              <w:ind w:left="100"/>
              <w:spacing w:after="0"/>
              <w:rPr>
                <w:sz w:val="20"/>
                <w:szCs w:val="20"/>
                <w:color w:val="auto"/>
              </w:rPr>
            </w:pPr>
            <w:r>
              <w:rPr>
                <w:rFonts w:ascii="Arial" w:cs="Arial" w:eastAsia="Arial" w:hAnsi="Arial"/>
                <w:sz w:val="18"/>
                <w:szCs w:val="18"/>
                <w:color w:val="auto"/>
              </w:rPr>
              <w:t>Amended and Restated Investors’ Rights Agreement, dated as of June 5, 2019, by</w:t>
            </w: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820" w:type="dxa"/>
            <w:vAlign w:val="bottom"/>
          </w:tcPr>
          <w:p>
            <w:pPr>
              <w:spacing w:after="0"/>
              <w:rPr>
                <w:sz w:val="18"/>
                <w:szCs w:val="18"/>
                <w:color w:val="auto"/>
              </w:rPr>
            </w:pPr>
          </w:p>
        </w:tc>
        <w:tc>
          <w:tcPr>
            <w:tcW w:w="7540" w:type="dxa"/>
            <w:vAlign w:val="bottom"/>
            <w:gridSpan w:val="3"/>
          </w:tcPr>
          <w:p>
            <w:pPr>
              <w:ind w:left="100"/>
              <w:spacing w:after="0"/>
              <w:rPr>
                <w:sz w:val="20"/>
                <w:szCs w:val="20"/>
                <w:color w:val="auto"/>
              </w:rPr>
            </w:pPr>
            <w:r>
              <w:rPr>
                <w:rFonts w:ascii="Arial" w:cs="Arial" w:eastAsia="Arial" w:hAnsi="Arial"/>
                <w:sz w:val="18"/>
                <w:szCs w:val="18"/>
                <w:color w:val="auto"/>
              </w:rPr>
              <w:t>and among Revolution Medicines, Inc. and the investors listed therein.</w:t>
            </w: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10.3A*</w:t>
            </w:r>
          </w:p>
        </w:tc>
        <w:tc>
          <w:tcPr>
            <w:tcW w:w="7540" w:type="dxa"/>
            <w:vAlign w:val="bottom"/>
            <w:gridSpan w:val="3"/>
          </w:tcPr>
          <w:p>
            <w:pPr>
              <w:ind w:left="100"/>
              <w:spacing w:after="0"/>
              <w:rPr>
                <w:sz w:val="20"/>
                <w:szCs w:val="20"/>
                <w:color w:val="auto"/>
              </w:rPr>
            </w:pPr>
            <w:r>
              <w:rPr>
                <w:rFonts w:ascii="Arial" w:cs="Arial" w:eastAsia="Arial" w:hAnsi="Arial"/>
                <w:sz w:val="18"/>
                <w:szCs w:val="18"/>
                <w:color w:val="auto"/>
              </w:rPr>
              <w:t>Lease between HCP LS Redwood City, LLC and Revolution Medicines, Inc., dated</w:t>
            </w: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82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as of January 15, 2015.</w:t>
            </w:r>
          </w:p>
        </w:tc>
        <w:tc>
          <w:tcPr>
            <w:tcW w:w="1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10.3B*</w:t>
            </w:r>
          </w:p>
        </w:tc>
        <w:tc>
          <w:tcPr>
            <w:tcW w:w="7540" w:type="dxa"/>
            <w:vAlign w:val="bottom"/>
            <w:gridSpan w:val="3"/>
          </w:tcPr>
          <w:p>
            <w:pPr>
              <w:ind w:left="100"/>
              <w:spacing w:after="0"/>
              <w:rPr>
                <w:sz w:val="20"/>
                <w:szCs w:val="20"/>
                <w:color w:val="auto"/>
              </w:rPr>
            </w:pPr>
            <w:r>
              <w:rPr>
                <w:rFonts w:ascii="Arial" w:cs="Arial" w:eastAsia="Arial" w:hAnsi="Arial"/>
                <w:sz w:val="18"/>
                <w:szCs w:val="18"/>
                <w:color w:val="auto"/>
              </w:rPr>
              <w:t>First Amendment to Lease by and between HCP LS Redwood City, LLC and</w:t>
            </w: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82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Revolution Medicines, Inc., dated as of September 16, 2016.</w:t>
            </w:r>
          </w:p>
        </w:tc>
        <w:tc>
          <w:tcPr>
            <w:tcW w:w="1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10.3C*</w:t>
            </w:r>
          </w:p>
        </w:tc>
        <w:tc>
          <w:tcPr>
            <w:tcW w:w="5240" w:type="dxa"/>
            <w:vAlign w:val="bottom"/>
          </w:tcPr>
          <w:p>
            <w:pPr>
              <w:ind w:left="100"/>
              <w:spacing w:after="0"/>
              <w:rPr>
                <w:sz w:val="20"/>
                <w:szCs w:val="20"/>
                <w:color w:val="auto"/>
              </w:rPr>
            </w:pPr>
            <w:r>
              <w:rPr>
                <w:rFonts w:ascii="Arial" w:cs="Arial" w:eastAsia="Arial" w:hAnsi="Arial"/>
                <w:sz w:val="18"/>
                <w:szCs w:val="18"/>
                <w:color w:val="auto"/>
              </w:rPr>
              <w:t>Sublease between OncoMed Pharmaceuticals,</w:t>
            </w:r>
          </w:p>
        </w:tc>
        <w:tc>
          <w:tcPr>
            <w:tcW w:w="15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82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w w:val="97"/>
              </w:rPr>
              <w:t>Inc. and Revolution Medicines, Inc., dated as of January 16, 2019.</w:t>
            </w:r>
          </w:p>
        </w:tc>
        <w:tc>
          <w:tcPr>
            <w:tcW w:w="1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10.4A*</w:t>
            </w:r>
          </w:p>
        </w:tc>
        <w:tc>
          <w:tcPr>
            <w:tcW w:w="7540" w:type="dxa"/>
            <w:vAlign w:val="bottom"/>
            <w:gridSpan w:val="3"/>
          </w:tcPr>
          <w:p>
            <w:pPr>
              <w:ind w:left="100"/>
              <w:spacing w:after="0"/>
              <w:rPr>
                <w:sz w:val="20"/>
                <w:szCs w:val="20"/>
                <w:color w:val="auto"/>
              </w:rPr>
            </w:pPr>
            <w:r>
              <w:rPr>
                <w:rFonts w:ascii="Arial" w:cs="Arial" w:eastAsia="Arial" w:hAnsi="Arial"/>
                <w:sz w:val="18"/>
                <w:szCs w:val="18"/>
                <w:color w:val="auto"/>
              </w:rPr>
              <w:t>Lease Agreement between Are-Tech Square, LLC and Warp Drive Bio, LLC, dated</w:t>
            </w: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82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as of August 22, 2012.</w:t>
            </w:r>
          </w:p>
        </w:tc>
        <w:tc>
          <w:tcPr>
            <w:tcW w:w="1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10.4B*</w:t>
            </w:r>
          </w:p>
        </w:tc>
        <w:tc>
          <w:tcPr>
            <w:tcW w:w="7540" w:type="dxa"/>
            <w:vAlign w:val="bottom"/>
            <w:gridSpan w:val="3"/>
          </w:tcPr>
          <w:p>
            <w:pPr>
              <w:ind w:left="100"/>
              <w:spacing w:after="0"/>
              <w:rPr>
                <w:sz w:val="20"/>
                <w:szCs w:val="20"/>
                <w:color w:val="auto"/>
              </w:rPr>
            </w:pPr>
            <w:r>
              <w:rPr>
                <w:rFonts w:ascii="Arial" w:cs="Arial" w:eastAsia="Arial" w:hAnsi="Arial"/>
                <w:sz w:val="18"/>
                <w:szCs w:val="18"/>
                <w:color w:val="auto"/>
              </w:rPr>
              <w:t>First Amendment to Lease by and between Are-Tech Square, LLC and Warp Drive</w:t>
            </w: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82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Bio, Inc., dated as of May 18, 2017.</w:t>
            </w:r>
          </w:p>
        </w:tc>
        <w:tc>
          <w:tcPr>
            <w:tcW w:w="1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10.5A*</w:t>
            </w:r>
          </w:p>
        </w:tc>
        <w:tc>
          <w:tcPr>
            <w:tcW w:w="7540" w:type="dxa"/>
            <w:vAlign w:val="bottom"/>
            <w:gridSpan w:val="3"/>
          </w:tcPr>
          <w:p>
            <w:pPr>
              <w:ind w:left="100"/>
              <w:spacing w:after="0"/>
              <w:rPr>
                <w:sz w:val="20"/>
                <w:szCs w:val="20"/>
                <w:color w:val="auto"/>
              </w:rPr>
            </w:pPr>
            <w:r>
              <w:rPr>
                <w:rFonts w:ascii="Arial" w:cs="Arial" w:eastAsia="Arial" w:hAnsi="Arial"/>
                <w:sz w:val="18"/>
                <w:szCs w:val="18"/>
                <w:color w:val="auto"/>
              </w:rPr>
              <w:t>Assignment and Assumption of Lease by and between Warp Drive Bio, LLC and</w:t>
            </w: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82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Revolution Medicines, Inc., dated as of January 30, 2019.</w:t>
            </w:r>
          </w:p>
        </w:tc>
        <w:tc>
          <w:tcPr>
            <w:tcW w:w="1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10.5B*</w:t>
            </w:r>
          </w:p>
        </w:tc>
        <w:tc>
          <w:tcPr>
            <w:tcW w:w="7540" w:type="dxa"/>
            <w:vAlign w:val="bottom"/>
            <w:gridSpan w:val="3"/>
          </w:tcPr>
          <w:p>
            <w:pPr>
              <w:ind w:left="100"/>
              <w:spacing w:after="0"/>
              <w:rPr>
                <w:sz w:val="20"/>
                <w:szCs w:val="20"/>
                <w:color w:val="auto"/>
              </w:rPr>
            </w:pPr>
            <w:r>
              <w:rPr>
                <w:rFonts w:ascii="Arial" w:cs="Arial" w:eastAsia="Arial" w:hAnsi="Arial"/>
                <w:sz w:val="18"/>
                <w:szCs w:val="18"/>
                <w:color w:val="auto"/>
              </w:rPr>
              <w:t>Sublease Agreement between Revolution Medicines, Inc., as successor to Warp</w:t>
            </w: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820" w:type="dxa"/>
            <w:vAlign w:val="bottom"/>
          </w:tcPr>
          <w:p>
            <w:pPr>
              <w:spacing w:after="0"/>
              <w:rPr>
                <w:sz w:val="18"/>
                <w:szCs w:val="18"/>
                <w:color w:val="auto"/>
              </w:rPr>
            </w:pPr>
          </w:p>
        </w:tc>
        <w:tc>
          <w:tcPr>
            <w:tcW w:w="7540" w:type="dxa"/>
            <w:vAlign w:val="bottom"/>
            <w:gridSpan w:val="3"/>
          </w:tcPr>
          <w:p>
            <w:pPr>
              <w:ind w:left="100"/>
              <w:spacing w:after="0"/>
              <w:rPr>
                <w:sz w:val="20"/>
                <w:szCs w:val="20"/>
                <w:color w:val="auto"/>
              </w:rPr>
            </w:pPr>
            <w:r>
              <w:rPr>
                <w:rFonts w:ascii="Arial" w:cs="Arial" w:eastAsia="Arial" w:hAnsi="Arial"/>
                <w:sz w:val="18"/>
                <w:szCs w:val="18"/>
                <w:color w:val="auto"/>
              </w:rPr>
              <w:t>Drive Bio, LLC, and Casma Therapeutics, Inc., dated as of February 4, 2019.</w:t>
            </w: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10.6(a)#*</w:t>
            </w:r>
          </w:p>
        </w:tc>
        <w:tc>
          <w:tcPr>
            <w:tcW w:w="5240" w:type="dxa"/>
            <w:vAlign w:val="bottom"/>
          </w:tcPr>
          <w:p>
            <w:pPr>
              <w:ind w:left="100"/>
              <w:spacing w:after="0"/>
              <w:rPr>
                <w:sz w:val="20"/>
                <w:szCs w:val="20"/>
                <w:color w:val="auto"/>
              </w:rPr>
            </w:pPr>
            <w:r>
              <w:rPr>
                <w:rFonts w:ascii="Arial" w:cs="Arial" w:eastAsia="Arial" w:hAnsi="Arial"/>
                <w:sz w:val="18"/>
                <w:szCs w:val="18"/>
                <w:color w:val="auto"/>
              </w:rPr>
              <w:t>2014 Equity Incentive Plan, as amended.</w:t>
            </w:r>
          </w:p>
        </w:tc>
        <w:tc>
          <w:tcPr>
            <w:tcW w:w="15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10.6(b)#*</w:t>
            </w:r>
          </w:p>
        </w:tc>
        <w:tc>
          <w:tcPr>
            <w:tcW w:w="7540" w:type="dxa"/>
            <w:vAlign w:val="bottom"/>
            <w:gridSpan w:val="3"/>
          </w:tcPr>
          <w:p>
            <w:pPr>
              <w:ind w:left="100"/>
              <w:spacing w:after="0"/>
              <w:rPr>
                <w:sz w:val="20"/>
                <w:szCs w:val="20"/>
                <w:color w:val="auto"/>
              </w:rPr>
            </w:pPr>
            <w:r>
              <w:rPr>
                <w:rFonts w:ascii="Arial" w:cs="Arial" w:eastAsia="Arial" w:hAnsi="Arial"/>
                <w:sz w:val="18"/>
                <w:szCs w:val="18"/>
                <w:color w:val="auto"/>
              </w:rPr>
              <w:t>Form of Amended and Restated Early Exercise Stock Option Grant Notice and</w:t>
            </w: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75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Amended and Restated Stock Option Agreement under 2014 Equity Incentive Plan,</w:t>
            </w: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2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as amended.</w:t>
            </w:r>
          </w:p>
        </w:tc>
        <w:tc>
          <w:tcPr>
            <w:tcW w:w="1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10.7(a)#*</w:t>
            </w:r>
          </w:p>
        </w:tc>
        <w:tc>
          <w:tcPr>
            <w:tcW w:w="5240" w:type="dxa"/>
            <w:vAlign w:val="bottom"/>
          </w:tcPr>
          <w:p>
            <w:pPr>
              <w:ind w:left="100"/>
              <w:spacing w:after="0"/>
              <w:rPr>
                <w:sz w:val="20"/>
                <w:szCs w:val="20"/>
                <w:color w:val="auto"/>
              </w:rPr>
            </w:pPr>
            <w:r>
              <w:rPr>
                <w:rFonts w:ascii="Arial" w:cs="Arial" w:eastAsia="Arial" w:hAnsi="Arial"/>
                <w:sz w:val="18"/>
                <w:szCs w:val="18"/>
                <w:color w:val="auto"/>
              </w:rPr>
              <w:t>20   Incentive Award Plan.</w:t>
            </w:r>
          </w:p>
        </w:tc>
        <w:tc>
          <w:tcPr>
            <w:tcW w:w="15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10.7(b)#*</w:t>
            </w:r>
          </w:p>
        </w:tc>
        <w:tc>
          <w:tcPr>
            <w:tcW w:w="7540" w:type="dxa"/>
            <w:vAlign w:val="bottom"/>
            <w:gridSpan w:val="3"/>
          </w:tcPr>
          <w:p>
            <w:pPr>
              <w:ind w:left="100"/>
              <w:spacing w:after="0"/>
              <w:rPr>
                <w:sz w:val="20"/>
                <w:szCs w:val="20"/>
                <w:color w:val="auto"/>
              </w:rPr>
            </w:pPr>
            <w:r>
              <w:rPr>
                <w:rFonts w:ascii="Arial" w:cs="Arial" w:eastAsia="Arial" w:hAnsi="Arial"/>
                <w:sz w:val="18"/>
                <w:szCs w:val="18"/>
                <w:color w:val="auto"/>
              </w:rPr>
              <w:t>Form of Stock Option Grant Notice and Stock Option Agreement under the 20</w:t>
            </w: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82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Incentive Award Plan.</w:t>
            </w:r>
          </w:p>
        </w:tc>
        <w:tc>
          <w:tcPr>
            <w:tcW w:w="1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10.7(c)#*</w:t>
            </w:r>
          </w:p>
        </w:tc>
        <w:tc>
          <w:tcPr>
            <w:tcW w:w="7540" w:type="dxa"/>
            <w:vAlign w:val="bottom"/>
            <w:gridSpan w:val="3"/>
          </w:tcPr>
          <w:p>
            <w:pPr>
              <w:ind w:left="100"/>
              <w:spacing w:after="0"/>
              <w:rPr>
                <w:sz w:val="20"/>
                <w:szCs w:val="20"/>
                <w:color w:val="auto"/>
              </w:rPr>
            </w:pPr>
            <w:r>
              <w:rPr>
                <w:rFonts w:ascii="Arial" w:cs="Arial" w:eastAsia="Arial" w:hAnsi="Arial"/>
                <w:sz w:val="18"/>
                <w:szCs w:val="18"/>
                <w:color w:val="auto"/>
              </w:rPr>
              <w:t>Form of Restricted Stock Award Agreement under the 20   Incentive Award Plan.</w:t>
            </w: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10.7(d)#*</w:t>
            </w:r>
          </w:p>
        </w:tc>
        <w:tc>
          <w:tcPr>
            <w:tcW w:w="5240" w:type="dxa"/>
            <w:vAlign w:val="bottom"/>
          </w:tcPr>
          <w:p>
            <w:pPr>
              <w:ind w:left="100"/>
              <w:spacing w:after="0"/>
              <w:rPr>
                <w:sz w:val="20"/>
                <w:szCs w:val="20"/>
                <w:color w:val="auto"/>
              </w:rPr>
            </w:pPr>
            <w:r>
              <w:rPr>
                <w:rFonts w:ascii="Arial" w:cs="Arial" w:eastAsia="Arial" w:hAnsi="Arial"/>
                <w:sz w:val="18"/>
                <w:szCs w:val="18"/>
                <w:color w:val="auto"/>
              </w:rPr>
              <w:t>Form of Restricted Stock Unit Award Grant Notice under the 20</w:t>
            </w:r>
          </w:p>
        </w:tc>
        <w:tc>
          <w:tcPr>
            <w:tcW w:w="2300" w:type="dxa"/>
            <w:vAlign w:val="bottom"/>
            <w:gridSpan w:val="2"/>
          </w:tcPr>
          <w:p>
            <w:pPr>
              <w:spacing w:after="0"/>
              <w:rPr>
                <w:sz w:val="20"/>
                <w:szCs w:val="20"/>
                <w:color w:val="auto"/>
              </w:rPr>
            </w:pPr>
            <w:r>
              <w:rPr>
                <w:rFonts w:ascii="Arial" w:cs="Arial" w:eastAsia="Arial" w:hAnsi="Arial"/>
                <w:sz w:val="18"/>
                <w:szCs w:val="18"/>
                <w:color w:val="auto"/>
              </w:rPr>
              <w:t>Incentive Award</w:t>
            </w: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82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Plan.</w:t>
            </w:r>
          </w:p>
        </w:tc>
        <w:tc>
          <w:tcPr>
            <w:tcW w:w="1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10.8#*</w:t>
            </w:r>
          </w:p>
        </w:tc>
        <w:tc>
          <w:tcPr>
            <w:tcW w:w="5240" w:type="dxa"/>
            <w:vAlign w:val="bottom"/>
          </w:tcPr>
          <w:p>
            <w:pPr>
              <w:ind w:left="100"/>
              <w:spacing w:after="0"/>
              <w:rPr>
                <w:sz w:val="20"/>
                <w:szCs w:val="20"/>
                <w:color w:val="auto"/>
              </w:rPr>
            </w:pPr>
            <w:r>
              <w:rPr>
                <w:rFonts w:ascii="Arial" w:cs="Arial" w:eastAsia="Arial" w:hAnsi="Arial"/>
                <w:sz w:val="18"/>
                <w:szCs w:val="18"/>
                <w:color w:val="auto"/>
              </w:rPr>
              <w:t>20   Employee Stock Purchase Plan.</w:t>
            </w:r>
          </w:p>
        </w:tc>
        <w:tc>
          <w:tcPr>
            <w:tcW w:w="15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10.9#*</w:t>
            </w:r>
          </w:p>
        </w:tc>
        <w:tc>
          <w:tcPr>
            <w:tcW w:w="7540" w:type="dxa"/>
            <w:vAlign w:val="bottom"/>
            <w:gridSpan w:val="3"/>
          </w:tcPr>
          <w:p>
            <w:pPr>
              <w:ind w:left="100"/>
              <w:spacing w:after="0"/>
              <w:rPr>
                <w:sz w:val="20"/>
                <w:szCs w:val="20"/>
                <w:color w:val="auto"/>
              </w:rPr>
            </w:pPr>
            <w:r>
              <w:rPr>
                <w:rFonts w:ascii="Arial" w:cs="Arial" w:eastAsia="Arial" w:hAnsi="Arial"/>
                <w:sz w:val="18"/>
                <w:szCs w:val="18"/>
                <w:color w:val="auto"/>
              </w:rPr>
              <w:t>Offer Letter by and between Revolution Medicines, Inc. and Mark A. Goldsmith,</w:t>
            </w: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82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M.D., Ph.D.</w:t>
            </w:r>
          </w:p>
        </w:tc>
        <w:tc>
          <w:tcPr>
            <w:tcW w:w="1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10.10#*</w:t>
            </w:r>
          </w:p>
        </w:tc>
        <w:tc>
          <w:tcPr>
            <w:tcW w:w="7540" w:type="dxa"/>
            <w:vAlign w:val="bottom"/>
            <w:gridSpan w:val="3"/>
          </w:tcPr>
          <w:p>
            <w:pPr>
              <w:ind w:left="100"/>
              <w:spacing w:after="0"/>
              <w:rPr>
                <w:sz w:val="20"/>
                <w:szCs w:val="20"/>
                <w:color w:val="auto"/>
              </w:rPr>
            </w:pPr>
            <w:r>
              <w:rPr>
                <w:rFonts w:ascii="Arial" w:cs="Arial" w:eastAsia="Arial" w:hAnsi="Arial"/>
                <w:sz w:val="18"/>
                <w:szCs w:val="18"/>
                <w:color w:val="auto"/>
              </w:rPr>
              <w:t>Offer Letter by and between Revolution Medicines, Inc. and Steve Kelsey, M.D.,</w:t>
            </w: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82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FRCP, FRCPath.</w:t>
            </w:r>
          </w:p>
        </w:tc>
        <w:tc>
          <w:tcPr>
            <w:tcW w:w="1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10.11#*</w:t>
            </w:r>
          </w:p>
        </w:tc>
        <w:tc>
          <w:tcPr>
            <w:tcW w:w="754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Offer Letter by and between Revolution Medicines, Inc. and Margaret Horn, J.D.</w:t>
            </w:r>
          </w:p>
        </w:tc>
        <w:tc>
          <w:tcPr>
            <w:tcW w:w="7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40"/>
          </w:cols>
          <w:pgMar w:left="320" w:top="459" w:right="43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71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7880" w:type="dxa"/>
            <w:vAlign w:val="bottom"/>
          </w:tcPr>
          <w:p>
            <w:pPr>
              <w:spacing w:after="0"/>
              <w:rPr>
                <w:sz w:val="17"/>
                <w:szCs w:val="17"/>
                <w:color w:val="auto"/>
              </w:rPr>
            </w:pPr>
          </w:p>
        </w:tc>
        <w:tc>
          <w:tcPr>
            <w:tcW w:w="3140" w:type="dxa"/>
            <w:vAlign w:val="bottom"/>
            <w:gridSpan w:val="2"/>
          </w:tcPr>
          <w:p>
            <w:pPr>
              <w:jc w:val="right"/>
              <w:ind w:right="892"/>
              <w:spacing w:after="0"/>
              <w:rPr>
                <w:sz w:val="20"/>
                <w:szCs w:val="20"/>
                <w:color w:val="auto"/>
              </w:rPr>
            </w:pPr>
            <w:r>
              <w:rPr>
                <w:rFonts w:ascii="Arial" w:cs="Arial" w:eastAsia="Arial" w:hAnsi="Arial"/>
                <w:sz w:val="18"/>
                <w:szCs w:val="18"/>
                <w:b w:val="1"/>
                <w:bCs w:val="1"/>
                <w:color w:val="auto"/>
                <w:w w:val="96"/>
              </w:rPr>
              <w:t>Incorporated by reference</w:t>
            </w:r>
          </w:p>
        </w:tc>
        <w:tc>
          <w:tcPr>
            <w:tcW w:w="0" w:type="dxa"/>
            <w:vAlign w:val="bottom"/>
          </w:tcPr>
          <w:p>
            <w:pPr>
              <w:spacing w:after="0"/>
              <w:rPr>
                <w:sz w:val="1"/>
                <w:szCs w:val="1"/>
                <w:color w:val="auto"/>
              </w:rPr>
            </w:pPr>
          </w:p>
        </w:tc>
      </w:tr>
      <w:tr>
        <w:trPr>
          <w:trHeight w:val="32"/>
        </w:trPr>
        <w:tc>
          <w:tcPr>
            <w:tcW w:w="7880" w:type="dxa"/>
            <w:vAlign w:val="bottom"/>
            <w:vMerge w:val="restart"/>
          </w:tcPr>
          <w:p>
            <w:pPr>
              <w:spacing w:after="0" w:line="202" w:lineRule="exact"/>
              <w:rPr>
                <w:sz w:val="20"/>
                <w:szCs w:val="20"/>
                <w:color w:val="auto"/>
              </w:rPr>
            </w:pPr>
            <w:r>
              <w:rPr>
                <w:rFonts w:ascii="Arial" w:cs="Arial" w:eastAsia="Arial" w:hAnsi="Arial"/>
                <w:sz w:val="18"/>
                <w:szCs w:val="18"/>
                <w:b w:val="1"/>
                <w:bCs w:val="1"/>
                <w:color w:val="auto"/>
              </w:rPr>
              <w:t>Exhibit</w:t>
            </w:r>
          </w:p>
        </w:tc>
        <w:tc>
          <w:tcPr>
            <w:tcW w:w="2140" w:type="dxa"/>
            <w:vAlign w:val="bottom"/>
            <w:tcBorders>
              <w:bottom w:val="single" w:sz="8" w:color="auto"/>
            </w:tcBorders>
          </w:tcPr>
          <w:p>
            <w:pPr>
              <w:spacing w:after="0"/>
              <w:rPr>
                <w:sz w:val="2"/>
                <w:szCs w:val="2"/>
                <w:color w:val="auto"/>
              </w:rPr>
            </w:pPr>
          </w:p>
        </w:tc>
        <w:tc>
          <w:tcPr>
            <w:tcW w:w="1000" w:type="dxa"/>
            <w:vAlign w:val="bottom"/>
            <w:vMerge w:val="restart"/>
          </w:tcPr>
          <w:p>
            <w:pPr>
              <w:jc w:val="right"/>
              <w:spacing w:after="0" w:line="202" w:lineRule="exact"/>
              <w:rPr>
                <w:sz w:val="20"/>
                <w:szCs w:val="20"/>
                <w:color w:val="auto"/>
              </w:rPr>
            </w:pPr>
            <w:r>
              <w:rPr>
                <w:rFonts w:ascii="Arial" w:cs="Arial" w:eastAsia="Arial" w:hAnsi="Arial"/>
                <w:sz w:val="18"/>
                <w:szCs w:val="18"/>
                <w:b w:val="1"/>
                <w:bCs w:val="1"/>
                <w:color w:val="auto"/>
              </w:rPr>
              <w:t>Filed</w:t>
            </w:r>
          </w:p>
        </w:tc>
        <w:tc>
          <w:tcPr>
            <w:tcW w:w="0" w:type="dxa"/>
            <w:vAlign w:val="bottom"/>
          </w:tcPr>
          <w:p>
            <w:pPr>
              <w:spacing w:after="0"/>
              <w:rPr>
                <w:sz w:val="1"/>
                <w:szCs w:val="1"/>
                <w:color w:val="auto"/>
              </w:rPr>
            </w:pPr>
          </w:p>
        </w:tc>
      </w:tr>
      <w:tr>
        <w:trPr>
          <w:trHeight w:val="150"/>
        </w:trPr>
        <w:tc>
          <w:tcPr>
            <w:tcW w:w="7880" w:type="dxa"/>
            <w:vAlign w:val="bottom"/>
            <w:vMerge w:val="continue"/>
          </w:tcPr>
          <w:p>
            <w:pPr>
              <w:spacing w:after="0"/>
              <w:rPr>
                <w:sz w:val="13"/>
                <w:szCs w:val="13"/>
                <w:color w:val="auto"/>
              </w:rPr>
            </w:pPr>
          </w:p>
        </w:tc>
        <w:tc>
          <w:tcPr>
            <w:tcW w:w="21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7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   Exhibit description</w:t>
            </w:r>
          </w:p>
        </w:tc>
        <w:tc>
          <w:tcPr>
            <w:tcW w:w="3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Form   Date   Number   herewith</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120"/>
        <w:spacing w:after="0"/>
        <w:tabs>
          <w:tab w:leader="none" w:pos="10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Non-Employee Director Compensation Program.</w:t>
      </w:r>
    </w:p>
    <w:p>
      <w:pPr>
        <w:spacing w:after="0" w:line="63" w:lineRule="exact"/>
        <w:rPr>
          <w:sz w:val="20"/>
          <w:szCs w:val="20"/>
          <w:color w:val="auto"/>
        </w:rPr>
      </w:pPr>
    </w:p>
    <w:p>
      <w:pPr>
        <w:ind w:left="120"/>
        <w:spacing w:after="0"/>
        <w:tabs>
          <w:tab w:leader="none" w:pos="106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Form of Indemnification Agreement for directors and officers.</w:t>
      </w:r>
    </w:p>
    <w:p>
      <w:pPr>
        <w:spacing w:after="0" w:line="63" w:lineRule="exact"/>
        <w:rPr>
          <w:sz w:val="20"/>
          <w:szCs w:val="20"/>
          <w:color w:val="auto"/>
        </w:rPr>
      </w:pPr>
    </w:p>
    <w:p>
      <w:pPr>
        <w:ind w:left="120"/>
        <w:spacing w:after="0"/>
        <w:tabs>
          <w:tab w:leader="none" w:pos="10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Subsidiaries of Registrant.</w:t>
      </w:r>
    </w:p>
    <w:p>
      <w:pPr>
        <w:spacing w:after="0" w:line="63" w:lineRule="exact"/>
        <w:rPr>
          <w:sz w:val="20"/>
          <w:szCs w:val="20"/>
          <w:color w:val="auto"/>
        </w:rPr>
      </w:pPr>
    </w:p>
    <w:p>
      <w:pPr>
        <w:ind w:left="120"/>
        <w:spacing w:after="0"/>
        <w:tabs>
          <w:tab w:leader="none" w:pos="10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w:t>
      </w:r>
    </w:p>
    <w:p>
      <w:pPr>
        <w:spacing w:after="0" w:line="63" w:lineRule="exact"/>
        <w:rPr>
          <w:sz w:val="20"/>
          <w:szCs w:val="20"/>
          <w:color w:val="auto"/>
        </w:rPr>
      </w:pPr>
    </w:p>
    <w:p>
      <w:pPr>
        <w:ind w:left="120"/>
        <w:spacing w:after="0"/>
        <w:tabs>
          <w:tab w:leader="none" w:pos="106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Independent Auditors.</w:t>
      </w:r>
    </w:p>
    <w:p>
      <w:pPr>
        <w:spacing w:after="0" w:line="63" w:lineRule="exact"/>
        <w:rPr>
          <w:sz w:val="20"/>
          <w:szCs w:val="20"/>
          <w:color w:val="auto"/>
        </w:rPr>
      </w:pPr>
    </w:p>
    <w:p>
      <w:pPr>
        <w:ind w:left="120"/>
        <w:spacing w:after="0"/>
        <w:tabs>
          <w:tab w:leader="none" w:pos="106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Consent of Independent Auditors.</w:t>
      </w:r>
    </w:p>
    <w:p>
      <w:pPr>
        <w:spacing w:after="0" w:line="63" w:lineRule="exact"/>
        <w:rPr>
          <w:sz w:val="20"/>
          <w:szCs w:val="20"/>
          <w:color w:val="auto"/>
        </w:rPr>
      </w:pPr>
    </w:p>
    <w:p>
      <w:pPr>
        <w:ind w:left="120"/>
        <w:spacing w:after="0"/>
        <w:tabs>
          <w:tab w:leader="none" w:pos="106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6"/>
          <w:szCs w:val="16"/>
          <w:color w:val="auto"/>
        </w:rPr>
        <w:t>Consent of Latham &amp; Watkins LLP (included in Exhibit 5.1).</w:t>
      </w:r>
    </w:p>
    <w:p>
      <w:pPr>
        <w:spacing w:after="0" w:line="63" w:lineRule="exact"/>
        <w:rPr>
          <w:sz w:val="20"/>
          <w:szCs w:val="20"/>
          <w:color w:val="auto"/>
        </w:rPr>
      </w:pPr>
    </w:p>
    <w:p>
      <w:pPr>
        <w:ind w:left="1080" w:right="3940" w:hanging="957"/>
        <w:spacing w:after="0" w:line="239" w:lineRule="auto"/>
        <w:tabs>
          <w:tab w:leader="none" w:pos="106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8"/>
          <w:szCs w:val="18"/>
          <w:color w:val="auto"/>
        </w:rPr>
        <w:t>Power of Attorney. Reference is made to the signature page to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699516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63" w:lineRule="exact"/>
        <w:rPr>
          <w:sz w:val="20"/>
          <w:szCs w:val="20"/>
          <w:color w:val="auto"/>
        </w:rPr>
      </w:pPr>
    </w:p>
    <w:p>
      <w:pPr>
        <w:ind w:left="440" w:hanging="324"/>
        <w:spacing w:after="0"/>
        <w:tabs>
          <w:tab w:leader="none" w:pos="44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To be filed by amendment.</w:t>
      </w:r>
    </w:p>
    <w:p>
      <w:pPr>
        <w:spacing w:after="0" w:line="67" w:lineRule="exact"/>
        <w:rPr>
          <w:sz w:val="20"/>
          <w:szCs w:val="20"/>
          <w:color w:val="auto"/>
        </w:rPr>
      </w:pPr>
    </w:p>
    <w:p>
      <w:pPr>
        <w:ind w:left="440" w:hanging="324"/>
        <w:spacing w:after="0"/>
        <w:tabs>
          <w:tab w:leader="none" w:pos="44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Portions of the exhibit, marked by brackets, have been omitted because the omitted information (i) is not material and (ii) would likely cause competitive harm if publicly disclosed.</w:t>
      </w:r>
    </w:p>
    <w:p>
      <w:pPr>
        <w:spacing w:after="0" w:line="66" w:lineRule="exact"/>
        <w:rPr>
          <w:rFonts w:ascii="Arial" w:cs="Arial" w:eastAsia="Arial" w:hAnsi="Arial"/>
          <w:sz w:val="13"/>
          <w:szCs w:val="13"/>
          <w:color w:val="auto"/>
        </w:rPr>
      </w:pPr>
    </w:p>
    <w:p>
      <w:pPr>
        <w:ind w:left="120"/>
        <w:spacing w:after="0"/>
        <w:rPr>
          <w:rFonts w:ascii="Arial" w:cs="Arial" w:eastAsia="Arial" w:hAnsi="Arial"/>
          <w:sz w:val="13"/>
          <w:szCs w:val="13"/>
          <w:color w:val="auto"/>
        </w:rPr>
      </w:pPr>
      <w:r>
        <w:rPr>
          <w:rFonts w:ascii="Arial" w:cs="Arial" w:eastAsia="Arial" w:hAnsi="Arial"/>
          <w:sz w:val="13"/>
          <w:szCs w:val="13"/>
          <w:color w:val="auto"/>
        </w:rPr>
        <w:t>#    Indicates management contract or compensatory plan.</w:t>
      </w:r>
    </w:p>
    <w:p>
      <w:pPr>
        <w:spacing w:after="0" w:line="89" w:lineRule="exact"/>
        <w:rPr>
          <w:sz w:val="20"/>
          <w:szCs w:val="20"/>
          <w:color w:val="auto"/>
        </w:rPr>
      </w:pPr>
    </w:p>
    <w:p>
      <w:pPr>
        <w:ind w:left="120" w:right="160" w:hanging="4"/>
        <w:spacing w:after="0" w:line="264" w:lineRule="auto"/>
        <w:tabs>
          <w:tab w:leader="none" w:pos="393"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 Schedules. </w:t>
      </w:r>
      <w:r>
        <w:rPr>
          <w:rFonts w:ascii="Arial" w:cs="Arial" w:eastAsia="Arial" w:hAnsi="Arial"/>
          <w:sz w:val="18"/>
          <w:szCs w:val="18"/>
          <w:color w:val="auto"/>
        </w:rPr>
        <w:t>Schedules not listed above have been omitted because the information required to be set forth therein</w:t>
      </w:r>
      <w:r>
        <w:rPr>
          <w:rFonts w:ascii="Arial" w:cs="Arial" w:eastAsia="Arial" w:hAnsi="Arial"/>
          <w:sz w:val="18"/>
          <w:szCs w:val="18"/>
          <w:b w:val="1"/>
          <w:bCs w:val="1"/>
          <w:color w:val="auto"/>
        </w:rPr>
        <w:t xml:space="preserve"> </w:t>
      </w:r>
      <w:r>
        <w:rPr>
          <w:rFonts w:ascii="Arial" w:cs="Arial" w:eastAsia="Arial" w:hAnsi="Arial"/>
          <w:sz w:val="18"/>
          <w:szCs w:val="18"/>
          <w:color w:val="auto"/>
        </w:rPr>
        <w:t>is not applicable or is shown in the financial statements or notes thereto.</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17. Undertakings.</w:t>
      </w:r>
    </w:p>
    <w:p>
      <w:pPr>
        <w:spacing w:after="0" w:line="124"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undersigned Registrant hereby undertakes that:</w:t>
      </w:r>
    </w:p>
    <w:p>
      <w:pPr>
        <w:spacing w:after="0" w:line="117" w:lineRule="exact"/>
        <w:rPr>
          <w:sz w:val="20"/>
          <w:szCs w:val="20"/>
          <w:color w:val="auto"/>
        </w:rPr>
      </w:pPr>
    </w:p>
    <w:p>
      <w:pPr>
        <w:jc w:val="both"/>
        <w:ind w:left="540" w:right="20" w:hanging="424"/>
        <w:spacing w:after="0" w:line="264" w:lineRule="auto"/>
        <w:tabs>
          <w:tab w:leader="none" w:pos="54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w:t>
      </w:r>
    </w:p>
    <w:p>
      <w:pPr>
        <w:ind w:left="540" w:right="440"/>
        <w:spacing w:after="0" w:line="239" w:lineRule="auto"/>
        <w:rPr>
          <w:rFonts w:ascii="Arial" w:cs="Arial" w:eastAsia="Arial" w:hAnsi="Arial"/>
          <w:sz w:val="16"/>
          <w:szCs w:val="16"/>
          <w:color w:val="auto"/>
        </w:rPr>
      </w:pPr>
      <w:r>
        <w:rPr>
          <w:rFonts w:ascii="Arial" w:cs="Arial" w:eastAsia="Arial" w:hAnsi="Arial"/>
          <w:sz w:val="18"/>
          <w:szCs w:val="18"/>
          <w:color w:val="auto"/>
        </w:rPr>
        <w:t>(1) or (4) or 497(h) under the Securities Act shall be deemed to be part of this Registration Statement as of the time it was declared effective.</w:t>
      </w:r>
    </w:p>
    <w:p>
      <w:pPr>
        <w:spacing w:after="0" w:line="114" w:lineRule="exact"/>
        <w:rPr>
          <w:rFonts w:ascii="Arial" w:cs="Arial" w:eastAsia="Arial" w:hAnsi="Arial"/>
          <w:sz w:val="16"/>
          <w:szCs w:val="16"/>
          <w:color w:val="auto"/>
        </w:rPr>
      </w:pPr>
    </w:p>
    <w:p>
      <w:pPr>
        <w:ind w:left="540" w:right="140" w:hanging="424"/>
        <w:spacing w:after="0" w:line="238" w:lineRule="auto"/>
        <w:tabs>
          <w:tab w:leader="none" w:pos="5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00" w:lineRule="exact"/>
        <w:rPr>
          <w:sz w:val="20"/>
          <w:szCs w:val="20"/>
          <w:color w:val="auto"/>
        </w:rPr>
      </w:pPr>
    </w:p>
    <w:p>
      <w:pPr>
        <w:ind w:left="120" w:right="100"/>
        <w:spacing w:after="0" w:line="299"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40"/>
          </w:cols>
          <w:pgMar w:left="320" w:top="459" w:right="43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Signatures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on</w:t>
      </w:r>
    </w:p>
    <w:tbl>
      <w:tblPr>
        <w:tblLayout w:type="fixed"/>
        <w:tblInd w:w="120" w:type="dxa"/>
        <w:tblCellMar>
          <w:top w:w="0" w:type="dxa"/>
          <w:left w:w="0" w:type="dxa"/>
          <w:bottom w:w="0" w:type="dxa"/>
          <w:right w:w="0" w:type="dxa"/>
        </w:tblCellMar>
      </w:tblPr>
      <w:tr>
        <w:trPr>
          <w:trHeight w:val="211"/>
        </w:trPr>
        <w:tc>
          <w:tcPr>
            <w:tcW w:w="9300" w:type="dxa"/>
            <w:vAlign w:val="bottom"/>
          </w:tcPr>
          <w:p>
            <w:pPr>
              <w:spacing w:after="0"/>
              <w:rPr>
                <w:sz w:val="20"/>
                <w:szCs w:val="20"/>
                <w:color w:val="auto"/>
              </w:rPr>
            </w:pPr>
            <w:r>
              <w:rPr>
                <w:rFonts w:ascii="Arial" w:cs="Arial" w:eastAsia="Arial" w:hAnsi="Arial"/>
                <w:sz w:val="18"/>
                <w:szCs w:val="18"/>
                <w:color w:val="auto"/>
              </w:rPr>
              <w:t>Form S-1 to be signed on its behalf by the undersigned, thereunto duly authorized, in Redwood City, California on</w:t>
            </w:r>
          </w:p>
        </w:tc>
        <w:tc>
          <w:tcPr>
            <w:tcW w:w="1060" w:type="dxa"/>
            <w:vAlign w:val="bottom"/>
          </w:tcPr>
          <w:p>
            <w:pPr>
              <w:jc w:val="right"/>
              <w:spacing w:after="0"/>
              <w:rPr>
                <w:sz w:val="20"/>
                <w:szCs w:val="20"/>
                <w:color w:val="auto"/>
              </w:rPr>
            </w:pPr>
            <w:r>
              <w:rPr>
                <w:rFonts w:ascii="Arial" w:cs="Arial" w:eastAsia="Arial" w:hAnsi="Arial"/>
                <w:sz w:val="18"/>
                <w:szCs w:val="18"/>
                <w:color w:val="auto"/>
              </w:rPr>
              <w:t>, 2019.</w:t>
            </w:r>
          </w:p>
        </w:tc>
      </w:tr>
    </w:tbl>
    <w:p>
      <w:pPr>
        <w:spacing w:after="0" w:line="91"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Revolution Medicines, Inc.</w:t>
      </w:r>
    </w:p>
    <w:p>
      <w:pPr>
        <w:spacing w:after="0" w:line="23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-4445</wp:posOffset>
            </wp:positionV>
            <wp:extent cx="256286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ind w:left="7100"/>
        <w:spacing w:after="0"/>
        <w:rPr>
          <w:sz w:val="20"/>
          <w:szCs w:val="20"/>
          <w:color w:val="auto"/>
        </w:rPr>
      </w:pPr>
      <w:r>
        <w:rPr>
          <w:rFonts w:ascii="Arial" w:cs="Arial" w:eastAsia="Arial" w:hAnsi="Arial"/>
          <w:sz w:val="18"/>
          <w:szCs w:val="18"/>
          <w:color w:val="auto"/>
        </w:rPr>
        <w:t>Mark A. Goldsmith, M.D., Ph.D.</w:t>
      </w:r>
    </w:p>
    <w:p>
      <w:pPr>
        <w:ind w:left="71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Power of attorney</w:t>
      </w:r>
    </w:p>
    <w:p>
      <w:pPr>
        <w:spacing w:after="0" w:line="157" w:lineRule="exact"/>
        <w:rPr>
          <w:sz w:val="20"/>
          <w:szCs w:val="20"/>
          <w:color w:val="auto"/>
        </w:rPr>
      </w:pPr>
    </w:p>
    <w:p>
      <w:pPr>
        <w:ind w:left="120" w:right="80"/>
        <w:spacing w:after="0" w:line="235" w:lineRule="auto"/>
        <w:rPr>
          <w:sz w:val="20"/>
          <w:szCs w:val="20"/>
          <w:color w:val="auto"/>
        </w:rPr>
      </w:pPr>
      <w:r>
        <w:rPr>
          <w:rFonts w:ascii="Arial" w:cs="Arial" w:eastAsia="Arial" w:hAnsi="Arial"/>
          <w:sz w:val="18"/>
          <w:szCs w:val="18"/>
          <w:color w:val="auto"/>
        </w:rPr>
        <w:t>KNOW ALL PERSONS BY THESE PRESENTS, that each person whose signature appears below hereby constitutes and appoints Mark A. Goldsmith, M.D., Ph.D., Margaret A. Horn and Jack Anders, and each of them acting individually, as his or her true and lawful attorneys-in-fact and agents, each with full power of substitution, for him in any and all capacities, to sign any and all amendments to this Registration Statement, including post-effective amendments or any abbreviated registration statement and any amendments thereto filed pursuant to Rule 462(b) increasing the number of securities for which registration is sought, and to file the same, with all exhibits thereto and other documents in connection therewith, with the SEC, granting unto said attorneys-in-fact and agents, with full power of each to act alone, full power and authority to do and perform each and every act and thing requisite and necessary to be done in connection therewith, as fully for all intents and purposes as he might or could do in person, hereby ratifying and confirming all that said attorneys-in-fact and agents, or his or their substitute or substitutes, may lawfully do or cause to be done by virtue hereof.</w:t>
      </w:r>
    </w:p>
    <w:p>
      <w:pPr>
        <w:spacing w:after="0" w:line="106"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171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Signature</w:t>
            </w:r>
          </w:p>
        </w:tc>
        <w:tc>
          <w:tcPr>
            <w:tcW w:w="5340" w:type="dxa"/>
            <w:vAlign w:val="bottom"/>
            <w:tcBorders>
              <w:bottom w:val="single" w:sz="8" w:color="auto"/>
            </w:tcBorders>
          </w:tcPr>
          <w:p>
            <w:pPr>
              <w:ind w:left="2400"/>
              <w:spacing w:after="0"/>
              <w:rPr>
                <w:sz w:val="20"/>
                <w:szCs w:val="20"/>
                <w:color w:val="auto"/>
              </w:rPr>
            </w:pPr>
            <w:r>
              <w:rPr>
                <w:rFonts w:ascii="Arial" w:cs="Arial" w:eastAsia="Arial" w:hAnsi="Arial"/>
                <w:sz w:val="18"/>
                <w:szCs w:val="18"/>
                <w:b w:val="1"/>
                <w:bCs w:val="1"/>
                <w:color w:val="auto"/>
              </w:rPr>
              <w:t>Title</w:t>
            </w:r>
          </w:p>
        </w:tc>
        <w:tc>
          <w:tcPr>
            <w:tcW w:w="2140" w:type="dxa"/>
            <w:vAlign w:val="bottom"/>
            <w:tcBorders>
              <w:bottom w:val="single" w:sz="8" w:color="auto"/>
            </w:tcBorders>
          </w:tcPr>
          <w:p>
            <w:pPr>
              <w:jc w:val="right"/>
              <w:ind w:right="832"/>
              <w:spacing w:after="0"/>
              <w:rPr>
                <w:sz w:val="20"/>
                <w:szCs w:val="20"/>
                <w:color w:val="auto"/>
              </w:rPr>
            </w:pPr>
            <w:r>
              <w:rPr>
                <w:rFonts w:ascii="Arial" w:cs="Arial" w:eastAsia="Arial" w:hAnsi="Arial"/>
                <w:sz w:val="18"/>
                <w:szCs w:val="18"/>
                <w:b w:val="1"/>
                <w:bCs w:val="1"/>
                <w:color w:val="auto"/>
              </w:rPr>
              <w:t>Date</w:t>
            </w:r>
          </w:p>
        </w:tc>
      </w:tr>
      <w:tr>
        <w:trPr>
          <w:trHeight w:val="398"/>
        </w:trPr>
        <w:tc>
          <w:tcPr>
            <w:tcW w:w="3540" w:type="dxa"/>
            <w:vAlign w:val="bottom"/>
            <w:tcBorders>
              <w:bottom w:val="single" w:sz="8" w:color="auto"/>
            </w:tcBorders>
          </w:tcPr>
          <w:p>
            <w:pPr>
              <w:spacing w:after="0"/>
              <w:rPr>
                <w:sz w:val="24"/>
                <w:szCs w:val="24"/>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President, Chief Executive Officer and Director</w:t>
            </w:r>
          </w:p>
        </w:tc>
        <w:tc>
          <w:tcPr>
            <w:tcW w:w="2140" w:type="dxa"/>
            <w:vAlign w:val="bottom"/>
          </w:tcPr>
          <w:p>
            <w:pPr>
              <w:jc w:val="right"/>
              <w:ind w:right="652"/>
              <w:spacing w:after="0"/>
              <w:rPr>
                <w:sz w:val="20"/>
                <w:szCs w:val="20"/>
                <w:color w:val="auto"/>
              </w:rPr>
            </w:pPr>
            <w:r>
              <w:rPr>
                <w:rFonts w:ascii="Arial" w:cs="Arial" w:eastAsia="Arial" w:hAnsi="Arial"/>
                <w:sz w:val="18"/>
                <w:szCs w:val="18"/>
                <w:color w:val="auto"/>
              </w:rPr>
              <w:t>, 2019</w:t>
            </w:r>
          </w:p>
        </w:tc>
      </w:tr>
      <w:tr>
        <w:trPr>
          <w:trHeight w:val="209"/>
        </w:trPr>
        <w:tc>
          <w:tcPr>
            <w:tcW w:w="3540" w:type="dxa"/>
            <w:vAlign w:val="bottom"/>
          </w:tcPr>
          <w:p>
            <w:pPr>
              <w:jc w:val="center"/>
              <w:spacing w:after="0"/>
              <w:rPr>
                <w:sz w:val="20"/>
                <w:szCs w:val="20"/>
                <w:color w:val="auto"/>
              </w:rPr>
            </w:pPr>
            <w:r>
              <w:rPr>
                <w:rFonts w:ascii="Arial" w:cs="Arial" w:eastAsia="Arial" w:hAnsi="Arial"/>
                <w:sz w:val="18"/>
                <w:szCs w:val="18"/>
                <w:color w:val="auto"/>
                <w:w w:val="97"/>
              </w:rPr>
              <w:t>Mark A. Goldsmith, M.D., Ph.D.</w:t>
            </w:r>
          </w:p>
        </w:tc>
        <w:tc>
          <w:tcPr>
            <w:tcW w:w="5340" w:type="dxa"/>
            <w:vAlign w:val="bottom"/>
          </w:tcPr>
          <w:p>
            <w:pPr>
              <w:ind w:left="100"/>
              <w:spacing w:after="0"/>
              <w:rPr>
                <w:sz w:val="20"/>
                <w:szCs w:val="20"/>
                <w:color w:val="auto"/>
              </w:rPr>
            </w:pPr>
            <w:r>
              <w:rPr>
                <w:rFonts w:ascii="Arial" w:cs="Arial" w:eastAsia="Arial" w:hAnsi="Arial"/>
                <w:sz w:val="18"/>
                <w:szCs w:val="18"/>
                <w:i w:val="1"/>
                <w:iCs w:val="1"/>
                <w:color w:val="auto"/>
              </w:rPr>
              <w:t>(Principal Executive Officer)</w:t>
            </w:r>
          </w:p>
        </w:tc>
        <w:tc>
          <w:tcPr>
            <w:tcW w:w="2140" w:type="dxa"/>
            <w:vAlign w:val="bottom"/>
          </w:tcPr>
          <w:p>
            <w:pPr>
              <w:spacing w:after="0"/>
              <w:rPr>
                <w:sz w:val="18"/>
                <w:szCs w:val="18"/>
                <w:color w:val="auto"/>
              </w:rPr>
            </w:pPr>
          </w:p>
        </w:tc>
      </w:tr>
      <w:tr>
        <w:trPr>
          <w:trHeight w:val="419"/>
        </w:trPr>
        <w:tc>
          <w:tcPr>
            <w:tcW w:w="3540" w:type="dxa"/>
            <w:vAlign w:val="bottom"/>
            <w:tcBorders>
              <w:bottom w:val="single" w:sz="8" w:color="auto"/>
            </w:tcBorders>
          </w:tcPr>
          <w:p>
            <w:pPr>
              <w:spacing w:after="0"/>
              <w:rPr>
                <w:sz w:val="24"/>
                <w:szCs w:val="24"/>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Vice President, Finance and Principal Accounting Officer</w:t>
            </w:r>
          </w:p>
        </w:tc>
        <w:tc>
          <w:tcPr>
            <w:tcW w:w="2140" w:type="dxa"/>
            <w:vAlign w:val="bottom"/>
          </w:tcPr>
          <w:p>
            <w:pPr>
              <w:jc w:val="right"/>
              <w:ind w:right="652"/>
              <w:spacing w:after="0"/>
              <w:rPr>
                <w:sz w:val="20"/>
                <w:szCs w:val="20"/>
                <w:color w:val="auto"/>
              </w:rPr>
            </w:pPr>
            <w:r>
              <w:rPr>
                <w:rFonts w:ascii="Arial" w:cs="Arial" w:eastAsia="Arial" w:hAnsi="Arial"/>
                <w:sz w:val="18"/>
                <w:szCs w:val="18"/>
                <w:color w:val="auto"/>
              </w:rPr>
              <w:t>, 2019</w:t>
            </w:r>
          </w:p>
        </w:tc>
      </w:tr>
      <w:tr>
        <w:trPr>
          <w:trHeight w:val="209"/>
        </w:trPr>
        <w:tc>
          <w:tcPr>
            <w:tcW w:w="3540" w:type="dxa"/>
            <w:vAlign w:val="bottom"/>
          </w:tcPr>
          <w:p>
            <w:pPr>
              <w:jc w:val="center"/>
              <w:spacing w:after="0"/>
              <w:rPr>
                <w:sz w:val="20"/>
                <w:szCs w:val="20"/>
                <w:color w:val="auto"/>
              </w:rPr>
            </w:pPr>
            <w:r>
              <w:rPr>
                <w:rFonts w:ascii="Arial" w:cs="Arial" w:eastAsia="Arial" w:hAnsi="Arial"/>
                <w:sz w:val="18"/>
                <w:szCs w:val="18"/>
                <w:color w:val="auto"/>
                <w:w w:val="96"/>
              </w:rPr>
              <w:t>Jack Anders</w:t>
            </w:r>
          </w:p>
        </w:tc>
        <w:tc>
          <w:tcPr>
            <w:tcW w:w="5340" w:type="dxa"/>
            <w:vAlign w:val="bottom"/>
          </w:tcPr>
          <w:p>
            <w:pPr>
              <w:ind w:left="100"/>
              <w:spacing w:after="0"/>
              <w:rPr>
                <w:sz w:val="20"/>
                <w:szCs w:val="20"/>
                <w:color w:val="auto"/>
              </w:rPr>
            </w:pPr>
            <w:r>
              <w:rPr>
                <w:rFonts w:ascii="Arial" w:cs="Arial" w:eastAsia="Arial" w:hAnsi="Arial"/>
                <w:sz w:val="18"/>
                <w:szCs w:val="18"/>
                <w:i w:val="1"/>
                <w:iCs w:val="1"/>
                <w:color w:val="auto"/>
              </w:rPr>
              <w:t>(Principal Financial and Accounting Officer)</w:t>
            </w:r>
          </w:p>
        </w:tc>
        <w:tc>
          <w:tcPr>
            <w:tcW w:w="2140" w:type="dxa"/>
            <w:vAlign w:val="bottom"/>
          </w:tcPr>
          <w:p>
            <w:pPr>
              <w:spacing w:after="0"/>
              <w:rPr>
                <w:sz w:val="18"/>
                <w:szCs w:val="18"/>
                <w:color w:val="auto"/>
              </w:rPr>
            </w:pPr>
          </w:p>
        </w:tc>
      </w:tr>
      <w:tr>
        <w:trPr>
          <w:trHeight w:val="419"/>
        </w:trPr>
        <w:tc>
          <w:tcPr>
            <w:tcW w:w="3540" w:type="dxa"/>
            <w:vAlign w:val="bottom"/>
            <w:tcBorders>
              <w:bottom w:val="single" w:sz="8" w:color="auto"/>
            </w:tcBorders>
          </w:tcPr>
          <w:p>
            <w:pPr>
              <w:spacing w:after="0"/>
              <w:rPr>
                <w:sz w:val="24"/>
                <w:szCs w:val="24"/>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140" w:type="dxa"/>
            <w:vAlign w:val="bottom"/>
          </w:tcPr>
          <w:p>
            <w:pPr>
              <w:jc w:val="right"/>
              <w:ind w:right="652"/>
              <w:spacing w:after="0"/>
              <w:rPr>
                <w:sz w:val="20"/>
                <w:szCs w:val="20"/>
                <w:color w:val="auto"/>
              </w:rPr>
            </w:pPr>
            <w:r>
              <w:rPr>
                <w:rFonts w:ascii="Arial" w:cs="Arial" w:eastAsia="Arial" w:hAnsi="Arial"/>
                <w:sz w:val="18"/>
                <w:szCs w:val="18"/>
                <w:color w:val="auto"/>
              </w:rPr>
              <w:t>, 2019</w:t>
            </w:r>
          </w:p>
        </w:tc>
      </w:tr>
      <w:tr>
        <w:trPr>
          <w:trHeight w:val="208"/>
        </w:trPr>
        <w:tc>
          <w:tcPr>
            <w:tcW w:w="3540" w:type="dxa"/>
            <w:vAlign w:val="bottom"/>
          </w:tcPr>
          <w:p>
            <w:pPr>
              <w:jc w:val="center"/>
              <w:spacing w:after="0"/>
              <w:rPr>
                <w:sz w:val="20"/>
                <w:szCs w:val="20"/>
                <w:color w:val="auto"/>
              </w:rPr>
            </w:pPr>
            <w:r>
              <w:rPr>
                <w:rFonts w:ascii="Arial" w:cs="Arial" w:eastAsia="Arial" w:hAnsi="Arial"/>
                <w:sz w:val="18"/>
                <w:szCs w:val="18"/>
                <w:color w:val="auto"/>
                <w:w w:val="97"/>
              </w:rPr>
              <w:t>Elizabeth McKee Anderson</w:t>
            </w:r>
          </w:p>
        </w:tc>
        <w:tc>
          <w:tcPr>
            <w:tcW w:w="534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420"/>
        </w:trPr>
        <w:tc>
          <w:tcPr>
            <w:tcW w:w="3540" w:type="dxa"/>
            <w:vAlign w:val="bottom"/>
            <w:tcBorders>
              <w:bottom w:val="single" w:sz="8" w:color="auto"/>
            </w:tcBorders>
          </w:tcPr>
          <w:p>
            <w:pPr>
              <w:spacing w:after="0"/>
              <w:rPr>
                <w:sz w:val="24"/>
                <w:szCs w:val="24"/>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140" w:type="dxa"/>
            <w:vAlign w:val="bottom"/>
          </w:tcPr>
          <w:p>
            <w:pPr>
              <w:jc w:val="right"/>
              <w:ind w:right="652"/>
              <w:spacing w:after="0"/>
              <w:rPr>
                <w:sz w:val="20"/>
                <w:szCs w:val="20"/>
                <w:color w:val="auto"/>
              </w:rPr>
            </w:pPr>
            <w:r>
              <w:rPr>
                <w:rFonts w:ascii="Arial" w:cs="Arial" w:eastAsia="Arial" w:hAnsi="Arial"/>
                <w:sz w:val="18"/>
                <w:szCs w:val="18"/>
                <w:color w:val="auto"/>
              </w:rPr>
              <w:t>, 2019</w:t>
            </w:r>
          </w:p>
        </w:tc>
      </w:tr>
      <w:tr>
        <w:trPr>
          <w:trHeight w:val="208"/>
        </w:trPr>
        <w:tc>
          <w:tcPr>
            <w:tcW w:w="3540" w:type="dxa"/>
            <w:vAlign w:val="bottom"/>
          </w:tcPr>
          <w:p>
            <w:pPr>
              <w:jc w:val="center"/>
              <w:spacing w:after="0"/>
              <w:rPr>
                <w:sz w:val="20"/>
                <w:szCs w:val="20"/>
                <w:color w:val="auto"/>
              </w:rPr>
            </w:pPr>
            <w:r>
              <w:rPr>
                <w:rFonts w:ascii="Arial" w:cs="Arial" w:eastAsia="Arial" w:hAnsi="Arial"/>
                <w:sz w:val="18"/>
                <w:szCs w:val="18"/>
                <w:color w:val="auto"/>
                <w:w w:val="97"/>
              </w:rPr>
              <w:t>Alexis Borisy</w:t>
            </w:r>
          </w:p>
        </w:tc>
        <w:tc>
          <w:tcPr>
            <w:tcW w:w="534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420"/>
        </w:trPr>
        <w:tc>
          <w:tcPr>
            <w:tcW w:w="3540" w:type="dxa"/>
            <w:vAlign w:val="bottom"/>
            <w:tcBorders>
              <w:bottom w:val="single" w:sz="8" w:color="auto"/>
            </w:tcBorders>
          </w:tcPr>
          <w:p>
            <w:pPr>
              <w:spacing w:after="0"/>
              <w:rPr>
                <w:sz w:val="24"/>
                <w:szCs w:val="24"/>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140" w:type="dxa"/>
            <w:vAlign w:val="bottom"/>
          </w:tcPr>
          <w:p>
            <w:pPr>
              <w:jc w:val="right"/>
              <w:ind w:right="652"/>
              <w:spacing w:after="0"/>
              <w:rPr>
                <w:sz w:val="20"/>
                <w:szCs w:val="20"/>
                <w:color w:val="auto"/>
              </w:rPr>
            </w:pPr>
            <w:r>
              <w:rPr>
                <w:rFonts w:ascii="Arial" w:cs="Arial" w:eastAsia="Arial" w:hAnsi="Arial"/>
                <w:sz w:val="18"/>
                <w:szCs w:val="18"/>
                <w:color w:val="auto"/>
              </w:rPr>
              <w:t>, 2019</w:t>
            </w:r>
          </w:p>
        </w:tc>
      </w:tr>
      <w:tr>
        <w:trPr>
          <w:trHeight w:val="217"/>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Neil Exter</w:t>
            </w:r>
          </w:p>
        </w:tc>
        <w:tc>
          <w:tcPr>
            <w:tcW w:w="53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r>
    </w:tbl>
    <w:p>
      <w:pPr>
        <w:spacing w:after="0" w:line="1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140"/>
          </w:cols>
          <w:pgMar w:left="320" w:top="459" w:right="43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71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52"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Signature</w:t>
            </w:r>
          </w:p>
        </w:tc>
        <w:tc>
          <w:tcPr>
            <w:tcW w:w="4460" w:type="dxa"/>
            <w:vAlign w:val="bottom"/>
            <w:tcBorders>
              <w:bottom w:val="single" w:sz="8" w:color="auto"/>
            </w:tcBorders>
          </w:tcPr>
          <w:p>
            <w:pPr>
              <w:ind w:left="2400"/>
              <w:spacing w:after="0"/>
              <w:rPr>
                <w:sz w:val="20"/>
                <w:szCs w:val="20"/>
                <w:color w:val="auto"/>
              </w:rPr>
            </w:pPr>
            <w:r>
              <w:rPr>
                <w:rFonts w:ascii="Arial" w:cs="Arial" w:eastAsia="Arial" w:hAnsi="Arial"/>
                <w:sz w:val="18"/>
                <w:szCs w:val="18"/>
                <w:b w:val="1"/>
                <w:bCs w:val="1"/>
                <w:color w:val="auto"/>
              </w:rPr>
              <w:t>Title</w:t>
            </w:r>
          </w:p>
        </w:tc>
        <w:tc>
          <w:tcPr>
            <w:tcW w:w="3020" w:type="dxa"/>
            <w:vAlign w:val="bottom"/>
            <w:tcBorders>
              <w:bottom w:val="single" w:sz="8" w:color="auto"/>
            </w:tcBorders>
          </w:tcPr>
          <w:p>
            <w:pPr>
              <w:jc w:val="right"/>
              <w:ind w:right="832"/>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398"/>
        </w:trPr>
        <w:tc>
          <w:tcPr>
            <w:tcW w:w="3540" w:type="dxa"/>
            <w:vAlign w:val="bottom"/>
            <w:tcBorders>
              <w:bottom w:val="single" w:sz="8" w:color="auto"/>
            </w:tcBorders>
          </w:tcPr>
          <w:p>
            <w:pPr>
              <w:spacing w:after="0"/>
              <w:rPr>
                <w:sz w:val="24"/>
                <w:szCs w:val="24"/>
                <w:color w:val="auto"/>
              </w:rPr>
            </w:pPr>
          </w:p>
        </w:tc>
        <w:tc>
          <w:tcPr>
            <w:tcW w:w="4460" w:type="dxa"/>
            <w:vAlign w:val="bottom"/>
            <w:vMerge w:val="restart"/>
          </w:tcPr>
          <w:p>
            <w:pPr>
              <w:ind w:left="100"/>
              <w:spacing w:after="0"/>
              <w:rPr>
                <w:sz w:val="20"/>
                <w:szCs w:val="20"/>
                <w:color w:val="auto"/>
              </w:rPr>
            </w:pPr>
            <w:r>
              <w:rPr>
                <w:rFonts w:ascii="Arial" w:cs="Arial" w:eastAsia="Arial" w:hAnsi="Arial"/>
                <w:sz w:val="18"/>
                <w:szCs w:val="18"/>
                <w:color w:val="auto"/>
              </w:rPr>
              <w:t>Director</w:t>
            </w:r>
          </w:p>
        </w:tc>
        <w:tc>
          <w:tcPr>
            <w:tcW w:w="3020" w:type="dxa"/>
            <w:vAlign w:val="bottom"/>
            <w:vMerge w:val="restart"/>
          </w:tcPr>
          <w:p>
            <w:pPr>
              <w:jc w:val="right"/>
              <w:ind w:right="652"/>
              <w:spacing w:after="0"/>
              <w:rPr>
                <w:sz w:val="20"/>
                <w:szCs w:val="20"/>
                <w:color w:val="auto"/>
              </w:rPr>
            </w:pPr>
            <w:r>
              <w:rPr>
                <w:rFonts w:ascii="Arial" w:cs="Arial" w:eastAsia="Arial" w:hAnsi="Arial"/>
                <w:sz w:val="18"/>
                <w:szCs w:val="18"/>
                <w:color w:val="auto"/>
              </w:rPr>
              <w:t>, 2019</w:t>
            </w:r>
          </w:p>
        </w:tc>
        <w:tc>
          <w:tcPr>
            <w:tcW w:w="0" w:type="dxa"/>
            <w:vAlign w:val="bottom"/>
          </w:tcPr>
          <w:p>
            <w:pPr>
              <w:spacing w:after="0"/>
              <w:rPr>
                <w:sz w:val="1"/>
                <w:szCs w:val="1"/>
                <w:color w:val="auto"/>
              </w:rPr>
            </w:pPr>
          </w:p>
        </w:tc>
      </w:tr>
      <w:tr>
        <w:trPr>
          <w:trHeight w:val="99"/>
        </w:trPr>
        <w:tc>
          <w:tcPr>
            <w:tcW w:w="3540" w:type="dxa"/>
            <w:vAlign w:val="bottom"/>
            <w:vMerge w:val="restart"/>
          </w:tcPr>
          <w:p>
            <w:pPr>
              <w:jc w:val="center"/>
              <w:spacing w:after="0"/>
              <w:rPr>
                <w:sz w:val="20"/>
                <w:szCs w:val="20"/>
                <w:color w:val="auto"/>
              </w:rPr>
            </w:pPr>
            <w:r>
              <w:rPr>
                <w:rFonts w:ascii="Arial" w:cs="Arial" w:eastAsia="Arial" w:hAnsi="Arial"/>
                <w:sz w:val="18"/>
                <w:szCs w:val="18"/>
                <w:color w:val="auto"/>
                <w:w w:val="97"/>
              </w:rPr>
              <w:t>Larry Lasky, Ph.D.</w:t>
            </w:r>
          </w:p>
        </w:tc>
        <w:tc>
          <w:tcPr>
            <w:tcW w:w="4460" w:type="dxa"/>
            <w:vAlign w:val="bottom"/>
            <w:vMerge w:val="continue"/>
          </w:tcPr>
          <w:p>
            <w:pPr>
              <w:spacing w:after="0"/>
              <w:rPr>
                <w:sz w:val="8"/>
                <w:szCs w:val="8"/>
                <w:color w:val="auto"/>
              </w:rPr>
            </w:pPr>
          </w:p>
        </w:tc>
        <w:tc>
          <w:tcPr>
            <w:tcW w:w="3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540" w:type="dxa"/>
            <w:vAlign w:val="bottom"/>
            <w:vMerge w:val="continue"/>
          </w:tcPr>
          <w:p>
            <w:pPr>
              <w:spacing w:after="0"/>
              <w:rPr>
                <w:sz w:val="9"/>
                <w:szCs w:val="9"/>
                <w:color w:val="auto"/>
              </w:rPr>
            </w:pPr>
          </w:p>
        </w:tc>
        <w:tc>
          <w:tcPr>
            <w:tcW w:w="4460" w:type="dxa"/>
            <w:vAlign w:val="bottom"/>
          </w:tcPr>
          <w:p>
            <w:pPr>
              <w:spacing w:after="0"/>
              <w:rPr>
                <w:sz w:val="9"/>
                <w:szCs w:val="9"/>
                <w:color w:val="auto"/>
              </w:rPr>
            </w:pPr>
          </w:p>
        </w:tc>
        <w:tc>
          <w:tcPr>
            <w:tcW w:w="3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1"/>
        </w:trPr>
        <w:tc>
          <w:tcPr>
            <w:tcW w:w="3540" w:type="dxa"/>
            <w:vAlign w:val="bottom"/>
            <w:tcBorders>
              <w:bottom w:val="single" w:sz="8" w:color="auto"/>
            </w:tcBorders>
          </w:tcPr>
          <w:p>
            <w:pPr>
              <w:spacing w:after="0"/>
              <w:rPr>
                <w:sz w:val="24"/>
                <w:szCs w:val="24"/>
                <w:color w:val="auto"/>
              </w:rPr>
            </w:pPr>
          </w:p>
        </w:tc>
        <w:tc>
          <w:tcPr>
            <w:tcW w:w="4460" w:type="dxa"/>
            <w:vAlign w:val="bottom"/>
            <w:vMerge w:val="restart"/>
          </w:tcPr>
          <w:p>
            <w:pPr>
              <w:ind w:left="100"/>
              <w:spacing w:after="0"/>
              <w:rPr>
                <w:sz w:val="20"/>
                <w:szCs w:val="20"/>
                <w:color w:val="auto"/>
              </w:rPr>
            </w:pPr>
            <w:r>
              <w:rPr>
                <w:rFonts w:ascii="Arial" w:cs="Arial" w:eastAsia="Arial" w:hAnsi="Arial"/>
                <w:sz w:val="18"/>
                <w:szCs w:val="18"/>
                <w:color w:val="auto"/>
              </w:rPr>
              <w:t>Director</w:t>
            </w:r>
          </w:p>
        </w:tc>
        <w:tc>
          <w:tcPr>
            <w:tcW w:w="3020" w:type="dxa"/>
            <w:vAlign w:val="bottom"/>
            <w:vMerge w:val="restart"/>
          </w:tcPr>
          <w:p>
            <w:pPr>
              <w:jc w:val="right"/>
              <w:ind w:right="652"/>
              <w:spacing w:after="0"/>
              <w:rPr>
                <w:sz w:val="20"/>
                <w:szCs w:val="20"/>
                <w:color w:val="auto"/>
              </w:rPr>
            </w:pPr>
            <w:r>
              <w:rPr>
                <w:rFonts w:ascii="Arial" w:cs="Arial" w:eastAsia="Arial" w:hAnsi="Arial"/>
                <w:sz w:val="18"/>
                <w:szCs w:val="18"/>
                <w:color w:val="auto"/>
              </w:rPr>
              <w:t>, 2019</w:t>
            </w:r>
          </w:p>
        </w:tc>
        <w:tc>
          <w:tcPr>
            <w:tcW w:w="0" w:type="dxa"/>
            <w:vAlign w:val="bottom"/>
          </w:tcPr>
          <w:p>
            <w:pPr>
              <w:spacing w:after="0"/>
              <w:rPr>
                <w:sz w:val="1"/>
                <w:szCs w:val="1"/>
                <w:color w:val="auto"/>
              </w:rPr>
            </w:pPr>
          </w:p>
        </w:tc>
      </w:tr>
      <w:tr>
        <w:trPr>
          <w:trHeight w:val="99"/>
        </w:trPr>
        <w:tc>
          <w:tcPr>
            <w:tcW w:w="3540" w:type="dxa"/>
            <w:vAlign w:val="bottom"/>
            <w:vMerge w:val="restart"/>
          </w:tcPr>
          <w:p>
            <w:pPr>
              <w:jc w:val="center"/>
              <w:spacing w:after="0"/>
              <w:rPr>
                <w:sz w:val="20"/>
                <w:szCs w:val="20"/>
                <w:color w:val="auto"/>
              </w:rPr>
            </w:pPr>
            <w:r>
              <w:rPr>
                <w:rFonts w:ascii="Arial" w:cs="Arial" w:eastAsia="Arial" w:hAnsi="Arial"/>
                <w:sz w:val="18"/>
                <w:szCs w:val="18"/>
                <w:color w:val="auto"/>
                <w:w w:val="96"/>
              </w:rPr>
              <w:t>Vincent A. Miller, M.D.</w:t>
            </w:r>
          </w:p>
        </w:tc>
        <w:tc>
          <w:tcPr>
            <w:tcW w:w="4460" w:type="dxa"/>
            <w:vAlign w:val="bottom"/>
            <w:vMerge w:val="continue"/>
          </w:tcPr>
          <w:p>
            <w:pPr>
              <w:spacing w:after="0"/>
              <w:rPr>
                <w:sz w:val="8"/>
                <w:szCs w:val="8"/>
                <w:color w:val="auto"/>
              </w:rPr>
            </w:pPr>
          </w:p>
        </w:tc>
        <w:tc>
          <w:tcPr>
            <w:tcW w:w="3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540" w:type="dxa"/>
            <w:vAlign w:val="bottom"/>
            <w:vMerge w:val="continue"/>
          </w:tcPr>
          <w:p>
            <w:pPr>
              <w:spacing w:after="0"/>
              <w:rPr>
                <w:sz w:val="9"/>
                <w:szCs w:val="9"/>
                <w:color w:val="auto"/>
              </w:rPr>
            </w:pPr>
          </w:p>
        </w:tc>
        <w:tc>
          <w:tcPr>
            <w:tcW w:w="4460" w:type="dxa"/>
            <w:vAlign w:val="bottom"/>
          </w:tcPr>
          <w:p>
            <w:pPr>
              <w:spacing w:after="0"/>
              <w:rPr>
                <w:sz w:val="9"/>
                <w:szCs w:val="9"/>
                <w:color w:val="auto"/>
              </w:rPr>
            </w:pPr>
          </w:p>
        </w:tc>
        <w:tc>
          <w:tcPr>
            <w:tcW w:w="3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1"/>
        </w:trPr>
        <w:tc>
          <w:tcPr>
            <w:tcW w:w="3540" w:type="dxa"/>
            <w:vAlign w:val="bottom"/>
            <w:tcBorders>
              <w:bottom w:val="single" w:sz="8" w:color="auto"/>
            </w:tcBorders>
          </w:tcPr>
          <w:p>
            <w:pPr>
              <w:spacing w:after="0"/>
              <w:rPr>
                <w:sz w:val="24"/>
                <w:szCs w:val="24"/>
                <w:color w:val="auto"/>
              </w:rPr>
            </w:pPr>
          </w:p>
        </w:tc>
        <w:tc>
          <w:tcPr>
            <w:tcW w:w="4460" w:type="dxa"/>
            <w:vAlign w:val="bottom"/>
            <w:vMerge w:val="restart"/>
          </w:tcPr>
          <w:p>
            <w:pPr>
              <w:ind w:left="100"/>
              <w:spacing w:after="0"/>
              <w:rPr>
                <w:sz w:val="20"/>
                <w:szCs w:val="20"/>
                <w:color w:val="auto"/>
              </w:rPr>
            </w:pPr>
            <w:r>
              <w:rPr>
                <w:rFonts w:ascii="Arial" w:cs="Arial" w:eastAsia="Arial" w:hAnsi="Arial"/>
                <w:sz w:val="18"/>
                <w:szCs w:val="18"/>
                <w:color w:val="auto"/>
              </w:rPr>
              <w:t>Director</w:t>
            </w:r>
          </w:p>
        </w:tc>
        <w:tc>
          <w:tcPr>
            <w:tcW w:w="3020" w:type="dxa"/>
            <w:vAlign w:val="bottom"/>
            <w:vMerge w:val="restart"/>
          </w:tcPr>
          <w:p>
            <w:pPr>
              <w:jc w:val="right"/>
              <w:ind w:right="652"/>
              <w:spacing w:after="0"/>
              <w:rPr>
                <w:sz w:val="20"/>
                <w:szCs w:val="20"/>
                <w:color w:val="auto"/>
              </w:rPr>
            </w:pPr>
            <w:r>
              <w:rPr>
                <w:rFonts w:ascii="Arial" w:cs="Arial" w:eastAsia="Arial" w:hAnsi="Arial"/>
                <w:sz w:val="18"/>
                <w:szCs w:val="18"/>
                <w:color w:val="auto"/>
              </w:rPr>
              <w:t>, 2019</w:t>
            </w:r>
          </w:p>
        </w:tc>
        <w:tc>
          <w:tcPr>
            <w:tcW w:w="0" w:type="dxa"/>
            <w:vAlign w:val="bottom"/>
          </w:tcPr>
          <w:p>
            <w:pPr>
              <w:spacing w:after="0"/>
              <w:rPr>
                <w:sz w:val="1"/>
                <w:szCs w:val="1"/>
                <w:color w:val="auto"/>
              </w:rPr>
            </w:pPr>
          </w:p>
        </w:tc>
      </w:tr>
      <w:tr>
        <w:trPr>
          <w:trHeight w:val="99"/>
        </w:trPr>
        <w:tc>
          <w:tcPr>
            <w:tcW w:w="3540" w:type="dxa"/>
            <w:vAlign w:val="bottom"/>
            <w:vMerge w:val="restart"/>
          </w:tcPr>
          <w:p>
            <w:pPr>
              <w:jc w:val="center"/>
              <w:spacing w:after="0"/>
              <w:rPr>
                <w:sz w:val="20"/>
                <w:szCs w:val="20"/>
                <w:color w:val="auto"/>
              </w:rPr>
            </w:pPr>
            <w:r>
              <w:rPr>
                <w:rFonts w:ascii="Arial" w:cs="Arial" w:eastAsia="Arial" w:hAnsi="Arial"/>
                <w:sz w:val="18"/>
                <w:szCs w:val="18"/>
                <w:color w:val="auto"/>
                <w:w w:val="96"/>
              </w:rPr>
              <w:t>Thilo Schroeder, Ph.D.</w:t>
            </w:r>
          </w:p>
        </w:tc>
        <w:tc>
          <w:tcPr>
            <w:tcW w:w="4460" w:type="dxa"/>
            <w:vAlign w:val="bottom"/>
            <w:vMerge w:val="continue"/>
          </w:tcPr>
          <w:p>
            <w:pPr>
              <w:spacing w:after="0"/>
              <w:rPr>
                <w:sz w:val="8"/>
                <w:szCs w:val="8"/>
                <w:color w:val="auto"/>
              </w:rPr>
            </w:pPr>
          </w:p>
        </w:tc>
        <w:tc>
          <w:tcPr>
            <w:tcW w:w="3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540" w:type="dxa"/>
            <w:vAlign w:val="bottom"/>
            <w:vMerge w:val="continue"/>
          </w:tcPr>
          <w:p>
            <w:pPr>
              <w:spacing w:after="0"/>
              <w:rPr>
                <w:sz w:val="9"/>
                <w:szCs w:val="9"/>
                <w:color w:val="auto"/>
              </w:rPr>
            </w:pPr>
          </w:p>
        </w:tc>
        <w:tc>
          <w:tcPr>
            <w:tcW w:w="4460" w:type="dxa"/>
            <w:vAlign w:val="bottom"/>
          </w:tcPr>
          <w:p>
            <w:pPr>
              <w:spacing w:after="0"/>
              <w:rPr>
                <w:sz w:val="9"/>
                <w:szCs w:val="9"/>
                <w:color w:val="auto"/>
              </w:rPr>
            </w:pPr>
          </w:p>
        </w:tc>
        <w:tc>
          <w:tcPr>
            <w:tcW w:w="3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1"/>
        </w:trPr>
        <w:tc>
          <w:tcPr>
            <w:tcW w:w="3540" w:type="dxa"/>
            <w:vAlign w:val="bottom"/>
            <w:tcBorders>
              <w:bottom w:val="single" w:sz="8" w:color="auto"/>
            </w:tcBorders>
          </w:tcPr>
          <w:p>
            <w:pPr>
              <w:spacing w:after="0"/>
              <w:rPr>
                <w:sz w:val="24"/>
                <w:szCs w:val="24"/>
                <w:color w:val="auto"/>
              </w:rPr>
            </w:pPr>
          </w:p>
        </w:tc>
        <w:tc>
          <w:tcPr>
            <w:tcW w:w="4460" w:type="dxa"/>
            <w:vAlign w:val="bottom"/>
            <w:vMerge w:val="restart"/>
          </w:tcPr>
          <w:p>
            <w:pPr>
              <w:ind w:left="100"/>
              <w:spacing w:after="0"/>
              <w:rPr>
                <w:sz w:val="20"/>
                <w:szCs w:val="20"/>
                <w:color w:val="auto"/>
              </w:rPr>
            </w:pPr>
            <w:r>
              <w:rPr>
                <w:rFonts w:ascii="Arial" w:cs="Arial" w:eastAsia="Arial" w:hAnsi="Arial"/>
                <w:sz w:val="18"/>
                <w:szCs w:val="18"/>
                <w:color w:val="auto"/>
              </w:rPr>
              <w:t>Director</w:t>
            </w:r>
          </w:p>
        </w:tc>
        <w:tc>
          <w:tcPr>
            <w:tcW w:w="3020" w:type="dxa"/>
            <w:vAlign w:val="bottom"/>
            <w:vMerge w:val="restart"/>
          </w:tcPr>
          <w:p>
            <w:pPr>
              <w:jc w:val="right"/>
              <w:ind w:right="652"/>
              <w:spacing w:after="0"/>
              <w:rPr>
                <w:sz w:val="20"/>
                <w:szCs w:val="20"/>
                <w:color w:val="auto"/>
              </w:rPr>
            </w:pPr>
            <w:r>
              <w:rPr>
                <w:rFonts w:ascii="Arial" w:cs="Arial" w:eastAsia="Arial" w:hAnsi="Arial"/>
                <w:sz w:val="18"/>
                <w:szCs w:val="18"/>
                <w:color w:val="auto"/>
              </w:rPr>
              <w:t>, 2019</w:t>
            </w:r>
          </w:p>
        </w:tc>
        <w:tc>
          <w:tcPr>
            <w:tcW w:w="0" w:type="dxa"/>
            <w:vAlign w:val="bottom"/>
          </w:tcPr>
          <w:p>
            <w:pPr>
              <w:spacing w:after="0"/>
              <w:rPr>
                <w:sz w:val="1"/>
                <w:szCs w:val="1"/>
                <w:color w:val="auto"/>
              </w:rPr>
            </w:pPr>
          </w:p>
        </w:tc>
      </w:tr>
      <w:tr>
        <w:trPr>
          <w:trHeight w:val="99"/>
        </w:trPr>
        <w:tc>
          <w:tcPr>
            <w:tcW w:w="3540" w:type="dxa"/>
            <w:vAlign w:val="bottom"/>
            <w:vMerge w:val="restart"/>
          </w:tcPr>
          <w:p>
            <w:pPr>
              <w:jc w:val="center"/>
              <w:spacing w:after="0"/>
              <w:rPr>
                <w:sz w:val="20"/>
                <w:szCs w:val="20"/>
                <w:color w:val="auto"/>
              </w:rPr>
            </w:pPr>
            <w:r>
              <w:rPr>
                <w:rFonts w:ascii="Arial" w:cs="Arial" w:eastAsia="Arial" w:hAnsi="Arial"/>
                <w:sz w:val="18"/>
                <w:szCs w:val="18"/>
                <w:color w:val="auto"/>
                <w:w w:val="96"/>
              </w:rPr>
              <w:t>Barbara Weber, M.D.</w:t>
            </w:r>
          </w:p>
        </w:tc>
        <w:tc>
          <w:tcPr>
            <w:tcW w:w="4460" w:type="dxa"/>
            <w:vAlign w:val="bottom"/>
            <w:vMerge w:val="continue"/>
          </w:tcPr>
          <w:p>
            <w:pPr>
              <w:spacing w:after="0"/>
              <w:rPr>
                <w:sz w:val="8"/>
                <w:szCs w:val="8"/>
                <w:color w:val="auto"/>
              </w:rPr>
            </w:pPr>
          </w:p>
        </w:tc>
        <w:tc>
          <w:tcPr>
            <w:tcW w:w="3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3540" w:type="dxa"/>
            <w:vAlign w:val="bottom"/>
            <w:tcBorders>
              <w:bottom w:val="single" w:sz="8" w:color="auto"/>
            </w:tcBorders>
            <w:vMerge w:val="continue"/>
          </w:tcPr>
          <w:p>
            <w:pPr>
              <w:spacing w:after="0"/>
              <w:rPr>
                <w:sz w:val="10"/>
                <w:szCs w:val="10"/>
                <w:color w:val="auto"/>
              </w:rPr>
            </w:pPr>
          </w:p>
        </w:tc>
        <w:tc>
          <w:tcPr>
            <w:tcW w:w="4460" w:type="dxa"/>
            <w:vAlign w:val="bottom"/>
            <w:tcBorders>
              <w:bottom w:val="single" w:sz="8" w:color="auto"/>
            </w:tcBorders>
          </w:tcPr>
          <w:p>
            <w:pPr>
              <w:spacing w:after="0"/>
              <w:rPr>
                <w:sz w:val="10"/>
                <w:szCs w:val="10"/>
                <w:color w:val="auto"/>
              </w:rPr>
            </w:pPr>
          </w:p>
        </w:tc>
        <w:tc>
          <w:tcPr>
            <w:tcW w:w="30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140"/>
          </w:cols>
          <w:pgMar w:left="320" w:top="459" w:right="439" w:bottom="1440" w:gutter="0" w:footer="0" w:header="0"/>
        </w:sectPr>
      </w:pPr>
    </w:p>
    <w:bookmarkStart w:id="290" w:name="page291"/>
    <w:bookmarkEnd w:id="290"/>
    <w:p>
      <w:pPr>
        <w:ind w:left="10084"/>
        <w:spacing w:after="0"/>
        <w:rPr>
          <w:sz w:val="20"/>
          <w:szCs w:val="20"/>
          <w:color w:val="auto"/>
        </w:rPr>
      </w:pPr>
      <w:r>
        <w:rPr>
          <w:rFonts w:ascii="Arial" w:cs="Arial" w:eastAsia="Arial" w:hAnsi="Arial"/>
          <w:sz w:val="16"/>
          <w:szCs w:val="16"/>
          <w:b w:val="1"/>
          <w:bCs w:val="1"/>
          <w:color w:val="auto"/>
        </w:rPr>
        <w:t>Exhibit 10.1</w:t>
      </w:r>
    </w:p>
    <w:p>
      <w:pPr>
        <w:spacing w:after="0" w:line="140" w:lineRule="exact"/>
        <w:rPr>
          <w:sz w:val="20"/>
          <w:szCs w:val="20"/>
          <w:color w:val="auto"/>
        </w:rPr>
      </w:pPr>
    </w:p>
    <w:p>
      <w:pPr>
        <w:ind w:left="4" w:right="200" w:hanging="4"/>
        <w:spacing w:after="0" w:line="282" w:lineRule="auto"/>
        <w:tabs>
          <w:tab w:leader="none" w:pos="439"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excluded pursuant to Regulation S-K, Item 601(b)(10). Such excluded information is not material and would likely cause competitive harm to the registrant if publicly disclosed.</w:t>
      </w: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Copy</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COLLABORATIVE RESEARCH, DEVELOPMENT AND COMMERCIALIZATION</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AGREEMENT</w:t>
      </w:r>
    </w:p>
    <w:p>
      <w:pPr>
        <w:spacing w:after="0" w:line="207" w:lineRule="exact"/>
        <w:rPr>
          <w:sz w:val="20"/>
          <w:szCs w:val="20"/>
          <w:color w:val="auto"/>
        </w:rPr>
      </w:pPr>
    </w:p>
    <w:p>
      <w:pPr>
        <w:ind w:left="4" w:right="20" w:firstLine="440"/>
        <w:spacing w:after="0" w:line="258" w:lineRule="auto"/>
        <w:rPr>
          <w:sz w:val="20"/>
          <w:szCs w:val="20"/>
          <w:color w:val="auto"/>
        </w:rPr>
      </w:pPr>
      <w:r>
        <w:rPr>
          <w:rFonts w:ascii="Arial" w:cs="Arial" w:eastAsia="Arial" w:hAnsi="Arial"/>
          <w:sz w:val="18"/>
          <w:szCs w:val="18"/>
          <w:color w:val="auto"/>
        </w:rPr>
        <w:t>This COLLABORATIVE RESEARCH, DEVELOPMENT AND COMMERCIALIZATION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as of June 8, 2018 (the “</w:t>
      </w:r>
      <w:r>
        <w:rPr>
          <w:rFonts w:ascii="Arial" w:cs="Arial" w:eastAsia="Arial" w:hAnsi="Arial"/>
          <w:sz w:val="18"/>
          <w:szCs w:val="18"/>
          <w:b w:val="1"/>
          <w:bCs w:val="1"/>
          <w:color w:val="auto"/>
        </w:rPr>
        <w:t>Execution Date</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Revolution Medicines, Inc.</w:t>
      </w:r>
      <w:r>
        <w:rPr>
          <w:rFonts w:ascii="Arial" w:cs="Arial" w:eastAsia="Arial" w:hAnsi="Arial"/>
          <w:sz w:val="18"/>
          <w:szCs w:val="18"/>
          <w:color w:val="auto"/>
        </w:rPr>
        <w:t>, a corporation organized and existing under the laws of Delaware, having its principal place of business at 700 Saginaw Dr. Redwood City, CA 94063, USA (“</w:t>
      </w:r>
      <w:r>
        <w:rPr>
          <w:rFonts w:ascii="Arial" w:cs="Arial" w:eastAsia="Arial" w:hAnsi="Arial"/>
          <w:sz w:val="18"/>
          <w:szCs w:val="18"/>
          <w:b w:val="1"/>
          <w:bCs w:val="1"/>
          <w:color w:val="auto"/>
        </w:rPr>
        <w:t>RevMed</w:t>
      </w:r>
      <w:r>
        <w:rPr>
          <w:rFonts w:ascii="Arial" w:cs="Arial" w:eastAsia="Arial" w:hAnsi="Arial"/>
          <w:sz w:val="18"/>
          <w:szCs w:val="18"/>
          <w:color w:val="auto"/>
        </w:rPr>
        <w:t>”), and Aventis, Inc., a corporation organized and existing under the laws of Pennsylvania, having offices at 55 Corporate Drive, Bridgewater, NJ 08807 (“</w:t>
      </w:r>
      <w:r>
        <w:rPr>
          <w:rFonts w:ascii="Arial" w:cs="Arial" w:eastAsia="Arial" w:hAnsi="Arial"/>
          <w:sz w:val="18"/>
          <w:szCs w:val="18"/>
          <w:b w:val="1"/>
          <w:bCs w:val="1"/>
          <w:color w:val="auto"/>
        </w:rPr>
        <w:t>Sanofi</w:t>
      </w:r>
      <w:r>
        <w:rPr>
          <w:rFonts w:ascii="Arial" w:cs="Arial" w:eastAsia="Arial" w:hAnsi="Arial"/>
          <w:sz w:val="18"/>
          <w:szCs w:val="18"/>
          <w:color w:val="auto"/>
        </w:rPr>
        <w:t>”). Sanofi and RevMed are referred to in this Agreement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39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4" w:right="80" w:firstLine="440"/>
        <w:spacing w:after="0" w:line="263" w:lineRule="auto"/>
        <w:rPr>
          <w:sz w:val="20"/>
          <w:szCs w:val="20"/>
          <w:color w:val="auto"/>
        </w:rPr>
      </w:pPr>
      <w:r>
        <w:rPr>
          <w:rFonts w:ascii="Arial" w:cs="Arial" w:eastAsia="Arial" w:hAnsi="Arial"/>
          <w:sz w:val="18"/>
          <w:szCs w:val="18"/>
          <w:color w:val="auto"/>
        </w:rPr>
        <w:t>WHEREAS, RevMed has developed expertise in cancer biology and related drug discovery and precision medicine capabilities enabling RevMed to design and optimize drug candidates that inhibit the activity of the cancer target known as Src homology region 2-containing protein tyrosine phosphatase 2;</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WHEREAS, Sanofi is a pharmaceutical company working to develop and commercialize novel therapies;</w:t>
      </w:r>
    </w:p>
    <w:p>
      <w:pPr>
        <w:spacing w:after="0" w:line="225" w:lineRule="exact"/>
        <w:rPr>
          <w:sz w:val="20"/>
          <w:szCs w:val="20"/>
          <w:color w:val="auto"/>
        </w:rPr>
      </w:pPr>
    </w:p>
    <w:p>
      <w:pPr>
        <w:ind w:left="4" w:right="240" w:firstLine="440"/>
        <w:spacing w:after="0" w:line="342" w:lineRule="auto"/>
        <w:rPr>
          <w:sz w:val="20"/>
          <w:szCs w:val="20"/>
          <w:color w:val="auto"/>
        </w:rPr>
      </w:pPr>
      <w:r>
        <w:rPr>
          <w:rFonts w:ascii="Arial" w:cs="Arial" w:eastAsia="Arial" w:hAnsi="Arial"/>
          <w:sz w:val="16"/>
          <w:szCs w:val="16"/>
          <w:color w:val="auto"/>
        </w:rPr>
        <w:t>WHEREAS, RevMed and Sanofi desire to establish a collaboration for the research, development and potential commercialization of such drug candidates and biologic compounds that inhibit the activity of such cancer target for the treatment of cancer, and potentially other indications; and</w:t>
      </w:r>
    </w:p>
    <w:p>
      <w:pPr>
        <w:spacing w:after="0" w:line="124"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WHEREAS, Sanofi desires to acquire from RevMed, and RevMed desires to grant to Sanofi, certain licenses with regard to SHP2 Inhibitors and Products (as defined below), as further described herein.</w:t>
      </w:r>
    </w:p>
    <w:p>
      <w:pPr>
        <w:spacing w:after="0" w:line="170"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NOW, THEREFORE, in consideration of the foregoing premises and the mutual covenants contained herein, the receipt and sufficiency of which are hereby acknowledged, RevMed and Sanofi hereby agree:</w:t>
      </w:r>
    </w:p>
    <w:p>
      <w:pPr>
        <w:spacing w:after="0" w:line="38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I.</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The terms in this Agreement with initial letters capitalized shall have the meanings set forth below, or the meaning as designated in the indicated places throughout this Agreement.</w:t>
      </w:r>
    </w:p>
    <w:p>
      <w:pPr>
        <w:spacing w:after="0" w:line="166" w:lineRule="exact"/>
        <w:rPr>
          <w:sz w:val="20"/>
          <w:szCs w:val="20"/>
          <w:color w:val="auto"/>
        </w:rPr>
      </w:pPr>
    </w:p>
    <w:p>
      <w:pPr>
        <w:ind w:left="4" w:right="220" w:firstLine="440"/>
        <w:spacing w:after="0" w:line="282" w:lineRule="auto"/>
        <w:rPr>
          <w:sz w:val="20"/>
          <w:szCs w:val="20"/>
          <w:color w:val="auto"/>
        </w:rPr>
      </w:pPr>
      <w:r>
        <w:rPr>
          <w:rFonts w:ascii="Arial" w:cs="Arial" w:eastAsia="Arial" w:hAnsi="Arial"/>
          <w:sz w:val="18"/>
          <w:szCs w:val="18"/>
          <w:b w:val="1"/>
          <w:bCs w:val="1"/>
          <w:color w:val="auto"/>
        </w:rPr>
        <w:t xml:space="preserve">1.1 “Accounting Standards” </w:t>
      </w:r>
      <w:r>
        <w:rPr>
          <w:rFonts w:ascii="Arial" w:cs="Arial" w:eastAsia="Arial" w:hAnsi="Arial"/>
          <w:sz w:val="18"/>
          <w:szCs w:val="18"/>
          <w:color w:val="auto"/>
        </w:rPr>
        <w:t>means, with respect to a Party or its Affiliate or Sublicensee, IFRS or GAAP, as such Person uses for its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reporting obligations, consistently applied.</w:t>
      </w:r>
    </w:p>
    <w:p>
      <w:pPr>
        <w:sectPr>
          <w:pgSz w:w="11900" w:h="16838" w:orient="portrait"/>
          <w:cols w:equalWidth="0" w:num="1">
            <w:col w:w="11024"/>
          </w:cols>
          <w:pgMar w:left="436" w:top="121" w:right="439" w:bottom="1440" w:gutter="0" w:footer="0" w:header="0"/>
        </w:sectPr>
      </w:pPr>
    </w:p>
    <w:bookmarkStart w:id="291" w:name="page292"/>
    <w:bookmarkEnd w:id="291"/>
    <w:p>
      <w:pPr>
        <w:ind w:right="840" w:firstLine="440"/>
        <w:spacing w:after="0" w:line="31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 “Acquired Party Family” </w:t>
      </w:r>
      <w:r>
        <w:rPr>
          <w:rFonts w:ascii="Arial" w:cs="Arial" w:eastAsia="Arial" w:hAnsi="Arial"/>
          <w:sz w:val="17"/>
          <w:szCs w:val="17"/>
          <w:color w:val="auto"/>
        </w:rPr>
        <w:t>means in the case of a Change of Control of a Party or its Affiliate, such Party or such Affiliate existing</w:t>
      </w:r>
      <w:r>
        <w:rPr>
          <w:rFonts w:ascii="Arial" w:cs="Arial" w:eastAsia="Arial" w:hAnsi="Arial"/>
          <w:sz w:val="17"/>
          <w:szCs w:val="17"/>
          <w:b w:val="1"/>
          <w:bCs w:val="1"/>
          <w:color w:val="auto"/>
        </w:rPr>
        <w:t xml:space="preserve"> </w:t>
      </w:r>
      <w:r>
        <w:rPr>
          <w:rFonts w:ascii="Arial" w:cs="Arial" w:eastAsia="Arial" w:hAnsi="Arial"/>
          <w:sz w:val="17"/>
          <w:szCs w:val="17"/>
          <w:color w:val="auto"/>
        </w:rPr>
        <w:t>immediately prior to the Change of Control transaction and any subsidiaries thereof (then existing or thereafter created).</w:t>
      </w:r>
    </w:p>
    <w:p>
      <w:pPr>
        <w:spacing w:after="0" w:line="140" w:lineRule="exact"/>
        <w:rPr>
          <w:sz w:val="20"/>
          <w:szCs w:val="20"/>
          <w:color w:val="auto"/>
        </w:rPr>
      </w:pPr>
    </w:p>
    <w:p>
      <w:pPr>
        <w:ind w:right="580" w:firstLine="440"/>
        <w:spacing w:after="0" w:line="347" w:lineRule="auto"/>
        <w:rPr>
          <w:sz w:val="20"/>
          <w:szCs w:val="20"/>
          <w:color w:val="auto"/>
        </w:rPr>
      </w:pPr>
      <w:r>
        <w:rPr>
          <w:rFonts w:ascii="Arial" w:cs="Arial" w:eastAsia="Arial" w:hAnsi="Arial"/>
          <w:sz w:val="16"/>
          <w:szCs w:val="16"/>
          <w:b w:val="1"/>
          <w:bCs w:val="1"/>
          <w:color w:val="auto"/>
        </w:rPr>
        <w:t xml:space="preserve">1.3 “Acquiror Family” </w:t>
      </w:r>
      <w:r>
        <w:rPr>
          <w:rFonts w:ascii="Arial" w:cs="Arial" w:eastAsia="Arial" w:hAnsi="Arial"/>
          <w:sz w:val="16"/>
          <w:szCs w:val="16"/>
          <w:color w:val="auto"/>
        </w:rPr>
        <w:t>means in the case of a Change of Control of a Party or any of its Affiliates, the Acquiror and its Affiliates existing</w:t>
      </w:r>
      <w:r>
        <w:rPr>
          <w:rFonts w:ascii="Arial" w:cs="Arial" w:eastAsia="Arial" w:hAnsi="Arial"/>
          <w:sz w:val="16"/>
          <w:szCs w:val="16"/>
          <w:b w:val="1"/>
          <w:bCs w:val="1"/>
          <w:color w:val="auto"/>
        </w:rPr>
        <w:t xml:space="preserve"> </w:t>
      </w:r>
      <w:r>
        <w:rPr>
          <w:rFonts w:ascii="Arial" w:cs="Arial" w:eastAsia="Arial" w:hAnsi="Arial"/>
          <w:sz w:val="16"/>
          <w:szCs w:val="16"/>
          <w:color w:val="auto"/>
        </w:rPr>
        <w:t>immediately prior to the closing of the Change of Control transaction together with any future Affiliates other than the Acquired Party Family.</w:t>
      </w:r>
    </w:p>
    <w:p>
      <w:pPr>
        <w:spacing w:after="0" w:line="116" w:lineRule="exact"/>
        <w:rPr>
          <w:sz w:val="20"/>
          <w:szCs w:val="20"/>
          <w:color w:val="auto"/>
        </w:rPr>
      </w:pPr>
    </w:p>
    <w:p>
      <w:pPr>
        <w:ind w:right="520" w:firstLine="440"/>
        <w:spacing w:after="0" w:line="347" w:lineRule="auto"/>
        <w:rPr>
          <w:sz w:val="20"/>
          <w:szCs w:val="20"/>
          <w:color w:val="auto"/>
        </w:rPr>
      </w:pPr>
      <w:r>
        <w:rPr>
          <w:rFonts w:ascii="Arial" w:cs="Arial" w:eastAsia="Arial" w:hAnsi="Arial"/>
          <w:sz w:val="16"/>
          <w:szCs w:val="16"/>
          <w:b w:val="1"/>
          <w:bCs w:val="1"/>
          <w:color w:val="auto"/>
        </w:rPr>
        <w:t xml:space="preserve">1.4 “Act” </w:t>
      </w:r>
      <w:r>
        <w:rPr>
          <w:rFonts w:ascii="Arial" w:cs="Arial" w:eastAsia="Arial" w:hAnsi="Arial"/>
          <w:sz w:val="16"/>
          <w:szCs w:val="16"/>
          <w:color w:val="auto"/>
        </w:rPr>
        <w:t>means the United States Federal Food, Drug, and Cosmetic Act, as amended, and the rules, regulations, guidance, guidelines and</w:t>
      </w:r>
      <w:r>
        <w:rPr>
          <w:rFonts w:ascii="Arial" w:cs="Arial" w:eastAsia="Arial" w:hAnsi="Arial"/>
          <w:sz w:val="16"/>
          <w:szCs w:val="16"/>
          <w:b w:val="1"/>
          <w:bCs w:val="1"/>
          <w:color w:val="auto"/>
        </w:rPr>
        <w:t xml:space="preserve"> </w:t>
      </w:r>
      <w:r>
        <w:rPr>
          <w:rFonts w:ascii="Arial" w:cs="Arial" w:eastAsia="Arial" w:hAnsi="Arial"/>
          <w:sz w:val="16"/>
          <w:szCs w:val="16"/>
          <w:color w:val="auto"/>
        </w:rPr>
        <w:t>requirements promulgated thereunder (including all additions, supplements, extensions and modifications) in effect from time to time.</w:t>
      </w:r>
    </w:p>
    <w:p>
      <w:pPr>
        <w:spacing w:after="0" w:line="116"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b w:val="1"/>
          <w:bCs w:val="1"/>
          <w:color w:val="auto"/>
        </w:rPr>
        <w:t xml:space="preserve">1.5 “Affiliate” </w:t>
      </w:r>
      <w:r>
        <w:rPr>
          <w:rFonts w:ascii="Arial" w:cs="Arial" w:eastAsia="Arial" w:hAnsi="Arial"/>
          <w:sz w:val="16"/>
          <w:szCs w:val="16"/>
          <w:color w:val="auto"/>
        </w:rPr>
        <w:t>means, with respect to a Party or other Person, any corporation or other business entity that, directly or indirectly, through one or</w:t>
      </w:r>
      <w:r>
        <w:rPr>
          <w:rFonts w:ascii="Arial" w:cs="Arial" w:eastAsia="Arial" w:hAnsi="Arial"/>
          <w:sz w:val="16"/>
          <w:szCs w:val="16"/>
          <w:b w:val="1"/>
          <w:bCs w:val="1"/>
          <w:color w:val="auto"/>
        </w:rPr>
        <w:t xml:space="preserve"> </w:t>
      </w:r>
      <w:r>
        <w:rPr>
          <w:rFonts w:ascii="Arial" w:cs="Arial" w:eastAsia="Arial" w:hAnsi="Arial"/>
          <w:sz w:val="16"/>
          <w:szCs w:val="16"/>
          <w:color w:val="auto"/>
        </w:rPr>
        <w:t>more intermediaries, controls, is controlled by, or is under common control with that Party or other Person for so long as such Party or other Person controls, is controlled by or is under common control with such corporation or other business entity. For the purpose of this definition only, “control” (including, with correlative meaning, the terms “controlled by” and “under the common control”) means the actual power, either directly or indirectly through one or more intermediaries, to direct or cause the direction of the management and policies of such Party or other Person, whether by the ownership of 50% or more of the voting equity of such Party or other Person, by contract or otherwise. Notwithstanding the foregoing, solely with respect to Sections 1.61 (Major Biopharmaceutical Company), and 3.1 (Licenses to Sanofi), “Affiliates” will not include (a) with respect to an entity, its bona fide venture capital or private equity investors, (b) with respect to an entity, its bona fide institutional investors, provided that such institutional investors routinely make venture capital investments for the potential financial return on such investments and for so long as such institutional investors do not (x) obtain any rights (including options, rights to negotiate, rights of first refusal or other contingent rights) to acquire control of such entity or its assets or (y) enter into or agree to enter into any research, development, commercial, license or other strategic transaction with such entity (each investor in clause (a) and (b), an “</w:t>
      </w:r>
      <w:r>
        <w:rPr>
          <w:rFonts w:ascii="Arial" w:cs="Arial" w:eastAsia="Arial" w:hAnsi="Arial"/>
          <w:sz w:val="16"/>
          <w:szCs w:val="16"/>
          <w:b w:val="1"/>
          <w:bCs w:val="1"/>
          <w:color w:val="auto"/>
        </w:rPr>
        <w:t>Excluded Investor</w:t>
      </w:r>
      <w:r>
        <w:rPr>
          <w:rFonts w:ascii="Arial" w:cs="Arial" w:eastAsia="Arial" w:hAnsi="Arial"/>
          <w:sz w:val="16"/>
          <w:szCs w:val="16"/>
          <w:color w:val="auto"/>
        </w:rPr>
        <w:t>”), or (c) Affiliates of such venture capital, private equity or institutional investors that do not otherwise qualify as Affiliates of such entity under this Section 1.5 (i.e., for a reason other than by virtue of their status as Affiliates of such investors).</w:t>
      </w:r>
    </w:p>
    <w:p>
      <w:pPr>
        <w:spacing w:after="0" w:line="164" w:lineRule="exact"/>
        <w:rPr>
          <w:sz w:val="20"/>
          <w:szCs w:val="20"/>
          <w:color w:val="auto"/>
        </w:rPr>
      </w:pPr>
    </w:p>
    <w:p>
      <w:pPr>
        <w:jc w:val="both"/>
        <w:ind w:right="360" w:firstLine="440"/>
        <w:spacing w:after="0" w:line="266" w:lineRule="auto"/>
        <w:rPr>
          <w:sz w:val="20"/>
          <w:szCs w:val="20"/>
          <w:color w:val="auto"/>
        </w:rPr>
      </w:pPr>
      <w:r>
        <w:rPr>
          <w:rFonts w:ascii="Arial" w:cs="Arial" w:eastAsia="Arial" w:hAnsi="Arial"/>
          <w:sz w:val="18"/>
          <w:szCs w:val="18"/>
          <w:b w:val="1"/>
          <w:bCs w:val="1"/>
          <w:color w:val="auto"/>
        </w:rPr>
        <w:t xml:space="preserve">1.6 “Ancillary Agreement” </w:t>
      </w:r>
      <w:r>
        <w:rPr>
          <w:rFonts w:ascii="Arial" w:cs="Arial" w:eastAsia="Arial" w:hAnsi="Arial"/>
          <w:sz w:val="18"/>
          <w:szCs w:val="18"/>
          <w:color w:val="auto"/>
        </w:rPr>
        <w:t>means the Co-Promotion Agreement, the Pharmacovigilance Agreement, the Profit/Loss Share Agreement, any</w:t>
      </w:r>
      <w:r>
        <w:rPr>
          <w:rFonts w:ascii="Arial" w:cs="Arial" w:eastAsia="Arial" w:hAnsi="Arial"/>
          <w:sz w:val="18"/>
          <w:szCs w:val="18"/>
          <w:b w:val="1"/>
          <w:bCs w:val="1"/>
          <w:color w:val="auto"/>
        </w:rPr>
        <w:t xml:space="preserve"> </w:t>
      </w:r>
      <w:r>
        <w:rPr>
          <w:rFonts w:ascii="Arial" w:cs="Arial" w:eastAsia="Arial" w:hAnsi="Arial"/>
          <w:sz w:val="18"/>
          <w:szCs w:val="18"/>
          <w:color w:val="auto"/>
        </w:rPr>
        <w:t>Supply Agreement, any Quality Agreement and any other agreement entered into between the Parties (or their respective Affiliates) pursuant to this Agreement.</w:t>
      </w:r>
    </w:p>
    <w:p>
      <w:pPr>
        <w:spacing w:after="0" w:line="176" w:lineRule="exact"/>
        <w:rPr>
          <w:sz w:val="20"/>
          <w:szCs w:val="20"/>
          <w:color w:val="auto"/>
        </w:rPr>
      </w:pPr>
    </w:p>
    <w:p>
      <w:pPr>
        <w:ind w:firstLine="440"/>
        <w:spacing w:after="0" w:line="314" w:lineRule="auto"/>
        <w:rPr>
          <w:sz w:val="20"/>
          <w:szCs w:val="20"/>
          <w:color w:val="auto"/>
        </w:rPr>
      </w:pPr>
      <w:r>
        <w:rPr>
          <w:rFonts w:ascii="Arial" w:cs="Arial" w:eastAsia="Arial" w:hAnsi="Arial"/>
          <w:sz w:val="16"/>
          <w:szCs w:val="16"/>
          <w:b w:val="1"/>
          <w:bCs w:val="1"/>
          <w:color w:val="auto"/>
        </w:rPr>
        <w:t xml:space="preserve">1.7 </w:t>
      </w:r>
      <w:r>
        <w:rPr>
          <w:rFonts w:ascii="Arial" w:cs="Arial" w:eastAsia="Arial" w:hAnsi="Arial"/>
          <w:sz w:val="16"/>
          <w:szCs w:val="16"/>
          <w:color w:val="auto"/>
        </w:rPr>
        <w:t>“</w:t>
      </w:r>
      <w:r>
        <w:rPr>
          <w:rFonts w:ascii="Arial" w:cs="Arial" w:eastAsia="Arial" w:hAnsi="Arial"/>
          <w:sz w:val="16"/>
          <w:szCs w:val="16"/>
          <w:b w:val="1"/>
          <w:bCs w:val="1"/>
          <w:color w:val="auto"/>
        </w:rPr>
        <w:t>Antitrust Law</w:t>
      </w:r>
      <w:r>
        <w:rPr>
          <w:rFonts w:ascii="Arial" w:cs="Arial" w:eastAsia="Arial" w:hAnsi="Arial"/>
          <w:sz w:val="16"/>
          <w:szCs w:val="16"/>
          <w:color w:val="auto"/>
        </w:rPr>
        <w:t>” means the Hart-Scott-Rodino Antitrust Improvements Act of 1976 and the rules and regulations promulgated thereunder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HSR Act</w:t>
      </w:r>
      <w:r>
        <w:rPr>
          <w:rFonts w:ascii="Arial" w:cs="Arial" w:eastAsia="Arial" w:hAnsi="Arial"/>
          <w:sz w:val="16"/>
          <w:szCs w:val="16"/>
          <w:color w:val="auto"/>
        </w:rPr>
        <w:t>”), the Sherman Act, as amended, the Clayton Act, as amended, the Federal Trade Commission Act, as amended, and any other Applicable Laws related to merger control or designed to prohibit, restrict or regulate actions having the purpose or effect of monopolization or restraint of trade.</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292" w:name="page293"/>
    <w:bookmarkEnd w:id="292"/>
    <w:p>
      <w:pPr>
        <w:ind w:right="120" w:firstLine="44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1.8 “Applicable Law” </w:t>
      </w:r>
      <w:r>
        <w:rPr>
          <w:rFonts w:ascii="Arial" w:cs="Arial" w:eastAsia="Arial" w:hAnsi="Arial"/>
          <w:sz w:val="18"/>
          <w:szCs w:val="18"/>
          <w:color w:val="auto"/>
        </w:rPr>
        <w:t>means (a) any federal, state, local, foreign or multinational law, statute, standard, ordinance, code, rule, regulation,</w:t>
      </w:r>
      <w:r>
        <w:rPr>
          <w:rFonts w:ascii="Arial" w:cs="Arial" w:eastAsia="Arial" w:hAnsi="Arial"/>
          <w:sz w:val="18"/>
          <w:szCs w:val="18"/>
          <w:b w:val="1"/>
          <w:bCs w:val="1"/>
          <w:color w:val="auto"/>
        </w:rPr>
        <w:t xml:space="preserve"> </w:t>
      </w:r>
      <w:r>
        <w:rPr>
          <w:rFonts w:ascii="Arial" w:cs="Arial" w:eastAsia="Arial" w:hAnsi="Arial"/>
          <w:sz w:val="18"/>
          <w:szCs w:val="18"/>
          <w:color w:val="auto"/>
        </w:rPr>
        <w:t>resolution or promulgation (including written governmental interpretations thereof, the guidance related thereto), (b) any judicial, governmental or administrative order, judgment, decree or ruling by any Governmental Authority, or (c) any license, franchise, permit or similar right granted under any of the foregoing, or any similar provision having the force or effect of law, in each case (a), (b) and (c) that may be in effect from time to time and as applicable to the subject matter and the Persons at issue.</w:t>
      </w:r>
    </w:p>
    <w:p>
      <w:pPr>
        <w:spacing w:after="0" w:line="183"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b w:val="1"/>
          <w:bCs w:val="1"/>
          <w:color w:val="auto"/>
        </w:rPr>
        <w:t xml:space="preserve">1.9 “Business Day” </w:t>
      </w:r>
      <w:r>
        <w:rPr>
          <w:rFonts w:ascii="Arial" w:cs="Arial" w:eastAsia="Arial" w:hAnsi="Arial"/>
          <w:sz w:val="18"/>
          <w:szCs w:val="18"/>
          <w:color w:val="auto"/>
        </w:rPr>
        <w:t>means a day other than a Saturday or Sunday or a day on which banking institutions in San Francisco, California or in Paris,</w:t>
      </w:r>
      <w:r>
        <w:rPr>
          <w:rFonts w:ascii="Arial" w:cs="Arial" w:eastAsia="Arial" w:hAnsi="Arial"/>
          <w:sz w:val="18"/>
          <w:szCs w:val="18"/>
          <w:b w:val="1"/>
          <w:bCs w:val="1"/>
          <w:color w:val="auto"/>
        </w:rPr>
        <w:t xml:space="preserve"> </w:t>
      </w:r>
      <w:r>
        <w:rPr>
          <w:rFonts w:ascii="Arial" w:cs="Arial" w:eastAsia="Arial" w:hAnsi="Arial"/>
          <w:sz w:val="18"/>
          <w:szCs w:val="18"/>
          <w:color w:val="auto"/>
        </w:rPr>
        <w:t>France are permitted or required to be closed.</w:t>
      </w:r>
    </w:p>
    <w:p>
      <w:pPr>
        <w:spacing w:after="0" w:line="162" w:lineRule="exact"/>
        <w:rPr>
          <w:sz w:val="20"/>
          <w:szCs w:val="20"/>
          <w:color w:val="auto"/>
        </w:rPr>
      </w:pPr>
    </w:p>
    <w:p>
      <w:pPr>
        <w:ind w:right="320" w:firstLine="440"/>
        <w:spacing w:after="0" w:line="314" w:lineRule="auto"/>
        <w:rPr>
          <w:sz w:val="20"/>
          <w:szCs w:val="20"/>
          <w:color w:val="auto"/>
        </w:rPr>
      </w:pPr>
      <w:r>
        <w:rPr>
          <w:rFonts w:ascii="Arial" w:cs="Arial" w:eastAsia="Arial" w:hAnsi="Arial"/>
          <w:sz w:val="16"/>
          <w:szCs w:val="16"/>
          <w:b w:val="1"/>
          <w:bCs w:val="1"/>
          <w:color w:val="auto"/>
        </w:rPr>
        <w:t xml:space="preserve">1.10 “Calendar Quarter” </w:t>
      </w:r>
      <w:r>
        <w:rPr>
          <w:rFonts w:ascii="Arial" w:cs="Arial" w:eastAsia="Arial" w:hAnsi="Arial"/>
          <w:sz w:val="16"/>
          <w:szCs w:val="16"/>
          <w:color w:val="auto"/>
        </w:rPr>
        <w:t>means each successive period of three calendar months commencing on January 1, April 1, July 1 and October 1,</w:t>
      </w:r>
      <w:r>
        <w:rPr>
          <w:rFonts w:ascii="Arial" w:cs="Arial" w:eastAsia="Arial" w:hAnsi="Arial"/>
          <w:sz w:val="16"/>
          <w:szCs w:val="16"/>
          <w:b w:val="1"/>
          <w:bCs w:val="1"/>
          <w:color w:val="auto"/>
        </w:rPr>
        <w:t xml:space="preserve"> </w:t>
      </w:r>
      <w:r>
        <w:rPr>
          <w:rFonts w:ascii="Arial" w:cs="Arial" w:eastAsia="Arial" w:hAnsi="Arial"/>
          <w:sz w:val="16"/>
          <w:szCs w:val="16"/>
          <w:color w:val="auto"/>
        </w:rPr>
        <w:t>except that the first Calendar Quarter of the Term shall commence on the Effective Date and end on the day immediately prior to the first to occur of January 1, April 1, July 1 or October 1 after the Effective Date, and the last Calendar Quarter shall end on the last day of the Term.</w:t>
      </w:r>
    </w:p>
    <w:p>
      <w:pPr>
        <w:spacing w:after="0" w:line="142" w:lineRule="exact"/>
        <w:rPr>
          <w:sz w:val="20"/>
          <w:szCs w:val="20"/>
          <w:color w:val="auto"/>
        </w:rPr>
      </w:pPr>
    </w:p>
    <w:p>
      <w:pPr>
        <w:jc w:val="both"/>
        <w:ind w:right="180" w:firstLine="440"/>
        <w:spacing w:after="0" w:line="314" w:lineRule="auto"/>
        <w:rPr>
          <w:sz w:val="20"/>
          <w:szCs w:val="20"/>
          <w:color w:val="auto"/>
        </w:rPr>
      </w:pPr>
      <w:r>
        <w:rPr>
          <w:rFonts w:ascii="Arial" w:cs="Arial" w:eastAsia="Arial" w:hAnsi="Arial"/>
          <w:sz w:val="16"/>
          <w:szCs w:val="16"/>
          <w:b w:val="1"/>
          <w:bCs w:val="1"/>
          <w:color w:val="auto"/>
        </w:rPr>
        <w:t xml:space="preserve">1.11 “Calendar Year” </w:t>
      </w:r>
      <w:r>
        <w:rPr>
          <w:rFonts w:ascii="Arial" w:cs="Arial" w:eastAsia="Arial" w:hAnsi="Arial"/>
          <w:sz w:val="16"/>
          <w:szCs w:val="16"/>
          <w:color w:val="auto"/>
        </w:rPr>
        <w:t>means each successive period of 12 calendar months commencing on January 1 and ending on December 31, except that</w:t>
      </w:r>
      <w:r>
        <w:rPr>
          <w:rFonts w:ascii="Arial" w:cs="Arial" w:eastAsia="Arial" w:hAnsi="Arial"/>
          <w:sz w:val="16"/>
          <w:szCs w:val="16"/>
          <w:b w:val="1"/>
          <w:bCs w:val="1"/>
          <w:color w:val="auto"/>
        </w:rPr>
        <w:t xml:space="preserve"> </w:t>
      </w:r>
      <w:r>
        <w:rPr>
          <w:rFonts w:ascii="Arial" w:cs="Arial" w:eastAsia="Arial" w:hAnsi="Arial"/>
          <w:sz w:val="16"/>
          <w:szCs w:val="16"/>
          <w:color w:val="auto"/>
        </w:rPr>
        <w:t>the first Calendar Year of the Term shall commence on the Effective Date and end on December 31 of the year in which the Effective Date occurs and the last Calendar Year of the Term shall commence on January 1 of the year in which the Term ends and end on the last day of the Term.</w:t>
      </w:r>
    </w:p>
    <w:p>
      <w:pPr>
        <w:spacing w:after="0" w:line="142"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b w:val="1"/>
          <w:bCs w:val="1"/>
          <w:color w:val="auto"/>
        </w:rPr>
        <w:t xml:space="preserve">1.12 “Change of Control” </w:t>
      </w:r>
      <w:r>
        <w:rPr>
          <w:rFonts w:ascii="Arial" w:cs="Arial" w:eastAsia="Arial" w:hAnsi="Arial"/>
          <w:sz w:val="17"/>
          <w:szCs w:val="17"/>
          <w:color w:val="auto"/>
        </w:rPr>
        <w:t>means with respect to a Party (a) any sale, exchange, transfer, or issuance to or acquisition in one transaction or a</w:t>
      </w:r>
      <w:r>
        <w:rPr>
          <w:rFonts w:ascii="Arial" w:cs="Arial" w:eastAsia="Arial" w:hAnsi="Arial"/>
          <w:sz w:val="17"/>
          <w:szCs w:val="17"/>
          <w:b w:val="1"/>
          <w:bCs w:val="1"/>
          <w:color w:val="auto"/>
        </w:rPr>
        <w:t xml:space="preserve"> </w:t>
      </w:r>
      <w:r>
        <w:rPr>
          <w:rFonts w:ascii="Arial" w:cs="Arial" w:eastAsia="Arial" w:hAnsi="Arial"/>
          <w:sz w:val="17"/>
          <w:szCs w:val="17"/>
          <w:color w:val="auto"/>
        </w:rPr>
        <w:t>series of related transactions by one or more Third Parties of units and/or shares of equity (as applicable) representing 50% or more of the aggregate ordinary voting power entitled to vote for the election of directors or managers represented by the issued and outstanding units of equity of such Party (or any Affiliate that directly or indirectly controls such Party (such Affiliate, the “</w:t>
      </w:r>
      <w:r>
        <w:rPr>
          <w:rFonts w:ascii="Arial" w:cs="Arial" w:eastAsia="Arial" w:hAnsi="Arial"/>
          <w:sz w:val="17"/>
          <w:szCs w:val="17"/>
          <w:b w:val="1"/>
          <w:bCs w:val="1"/>
          <w:color w:val="auto"/>
        </w:rPr>
        <w:t>Parent</w:t>
      </w:r>
      <w:r>
        <w:rPr>
          <w:rFonts w:ascii="Arial" w:cs="Arial" w:eastAsia="Arial" w:hAnsi="Arial"/>
          <w:sz w:val="17"/>
          <w:szCs w:val="17"/>
          <w:color w:val="auto"/>
        </w:rPr>
        <w:t>”)), whether such sale, exchange, transfer, issuance or acquisition is made directly or indirectly, by merger or otherwise, or beneficially or of record (collectively, a “</w:t>
      </w:r>
      <w:r>
        <w:rPr>
          <w:rFonts w:ascii="Arial" w:cs="Arial" w:eastAsia="Arial" w:hAnsi="Arial"/>
          <w:sz w:val="17"/>
          <w:szCs w:val="17"/>
          <w:b w:val="1"/>
          <w:bCs w:val="1"/>
          <w:color w:val="auto"/>
        </w:rPr>
        <w:t>Stock Sale</w:t>
      </w:r>
      <w:r>
        <w:rPr>
          <w:rFonts w:ascii="Arial" w:cs="Arial" w:eastAsia="Arial" w:hAnsi="Arial"/>
          <w:sz w:val="17"/>
          <w:szCs w:val="17"/>
          <w:color w:val="auto"/>
        </w:rPr>
        <w:t>”); (b) a merger or consolidation under Applicable Law of such Party or a Parent with a Third Party, other than a merger or consolidation in which the units and/or shares of equity of such Party or Parent outstanding immediately prior to such merger or consolidation continue to represent, or are converted into or are exchanged for units and/or shares of equity which represent, immediately following such merger or consolidation, 50% or more of the aggregate ordinary voting power of such units and/or shares of equity of the surviving or resulting entity or a parent entity of such surviving or resulting entity, whether direct or indirect (collectively, a “</w:t>
      </w:r>
      <w:r>
        <w:rPr>
          <w:rFonts w:ascii="Arial" w:cs="Arial" w:eastAsia="Arial" w:hAnsi="Arial"/>
          <w:sz w:val="17"/>
          <w:szCs w:val="17"/>
          <w:b w:val="1"/>
          <w:bCs w:val="1"/>
          <w:color w:val="auto"/>
        </w:rPr>
        <w:t>Merger</w:t>
      </w:r>
      <w:r>
        <w:rPr>
          <w:rFonts w:ascii="Arial" w:cs="Arial" w:eastAsia="Arial" w:hAnsi="Arial"/>
          <w:sz w:val="17"/>
          <w:szCs w:val="17"/>
          <w:color w:val="auto"/>
        </w:rPr>
        <w:t>”); (c) a sale, lease, transfer, exclusive license or other disposition of all or substantially all of the assets of such Party or a Parent to one or more Third Parties in one transaction or a series of related transactions (collectively, the “</w:t>
      </w:r>
      <w:r>
        <w:rPr>
          <w:rFonts w:ascii="Arial" w:cs="Arial" w:eastAsia="Arial" w:hAnsi="Arial"/>
          <w:sz w:val="17"/>
          <w:szCs w:val="17"/>
          <w:b w:val="1"/>
          <w:bCs w:val="1"/>
          <w:color w:val="auto"/>
        </w:rPr>
        <w:t>Asset Transfer</w:t>
      </w:r>
      <w:r>
        <w:rPr>
          <w:rFonts w:ascii="Arial" w:cs="Arial" w:eastAsia="Arial" w:hAnsi="Arial"/>
          <w:sz w:val="17"/>
          <w:szCs w:val="17"/>
          <w:color w:val="auto"/>
        </w:rPr>
        <w:t>”). Notwithstanding the foregoing, a purchase of shares in a Stock Sale by one or more Third Parties in a bona fide financing transaction the primary purpose of which is to raise working capital for RevMed or to acquire assets from a Third Party (in either case including one or more public offerings) shall not constitute a Change of Control even if such Third Parties collectively negotiate or receive their rights as security holders in such financing transaction(s), except that such exemption shall not apply with respect to any Change of Control that would result in any Major Biopharmaceutical Company having more than 50% of the aggregate ordinary voting power in RevMed or its Parent. The Parent of a Party for purposes of this Section 1.12 shall not include any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293" w:name="page294"/>
    <w:bookmarkEnd w:id="293"/>
    <w:p>
      <w:pPr>
        <w:jc w:val="both"/>
        <w:ind w:left="4"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Excluded Investor, provided that the applicable Stock Sale, Merger or Asset Transfer does not result in any Major Biopharmaceutical Company having more than 50% of the aggregate ordinary voting power in, or control over all or substantially all of the assets of, RevMed or its Parent or any surviving or resulting entity or a parent entity of such surviving or resulting entity.</w:t>
      </w:r>
    </w:p>
    <w:p>
      <w:pPr>
        <w:spacing w:after="0" w:line="180" w:lineRule="exact"/>
        <w:rPr>
          <w:sz w:val="20"/>
          <w:szCs w:val="20"/>
          <w:color w:val="auto"/>
        </w:rPr>
      </w:pPr>
    </w:p>
    <w:p>
      <w:pPr>
        <w:ind w:left="4" w:firstLine="440"/>
        <w:spacing w:after="0" w:line="266" w:lineRule="auto"/>
        <w:rPr>
          <w:sz w:val="20"/>
          <w:szCs w:val="20"/>
          <w:color w:val="auto"/>
        </w:rPr>
      </w:pPr>
      <w:r>
        <w:rPr>
          <w:rFonts w:ascii="Arial" w:cs="Arial" w:eastAsia="Arial" w:hAnsi="Arial"/>
          <w:sz w:val="18"/>
          <w:szCs w:val="18"/>
          <w:b w:val="1"/>
          <w:bCs w:val="1"/>
          <w:color w:val="auto"/>
        </w:rPr>
        <w:t xml:space="preserve">1.13 “Clinical Trial” </w:t>
      </w:r>
      <w:r>
        <w:rPr>
          <w:rFonts w:ascii="Arial" w:cs="Arial" w:eastAsia="Arial" w:hAnsi="Arial"/>
          <w:sz w:val="18"/>
          <w:szCs w:val="18"/>
          <w:color w:val="auto"/>
        </w:rPr>
        <w:t>means any clinical investigation conducted on human subjects, as that term is defined in FDA regulations at 21 C.F.R. §</w:t>
      </w:r>
      <w:r>
        <w:rPr>
          <w:rFonts w:ascii="Arial" w:cs="Arial" w:eastAsia="Arial" w:hAnsi="Arial"/>
          <w:sz w:val="18"/>
          <w:szCs w:val="18"/>
          <w:b w:val="1"/>
          <w:bCs w:val="1"/>
          <w:color w:val="auto"/>
        </w:rPr>
        <w:t xml:space="preserve"> </w:t>
      </w:r>
      <w:r>
        <w:rPr>
          <w:rFonts w:ascii="Arial" w:cs="Arial" w:eastAsia="Arial" w:hAnsi="Arial"/>
          <w:sz w:val="18"/>
          <w:szCs w:val="18"/>
          <w:color w:val="auto"/>
        </w:rPr>
        <w:t>312.3. Without limiting the foregoing, Clinical Trial includes any Phase 1 Clinical Trial, Phase 2 Clinical Trial, Phase 3 Clinical Trial, Phase 4 Study or variations of the foregoing.</w:t>
      </w:r>
    </w:p>
    <w:p>
      <w:pPr>
        <w:spacing w:after="0" w:line="176" w:lineRule="exact"/>
        <w:rPr>
          <w:sz w:val="20"/>
          <w:szCs w:val="20"/>
          <w:color w:val="auto"/>
        </w:rPr>
      </w:pPr>
    </w:p>
    <w:p>
      <w:pPr>
        <w:ind w:left="4" w:right="40" w:firstLine="440"/>
        <w:spacing w:after="0" w:line="282" w:lineRule="auto"/>
        <w:rPr>
          <w:sz w:val="20"/>
          <w:szCs w:val="20"/>
          <w:color w:val="auto"/>
        </w:rPr>
      </w:pPr>
      <w:r>
        <w:rPr>
          <w:rFonts w:ascii="Arial" w:cs="Arial" w:eastAsia="Arial" w:hAnsi="Arial"/>
          <w:sz w:val="18"/>
          <w:szCs w:val="18"/>
          <w:b w:val="1"/>
          <w:bCs w:val="1"/>
          <w:color w:val="auto"/>
        </w:rPr>
        <w:t xml:space="preserve">1.14 “Collaboration” </w:t>
      </w:r>
      <w:r>
        <w:rPr>
          <w:rFonts w:ascii="Arial" w:cs="Arial" w:eastAsia="Arial" w:hAnsi="Arial"/>
          <w:sz w:val="18"/>
          <w:szCs w:val="18"/>
          <w:color w:val="auto"/>
        </w:rPr>
        <w:t>means the collaboration of the Parties with respect to the Research, Development, Manufacture and Commercialization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in the Field, as and to the extent set forth in this Agreement and the Ancillary Agreements.</w:t>
      </w:r>
    </w:p>
    <w:p>
      <w:pPr>
        <w:spacing w:after="0" w:line="162" w:lineRule="exact"/>
        <w:rPr>
          <w:sz w:val="20"/>
          <w:szCs w:val="20"/>
          <w:color w:val="auto"/>
        </w:rPr>
      </w:pPr>
    </w:p>
    <w:p>
      <w:pPr>
        <w:jc w:val="both"/>
        <w:ind w:left="4" w:firstLine="440"/>
        <w:spacing w:after="0" w:line="347" w:lineRule="auto"/>
        <w:rPr>
          <w:sz w:val="20"/>
          <w:szCs w:val="20"/>
          <w:color w:val="auto"/>
        </w:rPr>
      </w:pPr>
      <w:r>
        <w:rPr>
          <w:rFonts w:ascii="Arial" w:cs="Arial" w:eastAsia="Arial" w:hAnsi="Arial"/>
          <w:sz w:val="16"/>
          <w:szCs w:val="16"/>
          <w:b w:val="1"/>
          <w:bCs w:val="1"/>
          <w:color w:val="auto"/>
        </w:rPr>
        <w:t xml:space="preserve">1.15 “Combination Product” </w:t>
      </w:r>
      <w:r>
        <w:rPr>
          <w:rFonts w:ascii="Arial" w:cs="Arial" w:eastAsia="Arial" w:hAnsi="Arial"/>
          <w:sz w:val="16"/>
          <w:szCs w:val="16"/>
          <w:color w:val="auto"/>
        </w:rPr>
        <w:t>means any pharmaceutical preparation in final form containing a SHP2 Inhibitor in combination with one or more</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additional active ingredients, for sale by prescription or any other method either as a fixed dose or unit or as separate doses or units in a single package.</w:t>
      </w:r>
    </w:p>
    <w:p>
      <w:pPr>
        <w:spacing w:after="0" w:line="116" w:lineRule="exact"/>
        <w:rPr>
          <w:sz w:val="20"/>
          <w:szCs w:val="20"/>
          <w:color w:val="auto"/>
        </w:rPr>
      </w:pPr>
    </w:p>
    <w:p>
      <w:pPr>
        <w:ind w:left="4" w:right="520" w:firstLine="440"/>
        <w:spacing w:after="0" w:line="293" w:lineRule="auto"/>
        <w:rPr>
          <w:sz w:val="20"/>
          <w:szCs w:val="20"/>
          <w:color w:val="auto"/>
        </w:rPr>
      </w:pPr>
      <w:r>
        <w:rPr>
          <w:rFonts w:ascii="Arial" w:cs="Arial" w:eastAsia="Arial" w:hAnsi="Arial"/>
          <w:sz w:val="16"/>
          <w:szCs w:val="16"/>
          <w:b w:val="1"/>
          <w:bCs w:val="1"/>
          <w:color w:val="auto"/>
        </w:rPr>
        <w:t xml:space="preserve">1.16 “Commercialization” </w:t>
      </w:r>
      <w:r>
        <w:rPr>
          <w:rFonts w:ascii="Arial" w:cs="Arial" w:eastAsia="Arial" w:hAnsi="Arial"/>
          <w:sz w:val="16"/>
          <w:szCs w:val="16"/>
          <w:color w:val="auto"/>
        </w:rPr>
        <w:t>means the marketing, promotion, sale or distribution of Products (or Companion Diagnostics for Products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this Agreement) in the Field, including: (a) commercial activities conducted in preparation for commercial launch of a Product;</w:t>
      </w:r>
    </w:p>
    <w:p>
      <w:pPr>
        <w:spacing w:after="0" w:line="1" w:lineRule="exact"/>
        <w:rPr>
          <w:sz w:val="20"/>
          <w:szCs w:val="20"/>
          <w:color w:val="auto"/>
        </w:rPr>
      </w:pPr>
    </w:p>
    <w:p>
      <w:pPr>
        <w:ind w:left="264" w:hanging="264"/>
        <w:spacing w:after="0"/>
        <w:tabs>
          <w:tab w:leader="none" w:pos="264" w:val="left"/>
        </w:tabs>
        <w:numPr>
          <w:ilvl w:val="0"/>
          <w:numId w:val="153"/>
        </w:numPr>
        <w:rPr>
          <w:rFonts w:ascii="Arial" w:cs="Arial" w:eastAsia="Arial" w:hAnsi="Arial"/>
          <w:sz w:val="16"/>
          <w:szCs w:val="16"/>
          <w:color w:val="auto"/>
        </w:rPr>
      </w:pPr>
      <w:r>
        <w:rPr>
          <w:rFonts w:ascii="Arial" w:cs="Arial" w:eastAsia="Arial" w:hAnsi="Arial"/>
          <w:sz w:val="16"/>
          <w:szCs w:val="16"/>
          <w:color w:val="auto"/>
        </w:rPr>
        <w:t>strategic marketing, sale force detailing, advertising, medical education and liaison; (c) any Phase 4 Studies, except Required Phase 4 Studies; and</w:t>
      </w:r>
    </w:p>
    <w:p>
      <w:pPr>
        <w:spacing w:after="0" w:line="32" w:lineRule="exact"/>
        <w:rPr>
          <w:rFonts w:ascii="Arial" w:cs="Arial" w:eastAsia="Arial" w:hAnsi="Arial"/>
          <w:sz w:val="16"/>
          <w:szCs w:val="16"/>
          <w:color w:val="auto"/>
        </w:rPr>
      </w:pPr>
    </w:p>
    <w:p>
      <w:pPr>
        <w:ind w:left="4" w:right="540" w:hanging="4"/>
        <w:spacing w:after="0" w:line="260" w:lineRule="auto"/>
        <w:tabs>
          <w:tab w:leader="none" w:pos="259"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all customer support, product distribution, invoicing and other sales activities. “</w:t>
      </w:r>
      <w:r>
        <w:rPr>
          <w:rFonts w:ascii="Arial" w:cs="Arial" w:eastAsia="Arial" w:hAnsi="Arial"/>
          <w:sz w:val="18"/>
          <w:szCs w:val="18"/>
          <w:b w:val="1"/>
          <w:bCs w:val="1"/>
          <w:color w:val="auto"/>
        </w:rPr>
        <w:t>Commercialize</w:t>
      </w:r>
      <w:r>
        <w:rPr>
          <w:rFonts w:ascii="Arial" w:cs="Arial" w:eastAsia="Arial" w:hAnsi="Arial"/>
          <w:sz w:val="18"/>
          <w:szCs w:val="18"/>
          <w:color w:val="auto"/>
        </w:rPr>
        <w:t>” and “</w:t>
      </w:r>
      <w:r>
        <w:rPr>
          <w:rFonts w:ascii="Arial" w:cs="Arial" w:eastAsia="Arial" w:hAnsi="Arial"/>
          <w:sz w:val="18"/>
          <w:szCs w:val="18"/>
          <w:b w:val="1"/>
          <w:bCs w:val="1"/>
          <w:color w:val="auto"/>
        </w:rPr>
        <w:t>Commercializing</w:t>
      </w:r>
      <w:r>
        <w:rPr>
          <w:rFonts w:ascii="Arial" w:cs="Arial" w:eastAsia="Arial" w:hAnsi="Arial"/>
          <w:sz w:val="18"/>
          <w:szCs w:val="18"/>
          <w:color w:val="auto"/>
        </w:rPr>
        <w:t>” have a correlative meaning.</w:t>
      </w:r>
    </w:p>
    <w:p>
      <w:pPr>
        <w:spacing w:after="0" w:line="181" w:lineRule="exact"/>
        <w:rPr>
          <w:sz w:val="20"/>
          <w:szCs w:val="20"/>
          <w:color w:val="auto"/>
        </w:rPr>
      </w:pPr>
    </w:p>
    <w:p>
      <w:pPr>
        <w:ind w:left="4" w:right="120" w:firstLine="440"/>
        <w:spacing w:after="0" w:line="282" w:lineRule="auto"/>
        <w:rPr>
          <w:sz w:val="20"/>
          <w:szCs w:val="20"/>
          <w:color w:val="auto"/>
        </w:rPr>
      </w:pPr>
      <w:r>
        <w:rPr>
          <w:rFonts w:ascii="Arial" w:cs="Arial" w:eastAsia="Arial" w:hAnsi="Arial"/>
          <w:sz w:val="18"/>
          <w:szCs w:val="18"/>
          <w:b w:val="1"/>
          <w:bCs w:val="1"/>
          <w:color w:val="auto"/>
        </w:rPr>
        <w:t xml:space="preserve">1.17 “Commercially Reasonable Efforts” </w:t>
      </w:r>
      <w:r>
        <w:rPr>
          <w:rFonts w:ascii="Arial" w:cs="Arial" w:eastAsia="Arial" w:hAnsi="Arial"/>
          <w:sz w:val="18"/>
          <w:szCs w:val="18"/>
          <w:color w:val="auto"/>
        </w:rPr>
        <w:t>means: (a) with respect to Sanofi, [***], consistent with [***] that [***], taking into account [***],</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 and (b) with respect to RevMed, [***], consistent with [***] that [***], taking into account [***], including [***].</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1.18 “Committee” </w:t>
      </w:r>
      <w:r>
        <w:rPr>
          <w:rFonts w:ascii="Arial" w:cs="Arial" w:eastAsia="Arial" w:hAnsi="Arial"/>
          <w:sz w:val="18"/>
          <w:szCs w:val="18"/>
          <w:color w:val="auto"/>
        </w:rPr>
        <w:t>means the JSC, JRDC, JCC, JPC or any subcommittee established under Article II, as applicable.</w:t>
      </w:r>
    </w:p>
    <w:p>
      <w:pPr>
        <w:spacing w:after="0" w:line="225" w:lineRule="exact"/>
        <w:rPr>
          <w:sz w:val="20"/>
          <w:szCs w:val="20"/>
          <w:color w:val="auto"/>
        </w:rPr>
      </w:pPr>
    </w:p>
    <w:p>
      <w:pPr>
        <w:ind w:left="4" w:right="40" w:firstLine="440"/>
        <w:spacing w:after="0" w:line="261" w:lineRule="auto"/>
        <w:rPr>
          <w:sz w:val="20"/>
          <w:szCs w:val="20"/>
          <w:color w:val="auto"/>
        </w:rPr>
      </w:pPr>
      <w:r>
        <w:rPr>
          <w:rFonts w:ascii="Arial" w:cs="Arial" w:eastAsia="Arial" w:hAnsi="Arial"/>
          <w:sz w:val="18"/>
          <w:szCs w:val="18"/>
          <w:b w:val="1"/>
          <w:bCs w:val="1"/>
          <w:color w:val="auto"/>
        </w:rPr>
        <w:t xml:space="preserve">1.19 “Companion Diagnostic” </w:t>
      </w:r>
      <w:r>
        <w:rPr>
          <w:rFonts w:ascii="Arial" w:cs="Arial" w:eastAsia="Arial" w:hAnsi="Arial"/>
          <w:sz w:val="18"/>
          <w:szCs w:val="18"/>
          <w:color w:val="auto"/>
        </w:rPr>
        <w:t>means, with respect to a Product, (a) a companion diagnostic approved by the applicable Regulatory Authority</w:t>
      </w:r>
      <w:r>
        <w:rPr>
          <w:rFonts w:ascii="Arial" w:cs="Arial" w:eastAsia="Arial" w:hAnsi="Arial"/>
          <w:sz w:val="18"/>
          <w:szCs w:val="18"/>
          <w:b w:val="1"/>
          <w:bCs w:val="1"/>
          <w:color w:val="auto"/>
        </w:rPr>
        <w:t xml:space="preserve"> </w:t>
      </w:r>
      <w:r>
        <w:rPr>
          <w:rFonts w:ascii="Arial" w:cs="Arial" w:eastAsia="Arial" w:hAnsi="Arial"/>
          <w:sz w:val="18"/>
          <w:szCs w:val="18"/>
          <w:color w:val="auto"/>
        </w:rPr>
        <w:t>that provides information essential to the safe and effective use of such Product or is otherwise necessary for the Regulatory Approval of such Product, or (b) a complementary diagnostic that provides information helpful to the safe and effective use of such Product but is not a companion diagnostic referred to in the foregoing clause (a).</w:t>
      </w:r>
    </w:p>
    <w:p>
      <w:pPr>
        <w:spacing w:after="0" w:line="180" w:lineRule="exact"/>
        <w:rPr>
          <w:sz w:val="20"/>
          <w:szCs w:val="20"/>
          <w:color w:val="auto"/>
        </w:rPr>
      </w:pPr>
    </w:p>
    <w:p>
      <w:pPr>
        <w:ind w:left="4" w:right="520" w:firstLine="440"/>
        <w:spacing w:after="0" w:line="282" w:lineRule="auto"/>
        <w:rPr>
          <w:sz w:val="20"/>
          <w:szCs w:val="20"/>
          <w:color w:val="auto"/>
        </w:rPr>
      </w:pPr>
      <w:r>
        <w:rPr>
          <w:rFonts w:ascii="Arial" w:cs="Arial" w:eastAsia="Arial" w:hAnsi="Arial"/>
          <w:sz w:val="18"/>
          <w:szCs w:val="18"/>
          <w:b w:val="1"/>
          <w:bCs w:val="1"/>
          <w:color w:val="auto"/>
        </w:rPr>
        <w:t xml:space="preserve">1.20 “Competing Product” </w:t>
      </w:r>
      <w:r>
        <w:rPr>
          <w:rFonts w:ascii="Arial" w:cs="Arial" w:eastAsia="Arial" w:hAnsi="Arial"/>
          <w:sz w:val="18"/>
          <w:szCs w:val="18"/>
          <w:color w:val="auto"/>
        </w:rPr>
        <w:t>means, other than a Product, any pharmaceutical preparation [***] that satisfies the criteria [***], alone or in</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 with one or more additional active ingredients, for sale by prescription or any other method.</w:t>
      </w:r>
    </w:p>
    <w:p>
      <w:pPr>
        <w:spacing w:after="0" w:line="98"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4"/>
          </w:cols>
          <w:pgMar w:left="436" w:top="274" w:right="559" w:bottom="1440" w:gutter="0" w:footer="0" w:header="0"/>
        </w:sectPr>
      </w:pPr>
    </w:p>
    <w:bookmarkStart w:id="294" w:name="page295"/>
    <w:bookmarkEnd w:id="294"/>
    <w:p>
      <w:pPr>
        <w:ind w:firstLine="440"/>
        <w:spacing w:after="0" w:line="270"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1.21 “Confidential Information” </w:t>
      </w:r>
      <w:r>
        <w:rPr>
          <w:rFonts w:ascii="Arial" w:cs="Arial" w:eastAsia="Arial" w:hAnsi="Arial"/>
          <w:sz w:val="17"/>
          <w:szCs w:val="17"/>
          <w:color w:val="auto"/>
        </w:rPr>
        <w:t>of a Party means all proprietary Know-How, unpublished patent applications and other non-public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and data of a financial, commercial, business, operational or technical nature of such Party that is disclosed by or on behalf of such Party, its Affiliates or its or their Sublicensees, or otherwise made available to the other Party, its Affiliates or its or their Sublicensees, prior to, on or after the Effective Date, whether made available orally, in writing or in electronic form in connection with this Agreement or any Ancillary Agreement, including the terms of this Agreement and any Ancillary Agreements, information comprising or relating to concepts, discoveries, inventions, data, designs or formulae in connection with this Agreement or any Ancillary Agreement. All (a) RevMed Licensed Know-How to the extent relating to SHP2 Inhibitors or Products, (b) Joint Program Know-How, and (c) the terms of this Agreement and any Ancillary Agreements, shall be deemed to be the Confidential Information of both Parties (and both Parties shall be deemed to be the Receiving Party and the Disclosing Party with respect thereto). All RevMed Licensed Know-How to the extent relating to RevMed’s products and product candidates (other than SHP2 Inhibitors or Products) shall not be deemed Confidential Information of both Parties.</w:t>
      </w:r>
    </w:p>
    <w:p>
      <w:pPr>
        <w:spacing w:after="0" w:line="177" w:lineRule="exact"/>
        <w:rPr>
          <w:sz w:val="20"/>
          <w:szCs w:val="20"/>
          <w:color w:val="auto"/>
        </w:rPr>
      </w:pPr>
    </w:p>
    <w:p>
      <w:pPr>
        <w:ind w:right="360" w:firstLine="440"/>
        <w:spacing w:after="0" w:line="298" w:lineRule="auto"/>
        <w:rPr>
          <w:sz w:val="20"/>
          <w:szCs w:val="20"/>
          <w:color w:val="auto"/>
        </w:rPr>
      </w:pPr>
      <w:r>
        <w:rPr>
          <w:rFonts w:ascii="Arial" w:cs="Arial" w:eastAsia="Arial" w:hAnsi="Arial"/>
          <w:sz w:val="16"/>
          <w:szCs w:val="16"/>
          <w:b w:val="1"/>
          <w:bCs w:val="1"/>
          <w:color w:val="auto"/>
        </w:rPr>
        <w:t xml:space="preserve">1.22 “Control” </w:t>
      </w:r>
      <w:r>
        <w:rPr>
          <w:rFonts w:ascii="Arial" w:cs="Arial" w:eastAsia="Arial" w:hAnsi="Arial"/>
          <w:sz w:val="16"/>
          <w:szCs w:val="16"/>
          <w:color w:val="auto"/>
        </w:rPr>
        <w:t>or</w:t>
      </w:r>
      <w:r>
        <w:rPr>
          <w:rFonts w:ascii="Arial" w:cs="Arial" w:eastAsia="Arial" w:hAnsi="Arial"/>
          <w:sz w:val="16"/>
          <w:szCs w:val="16"/>
          <w:b w:val="1"/>
          <w:bCs w:val="1"/>
          <w:color w:val="auto"/>
        </w:rPr>
        <w:t xml:space="preserve"> “Controlled” </w:t>
      </w:r>
      <w:r>
        <w:rPr>
          <w:rFonts w:ascii="Arial" w:cs="Arial" w:eastAsia="Arial" w:hAnsi="Arial"/>
          <w:sz w:val="16"/>
          <w:szCs w:val="16"/>
          <w:color w:val="auto"/>
        </w:rPr>
        <w:t>means, with respect to any item of Know-How, Patent Right, other intellectual property right or Regulatory</w:t>
      </w:r>
      <w:r>
        <w:rPr>
          <w:rFonts w:ascii="Arial" w:cs="Arial" w:eastAsia="Arial" w:hAnsi="Arial"/>
          <w:sz w:val="16"/>
          <w:szCs w:val="16"/>
          <w:b w:val="1"/>
          <w:bCs w:val="1"/>
          <w:color w:val="auto"/>
        </w:rPr>
        <w:t xml:space="preserve"> </w:t>
      </w:r>
      <w:r>
        <w:rPr>
          <w:rFonts w:ascii="Arial" w:cs="Arial" w:eastAsia="Arial" w:hAnsi="Arial"/>
          <w:sz w:val="16"/>
          <w:szCs w:val="16"/>
          <w:color w:val="auto"/>
        </w:rPr>
        <w:t>Material, a Party has the ability (whether by sole, joint or other ownership interest, license, sublicense or otherwise, and including any such abilities which are contingent) (other than by operation of the licenses granted in this Agreement) to grant a license, sublicense, access or right to use (as applicable) under such item of Know-How, Patent Right, other intellectual property right or Regulatory Material to the other Party on the terms and conditions set forth herein at the time of such grant, in each case without breaching the terms of any agreement with a Third Party.</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1.23 “Correspondence” </w:t>
      </w:r>
      <w:r>
        <w:rPr>
          <w:rFonts w:ascii="Arial" w:cs="Arial" w:eastAsia="Arial" w:hAnsi="Arial"/>
          <w:sz w:val="18"/>
          <w:szCs w:val="18"/>
          <w:color w:val="auto"/>
        </w:rPr>
        <w:t>means that certain letter between Sanofi and RevMed dated as of the Execution Date.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1.24 “Decision-Making Committee” </w:t>
      </w:r>
      <w:r>
        <w:rPr>
          <w:rFonts w:ascii="Arial" w:cs="Arial" w:eastAsia="Arial" w:hAnsi="Arial"/>
          <w:sz w:val="18"/>
          <w:szCs w:val="18"/>
          <w:color w:val="auto"/>
        </w:rPr>
        <w:t>means each Committee (other than the JPC and JMC).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1.25 “Designated Senior Officer” </w:t>
      </w:r>
      <w:r>
        <w:rPr>
          <w:rFonts w:ascii="Arial" w:cs="Arial" w:eastAsia="Arial" w:hAnsi="Arial"/>
          <w:sz w:val="18"/>
          <w:szCs w:val="18"/>
          <w:color w:val="auto"/>
        </w:rPr>
        <w:t>means: (a) with respect to RevMed, [***] and, (b) with respect to Sanofi, [***].</w:t>
      </w:r>
    </w:p>
    <w:p>
      <w:pPr>
        <w:spacing w:after="0" w:line="225"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b w:val="1"/>
          <w:bCs w:val="1"/>
          <w:color w:val="auto"/>
        </w:rPr>
        <w:t xml:space="preserve">1.26 “Detail” </w:t>
      </w:r>
      <w:r>
        <w:rPr>
          <w:rFonts w:ascii="Arial" w:cs="Arial" w:eastAsia="Arial" w:hAnsi="Arial"/>
          <w:sz w:val="16"/>
          <w:szCs w:val="16"/>
          <w:color w:val="auto"/>
        </w:rPr>
        <w:t>means, with respect to a Co-Promotion Product in the Co-Promotion Territory, a face-to-face contact between a sales representative</w:t>
      </w:r>
      <w:r>
        <w:rPr>
          <w:rFonts w:ascii="Arial" w:cs="Arial" w:eastAsia="Arial" w:hAnsi="Arial"/>
          <w:sz w:val="16"/>
          <w:szCs w:val="16"/>
          <w:b w:val="1"/>
          <w:bCs w:val="1"/>
          <w:color w:val="auto"/>
        </w:rPr>
        <w:t xml:space="preserve"> </w:t>
      </w:r>
      <w:r>
        <w:rPr>
          <w:rFonts w:ascii="Arial" w:cs="Arial" w:eastAsia="Arial" w:hAnsi="Arial"/>
          <w:sz w:val="16"/>
          <w:szCs w:val="16"/>
          <w:color w:val="auto"/>
        </w:rPr>
        <w:t>and a physician or other medical professional licensed or authorized to prescribe drugs, during which a primary position detail or a secondary position detail is made to such person, in each case as measured by each Party’s internal recording of such activity in accordance with the Co-Promotion Agreement; provided that such meeting is consistent with and in accordance with the requirements of Applicable Law, this Agreement and the Co-Promotion Agreement. For the avoidance of doubt, the following activities will not constitute Details: e-details; sample drops; reminder details; activities conducted at conventions, exhibit booths, speaker meetings or similar gatherings; and activities performed by market development specialists, managed care account directors and other personnel not performing face-to-face sales calls or not specifically trained with respect to a Co-Promotion Product. The definition of “Detail” may be further refined in the Co-Promotion Agreement. When used as a verb, “Detail” means to engage in a Detail.</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0" w:right="459" w:bottom="1440" w:gutter="0" w:footer="0" w:header="0"/>
        </w:sectPr>
      </w:pPr>
    </w:p>
    <w:bookmarkStart w:id="295" w:name="page296"/>
    <w:bookmarkEnd w:id="295"/>
    <w:p>
      <w:pPr>
        <w:ind w:right="20" w:firstLine="440"/>
        <w:spacing w:after="0" w:line="25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1.27 “Development” </w:t>
      </w:r>
      <w:r>
        <w:rPr>
          <w:rFonts w:ascii="Arial" w:cs="Arial" w:eastAsia="Arial" w:hAnsi="Arial"/>
          <w:sz w:val="18"/>
          <w:szCs w:val="18"/>
          <w:color w:val="auto"/>
        </w:rPr>
        <w:t>means all development activities for any Product (or a Companion Diagnostic for such Product in accordance with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that are directed to obtaining Regulatory Approval(s) of such Product, including: all non-clinical, preclinical and clinical activities conducted in support of Regulatory Approval (including any Required Phase 4 Studies); testing and studies of such Product (including IND-enabling studies and translational research); toxicology, pharmacokinetic and pharmacological studies; manufacture and distribution of such Product for use in Clinical Trials (including comparators, process development and scale up, and Combination Therapies); statistical analyses; assay development; instrument design and development; protocol design and development; quality assurance and control; report writing; the preparation, filing and prosecution of any MAA for such Product; development activities directed to label expansion or obtaining Regulatory Approval for one or more additional indications following initial Regulatory Approval; health economic studies relating to the indication for which the applicable Product is being developed conducted prior to Regulatory Approval; and all regulatory affairs related to any of the foregoing. “</w:t>
      </w:r>
      <w:r>
        <w:rPr>
          <w:rFonts w:ascii="Arial" w:cs="Arial" w:eastAsia="Arial" w:hAnsi="Arial"/>
          <w:sz w:val="18"/>
          <w:szCs w:val="18"/>
          <w:b w:val="1"/>
          <w:bCs w:val="1"/>
          <w:color w:val="auto"/>
        </w:rPr>
        <w:t>Develop</w:t>
      </w:r>
      <w:r>
        <w:rPr>
          <w:rFonts w:ascii="Arial" w:cs="Arial" w:eastAsia="Arial" w:hAnsi="Arial"/>
          <w:sz w:val="18"/>
          <w:szCs w:val="18"/>
          <w:color w:val="auto"/>
        </w:rPr>
        <w:t>” and “</w:t>
      </w:r>
      <w:r>
        <w:rPr>
          <w:rFonts w:ascii="Arial" w:cs="Arial" w:eastAsia="Arial" w:hAnsi="Arial"/>
          <w:sz w:val="18"/>
          <w:szCs w:val="18"/>
          <w:b w:val="1"/>
          <w:bCs w:val="1"/>
          <w:color w:val="auto"/>
        </w:rPr>
        <w:t>Developing</w:t>
      </w:r>
      <w:r>
        <w:rPr>
          <w:rFonts w:ascii="Arial" w:cs="Arial" w:eastAsia="Arial" w:hAnsi="Arial"/>
          <w:sz w:val="18"/>
          <w:szCs w:val="18"/>
          <w:color w:val="auto"/>
        </w:rPr>
        <w:t>” have a correlative meaning.</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1.28 “Dollars” </w:t>
      </w:r>
      <w:r>
        <w:rPr>
          <w:rFonts w:ascii="Arial" w:cs="Arial" w:eastAsia="Arial" w:hAnsi="Arial"/>
          <w:sz w:val="18"/>
          <w:szCs w:val="18"/>
          <w:color w:val="auto"/>
        </w:rPr>
        <w:t>means the U.S. dollar, and “$” shall be interpreted accordingly.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1.29 “Drug Treatment Regimen” </w:t>
      </w:r>
      <w:r>
        <w:rPr>
          <w:rFonts w:ascii="Arial" w:cs="Arial" w:eastAsia="Arial" w:hAnsi="Arial"/>
          <w:sz w:val="18"/>
          <w:szCs w:val="18"/>
          <w:color w:val="auto"/>
        </w:rPr>
        <w:t>means either (a) SHP2 Inhibitor monotherapy, or (b) SHP2 Inhibitor Combination Therapy.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1.30 “EMA” </w:t>
      </w:r>
      <w:r>
        <w:rPr>
          <w:rFonts w:ascii="Arial" w:cs="Arial" w:eastAsia="Arial" w:hAnsi="Arial"/>
          <w:sz w:val="18"/>
          <w:szCs w:val="18"/>
          <w:color w:val="auto"/>
        </w:rPr>
        <w:t>means the European Medicines Agency or any successor entity thereto.</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7"/>
          <w:szCs w:val="17"/>
          <w:b w:val="1"/>
          <w:bCs w:val="1"/>
          <w:color w:val="auto"/>
        </w:rPr>
        <w:t xml:space="preserve">1.31 “EU” </w:t>
      </w:r>
      <w:r>
        <w:rPr>
          <w:rFonts w:ascii="Arial" w:cs="Arial" w:eastAsia="Arial" w:hAnsi="Arial"/>
          <w:sz w:val="17"/>
          <w:szCs w:val="17"/>
          <w:color w:val="auto"/>
        </w:rPr>
        <w:t>or the</w:t>
      </w:r>
      <w:r>
        <w:rPr>
          <w:rFonts w:ascii="Arial" w:cs="Arial" w:eastAsia="Arial" w:hAnsi="Arial"/>
          <w:sz w:val="17"/>
          <w:szCs w:val="17"/>
          <w:b w:val="1"/>
          <w:bCs w:val="1"/>
          <w:color w:val="auto"/>
        </w:rPr>
        <w:t xml:space="preserve"> “European Union” </w:t>
      </w:r>
      <w:r>
        <w:rPr>
          <w:rFonts w:ascii="Arial" w:cs="Arial" w:eastAsia="Arial" w:hAnsi="Arial"/>
          <w:sz w:val="17"/>
          <w:szCs w:val="17"/>
          <w:color w:val="auto"/>
        </w:rPr>
        <w:t>means the economic, scientific and political organization of European Union member states as it may be</w:t>
      </w:r>
      <w:r>
        <w:rPr>
          <w:rFonts w:ascii="Arial" w:cs="Arial" w:eastAsia="Arial" w:hAnsi="Arial"/>
          <w:sz w:val="17"/>
          <w:szCs w:val="17"/>
          <w:b w:val="1"/>
          <w:bCs w:val="1"/>
          <w:color w:val="auto"/>
        </w:rPr>
        <w:t xml:space="preserve"> </w:t>
      </w:r>
      <w:r>
        <w:rPr>
          <w:rFonts w:ascii="Arial" w:cs="Arial" w:eastAsia="Arial" w:hAnsi="Arial"/>
          <w:sz w:val="17"/>
          <w:szCs w:val="17"/>
          <w:color w:val="auto"/>
        </w:rPr>
        <w:t>constituted from time to time, which as of the Effective Date consists of: Austria, Belgium, Bulgaria, Croatia, Cyprus, Czech Republic, Denmark, Estonia, Finland, France, Germany, Greece, Hungary, Ireland, Italy, Latvia, Lithuania, Luxemburg, Malta, Netherlands, Poland, Portugal, Romania, Slovakia, Slovenia, Spain, Sweden and the United Kingdom, as well as Norway and Iceland. For purposes of this Agreement, the “EU” shall continue to include each foregoing territory whether or not such territory is a participating member state as of the applicable time.</w:t>
      </w:r>
    </w:p>
    <w:p>
      <w:pPr>
        <w:spacing w:after="0" w:line="168" w:lineRule="exact"/>
        <w:rPr>
          <w:sz w:val="20"/>
          <w:szCs w:val="20"/>
          <w:color w:val="auto"/>
        </w:rPr>
      </w:pPr>
    </w:p>
    <w:p>
      <w:pPr>
        <w:ind w:right="300" w:firstLine="440"/>
        <w:spacing w:after="0" w:line="312" w:lineRule="auto"/>
        <w:rPr>
          <w:sz w:val="20"/>
          <w:szCs w:val="20"/>
          <w:color w:val="auto"/>
        </w:rPr>
      </w:pPr>
      <w:r>
        <w:rPr>
          <w:rFonts w:ascii="Arial" w:cs="Arial" w:eastAsia="Arial" w:hAnsi="Arial"/>
          <w:sz w:val="17"/>
          <w:szCs w:val="17"/>
          <w:b w:val="1"/>
          <w:bCs w:val="1"/>
          <w:color w:val="auto"/>
        </w:rPr>
        <w:t xml:space="preserve">1.32 “Excluded List” </w:t>
      </w:r>
      <w:r>
        <w:rPr>
          <w:rFonts w:ascii="Arial" w:cs="Arial" w:eastAsia="Arial" w:hAnsi="Arial"/>
          <w:sz w:val="17"/>
          <w:szCs w:val="17"/>
          <w:color w:val="auto"/>
        </w:rPr>
        <w:t>means any of the United States Department of Health and Human Service’s List of Excluded Individuals/Entities or the</w:t>
      </w:r>
      <w:r>
        <w:rPr>
          <w:rFonts w:ascii="Arial" w:cs="Arial" w:eastAsia="Arial" w:hAnsi="Arial"/>
          <w:sz w:val="17"/>
          <w:szCs w:val="17"/>
          <w:b w:val="1"/>
          <w:bCs w:val="1"/>
          <w:color w:val="auto"/>
        </w:rPr>
        <w:t xml:space="preserve"> </w:t>
      </w:r>
      <w:r>
        <w:rPr>
          <w:rFonts w:ascii="Arial" w:cs="Arial" w:eastAsia="Arial" w:hAnsi="Arial"/>
          <w:sz w:val="17"/>
          <w:szCs w:val="17"/>
          <w:color w:val="auto"/>
        </w:rPr>
        <w:t>United States General Services Administration’s Lists of Parties Excluded from Federal Procurement and Non-Procurement Programs.</w:t>
      </w:r>
    </w:p>
    <w:p>
      <w:pPr>
        <w:spacing w:after="0" w:line="140"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b w:val="1"/>
          <w:bCs w:val="1"/>
          <w:color w:val="auto"/>
        </w:rPr>
        <w:t xml:space="preserve">1.33 “FCPA” </w:t>
      </w:r>
      <w:r>
        <w:rPr>
          <w:rFonts w:ascii="Arial" w:cs="Arial" w:eastAsia="Arial" w:hAnsi="Arial"/>
          <w:sz w:val="18"/>
          <w:szCs w:val="18"/>
          <w:color w:val="auto"/>
        </w:rPr>
        <w:t>means the U.S. Foreign Corrupt Practices Act of 1977, as amended, including the rules and regulations thereunder. A summary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FCPA and related information can be found at http://www.justice.gov/criminal/fraud/fcpa.</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1.34 “FDA” </w:t>
      </w:r>
      <w:r>
        <w:rPr>
          <w:rFonts w:ascii="Arial" w:cs="Arial" w:eastAsia="Arial" w:hAnsi="Arial"/>
          <w:sz w:val="18"/>
          <w:szCs w:val="18"/>
          <w:color w:val="auto"/>
        </w:rPr>
        <w:t>means the United States Food and Drug Administration or any successor entity thereto.</w:t>
      </w:r>
    </w:p>
    <w:p>
      <w:pPr>
        <w:spacing w:after="0" w:line="225"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b w:val="1"/>
          <w:bCs w:val="1"/>
          <w:color w:val="auto"/>
        </w:rPr>
        <w:t xml:space="preserve">1.35 “FFDCA” </w:t>
      </w:r>
      <w:r>
        <w:rPr>
          <w:rFonts w:ascii="Arial" w:cs="Arial" w:eastAsia="Arial" w:hAnsi="Arial"/>
          <w:sz w:val="18"/>
          <w:szCs w:val="18"/>
          <w:color w:val="auto"/>
        </w:rPr>
        <w:t>means the United States Federal Food, Drug, and Cosmetic Act, 21 U.S.C. 301, et. seq., as it may be amended from time to time,</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rules, regulations, guidance, guidelines, and requirements promulgated or issued thereunder.</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1.36 “Field” </w:t>
      </w:r>
      <w:r>
        <w:rPr>
          <w:rFonts w:ascii="Arial" w:cs="Arial" w:eastAsia="Arial" w:hAnsi="Arial"/>
          <w:sz w:val="18"/>
          <w:szCs w:val="18"/>
          <w:color w:val="auto"/>
        </w:rPr>
        <w:t>means any and all uses.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0" w:right="479" w:bottom="1440" w:gutter="0" w:footer="0" w:header="0"/>
        </w:sectPr>
      </w:pPr>
    </w:p>
    <w:bookmarkStart w:id="296" w:name="page297"/>
    <w:bookmarkEnd w:id="296"/>
    <w:p>
      <w:pPr>
        <w:ind w:firstLine="44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1.37 “First Commercial Sale” </w:t>
      </w:r>
      <w:r>
        <w:rPr>
          <w:rFonts w:ascii="Arial" w:cs="Arial" w:eastAsia="Arial" w:hAnsi="Arial"/>
          <w:sz w:val="18"/>
          <w:szCs w:val="18"/>
          <w:color w:val="auto"/>
        </w:rPr>
        <w:t>means, with respect to any Product in any country or jurisdiction, the first sale for monetary value of such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to a Third Party for distribution, use or consumption in such country or jurisdiction after Marketing Approval has been obtained for such Product in such country or jurisdiction. Sales prior to receipt of Marketing Approval for such Product, such as so-called “treatment IND sales,” “named patient sales,” and “compassionate use sales,” shall not be construed as a First Commercial Sale.</w:t>
      </w:r>
    </w:p>
    <w:p>
      <w:pPr>
        <w:spacing w:after="0" w:line="180" w:lineRule="exact"/>
        <w:rPr>
          <w:sz w:val="20"/>
          <w:szCs w:val="20"/>
          <w:color w:val="auto"/>
        </w:rPr>
      </w:pPr>
    </w:p>
    <w:p>
      <w:pPr>
        <w:ind w:right="180" w:firstLine="440"/>
        <w:spacing w:after="0" w:line="261" w:lineRule="auto"/>
        <w:rPr>
          <w:sz w:val="20"/>
          <w:szCs w:val="20"/>
          <w:color w:val="auto"/>
        </w:rPr>
      </w:pPr>
      <w:r>
        <w:rPr>
          <w:rFonts w:ascii="Arial" w:cs="Arial" w:eastAsia="Arial" w:hAnsi="Arial"/>
          <w:sz w:val="18"/>
          <w:szCs w:val="18"/>
          <w:b w:val="1"/>
          <w:bCs w:val="1"/>
          <w:color w:val="auto"/>
        </w:rPr>
        <w:t xml:space="preserve">1.38 “FTE” </w:t>
      </w:r>
      <w:r>
        <w:rPr>
          <w:rFonts w:ascii="Arial" w:cs="Arial" w:eastAsia="Arial" w:hAnsi="Arial"/>
          <w:sz w:val="18"/>
          <w:szCs w:val="18"/>
          <w:color w:val="auto"/>
        </w:rPr>
        <w:t>means a full time equivalent person year (consisting of [***] hours per year) of work as an employee or contractor [***] 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as tracked by each Party using its respective standard practice and methodologies. For clarity, [***] will not constitute FTEs. Notwithstanding the foregoing, the time of a single individual will not account for more than one FTE for a given Calendar Year (or applicable pro-rata portion of an FTE during any Calendar Quarter or other period of less than a Calendar Year).</w:t>
      </w:r>
    </w:p>
    <w:p>
      <w:pPr>
        <w:spacing w:after="0" w:line="180"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b w:val="1"/>
          <w:bCs w:val="1"/>
          <w:color w:val="auto"/>
        </w:rPr>
        <w:t xml:space="preserve">1.39 “FTE Costs” </w:t>
      </w:r>
      <w:r>
        <w:rPr>
          <w:rFonts w:ascii="Arial" w:cs="Arial" w:eastAsia="Arial" w:hAnsi="Arial"/>
          <w:sz w:val="18"/>
          <w:szCs w:val="18"/>
          <w:color w:val="auto"/>
        </w:rPr>
        <w:t>means, with respect to a Party for any period, the applicable FTE Rate multiplied by the applicable number of FTEs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Party performing the applicable activity described hereunder during such period.</w:t>
      </w:r>
    </w:p>
    <w:p>
      <w:pPr>
        <w:spacing w:after="0" w:line="162" w:lineRule="exact"/>
        <w:rPr>
          <w:sz w:val="20"/>
          <w:szCs w:val="20"/>
          <w:color w:val="auto"/>
        </w:rPr>
      </w:pPr>
    </w:p>
    <w:p>
      <w:pPr>
        <w:ind w:right="80" w:firstLine="440"/>
        <w:spacing w:after="0" w:line="261" w:lineRule="auto"/>
        <w:rPr>
          <w:sz w:val="20"/>
          <w:szCs w:val="20"/>
          <w:color w:val="auto"/>
        </w:rPr>
      </w:pPr>
      <w:r>
        <w:rPr>
          <w:rFonts w:ascii="Arial" w:cs="Arial" w:eastAsia="Arial" w:hAnsi="Arial"/>
          <w:sz w:val="18"/>
          <w:szCs w:val="18"/>
          <w:b w:val="1"/>
          <w:bCs w:val="1"/>
          <w:color w:val="auto"/>
        </w:rPr>
        <w:t xml:space="preserve">1.40 “FTE Rate” </w:t>
      </w:r>
      <w:r>
        <w:rPr>
          <w:rFonts w:ascii="Arial" w:cs="Arial" w:eastAsia="Arial" w:hAnsi="Arial"/>
          <w:sz w:val="18"/>
          <w:szCs w:val="18"/>
          <w:color w:val="auto"/>
        </w:rPr>
        <w:t>means the applicable rate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Correspondence or in any Ancillary Agreement or exhibit thereto, which</w:t>
      </w:r>
      <w:r>
        <w:rPr>
          <w:rFonts w:ascii="Arial" w:cs="Arial" w:eastAsia="Arial" w:hAnsi="Arial"/>
          <w:sz w:val="18"/>
          <w:szCs w:val="18"/>
          <w:b w:val="1"/>
          <w:bCs w:val="1"/>
          <w:color w:val="auto"/>
        </w:rPr>
        <w:t xml:space="preserve"> </w:t>
      </w:r>
      <w:r>
        <w:rPr>
          <w:rFonts w:ascii="Arial" w:cs="Arial" w:eastAsia="Arial" w:hAnsi="Arial"/>
          <w:sz w:val="18"/>
          <w:szCs w:val="18"/>
          <w:color w:val="auto"/>
        </w:rPr>
        <w:t>rate shall be adjusted annually, with each annual adjustment effective as of January 1 of each Calendar Year, with the first such annual adjustment to be made as of January 1, 2019, to correspond with respect to Research, Development, Manufacturing or Commercialization activities under the Collaboration by or on behalf of a Party, [***] preceding each such January 1.</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1.41 “GAAP” </w:t>
      </w:r>
      <w:r>
        <w:rPr>
          <w:rFonts w:ascii="Arial" w:cs="Arial" w:eastAsia="Arial" w:hAnsi="Arial"/>
          <w:sz w:val="18"/>
          <w:szCs w:val="18"/>
          <w:color w:val="auto"/>
        </w:rPr>
        <w:t>means the U.S. generally accepted accounting principles.</w:t>
      </w:r>
    </w:p>
    <w:p>
      <w:pPr>
        <w:spacing w:after="0" w:line="225" w:lineRule="exact"/>
        <w:rPr>
          <w:sz w:val="20"/>
          <w:szCs w:val="20"/>
          <w:color w:val="auto"/>
        </w:rPr>
      </w:pPr>
    </w:p>
    <w:p>
      <w:pPr>
        <w:ind w:right="40" w:firstLine="440"/>
        <w:spacing w:after="0" w:line="261" w:lineRule="auto"/>
        <w:rPr>
          <w:sz w:val="20"/>
          <w:szCs w:val="20"/>
          <w:color w:val="auto"/>
        </w:rPr>
      </w:pPr>
      <w:r>
        <w:rPr>
          <w:rFonts w:ascii="Arial" w:cs="Arial" w:eastAsia="Arial" w:hAnsi="Arial"/>
          <w:sz w:val="18"/>
          <w:szCs w:val="18"/>
          <w:b w:val="1"/>
          <w:bCs w:val="1"/>
          <w:color w:val="auto"/>
        </w:rPr>
        <w:t xml:space="preserve">1.42 “Generic Product” </w:t>
      </w:r>
      <w:r>
        <w:rPr>
          <w:rFonts w:ascii="Arial" w:cs="Arial" w:eastAsia="Arial" w:hAnsi="Arial"/>
          <w:sz w:val="18"/>
          <w:szCs w:val="18"/>
          <w:color w:val="auto"/>
        </w:rPr>
        <w:t>means, with respect to a Product, any pharmaceutical or biological product (a) that is sold by a Person other than a Party</w:t>
      </w:r>
      <w:r>
        <w:rPr>
          <w:rFonts w:ascii="Arial" w:cs="Arial" w:eastAsia="Arial" w:hAnsi="Arial"/>
          <w:sz w:val="18"/>
          <w:szCs w:val="18"/>
          <w:b w:val="1"/>
          <w:bCs w:val="1"/>
          <w:color w:val="auto"/>
        </w:rPr>
        <w:t xml:space="preserve"> </w:t>
      </w:r>
      <w:r>
        <w:rPr>
          <w:rFonts w:ascii="Arial" w:cs="Arial" w:eastAsia="Arial" w:hAnsi="Arial"/>
          <w:sz w:val="18"/>
          <w:szCs w:val="18"/>
          <w:color w:val="auto"/>
        </w:rPr>
        <w:t>or its Affiliates or Sublicensees, which Person did not purchase such product in a chain of distribution that included such Party or its Affiliate or Sublicensee as intentional participants, (b) contains, for a pharmaceutical product, the same or a bioequivalent SHP2 Inhibitor or, for a biologic product, a biosimilar or interchangeable SHP2 Inhibitor, to such Product[***].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1.43 “Genotype” </w:t>
      </w:r>
      <w:r>
        <w:rPr>
          <w:rFonts w:ascii="Arial" w:cs="Arial" w:eastAsia="Arial" w:hAnsi="Arial"/>
          <w:sz w:val="18"/>
          <w:szCs w:val="18"/>
          <w:color w:val="auto"/>
        </w:rPr>
        <w:t>means one or more [***]. In the cases where such [***].</w:t>
      </w:r>
    </w:p>
    <w:p>
      <w:pPr>
        <w:spacing w:after="0" w:line="225"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b w:val="1"/>
          <w:bCs w:val="1"/>
          <w:color w:val="auto"/>
        </w:rPr>
        <w:t xml:space="preserve">1.44 “Good Clinical Practice” </w:t>
      </w:r>
      <w:r>
        <w:rPr>
          <w:rFonts w:ascii="Arial" w:cs="Arial" w:eastAsia="Arial" w:hAnsi="Arial"/>
          <w:sz w:val="18"/>
          <w:szCs w:val="18"/>
          <w:color w:val="auto"/>
        </w:rPr>
        <w:t>or</w:t>
      </w:r>
      <w:r>
        <w:rPr>
          <w:rFonts w:ascii="Arial" w:cs="Arial" w:eastAsia="Arial" w:hAnsi="Arial"/>
          <w:sz w:val="18"/>
          <w:szCs w:val="18"/>
          <w:b w:val="1"/>
          <w:bCs w:val="1"/>
          <w:color w:val="auto"/>
        </w:rPr>
        <w:t xml:space="preserve"> “GCP” </w:t>
      </w:r>
      <w:r>
        <w:rPr>
          <w:rFonts w:ascii="Arial" w:cs="Arial" w:eastAsia="Arial" w:hAnsi="Arial"/>
          <w:sz w:val="18"/>
          <w:szCs w:val="18"/>
          <w:color w:val="auto"/>
        </w:rPr>
        <w:t>means the then-current standards for Clinical Trials for pharmaceuticals, as set forth in the Act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 and such standards of good clinical practice as are required by the Regulatory Authorities of the European Union and other organizations and Governmental Authorities in countries for which the SHP2 Inhibitor or Product is intended to be Developed, to the extent such standards are not less stringent than United States GCP.</w:t>
      </w:r>
    </w:p>
    <w:p>
      <w:pPr>
        <w:spacing w:after="0" w:line="180" w:lineRule="exact"/>
        <w:rPr>
          <w:sz w:val="20"/>
          <w:szCs w:val="20"/>
          <w:color w:val="auto"/>
        </w:rPr>
      </w:pPr>
    </w:p>
    <w:p>
      <w:pPr>
        <w:jc w:val="both"/>
        <w:ind w:right="220" w:firstLine="440"/>
        <w:spacing w:after="0" w:line="261" w:lineRule="auto"/>
        <w:rPr>
          <w:sz w:val="20"/>
          <w:szCs w:val="20"/>
          <w:color w:val="auto"/>
        </w:rPr>
      </w:pPr>
      <w:r>
        <w:rPr>
          <w:rFonts w:ascii="Arial" w:cs="Arial" w:eastAsia="Arial" w:hAnsi="Arial"/>
          <w:sz w:val="18"/>
          <w:szCs w:val="18"/>
          <w:b w:val="1"/>
          <w:bCs w:val="1"/>
          <w:color w:val="auto"/>
        </w:rPr>
        <w:t xml:space="preserve">1.45 “Good Laboratory Practice” </w:t>
      </w:r>
      <w:r>
        <w:rPr>
          <w:rFonts w:ascii="Arial" w:cs="Arial" w:eastAsia="Arial" w:hAnsi="Arial"/>
          <w:sz w:val="18"/>
          <w:szCs w:val="18"/>
          <w:color w:val="auto"/>
        </w:rPr>
        <w:t>or</w:t>
      </w:r>
      <w:r>
        <w:rPr>
          <w:rFonts w:ascii="Arial" w:cs="Arial" w:eastAsia="Arial" w:hAnsi="Arial"/>
          <w:sz w:val="18"/>
          <w:szCs w:val="18"/>
          <w:b w:val="1"/>
          <w:bCs w:val="1"/>
          <w:color w:val="auto"/>
        </w:rPr>
        <w:t xml:space="preserve"> “GLP” </w:t>
      </w:r>
      <w:r>
        <w:rPr>
          <w:rFonts w:ascii="Arial" w:cs="Arial" w:eastAsia="Arial" w:hAnsi="Arial"/>
          <w:sz w:val="18"/>
          <w:szCs w:val="18"/>
          <w:color w:val="auto"/>
        </w:rPr>
        <w:t>means the then-current standards for laboratory activities for pharmaceuticals, as set forth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Act or other Applicable Law, and such standards of good laboratory practice as are required by the Regulatory Authorities of the European Union and other organizations and Governmental Authorities in countries for which the applicable SHP2 Inhibitor or Product is intended to be Developed, to the extent such standards are not less stringent than United States GLP.</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297" w:name="page298"/>
    <w:bookmarkEnd w:id="297"/>
    <w:p>
      <w:pPr>
        <w:ind w:right="82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1.46 “Good Manufacturing Practice” </w:t>
      </w:r>
      <w:r>
        <w:rPr>
          <w:rFonts w:ascii="Arial" w:cs="Arial" w:eastAsia="Arial" w:hAnsi="Arial"/>
          <w:sz w:val="18"/>
          <w:szCs w:val="18"/>
          <w:color w:val="auto"/>
        </w:rPr>
        <w:t>or</w:t>
      </w:r>
      <w:r>
        <w:rPr>
          <w:rFonts w:ascii="Arial" w:cs="Arial" w:eastAsia="Arial" w:hAnsi="Arial"/>
          <w:sz w:val="18"/>
          <w:szCs w:val="18"/>
          <w:b w:val="1"/>
          <w:bCs w:val="1"/>
          <w:color w:val="auto"/>
        </w:rPr>
        <w:t xml:space="preserve"> “GMP” </w:t>
      </w:r>
      <w:r>
        <w:rPr>
          <w:rFonts w:ascii="Arial" w:cs="Arial" w:eastAsia="Arial" w:hAnsi="Arial"/>
          <w:sz w:val="18"/>
          <w:szCs w:val="18"/>
          <w:color w:val="auto"/>
        </w:rPr>
        <w:t>means the current good manufacturing practices applicable from time to time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of a SHP2 Inhibitor, Product or any intermediate thereof pursuant to Applicable Law.</w:t>
      </w:r>
    </w:p>
    <w:p>
      <w:pPr>
        <w:spacing w:after="0" w:line="162" w:lineRule="exact"/>
        <w:rPr>
          <w:sz w:val="20"/>
          <w:szCs w:val="20"/>
          <w:color w:val="auto"/>
        </w:rPr>
      </w:pPr>
    </w:p>
    <w:p>
      <w:pPr>
        <w:ind w:right="80" w:firstLine="440"/>
        <w:spacing w:after="0" w:line="261" w:lineRule="auto"/>
        <w:rPr>
          <w:sz w:val="20"/>
          <w:szCs w:val="20"/>
          <w:color w:val="auto"/>
        </w:rPr>
      </w:pPr>
      <w:r>
        <w:rPr>
          <w:rFonts w:ascii="Arial" w:cs="Arial" w:eastAsia="Arial" w:hAnsi="Arial"/>
          <w:sz w:val="18"/>
          <w:szCs w:val="18"/>
          <w:b w:val="1"/>
          <w:bCs w:val="1"/>
          <w:color w:val="auto"/>
        </w:rPr>
        <w:t xml:space="preserve">1.47 “Governmental Authority” </w:t>
      </w:r>
      <w:r>
        <w:rPr>
          <w:rFonts w:ascii="Arial" w:cs="Arial" w:eastAsia="Arial" w:hAnsi="Arial"/>
          <w:sz w:val="18"/>
          <w:szCs w:val="18"/>
          <w:color w:val="auto"/>
        </w:rPr>
        <w:t>means any multi-national, federal, national, state, provincial, local, municipal or other government authority of</w:t>
      </w:r>
      <w:r>
        <w:rPr>
          <w:rFonts w:ascii="Arial" w:cs="Arial" w:eastAsia="Arial" w:hAnsi="Arial"/>
          <w:sz w:val="18"/>
          <w:szCs w:val="18"/>
          <w:b w:val="1"/>
          <w:bCs w:val="1"/>
          <w:color w:val="auto"/>
        </w:rPr>
        <w:t xml:space="preserve"> </w:t>
      </w:r>
      <w:r>
        <w:rPr>
          <w:rFonts w:ascii="Arial" w:cs="Arial" w:eastAsia="Arial" w:hAnsi="Arial"/>
          <w:sz w:val="18"/>
          <w:szCs w:val="18"/>
          <w:color w:val="auto"/>
        </w:rPr>
        <w:t>any nature (including any governmental division, subdivision, commission, department, bureau, prefecture, agency, branch, office, governmental arbitrator or arbitral body, council, court or other tribunal entitled to exercise any administrative, executive, judicial, legislative, police, regulatory or taxing authority or power).</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1.48 “IFRS” </w:t>
      </w:r>
      <w:r>
        <w:rPr>
          <w:rFonts w:ascii="Arial" w:cs="Arial" w:eastAsia="Arial" w:hAnsi="Arial"/>
          <w:sz w:val="18"/>
          <w:szCs w:val="18"/>
          <w:color w:val="auto"/>
        </w:rPr>
        <w:t>means the International Financial Reporting Standards.</w:t>
      </w:r>
    </w:p>
    <w:p>
      <w:pPr>
        <w:spacing w:after="0" w:line="225" w:lineRule="exact"/>
        <w:rPr>
          <w:sz w:val="20"/>
          <w:szCs w:val="20"/>
          <w:color w:val="auto"/>
        </w:rPr>
      </w:pPr>
    </w:p>
    <w:p>
      <w:pPr>
        <w:ind w:right="300" w:firstLine="440"/>
        <w:spacing w:after="0" w:line="282" w:lineRule="auto"/>
        <w:rPr>
          <w:sz w:val="20"/>
          <w:szCs w:val="20"/>
          <w:color w:val="auto"/>
        </w:rPr>
      </w:pPr>
      <w:r>
        <w:rPr>
          <w:rFonts w:ascii="Arial" w:cs="Arial" w:eastAsia="Arial" w:hAnsi="Arial"/>
          <w:sz w:val="18"/>
          <w:szCs w:val="18"/>
          <w:b w:val="1"/>
          <w:bCs w:val="1"/>
          <w:color w:val="auto"/>
        </w:rPr>
        <w:t xml:space="preserve">1.49 “Immuno-Oncology Agent” </w:t>
      </w:r>
      <w:r>
        <w:rPr>
          <w:rFonts w:ascii="Arial" w:cs="Arial" w:eastAsia="Arial" w:hAnsi="Arial"/>
          <w:sz w:val="18"/>
          <w:szCs w:val="18"/>
          <w:color w:val="auto"/>
        </w:rPr>
        <w:t>means any treatment [***]. For clarity, Immuno-Oncology Agent shall include any treatment that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targets [***].</w:t>
      </w:r>
    </w:p>
    <w:p>
      <w:pPr>
        <w:spacing w:after="0" w:line="162" w:lineRule="exact"/>
        <w:rPr>
          <w:sz w:val="20"/>
          <w:szCs w:val="20"/>
          <w:color w:val="auto"/>
        </w:rPr>
      </w:pPr>
    </w:p>
    <w:p>
      <w:pPr>
        <w:ind w:firstLine="440"/>
        <w:spacing w:after="0" w:line="289" w:lineRule="auto"/>
        <w:rPr>
          <w:sz w:val="20"/>
          <w:szCs w:val="20"/>
          <w:color w:val="auto"/>
        </w:rPr>
      </w:pPr>
      <w:r>
        <w:rPr>
          <w:rFonts w:ascii="Arial" w:cs="Arial" w:eastAsia="Arial" w:hAnsi="Arial"/>
          <w:sz w:val="17"/>
          <w:szCs w:val="17"/>
          <w:b w:val="1"/>
          <w:bCs w:val="1"/>
          <w:color w:val="auto"/>
        </w:rPr>
        <w:t xml:space="preserve">1.50 “IND” </w:t>
      </w:r>
      <w:r>
        <w:rPr>
          <w:rFonts w:ascii="Arial" w:cs="Arial" w:eastAsia="Arial" w:hAnsi="Arial"/>
          <w:sz w:val="17"/>
          <w:szCs w:val="17"/>
          <w:color w:val="auto"/>
        </w:rPr>
        <w:t>means (a) in the United States, an Investigational New Drug Application, as defined in the Act, that is required to be filed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FDA before conducting a Clinical Trial (</w:t>
      </w:r>
      <w:r>
        <w:rPr>
          <w:rFonts w:ascii="Arial" w:cs="Arial" w:eastAsia="Arial" w:hAnsi="Arial"/>
          <w:sz w:val="17"/>
          <w:szCs w:val="17"/>
          <w:b w:val="1"/>
          <w:bCs w:val="1"/>
          <w:color w:val="auto"/>
        </w:rPr>
        <w:t>including</w:t>
      </w:r>
      <w:r>
        <w:rPr>
          <w:rFonts w:ascii="Arial" w:cs="Arial" w:eastAsia="Arial" w:hAnsi="Arial"/>
          <w:sz w:val="17"/>
          <w:szCs w:val="17"/>
          <w:color w:val="auto"/>
        </w:rPr>
        <w:t xml:space="preserve"> all supplements and amendments that may be filed with respect to the foregoing); and (b) any foreign counterpart of the foregoing filed with a Regulatory Authority in conformance with the requirements of such Regulatory Authority.</w:t>
      </w:r>
    </w:p>
    <w:p>
      <w:pPr>
        <w:spacing w:after="0" w:line="158" w:lineRule="exact"/>
        <w:rPr>
          <w:sz w:val="20"/>
          <w:szCs w:val="20"/>
          <w:color w:val="auto"/>
        </w:rPr>
      </w:pPr>
    </w:p>
    <w:p>
      <w:pPr>
        <w:ind w:right="420" w:firstLine="440"/>
        <w:spacing w:after="0" w:line="282" w:lineRule="auto"/>
        <w:rPr>
          <w:sz w:val="20"/>
          <w:szCs w:val="20"/>
          <w:color w:val="auto"/>
        </w:rPr>
      </w:pPr>
      <w:r>
        <w:rPr>
          <w:rFonts w:ascii="Arial" w:cs="Arial" w:eastAsia="Arial" w:hAnsi="Arial"/>
          <w:sz w:val="18"/>
          <w:szCs w:val="18"/>
          <w:b w:val="1"/>
          <w:bCs w:val="1"/>
          <w:color w:val="auto"/>
        </w:rPr>
        <w:t xml:space="preserve">1.51 “Indication” </w:t>
      </w:r>
      <w:r>
        <w:rPr>
          <w:rFonts w:ascii="Arial" w:cs="Arial" w:eastAsia="Arial" w:hAnsi="Arial"/>
          <w:sz w:val="18"/>
          <w:szCs w:val="18"/>
          <w:color w:val="auto"/>
        </w:rPr>
        <w:t>means a type of cancer for which Regulatory Approval for a Product is being sought that (i) is distinct from other types of</w:t>
      </w:r>
      <w:r>
        <w:rPr>
          <w:rFonts w:ascii="Arial" w:cs="Arial" w:eastAsia="Arial" w:hAnsi="Arial"/>
          <w:sz w:val="18"/>
          <w:szCs w:val="18"/>
          <w:b w:val="1"/>
          <w:bCs w:val="1"/>
          <w:color w:val="auto"/>
        </w:rPr>
        <w:t xml:space="preserve"> </w:t>
      </w:r>
      <w:r>
        <w:rPr>
          <w:rFonts w:ascii="Arial" w:cs="Arial" w:eastAsia="Arial" w:hAnsi="Arial"/>
          <w:sz w:val="18"/>
          <w:szCs w:val="18"/>
          <w:color w:val="auto"/>
        </w:rPr>
        <w:t>cancer by [***].</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1.52 “Initial R&amp;D Term” </w:t>
      </w:r>
      <w:r>
        <w:rPr>
          <w:rFonts w:ascii="Arial" w:cs="Arial" w:eastAsia="Arial" w:hAnsi="Arial"/>
          <w:sz w:val="18"/>
          <w:szCs w:val="18"/>
          <w:color w:val="auto"/>
        </w:rPr>
        <w:t>means the first [***] of the Term.</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1.53 “Initiation” </w:t>
      </w:r>
      <w:r>
        <w:rPr>
          <w:rFonts w:ascii="Arial" w:cs="Arial" w:eastAsia="Arial" w:hAnsi="Arial"/>
          <w:sz w:val="18"/>
          <w:szCs w:val="18"/>
          <w:color w:val="auto"/>
        </w:rPr>
        <w:t>means, with respect to a Clinical Trial of a Product, [***] subject for such Clinical Trial.</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1.54 “Joint Program Patents” </w:t>
      </w:r>
      <w:r>
        <w:rPr>
          <w:rFonts w:ascii="Arial" w:cs="Arial" w:eastAsia="Arial" w:hAnsi="Arial"/>
          <w:sz w:val="18"/>
          <w:szCs w:val="18"/>
          <w:color w:val="auto"/>
        </w:rPr>
        <w:t>means any Patent Right covering or claiming the Joint Program Know-How.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1.55 “Joint Program Technology” </w:t>
      </w:r>
      <w:r>
        <w:rPr>
          <w:rFonts w:ascii="Arial" w:cs="Arial" w:eastAsia="Arial" w:hAnsi="Arial"/>
          <w:sz w:val="18"/>
          <w:szCs w:val="18"/>
          <w:color w:val="auto"/>
        </w:rPr>
        <w:t>means Joint Program Know-How and Joint Program Patents.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1.56 “Knowledge” </w:t>
      </w:r>
      <w:r>
        <w:rPr>
          <w:rFonts w:ascii="Arial" w:cs="Arial" w:eastAsia="Arial" w:hAnsi="Arial"/>
          <w:sz w:val="16"/>
          <w:szCs w:val="16"/>
          <w:color w:val="auto"/>
        </w:rPr>
        <w:t>means, with respect to a Party, the actual knowledge of such Party, or what such Party should have known after due inquiry.</w:t>
      </w:r>
    </w:p>
    <w:p>
      <w:pPr>
        <w:spacing w:after="0" w:line="248" w:lineRule="exact"/>
        <w:rPr>
          <w:sz w:val="20"/>
          <w:szCs w:val="20"/>
          <w:color w:val="auto"/>
        </w:rPr>
      </w:pPr>
    </w:p>
    <w:p>
      <w:pPr>
        <w:ind w:right="20" w:firstLine="440"/>
        <w:spacing w:after="0" w:line="274" w:lineRule="auto"/>
        <w:rPr>
          <w:sz w:val="20"/>
          <w:szCs w:val="20"/>
          <w:color w:val="auto"/>
        </w:rPr>
      </w:pPr>
      <w:r>
        <w:rPr>
          <w:rFonts w:ascii="Arial" w:cs="Arial" w:eastAsia="Arial" w:hAnsi="Arial"/>
          <w:sz w:val="17"/>
          <w:szCs w:val="17"/>
          <w:b w:val="1"/>
          <w:bCs w:val="1"/>
          <w:color w:val="auto"/>
        </w:rPr>
        <w:t xml:space="preserve">1.57 “Know-How” </w:t>
      </w:r>
      <w:r>
        <w:rPr>
          <w:rFonts w:ascii="Arial" w:cs="Arial" w:eastAsia="Arial" w:hAnsi="Arial"/>
          <w:sz w:val="17"/>
          <w:szCs w:val="17"/>
          <w:color w:val="auto"/>
        </w:rPr>
        <w:t>means any information and materials, including but not limited to discoveries, inventory, information, regulatory filings,</w:t>
      </w:r>
      <w:r>
        <w:rPr>
          <w:rFonts w:ascii="Arial" w:cs="Arial" w:eastAsia="Arial" w:hAnsi="Arial"/>
          <w:sz w:val="17"/>
          <w:szCs w:val="17"/>
          <w:b w:val="1"/>
          <w:bCs w:val="1"/>
          <w:color w:val="auto"/>
        </w:rPr>
        <w:t xml:space="preserve"> </w:t>
      </w:r>
      <w:r>
        <w:rPr>
          <w:rFonts w:ascii="Arial" w:cs="Arial" w:eastAsia="Arial" w:hAnsi="Arial"/>
          <w:sz w:val="17"/>
          <w:szCs w:val="17"/>
          <w:color w:val="auto"/>
        </w:rPr>
        <w:t>processes, formulae, data, databases, protocols, inventions (whether patentable or not), improvements (whether patentable or not), invention disclosures, developments, skills, experience, know-how and trade secrets (whether patentable or not), including without limitation, all chemical, pharmaceutical, toxicological, biochemical, and biological, technical and non-technical data, and information relating to the results of tests, assays, methods, techniques, and processes, and specifications or other documents containing information and related data, and any preclinical, clinical, assay control, manufacturing, regulatory and any other data or information, but excluding any Patent Rights.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298" w:name="page299"/>
    <w:bookmarkEnd w:id="298"/>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1.58 “Licensed Territory” </w:t>
      </w:r>
      <w:r>
        <w:rPr>
          <w:rFonts w:ascii="Arial" w:cs="Arial" w:eastAsia="Arial" w:hAnsi="Arial"/>
          <w:sz w:val="18"/>
          <w:szCs w:val="18"/>
          <w:color w:val="auto"/>
        </w:rPr>
        <w:t>means all countries and territories of the world.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1.59 “Line of Therapy” </w:t>
      </w:r>
      <w:r>
        <w:rPr>
          <w:rFonts w:ascii="Arial" w:cs="Arial" w:eastAsia="Arial" w:hAnsi="Arial"/>
          <w:sz w:val="18"/>
          <w:szCs w:val="18"/>
          <w:color w:val="auto"/>
        </w:rPr>
        <w:t>means the treatment with a Product [***].</w:t>
      </w:r>
    </w:p>
    <w:p>
      <w:pPr>
        <w:spacing w:after="0" w:line="225"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b w:val="1"/>
          <w:bCs w:val="1"/>
          <w:color w:val="auto"/>
        </w:rPr>
        <w:t xml:space="preserve">1.60 “Losses” </w:t>
      </w:r>
      <w:r>
        <w:rPr>
          <w:rFonts w:ascii="Arial" w:cs="Arial" w:eastAsia="Arial" w:hAnsi="Arial"/>
          <w:sz w:val="18"/>
          <w:szCs w:val="18"/>
          <w:color w:val="auto"/>
        </w:rPr>
        <w:t>means any and all liability, loss, damage, injury, costs or expenses (including reasonable attorneys’ fees and expenses of litigation)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any kind.</w:t>
      </w:r>
    </w:p>
    <w:p>
      <w:pPr>
        <w:spacing w:after="0" w:line="162"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1.61 “MAA” </w:t>
      </w:r>
      <w:r>
        <w:rPr>
          <w:rFonts w:ascii="Arial" w:cs="Arial" w:eastAsia="Arial" w:hAnsi="Arial"/>
          <w:sz w:val="18"/>
          <w:szCs w:val="18"/>
          <w:color w:val="auto"/>
        </w:rPr>
        <w:t>or</w:t>
      </w:r>
      <w:r>
        <w:rPr>
          <w:rFonts w:ascii="Arial" w:cs="Arial" w:eastAsia="Arial" w:hAnsi="Arial"/>
          <w:sz w:val="18"/>
          <w:szCs w:val="18"/>
          <w:b w:val="1"/>
          <w:bCs w:val="1"/>
          <w:color w:val="auto"/>
        </w:rPr>
        <w:t xml:space="preserve"> “Marketing Authorization Application” </w:t>
      </w:r>
      <w:r>
        <w:rPr>
          <w:rFonts w:ascii="Arial" w:cs="Arial" w:eastAsia="Arial" w:hAnsi="Arial"/>
          <w:sz w:val="18"/>
          <w:szCs w:val="18"/>
          <w:color w:val="auto"/>
        </w:rPr>
        <w:t>means an application to the appropriate Regulatory Authority for Marketing Approval</w:t>
      </w:r>
      <w:r>
        <w:rPr>
          <w:rFonts w:ascii="Arial" w:cs="Arial" w:eastAsia="Arial" w:hAnsi="Arial"/>
          <w:sz w:val="18"/>
          <w:szCs w:val="18"/>
          <w:b w:val="1"/>
          <w:bCs w:val="1"/>
          <w:color w:val="auto"/>
        </w:rPr>
        <w:t xml:space="preserve"> </w:t>
      </w:r>
      <w:r>
        <w:rPr>
          <w:rFonts w:ascii="Arial" w:cs="Arial" w:eastAsia="Arial" w:hAnsi="Arial"/>
          <w:sz w:val="18"/>
          <w:szCs w:val="18"/>
          <w:color w:val="auto"/>
        </w:rPr>
        <w:t>(but excluding pricing approval) in the Field in any particular jurisdiction (including, without limitation, a New Drug Application in the U.S.) and all amendments and supplements thereto.</w:t>
      </w:r>
    </w:p>
    <w:p>
      <w:pPr>
        <w:spacing w:after="0" w:line="176" w:lineRule="exact"/>
        <w:rPr>
          <w:sz w:val="20"/>
          <w:szCs w:val="20"/>
          <w:color w:val="auto"/>
        </w:rPr>
      </w:pPr>
    </w:p>
    <w:p>
      <w:pPr>
        <w:jc w:val="both"/>
        <w:ind w:right="80" w:firstLine="440"/>
        <w:spacing w:after="0" w:line="266" w:lineRule="auto"/>
        <w:rPr>
          <w:sz w:val="20"/>
          <w:szCs w:val="20"/>
          <w:color w:val="auto"/>
        </w:rPr>
      </w:pPr>
      <w:r>
        <w:rPr>
          <w:rFonts w:ascii="Arial" w:cs="Arial" w:eastAsia="Arial" w:hAnsi="Arial"/>
          <w:sz w:val="18"/>
          <w:szCs w:val="18"/>
          <w:b w:val="1"/>
          <w:bCs w:val="1"/>
          <w:color w:val="auto"/>
        </w:rPr>
        <w:t xml:space="preserve">1.62 “Major Biopharmaceutical Company” </w:t>
      </w:r>
      <w:r>
        <w:rPr>
          <w:rFonts w:ascii="Arial" w:cs="Arial" w:eastAsia="Arial" w:hAnsi="Arial"/>
          <w:sz w:val="18"/>
          <w:szCs w:val="18"/>
          <w:color w:val="auto"/>
        </w:rPr>
        <w:t>means (a) any entity that develops or commercializes healthcare products for human consumption</w:t>
      </w:r>
      <w:r>
        <w:rPr>
          <w:rFonts w:ascii="Arial" w:cs="Arial" w:eastAsia="Arial" w:hAnsi="Arial"/>
          <w:sz w:val="18"/>
          <w:szCs w:val="18"/>
          <w:b w:val="1"/>
          <w:bCs w:val="1"/>
          <w:color w:val="auto"/>
        </w:rPr>
        <w:t xml:space="preserve"> </w:t>
      </w:r>
      <w:r>
        <w:rPr>
          <w:rFonts w:ascii="Arial" w:cs="Arial" w:eastAsia="Arial" w:hAnsi="Arial"/>
          <w:sz w:val="18"/>
          <w:szCs w:val="18"/>
          <w:color w:val="auto"/>
        </w:rPr>
        <w:t>that has a fully diluted market capitalization of at least $[***] as measured at the closing price on the last day of the preceding Calendar Quarter during which the measurement is taken or any Affiliate of such entity or (b) any entity that has [***].</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1.63 “Major Market Countries” </w:t>
      </w:r>
      <w:r>
        <w:rPr>
          <w:rFonts w:ascii="Arial" w:cs="Arial" w:eastAsia="Arial" w:hAnsi="Arial"/>
          <w:sz w:val="18"/>
          <w:szCs w:val="18"/>
          <w:color w:val="auto"/>
        </w:rPr>
        <w:t>means the [***].</w:t>
      </w:r>
    </w:p>
    <w:p>
      <w:pPr>
        <w:spacing w:after="0" w:line="225"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b w:val="1"/>
          <w:bCs w:val="1"/>
          <w:color w:val="auto"/>
        </w:rPr>
        <w:t xml:space="preserve">1.64 “Manufacture” </w:t>
      </w:r>
      <w:r>
        <w:rPr>
          <w:rFonts w:ascii="Arial" w:cs="Arial" w:eastAsia="Arial" w:hAnsi="Arial"/>
          <w:sz w:val="18"/>
          <w:szCs w:val="18"/>
          <w:color w:val="auto"/>
        </w:rPr>
        <w:t>and</w:t>
      </w:r>
      <w:r>
        <w:rPr>
          <w:rFonts w:ascii="Arial" w:cs="Arial" w:eastAsia="Arial" w:hAnsi="Arial"/>
          <w:sz w:val="18"/>
          <w:szCs w:val="18"/>
          <w:b w:val="1"/>
          <w:bCs w:val="1"/>
          <w:color w:val="auto"/>
        </w:rPr>
        <w:t xml:space="preserve"> “Manufacturing” </w:t>
      </w:r>
      <w:r>
        <w:rPr>
          <w:rFonts w:ascii="Arial" w:cs="Arial" w:eastAsia="Arial" w:hAnsi="Arial"/>
          <w:sz w:val="18"/>
          <w:szCs w:val="18"/>
          <w:color w:val="auto"/>
        </w:rPr>
        <w:t>mean activities directed to manufacturing, processing, filling, finishing, packaging, labeling, quality</w:t>
      </w:r>
      <w:r>
        <w:rPr>
          <w:rFonts w:ascii="Arial" w:cs="Arial" w:eastAsia="Arial" w:hAnsi="Arial"/>
          <w:sz w:val="18"/>
          <w:szCs w:val="18"/>
          <w:b w:val="1"/>
          <w:bCs w:val="1"/>
          <w:color w:val="auto"/>
        </w:rPr>
        <w:t xml:space="preserve"> </w:t>
      </w:r>
      <w:r>
        <w:rPr>
          <w:rFonts w:ascii="Arial" w:cs="Arial" w:eastAsia="Arial" w:hAnsi="Arial"/>
          <w:sz w:val="18"/>
          <w:szCs w:val="18"/>
          <w:color w:val="auto"/>
        </w:rPr>
        <w:t>assurance testing and release, storing and transporting any Product, SHP2 Inhibitors or any intermediate or component thereof, including manufacturing and analytical development, process and formulation development, process qualification, process validation, scale-up, pre-clinical, clinical and commercial manufacture and analytic development, product characterization, stability testing, quality assurance and quality control, and chemistry, manufacturing and controls.</w:t>
      </w:r>
    </w:p>
    <w:p>
      <w:pPr>
        <w:spacing w:after="0" w:line="183" w:lineRule="exact"/>
        <w:rPr>
          <w:sz w:val="20"/>
          <w:szCs w:val="20"/>
          <w:color w:val="auto"/>
        </w:rPr>
      </w:pPr>
    </w:p>
    <w:p>
      <w:pPr>
        <w:ind w:right="60" w:firstLine="440"/>
        <w:spacing w:after="0" w:line="289" w:lineRule="auto"/>
        <w:rPr>
          <w:sz w:val="20"/>
          <w:szCs w:val="20"/>
          <w:color w:val="auto"/>
        </w:rPr>
      </w:pPr>
      <w:r>
        <w:rPr>
          <w:rFonts w:ascii="Arial" w:cs="Arial" w:eastAsia="Arial" w:hAnsi="Arial"/>
          <w:sz w:val="17"/>
          <w:szCs w:val="17"/>
          <w:b w:val="1"/>
          <w:bCs w:val="1"/>
          <w:color w:val="auto"/>
        </w:rPr>
        <w:t xml:space="preserve">1.65 “Manufacturing Costs” </w:t>
      </w:r>
      <w:r>
        <w:rPr>
          <w:rFonts w:ascii="Arial" w:cs="Arial" w:eastAsia="Arial" w:hAnsi="Arial"/>
          <w:sz w:val="17"/>
          <w:szCs w:val="17"/>
          <w:color w:val="auto"/>
        </w:rPr>
        <w:t>means, with respect to a Product, the costs incurred by a Party or its Affiliate or Sublicensee in connection with</w:t>
      </w:r>
      <w:r>
        <w:rPr>
          <w:rFonts w:ascii="Arial" w:cs="Arial" w:eastAsia="Arial" w:hAnsi="Arial"/>
          <w:sz w:val="17"/>
          <w:szCs w:val="17"/>
          <w:b w:val="1"/>
          <w:bCs w:val="1"/>
          <w:color w:val="auto"/>
        </w:rPr>
        <w:t xml:space="preserve"> </w:t>
      </w:r>
      <w:r>
        <w:rPr>
          <w:rFonts w:ascii="Arial" w:cs="Arial" w:eastAsia="Arial" w:hAnsi="Arial"/>
          <w:sz w:val="17"/>
          <w:szCs w:val="17"/>
          <w:color w:val="auto"/>
        </w:rPr>
        <w:t>Manufacturing or purchasing from a Third Party, as applicable, each Product that is either (a) supplied by a Third Party, or (b) manufactured directly by a Party or an Affiliate or Sublicensee of such Party, determined as follows and in accordance with Accounting Standards:</w:t>
      </w:r>
    </w:p>
    <w:p>
      <w:pPr>
        <w:spacing w:after="0" w:line="16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the case of clause (a) above, Manufacturing Costs means [***]. To the extent any non-refundable or non-creditable value added or similar tax is due with respect to amounts paid to such Third Party for Manufacture of any portion of a Product, such amounts shall be considered Manufacturing Costs under this clause (a).</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the case of clause (b) above, Manufacturing Costs means: (i) [***] and a reasonable allocation of [***], which allocation is made [***]; (ii) [***]; and (iii) a reasonable allocation of [***]. All components of Manufacturing Costs shall be allocated [***].</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Such Party may elect, in its sole discretion, to [***] the above Manufacturing Cost definition.</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40" w:top="270" w:right="499" w:bottom="1440" w:gutter="0" w:footer="0" w:header="0"/>
        </w:sectPr>
      </w:pPr>
    </w:p>
    <w:bookmarkStart w:id="299" w:name="page300"/>
    <w:bookmarkEnd w:id="29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Third Party payments shall be included on a pass-through basis for purposes of clause (a) or clause (b) above.</w:t>
      </w:r>
    </w:p>
    <w:p>
      <w:pPr>
        <w:spacing w:after="0" w:line="221"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b w:val="1"/>
          <w:bCs w:val="1"/>
          <w:color w:val="auto"/>
        </w:rPr>
        <w:t xml:space="preserve">1.66 “Marketing Approval” </w:t>
      </w:r>
      <w:r>
        <w:rPr>
          <w:rFonts w:ascii="Arial" w:cs="Arial" w:eastAsia="Arial" w:hAnsi="Arial"/>
          <w:sz w:val="18"/>
          <w:szCs w:val="18"/>
          <w:color w:val="auto"/>
        </w:rPr>
        <w:t>means all Regulatory Approvals necessary for the commercial sale of a Product in the Field in a given country or</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jurisdiction, including pricing and reimbursement approval.</w:t>
      </w:r>
    </w:p>
    <w:p>
      <w:pPr>
        <w:spacing w:after="0" w:line="162" w:lineRule="exact"/>
        <w:rPr>
          <w:sz w:val="20"/>
          <w:szCs w:val="20"/>
          <w:color w:val="auto"/>
        </w:rPr>
      </w:pPr>
    </w:p>
    <w:p>
      <w:pPr>
        <w:ind w:firstLine="440"/>
        <w:spacing w:after="0" w:line="294" w:lineRule="auto"/>
        <w:rPr>
          <w:sz w:val="20"/>
          <w:szCs w:val="20"/>
          <w:color w:val="auto"/>
        </w:rPr>
      </w:pPr>
      <w:r>
        <w:rPr>
          <w:rFonts w:ascii="Arial" w:cs="Arial" w:eastAsia="Arial" w:hAnsi="Arial"/>
          <w:sz w:val="16"/>
          <w:szCs w:val="16"/>
          <w:b w:val="1"/>
          <w:bCs w:val="1"/>
          <w:color w:val="auto"/>
        </w:rPr>
        <w:t xml:space="preserve">1.67 “Material Adverse Event” </w:t>
      </w:r>
      <w:r>
        <w:rPr>
          <w:rFonts w:ascii="Arial" w:cs="Arial" w:eastAsia="Arial" w:hAnsi="Arial"/>
          <w:sz w:val="16"/>
          <w:szCs w:val="16"/>
          <w:color w:val="auto"/>
        </w:rPr>
        <w:t>means any event, occurrence, condition, change, circumstance, development, effect or state of facts that has had</w:t>
      </w:r>
      <w:r>
        <w:rPr>
          <w:rFonts w:ascii="Arial" w:cs="Arial" w:eastAsia="Arial" w:hAnsi="Arial"/>
          <w:sz w:val="16"/>
          <w:szCs w:val="16"/>
          <w:b w:val="1"/>
          <w:bCs w:val="1"/>
          <w:color w:val="auto"/>
        </w:rPr>
        <w:t xml:space="preserve"> </w:t>
      </w:r>
      <w:r>
        <w:rPr>
          <w:rFonts w:ascii="Arial" w:cs="Arial" w:eastAsia="Arial" w:hAnsi="Arial"/>
          <w:sz w:val="16"/>
          <w:szCs w:val="16"/>
          <w:color w:val="auto"/>
        </w:rPr>
        <w:t>or would reasonably be expected to have, individually or in the aggregate, materially adverse to [***]; provided, however, that “Material Adverse Effect” shall not include the effect of any event, occurrence, condition, change, circumstance, development, effect or state of facts arising out of or attributable to any of the following, either alone or in combination: [***], in each case of clauses (i), (ii) or (iv) only to the extent such event, occurrence, condition, change, circumstance, development, effect or state of facts has a disproportionate effect on a Party or its Affiliates as compared to other participants operating in the biopharmaceutical industry in the same markets in which such Party or its Affiliates conduct their businesses.</w:t>
      </w:r>
    </w:p>
    <w:p>
      <w:pPr>
        <w:spacing w:after="0" w:line="160"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b w:val="1"/>
          <w:bCs w:val="1"/>
          <w:color w:val="auto"/>
        </w:rPr>
        <w:t xml:space="preserve">1.68 “NDA” </w:t>
      </w:r>
      <w:r>
        <w:rPr>
          <w:rFonts w:ascii="Arial" w:cs="Arial" w:eastAsia="Arial" w:hAnsi="Arial"/>
          <w:sz w:val="18"/>
          <w:szCs w:val="18"/>
          <w:color w:val="auto"/>
        </w:rPr>
        <w:t>means (a) in the United States, a New Drug Application or Biologics License Application that is submitted to the FDA for</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Approval for a Product, and (b) any foreign counterpart of either of the foregoing filed with a Regulatory Authority in conformance with the requirements of such Regulatory Authority.</w:t>
      </w:r>
    </w:p>
    <w:p>
      <w:pPr>
        <w:spacing w:after="0" w:line="176" w:lineRule="exact"/>
        <w:rPr>
          <w:sz w:val="20"/>
          <w:szCs w:val="20"/>
          <w:color w:val="auto"/>
        </w:rPr>
      </w:pPr>
    </w:p>
    <w:p>
      <w:pPr>
        <w:ind w:right="200" w:firstLine="440"/>
        <w:spacing w:after="0" w:line="261" w:lineRule="auto"/>
        <w:rPr>
          <w:sz w:val="20"/>
          <w:szCs w:val="20"/>
          <w:color w:val="auto"/>
        </w:rPr>
      </w:pPr>
      <w:r>
        <w:rPr>
          <w:rFonts w:ascii="Arial" w:cs="Arial" w:eastAsia="Arial" w:hAnsi="Arial"/>
          <w:sz w:val="18"/>
          <w:szCs w:val="18"/>
          <w:b w:val="1"/>
          <w:bCs w:val="1"/>
          <w:color w:val="auto"/>
        </w:rPr>
        <w:t xml:space="preserve">1.69 “Net Sales” </w:t>
      </w:r>
      <w:r>
        <w:rPr>
          <w:rFonts w:ascii="Arial" w:cs="Arial" w:eastAsia="Arial" w:hAnsi="Arial"/>
          <w:sz w:val="18"/>
          <w:szCs w:val="18"/>
          <w:color w:val="auto"/>
        </w:rPr>
        <w:t>means, with respect to a Product for any period, the gross amount billed or invoiced by Sanofi, its Affiliates or its or their</w:t>
      </w:r>
      <w:r>
        <w:rPr>
          <w:rFonts w:ascii="Arial" w:cs="Arial" w:eastAsia="Arial" w:hAnsi="Arial"/>
          <w:sz w:val="18"/>
          <w:szCs w:val="18"/>
          <w:b w:val="1"/>
          <w:bCs w:val="1"/>
          <w:color w:val="auto"/>
        </w:rPr>
        <w:t xml:space="preserve"> </w:t>
      </w:r>
      <w:r>
        <w:rPr>
          <w:rFonts w:ascii="Arial" w:cs="Arial" w:eastAsia="Arial" w:hAnsi="Arial"/>
          <w:sz w:val="18"/>
          <w:szCs w:val="18"/>
          <w:color w:val="auto"/>
        </w:rPr>
        <w:t>Sublicensees for the sale of a Product to Third Parties (including Distributors) commencing with the First Commercial Sale of such Product less the following deductions determined in accordance with Accounting Standards from such gross amounts which are actually incurred, allowed, accrued or specifically allocated:</w:t>
      </w:r>
    </w:p>
    <w:p>
      <w:pPr>
        <w:spacing w:after="0" w:line="89" w:lineRule="exact"/>
        <w:rPr>
          <w:sz w:val="20"/>
          <w:szCs w:val="20"/>
          <w:color w:val="auto"/>
        </w:rPr>
      </w:pPr>
    </w:p>
    <w:p>
      <w:pPr>
        <w:ind w:left="960" w:hanging="532"/>
        <w:spacing w:after="0"/>
        <w:tabs>
          <w:tab w:leader="none" w:pos="9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300" w:name="page301"/>
    <w:bookmarkEnd w:id="300"/>
    <w:p>
      <w:pPr>
        <w:jc w:val="both"/>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of the deductions listed above that involves a payment by such Party, its Affiliates or its or their Sublicensees shall be taken as a deduction in the Calendar Quarter in which the payment is accrued by such entity. For purposes of determining Net Sales, a Product shall be deemed to be sold when [***]. Net Sales shall not include [***]. Such Party’s, its Affiliates’ or its or their Sublicensees’ transfer of any Product to an Affiliate or Sublicensee shall not result in any Net Sales unless the transferee is an end user.</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the event that a Product is sold in any country in the form of a Combination Product, Net Sales of such Combination Product shall be adjusted by [***]; provided that the invoice price [***]. If either such Product that contains the SHP2 Inhibitor(s) as its sole active ingredient or any such product that contains active ingredient(s) other than the SHP2 Inhibitor(s) is not sold separately in a particular country, then the adjustment to Net Sales shall be [***].</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the case of pharmacy incentive programs, hospital performance incentive programs, chargebacks, disease management programs, similar programs or discounts on portfolio product offerings, [***]; provided that [***] shall be done in accordance with Applicable Law, including any price reporting laws, rules and regulations.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above, Net Sales shall be calculated [***].</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1.70 “Non-SHP2 Collaboration Product” </w:t>
      </w:r>
      <w:r>
        <w:rPr>
          <w:rFonts w:ascii="Arial" w:cs="Arial" w:eastAsia="Arial" w:hAnsi="Arial"/>
          <w:sz w:val="18"/>
          <w:szCs w:val="18"/>
          <w:color w:val="auto"/>
        </w:rPr>
        <w:t>means for any Drug Treatment Regimen under the Collaboration that is [***].</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1.71 “Non-SHP2 Same Class Product” </w:t>
      </w:r>
      <w:r>
        <w:rPr>
          <w:rFonts w:ascii="Arial" w:cs="Arial" w:eastAsia="Arial" w:hAnsi="Arial"/>
          <w:sz w:val="18"/>
          <w:szCs w:val="18"/>
          <w:color w:val="auto"/>
        </w:rPr>
        <w:t>means, with respect to a Non-SHP2 Collaboration Product, any [***].</w:t>
      </w:r>
    </w:p>
    <w:p>
      <w:pPr>
        <w:spacing w:after="0" w:line="225" w:lineRule="exact"/>
        <w:rPr>
          <w:sz w:val="20"/>
          <w:szCs w:val="20"/>
          <w:color w:val="auto"/>
        </w:rPr>
      </w:pPr>
    </w:p>
    <w:p>
      <w:pPr>
        <w:ind w:right="460" w:firstLine="440"/>
        <w:spacing w:after="0" w:line="282" w:lineRule="auto"/>
        <w:rPr>
          <w:sz w:val="20"/>
          <w:szCs w:val="20"/>
          <w:color w:val="auto"/>
        </w:rPr>
      </w:pPr>
      <w:r>
        <w:rPr>
          <w:rFonts w:ascii="Arial" w:cs="Arial" w:eastAsia="Arial" w:hAnsi="Arial"/>
          <w:sz w:val="18"/>
          <w:szCs w:val="18"/>
          <w:b w:val="1"/>
          <w:bCs w:val="1"/>
          <w:color w:val="auto"/>
        </w:rPr>
        <w:t xml:space="preserve">1.72 “Other SHP2 Inhibitor” </w:t>
      </w:r>
      <w:r>
        <w:rPr>
          <w:rFonts w:ascii="Arial" w:cs="Arial" w:eastAsia="Arial" w:hAnsi="Arial"/>
          <w:sz w:val="18"/>
          <w:szCs w:val="18"/>
          <w:color w:val="auto"/>
        </w:rPr>
        <w:t>means any small molecule or biologic compound that (a) satisfies the criteria specified in the SHP2 Inhibitor</w:t>
      </w:r>
      <w:r>
        <w:rPr>
          <w:rFonts w:ascii="Arial" w:cs="Arial" w:eastAsia="Arial" w:hAnsi="Arial"/>
          <w:sz w:val="18"/>
          <w:szCs w:val="18"/>
          <w:b w:val="1"/>
          <w:bCs w:val="1"/>
          <w:color w:val="auto"/>
        </w:rPr>
        <w:t xml:space="preserve"> </w:t>
      </w:r>
      <w:r>
        <w:rPr>
          <w:rFonts w:ascii="Arial" w:cs="Arial" w:eastAsia="Arial" w:hAnsi="Arial"/>
          <w:sz w:val="18"/>
          <w:szCs w:val="18"/>
          <w:color w:val="auto"/>
        </w:rPr>
        <w:t>Criteria and (b) is not a SHP2 Inhibitor that is Controlled by RevMed or its Affiliates.</w:t>
      </w:r>
    </w:p>
    <w:p>
      <w:pPr>
        <w:spacing w:after="0" w:line="162"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b w:val="1"/>
          <w:bCs w:val="1"/>
          <w:color w:val="auto"/>
        </w:rPr>
        <w:t xml:space="preserve">1.73 “Patent Rights” </w:t>
      </w:r>
      <w:r>
        <w:rPr>
          <w:rFonts w:ascii="Arial" w:cs="Arial" w:eastAsia="Arial" w:hAnsi="Arial"/>
          <w:sz w:val="18"/>
          <w:szCs w:val="18"/>
          <w:color w:val="auto"/>
        </w:rPr>
        <w:t>means any and all national, regional and international (a) issued patents and pending patent applications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provisional patent applications), (b) patent applications filed either from the foregoing or from an application claiming priority to the foregoing, including all provisional applications, converted provisionals, substitutions, continuations, continuations-in-part, divisions, renewals and continued prosecution applications, and all patents granted thereon, (c) patents-of-addition, revalidations, reissues, reexaminations and extensions or restorations by existing or future extension or restoration mechanisms, including patent term adjustments, patent term extensions, supplementary protection certificates or the equivalent thereof, (d) inventor’s certificates, utility models, petty patents, innovation patents and design patents, (e) other forms of government-issued rights substantially similar to any of the foregoing, including so-called pipeline protection or any importation, revalidation, confirmation or introduction patent or registration patent or patent of additions to any of such foregoing and (f) United States and foreign counterparts of any of the foregoing.</w:t>
      </w:r>
    </w:p>
    <w:p>
      <w:pPr>
        <w:spacing w:after="0" w:line="188" w:lineRule="exact"/>
        <w:rPr>
          <w:sz w:val="20"/>
          <w:szCs w:val="20"/>
          <w:color w:val="auto"/>
        </w:rPr>
      </w:pPr>
    </w:p>
    <w:p>
      <w:pPr>
        <w:ind w:right="60" w:firstLine="440"/>
        <w:spacing w:after="0" w:line="261" w:lineRule="auto"/>
        <w:rPr>
          <w:sz w:val="20"/>
          <w:szCs w:val="20"/>
          <w:color w:val="auto"/>
        </w:rPr>
      </w:pPr>
      <w:r>
        <w:rPr>
          <w:rFonts w:ascii="Arial" w:cs="Arial" w:eastAsia="Arial" w:hAnsi="Arial"/>
          <w:sz w:val="18"/>
          <w:szCs w:val="18"/>
          <w:b w:val="1"/>
          <w:bCs w:val="1"/>
          <w:color w:val="auto"/>
        </w:rPr>
        <w:t xml:space="preserve">1.74 “Permitted Contractors or Researchers” </w:t>
      </w:r>
      <w:r>
        <w:rPr>
          <w:rFonts w:ascii="Arial" w:cs="Arial" w:eastAsia="Arial" w:hAnsi="Arial"/>
          <w:sz w:val="18"/>
          <w:szCs w:val="18"/>
          <w:color w:val="auto"/>
        </w:rPr>
        <w:t>means (a) any Third Party independent contractor that RevMed has entered into a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with prior to the Effective Date and which Person is listed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of the Correspondence, (b) any other Third Party to which Sanofi consents in writing as a subcontractor of RevMed pursuant to Section 3.4, and (c) any named Third Party set forth in the Research Plan or Development Plan.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301" w:name="page302"/>
    <w:bookmarkEnd w:id="301"/>
    <w:p>
      <w:pPr>
        <w:ind w:right="14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1.75 “Person” </w:t>
      </w:r>
      <w:r>
        <w:rPr>
          <w:rFonts w:ascii="Arial" w:cs="Arial" w:eastAsia="Arial" w:hAnsi="Arial"/>
          <w:sz w:val="18"/>
          <w:szCs w:val="18"/>
          <w:color w:val="auto"/>
        </w:rPr>
        <w:t>means any individual, partnership, limited liability company, firm, corporation, association, trust, unincorporated organization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entity.</w:t>
      </w:r>
    </w:p>
    <w:p>
      <w:pPr>
        <w:spacing w:after="0" w:line="162" w:lineRule="exact"/>
        <w:rPr>
          <w:sz w:val="20"/>
          <w:szCs w:val="20"/>
          <w:color w:val="auto"/>
        </w:rPr>
      </w:pPr>
    </w:p>
    <w:p>
      <w:pPr>
        <w:ind w:right="160" w:firstLine="440"/>
        <w:spacing w:after="0" w:line="261" w:lineRule="auto"/>
        <w:rPr>
          <w:sz w:val="20"/>
          <w:szCs w:val="20"/>
          <w:color w:val="auto"/>
        </w:rPr>
      </w:pPr>
      <w:r>
        <w:rPr>
          <w:rFonts w:ascii="Arial" w:cs="Arial" w:eastAsia="Arial" w:hAnsi="Arial"/>
          <w:sz w:val="18"/>
          <w:szCs w:val="18"/>
          <w:b w:val="1"/>
          <w:bCs w:val="1"/>
          <w:color w:val="auto"/>
        </w:rPr>
        <w:t xml:space="preserve">1.76 “Phase 1 Clinical Trial” </w:t>
      </w:r>
      <w:r>
        <w:rPr>
          <w:rFonts w:ascii="Arial" w:cs="Arial" w:eastAsia="Arial" w:hAnsi="Arial"/>
          <w:sz w:val="18"/>
          <w:szCs w:val="18"/>
          <w:color w:val="auto"/>
        </w:rPr>
        <w:t>means a Clinical Trial of a Product that generally provides for the first introduction into humans of such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primary purpose of determining metabolism and pharmacokinetic properties and side effects of such product, in a manner that is generally consistent with 21 C.F.R. § 312.21(a), as amended (or its successor regulation), excluding, for clarity, any investigator-initiated Clinical Trials unless agreed to by the JRDC.</w:t>
      </w:r>
    </w:p>
    <w:p>
      <w:pPr>
        <w:spacing w:after="0" w:line="180" w:lineRule="exact"/>
        <w:rPr>
          <w:sz w:val="20"/>
          <w:szCs w:val="20"/>
          <w:color w:val="auto"/>
        </w:rPr>
      </w:pPr>
    </w:p>
    <w:p>
      <w:pPr>
        <w:ind w:firstLine="440"/>
        <w:spacing w:after="0" w:line="298" w:lineRule="auto"/>
        <w:rPr>
          <w:sz w:val="20"/>
          <w:szCs w:val="20"/>
          <w:color w:val="auto"/>
        </w:rPr>
      </w:pPr>
      <w:r>
        <w:rPr>
          <w:rFonts w:ascii="Arial" w:cs="Arial" w:eastAsia="Arial" w:hAnsi="Arial"/>
          <w:sz w:val="16"/>
          <w:szCs w:val="16"/>
          <w:b w:val="1"/>
          <w:bCs w:val="1"/>
          <w:color w:val="auto"/>
        </w:rPr>
        <w:t xml:space="preserve">1.77 “Phase 2 Clinical Trial” </w:t>
      </w:r>
      <w:r>
        <w:rPr>
          <w:rFonts w:ascii="Arial" w:cs="Arial" w:eastAsia="Arial" w:hAnsi="Arial"/>
          <w:sz w:val="16"/>
          <w:szCs w:val="16"/>
          <w:color w:val="auto"/>
        </w:rPr>
        <w:t>means a Clinical Trial of a Product conducted on a sufficient number of subjects for evaluating (and the principal</w:t>
      </w:r>
      <w:r>
        <w:rPr>
          <w:rFonts w:ascii="Arial" w:cs="Arial" w:eastAsia="Arial" w:hAnsi="Arial"/>
          <w:sz w:val="16"/>
          <w:szCs w:val="16"/>
          <w:b w:val="1"/>
          <w:bCs w:val="1"/>
          <w:color w:val="auto"/>
        </w:rPr>
        <w:t xml:space="preserve"> </w:t>
      </w:r>
      <w:r>
        <w:rPr>
          <w:rFonts w:ascii="Arial" w:cs="Arial" w:eastAsia="Arial" w:hAnsi="Arial"/>
          <w:sz w:val="16"/>
          <w:szCs w:val="16"/>
          <w:color w:val="auto"/>
        </w:rPr>
        <w:t>purpose of which is to evaluate) the effectiveness of a pharmaceutical product for its particular intended use and obtaining (and to obtain) information about side effects and other risks associated with the drug, in a manner that is generally consistent with 21 C.F.R. § 312.21(b), as amended (or its successor regulation), or a similar clinical study prescribed by the Regulatory Authorities in a country or jurisdiction outside the United States, to permit the design of further Clinical Trials of such Product, excluding, for clarity, any investigator-initiated Clinical Trials unless agreed to by the JRDC.</w:t>
      </w:r>
    </w:p>
    <w:p>
      <w:pPr>
        <w:spacing w:after="0" w:line="154" w:lineRule="exact"/>
        <w:rPr>
          <w:sz w:val="20"/>
          <w:szCs w:val="20"/>
          <w:color w:val="auto"/>
        </w:rPr>
      </w:pPr>
    </w:p>
    <w:p>
      <w:pPr>
        <w:ind w:firstLine="440"/>
        <w:spacing w:after="0" w:line="274" w:lineRule="auto"/>
        <w:rPr>
          <w:sz w:val="20"/>
          <w:szCs w:val="20"/>
          <w:color w:val="auto"/>
        </w:rPr>
      </w:pPr>
      <w:r>
        <w:rPr>
          <w:rFonts w:ascii="Arial" w:cs="Arial" w:eastAsia="Arial" w:hAnsi="Arial"/>
          <w:sz w:val="17"/>
          <w:szCs w:val="17"/>
          <w:b w:val="1"/>
          <w:bCs w:val="1"/>
          <w:color w:val="auto"/>
        </w:rPr>
        <w:t xml:space="preserve">1.78 “Phase 3 Clinical Trial” </w:t>
      </w:r>
      <w:r>
        <w:rPr>
          <w:rFonts w:ascii="Arial" w:cs="Arial" w:eastAsia="Arial" w:hAnsi="Arial"/>
          <w:sz w:val="17"/>
          <w:szCs w:val="17"/>
          <w:color w:val="auto"/>
        </w:rPr>
        <w:t>means a pivotal Clinical Trial of a Product with a defined dose or a set of defined doses of such Product and</w:t>
      </w:r>
      <w:r>
        <w:rPr>
          <w:rFonts w:ascii="Arial" w:cs="Arial" w:eastAsia="Arial" w:hAnsi="Arial"/>
          <w:sz w:val="17"/>
          <w:szCs w:val="17"/>
          <w:b w:val="1"/>
          <w:bCs w:val="1"/>
          <w:color w:val="auto"/>
        </w:rPr>
        <w:t xml:space="preserve"> </w:t>
      </w:r>
      <w:r>
        <w:rPr>
          <w:rFonts w:ascii="Arial" w:cs="Arial" w:eastAsia="Arial" w:hAnsi="Arial"/>
          <w:sz w:val="17"/>
          <w:szCs w:val="17"/>
          <w:color w:val="auto"/>
        </w:rPr>
        <w:t>conducted on a sufficient number of subjects for ascertaining (and that is designed to ascertain) the overall risk-benefit relationship of the Product for its intended use and determining (and to determine) warnings, precautions, and adverse reactions that are associated with such Product in the dosage range to be prescribed, in a manner that is generally consistent with 21 C.F.R. § 312.21(c), as amended (or its successor regulation), or a similar clinical study prescribed by the Regulatory Authorities in a country or jurisdiction outside the United States, which trial is necessary to support Regulatory Approval of such Product, excluding, for clarity, any investigator-initiated Clinical Trials unless agreed to by the JRDC.</w:t>
      </w:r>
    </w:p>
    <w:p>
      <w:pPr>
        <w:spacing w:after="0" w:line="173" w:lineRule="exact"/>
        <w:rPr>
          <w:sz w:val="20"/>
          <w:szCs w:val="20"/>
          <w:color w:val="auto"/>
        </w:rPr>
      </w:pPr>
    </w:p>
    <w:p>
      <w:pPr>
        <w:ind w:right="760" w:firstLine="440"/>
        <w:spacing w:after="0" w:line="282" w:lineRule="auto"/>
        <w:rPr>
          <w:sz w:val="20"/>
          <w:szCs w:val="20"/>
          <w:color w:val="auto"/>
        </w:rPr>
      </w:pPr>
      <w:r>
        <w:rPr>
          <w:rFonts w:ascii="Arial" w:cs="Arial" w:eastAsia="Arial" w:hAnsi="Arial"/>
          <w:sz w:val="18"/>
          <w:szCs w:val="18"/>
          <w:b w:val="1"/>
          <w:bCs w:val="1"/>
          <w:color w:val="auto"/>
        </w:rPr>
        <w:t xml:space="preserve">1.79 “Phase 4 Study” </w:t>
      </w:r>
      <w:r>
        <w:rPr>
          <w:rFonts w:ascii="Arial" w:cs="Arial" w:eastAsia="Arial" w:hAnsi="Arial"/>
          <w:sz w:val="18"/>
          <w:szCs w:val="18"/>
          <w:color w:val="auto"/>
        </w:rPr>
        <w:t>means a Clinical Trial or data collection effort with respect to any Product that is commenced after the receipt of</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Approval in the country where such trial is conducted.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1.80 “PMDA” </w:t>
      </w:r>
      <w:r>
        <w:rPr>
          <w:rFonts w:ascii="Arial" w:cs="Arial" w:eastAsia="Arial" w:hAnsi="Arial"/>
          <w:sz w:val="18"/>
          <w:szCs w:val="18"/>
          <w:color w:val="auto"/>
        </w:rPr>
        <w:t>means Japan’s Pharmaceuticals and Medical Devices Agency and any successor thereto.</w:t>
      </w:r>
    </w:p>
    <w:p>
      <w:pPr>
        <w:spacing w:after="0" w:line="225" w:lineRule="exact"/>
        <w:rPr>
          <w:sz w:val="20"/>
          <w:szCs w:val="20"/>
          <w:color w:val="auto"/>
        </w:rPr>
      </w:pPr>
    </w:p>
    <w:p>
      <w:pPr>
        <w:ind w:right="140" w:firstLine="440"/>
        <w:spacing w:after="0" w:line="289" w:lineRule="auto"/>
        <w:rPr>
          <w:sz w:val="20"/>
          <w:szCs w:val="20"/>
          <w:color w:val="auto"/>
        </w:rPr>
      </w:pPr>
      <w:r>
        <w:rPr>
          <w:rFonts w:ascii="Arial" w:cs="Arial" w:eastAsia="Arial" w:hAnsi="Arial"/>
          <w:sz w:val="17"/>
          <w:szCs w:val="17"/>
          <w:b w:val="1"/>
          <w:bCs w:val="1"/>
          <w:color w:val="auto"/>
        </w:rPr>
        <w:t xml:space="preserve">1.81 “Pre-Registrational Meeting” </w:t>
      </w:r>
      <w:r>
        <w:rPr>
          <w:rFonts w:ascii="Arial" w:cs="Arial" w:eastAsia="Arial" w:hAnsi="Arial"/>
          <w:sz w:val="17"/>
          <w:szCs w:val="17"/>
          <w:color w:val="auto"/>
        </w:rPr>
        <w:t>means the meeting with the FDA or the equivalent meeting with the EMA or PMDA or other Regulatory</w:t>
      </w:r>
      <w:r>
        <w:rPr>
          <w:rFonts w:ascii="Arial" w:cs="Arial" w:eastAsia="Arial" w:hAnsi="Arial"/>
          <w:sz w:val="17"/>
          <w:szCs w:val="17"/>
          <w:b w:val="1"/>
          <w:bCs w:val="1"/>
          <w:color w:val="auto"/>
        </w:rPr>
        <w:t xml:space="preserve"> </w:t>
      </w:r>
      <w:r>
        <w:rPr>
          <w:rFonts w:ascii="Arial" w:cs="Arial" w:eastAsia="Arial" w:hAnsi="Arial"/>
          <w:sz w:val="17"/>
          <w:szCs w:val="17"/>
          <w:color w:val="auto"/>
        </w:rPr>
        <w:t>Authority (as applicable) to be conducted to discuss the requirements of the FDA, EMA, or PMDA or other Regulatory Authority (as applicable) for a Registration Program for a given Product to support Marketing Approval, e.g., end-of-Phase 2 or pre-Phase 3 meetings.</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 xml:space="preserve">1.82 “Product” </w:t>
      </w:r>
      <w:r>
        <w:rPr>
          <w:rFonts w:ascii="Arial" w:cs="Arial" w:eastAsia="Arial" w:hAnsi="Arial"/>
          <w:sz w:val="16"/>
          <w:szCs w:val="16"/>
          <w:color w:val="auto"/>
        </w:rPr>
        <w:t>means any pharmaceutical preparation in final form containing a SHP2 Inhibitor, alone or in the form of a Combination Product.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440" w:top="270" w:right="499" w:bottom="1440" w:gutter="0" w:footer="0" w:header="0"/>
        </w:sectPr>
      </w:pPr>
    </w:p>
    <w:bookmarkStart w:id="302" w:name="page303"/>
    <w:bookmarkEnd w:id="302"/>
    <w:p>
      <w:pPr>
        <w:jc w:val="both"/>
        <w:ind w:firstLine="440"/>
        <w:spacing w:after="0" w:line="31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1.83 “Program Inventions” </w:t>
      </w:r>
      <w:r>
        <w:rPr>
          <w:rFonts w:ascii="Arial" w:cs="Arial" w:eastAsia="Arial" w:hAnsi="Arial"/>
          <w:sz w:val="16"/>
          <w:szCs w:val="16"/>
          <w:color w:val="auto"/>
        </w:rPr>
        <w:t>means any Know-How conceived, reduced to practice, developed, made or otherwise generated by or on behalf of a</w:t>
      </w:r>
      <w:r>
        <w:rPr>
          <w:rFonts w:ascii="Arial" w:cs="Arial" w:eastAsia="Arial" w:hAnsi="Arial"/>
          <w:sz w:val="16"/>
          <w:szCs w:val="16"/>
          <w:b w:val="1"/>
          <w:bCs w:val="1"/>
          <w:color w:val="auto"/>
        </w:rPr>
        <w:t xml:space="preserve"> </w:t>
      </w:r>
      <w:r>
        <w:rPr>
          <w:rFonts w:ascii="Arial" w:cs="Arial" w:eastAsia="Arial" w:hAnsi="Arial"/>
          <w:sz w:val="16"/>
          <w:szCs w:val="16"/>
          <w:color w:val="auto"/>
        </w:rPr>
        <w:t>Party or its Affiliates or Sublicensees in connection with the Research, Development, Manufacture or Commercialization of SHP2 Inhibitors or Products under this Agreement or any Ancillary Agreement, including all rights, title and interest in and to the intellectual property rights therein.</w:t>
      </w:r>
    </w:p>
    <w:p>
      <w:pPr>
        <w:spacing w:after="0" w:line="142" w:lineRule="exact"/>
        <w:rPr>
          <w:sz w:val="20"/>
          <w:szCs w:val="20"/>
          <w:color w:val="auto"/>
        </w:rPr>
      </w:pPr>
    </w:p>
    <w:p>
      <w:pPr>
        <w:ind w:right="520" w:firstLine="440"/>
        <w:spacing w:after="0" w:line="282" w:lineRule="auto"/>
        <w:rPr>
          <w:sz w:val="20"/>
          <w:szCs w:val="20"/>
          <w:color w:val="auto"/>
        </w:rPr>
      </w:pPr>
      <w:r>
        <w:rPr>
          <w:rFonts w:ascii="Arial" w:cs="Arial" w:eastAsia="Arial" w:hAnsi="Arial"/>
          <w:sz w:val="18"/>
          <w:szCs w:val="18"/>
          <w:b w:val="1"/>
          <w:bCs w:val="1"/>
          <w:color w:val="auto"/>
        </w:rPr>
        <w:t xml:space="preserve">1.84 “Publication” </w:t>
      </w:r>
      <w:r>
        <w:rPr>
          <w:rFonts w:ascii="Arial" w:cs="Arial" w:eastAsia="Arial" w:hAnsi="Arial"/>
          <w:sz w:val="18"/>
          <w:szCs w:val="18"/>
          <w:color w:val="auto"/>
        </w:rPr>
        <w:t>means any release of information, including any presentation, which information (a) has not been disclosed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11.3 or (b) has not previously been publicly disclosed.</w:t>
      </w:r>
    </w:p>
    <w:p>
      <w:pPr>
        <w:spacing w:after="0" w:line="162"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b w:val="1"/>
          <w:bCs w:val="1"/>
          <w:color w:val="auto"/>
        </w:rPr>
        <w:t xml:space="preserve">1.85 “Registrational Clinical Trial” </w:t>
      </w:r>
      <w:r>
        <w:rPr>
          <w:rFonts w:ascii="Arial" w:cs="Arial" w:eastAsia="Arial" w:hAnsi="Arial"/>
          <w:sz w:val="18"/>
          <w:szCs w:val="18"/>
          <w:color w:val="auto"/>
        </w:rPr>
        <w:t>means a Clinical Trial of a Product designed to be adequate to achieve Regulatory Approval of such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and that would satisfy the requirements of 21 C.F.R 312.21(c), as amended, or corresponding foreign regulations, regardless of whether such trial is referred to as a “phase 2b clinical trial”, “phase 2b/3 clinical trial” or “phase 3 clinical trial”, but excluding, for clarity, any investigator-initiated Clinical Trials.</w:t>
      </w:r>
    </w:p>
    <w:p>
      <w:pPr>
        <w:spacing w:after="0" w:line="180" w:lineRule="exact"/>
        <w:rPr>
          <w:sz w:val="20"/>
          <w:szCs w:val="20"/>
          <w:color w:val="auto"/>
        </w:rPr>
      </w:pPr>
    </w:p>
    <w:p>
      <w:pPr>
        <w:ind w:right="20" w:firstLine="440"/>
        <w:spacing w:after="0" w:line="281" w:lineRule="auto"/>
        <w:rPr>
          <w:sz w:val="20"/>
          <w:szCs w:val="20"/>
          <w:color w:val="auto"/>
        </w:rPr>
      </w:pPr>
      <w:r>
        <w:rPr>
          <w:rFonts w:ascii="Arial" w:cs="Arial" w:eastAsia="Arial" w:hAnsi="Arial"/>
          <w:sz w:val="17"/>
          <w:szCs w:val="17"/>
          <w:b w:val="1"/>
          <w:bCs w:val="1"/>
          <w:color w:val="auto"/>
        </w:rPr>
        <w:t xml:space="preserve">1.86 “Regulatory Approval” </w:t>
      </w:r>
      <w:r>
        <w:rPr>
          <w:rFonts w:ascii="Arial" w:cs="Arial" w:eastAsia="Arial" w:hAnsi="Arial"/>
          <w:sz w:val="17"/>
          <w:szCs w:val="17"/>
          <w:color w:val="auto"/>
        </w:rPr>
        <w:t>means, with respect to a country or jurisdiction, any and all approvals (including Marketing Approvals), licenses,</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registrations or authorizations of any Regulatory Authority necessary to commercially distribute, sell or market a Product in such country or jurisdiction, including, where applicable, (a) pricing or reimbursement approval in such country or jurisdiction, (b) pre- and post-approval marketing authorizations (including any prerequisite Manufacturing approval or authorization related thereto) and (c) labeling approval.</w:t>
      </w:r>
    </w:p>
    <w:p>
      <w:pPr>
        <w:spacing w:after="0" w:line="165" w:lineRule="exact"/>
        <w:rPr>
          <w:sz w:val="20"/>
          <w:szCs w:val="20"/>
          <w:color w:val="auto"/>
        </w:rPr>
      </w:pPr>
    </w:p>
    <w:p>
      <w:pPr>
        <w:ind w:right="160" w:firstLine="440"/>
        <w:spacing w:after="0" w:line="266" w:lineRule="auto"/>
        <w:rPr>
          <w:sz w:val="20"/>
          <w:szCs w:val="20"/>
          <w:color w:val="auto"/>
        </w:rPr>
      </w:pPr>
      <w:r>
        <w:rPr>
          <w:rFonts w:ascii="Arial" w:cs="Arial" w:eastAsia="Arial" w:hAnsi="Arial"/>
          <w:sz w:val="18"/>
          <w:szCs w:val="18"/>
          <w:b w:val="1"/>
          <w:bCs w:val="1"/>
          <w:color w:val="auto"/>
        </w:rPr>
        <w:t xml:space="preserve">1.87 “Regulatory Authority” </w:t>
      </w:r>
      <w:r>
        <w:rPr>
          <w:rFonts w:ascii="Arial" w:cs="Arial" w:eastAsia="Arial" w:hAnsi="Arial"/>
          <w:sz w:val="18"/>
          <w:szCs w:val="18"/>
          <w:color w:val="auto"/>
        </w:rPr>
        <w:t>means any applicable Governmental Authority involved in the granting Regulatory Approvals for the Products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exercising authority with respect to biopharmaceutical products in the applicable country or jurisdiction, including the FDA, the EMA, the PMDA and any corresponding national or regional regulatory authorities.</w:t>
      </w:r>
    </w:p>
    <w:p>
      <w:pPr>
        <w:spacing w:after="0" w:line="176" w:lineRule="exact"/>
        <w:rPr>
          <w:sz w:val="20"/>
          <w:szCs w:val="20"/>
          <w:color w:val="auto"/>
        </w:rPr>
      </w:pPr>
    </w:p>
    <w:p>
      <w:pPr>
        <w:ind w:right="120" w:firstLine="440"/>
        <w:spacing w:after="0" w:line="277" w:lineRule="auto"/>
        <w:rPr>
          <w:sz w:val="20"/>
          <w:szCs w:val="20"/>
          <w:color w:val="auto"/>
        </w:rPr>
      </w:pPr>
      <w:r>
        <w:rPr>
          <w:rFonts w:ascii="Arial" w:cs="Arial" w:eastAsia="Arial" w:hAnsi="Arial"/>
          <w:sz w:val="17"/>
          <w:szCs w:val="17"/>
          <w:b w:val="1"/>
          <w:bCs w:val="1"/>
          <w:color w:val="auto"/>
        </w:rPr>
        <w:t xml:space="preserve">1.88 “Regulatory Exclusivity” </w:t>
      </w:r>
      <w:r>
        <w:rPr>
          <w:rFonts w:ascii="Arial" w:cs="Arial" w:eastAsia="Arial" w:hAnsi="Arial"/>
          <w:sz w:val="17"/>
          <w:szCs w:val="17"/>
          <w:color w:val="auto"/>
        </w:rPr>
        <w:t>means any rights or protections which are recognized, afforded or granted by the FDA or any other Regulatory</w:t>
      </w:r>
      <w:r>
        <w:rPr>
          <w:rFonts w:ascii="Arial" w:cs="Arial" w:eastAsia="Arial" w:hAnsi="Arial"/>
          <w:sz w:val="17"/>
          <w:szCs w:val="17"/>
          <w:b w:val="1"/>
          <w:bCs w:val="1"/>
          <w:color w:val="auto"/>
        </w:rPr>
        <w:t xml:space="preserve"> </w:t>
      </w:r>
      <w:r>
        <w:rPr>
          <w:rFonts w:ascii="Arial" w:cs="Arial" w:eastAsia="Arial" w:hAnsi="Arial"/>
          <w:sz w:val="17"/>
          <w:szCs w:val="17"/>
          <w:color w:val="auto"/>
        </w:rPr>
        <w:t>Authority in any country or region of the Territory pursuant to Applicable Laws of such country or region, in association with the marketing authorization of the Product, providing the Product[***] a period of marketing exclusivity, during which a Regulatory Authority recognizing, affording or granting such marketing exclusivity will refrain from either reviewing or approving a marketing authorization application or similar regulatory submission, submitted by a Third Party seeking to market a Generic Product of such Product[***].</w:t>
      </w:r>
    </w:p>
    <w:p>
      <w:pPr>
        <w:spacing w:after="0" w:line="168" w:lineRule="exact"/>
        <w:rPr>
          <w:sz w:val="20"/>
          <w:szCs w:val="20"/>
          <w:color w:val="auto"/>
        </w:rPr>
      </w:pPr>
    </w:p>
    <w:p>
      <w:pPr>
        <w:ind w:right="80" w:firstLine="440"/>
        <w:spacing w:after="0" w:line="258" w:lineRule="auto"/>
        <w:rPr>
          <w:sz w:val="20"/>
          <w:szCs w:val="20"/>
          <w:color w:val="auto"/>
        </w:rPr>
      </w:pPr>
      <w:r>
        <w:rPr>
          <w:rFonts w:ascii="Arial" w:cs="Arial" w:eastAsia="Arial" w:hAnsi="Arial"/>
          <w:sz w:val="18"/>
          <w:szCs w:val="18"/>
          <w:b w:val="1"/>
          <w:bCs w:val="1"/>
          <w:color w:val="auto"/>
        </w:rPr>
        <w:t xml:space="preserve">1.89 “Regulatory Materials” </w:t>
      </w:r>
      <w:r>
        <w:rPr>
          <w:rFonts w:ascii="Arial" w:cs="Arial" w:eastAsia="Arial" w:hAnsi="Arial"/>
          <w:sz w:val="18"/>
          <w:szCs w:val="18"/>
          <w:color w:val="auto"/>
        </w:rPr>
        <w:t>all (a) applications (including all INDs), registrations, licenses, authorizations and approvals (including MAAs and</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Approvals), (b) correspondence and reports submitted to or received from Regulatory Authorities (including minutes and official contact reports relating to any communications with any Regulatory Authority) and all supporting documents with respect thereto, including all adverse event files and complaint files, (c) clinical and other data contained, referenced or otherwise relied upon in any of the foregoing, and (d) for clarity, any drug master file.</w:t>
      </w:r>
    </w:p>
    <w:p>
      <w:pPr>
        <w:spacing w:after="0" w:line="183" w:lineRule="exact"/>
        <w:rPr>
          <w:sz w:val="20"/>
          <w:szCs w:val="20"/>
          <w:color w:val="auto"/>
        </w:rPr>
      </w:pPr>
    </w:p>
    <w:p>
      <w:pPr>
        <w:ind w:right="360" w:firstLine="440"/>
        <w:spacing w:after="0" w:line="266" w:lineRule="auto"/>
        <w:rPr>
          <w:sz w:val="20"/>
          <w:szCs w:val="20"/>
          <w:color w:val="auto"/>
        </w:rPr>
      </w:pPr>
      <w:r>
        <w:rPr>
          <w:rFonts w:ascii="Arial" w:cs="Arial" w:eastAsia="Arial" w:hAnsi="Arial"/>
          <w:sz w:val="18"/>
          <w:szCs w:val="18"/>
          <w:b w:val="1"/>
          <w:bCs w:val="1"/>
          <w:color w:val="auto"/>
        </w:rPr>
        <w:t xml:space="preserve">1.90 “Required Phase 4 Studies” </w:t>
      </w:r>
      <w:r>
        <w:rPr>
          <w:rFonts w:ascii="Arial" w:cs="Arial" w:eastAsia="Arial" w:hAnsi="Arial"/>
          <w:sz w:val="18"/>
          <w:szCs w:val="18"/>
          <w:color w:val="auto"/>
        </w:rPr>
        <w:t>means any Phase 4 Studies that are required by the applicable Regulatory Authority to be conducted as a</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 for Regulatory Approval, including Regulatory Approval for a label expansion, whether or not also required for pricing or reimbursement approval.</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0" w:right="459" w:bottom="1440" w:gutter="0" w:footer="0" w:header="0"/>
        </w:sectPr>
      </w:pPr>
    </w:p>
    <w:bookmarkStart w:id="303" w:name="page304"/>
    <w:bookmarkEnd w:id="303"/>
    <w:p>
      <w:pPr>
        <w:ind w:left="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1.91 “Research” </w:t>
      </w:r>
      <w:r>
        <w:rPr>
          <w:rFonts w:ascii="Arial" w:cs="Arial" w:eastAsia="Arial" w:hAnsi="Arial"/>
          <w:sz w:val="17"/>
          <w:szCs w:val="17"/>
          <w:color w:val="auto"/>
        </w:rPr>
        <w:t>means all research activities conducted by or on behalf of either Party or the Parties jointly pursuant to the Research Plan.</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1.92 “Research and Development Costs” </w:t>
      </w:r>
      <w:r>
        <w:rPr>
          <w:rFonts w:ascii="Arial" w:cs="Arial" w:eastAsia="Arial" w:hAnsi="Arial"/>
          <w:sz w:val="18"/>
          <w:szCs w:val="18"/>
          <w:color w:val="auto"/>
        </w:rPr>
        <w:t>means all RevMed R&amp;D Costs and Sanofi R&amp;D Costs.</w:t>
      </w: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 xml:space="preserve">1.93 “Residual Knowledge” </w:t>
      </w:r>
      <w:r>
        <w:rPr>
          <w:rFonts w:ascii="Arial" w:cs="Arial" w:eastAsia="Arial" w:hAnsi="Arial"/>
          <w:sz w:val="18"/>
          <w:szCs w:val="18"/>
          <w:color w:val="auto"/>
        </w:rPr>
        <w:t>means intangible Know-How (but, for the avoidance of doubt, not Patents) relating to the Collaboration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to this Agreement or any Ancillary Agreement that has been retained in the unaided memories of any employees of a Party.</w:t>
      </w:r>
    </w:p>
    <w:p>
      <w:pPr>
        <w:spacing w:after="0" w:line="162"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1.94 “RevMed Background Know-How” </w:t>
      </w:r>
      <w:r>
        <w:rPr>
          <w:rFonts w:ascii="Arial" w:cs="Arial" w:eastAsia="Arial" w:hAnsi="Arial"/>
          <w:sz w:val="18"/>
          <w:szCs w:val="18"/>
          <w:color w:val="auto"/>
        </w:rPr>
        <w:t>means, subject to Section 3.1(b), all Know-How that is (a) Controlled by RevMed or its Affiliates as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Effective Date or during the Term, excluding the RevMed Sole Program Know-How and Joint Program Know-How; and (b) necessary or useful for the Research, Development, Manufacture, Commercialization or other exploitation of any Product in the Field.</w:t>
      </w:r>
    </w:p>
    <w:p>
      <w:pPr>
        <w:spacing w:after="0" w:line="176" w:lineRule="exact"/>
        <w:rPr>
          <w:sz w:val="20"/>
          <w:szCs w:val="20"/>
          <w:color w:val="auto"/>
        </w:rPr>
      </w:pPr>
    </w:p>
    <w:p>
      <w:pPr>
        <w:jc w:val="both"/>
        <w:ind w:right="160" w:firstLine="440"/>
        <w:spacing w:after="0" w:line="266" w:lineRule="auto"/>
        <w:rPr>
          <w:sz w:val="20"/>
          <w:szCs w:val="20"/>
          <w:color w:val="auto"/>
        </w:rPr>
      </w:pPr>
      <w:r>
        <w:rPr>
          <w:rFonts w:ascii="Arial" w:cs="Arial" w:eastAsia="Arial" w:hAnsi="Arial"/>
          <w:sz w:val="18"/>
          <w:szCs w:val="18"/>
          <w:b w:val="1"/>
          <w:bCs w:val="1"/>
          <w:color w:val="auto"/>
        </w:rPr>
        <w:t xml:space="preserve">1.95 “RevMed Background Patents” </w:t>
      </w:r>
      <w:r>
        <w:rPr>
          <w:rFonts w:ascii="Arial" w:cs="Arial" w:eastAsia="Arial" w:hAnsi="Arial"/>
          <w:sz w:val="18"/>
          <w:szCs w:val="18"/>
          <w:color w:val="auto"/>
        </w:rPr>
        <w:t>means, subject to Section 3.1(b), any Patent Right (a) (i) that is Controlled by RevMed or its Affiliates as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Effective Date; or (ii) that comes into the Control of RevMed or its Affiliates during the Term, excluding the RevMed Sole Program Patents and Joint Program Patents; and [***].</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1.96 “RevMed Background Technology” </w:t>
      </w:r>
      <w:r>
        <w:rPr>
          <w:rFonts w:ascii="Arial" w:cs="Arial" w:eastAsia="Arial" w:hAnsi="Arial"/>
          <w:sz w:val="18"/>
          <w:szCs w:val="18"/>
          <w:color w:val="auto"/>
        </w:rPr>
        <w:t>means RevMed Background Patents and RevMed Background Know-How.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1.97 “RevMed Licensed Know-How” </w:t>
      </w:r>
      <w:r>
        <w:rPr>
          <w:rFonts w:ascii="Arial" w:cs="Arial" w:eastAsia="Arial" w:hAnsi="Arial"/>
          <w:sz w:val="18"/>
          <w:szCs w:val="18"/>
          <w:color w:val="auto"/>
        </w:rPr>
        <w:t>means RevMed Background Know-How and RevMed Sole Program Know-How.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1.98 “RevMed Licensed Patent” </w:t>
      </w:r>
      <w:r>
        <w:rPr>
          <w:rFonts w:ascii="Arial" w:cs="Arial" w:eastAsia="Arial" w:hAnsi="Arial"/>
          <w:sz w:val="18"/>
          <w:szCs w:val="18"/>
          <w:color w:val="auto"/>
        </w:rPr>
        <w:t>means RevMed Background Patents and RevMed Sole Program Patents.</w:t>
      </w:r>
    </w:p>
    <w:p>
      <w:pPr>
        <w:spacing w:after="0" w:line="225" w:lineRule="exact"/>
        <w:rPr>
          <w:sz w:val="20"/>
          <w:szCs w:val="20"/>
          <w:color w:val="auto"/>
        </w:rPr>
      </w:pPr>
    </w:p>
    <w:p>
      <w:pPr>
        <w:ind w:right="280" w:firstLine="440"/>
        <w:spacing w:after="0" w:line="282" w:lineRule="auto"/>
        <w:rPr>
          <w:sz w:val="20"/>
          <w:szCs w:val="20"/>
          <w:color w:val="auto"/>
        </w:rPr>
      </w:pPr>
      <w:r>
        <w:rPr>
          <w:rFonts w:ascii="Arial" w:cs="Arial" w:eastAsia="Arial" w:hAnsi="Arial"/>
          <w:sz w:val="18"/>
          <w:szCs w:val="18"/>
          <w:b w:val="1"/>
          <w:bCs w:val="1"/>
          <w:color w:val="auto"/>
        </w:rPr>
        <w:t xml:space="preserve">1.99 “RevMed Licensed Technology” </w:t>
      </w:r>
      <w:r>
        <w:rPr>
          <w:rFonts w:ascii="Arial" w:cs="Arial" w:eastAsia="Arial" w:hAnsi="Arial"/>
          <w:sz w:val="18"/>
          <w:szCs w:val="18"/>
          <w:color w:val="auto"/>
        </w:rPr>
        <w:t>means RevMed Background Technology, RevMed Sole Program Technology and RevMed’s undivided</w:t>
      </w:r>
      <w:r>
        <w:rPr>
          <w:rFonts w:ascii="Arial" w:cs="Arial" w:eastAsia="Arial" w:hAnsi="Arial"/>
          <w:sz w:val="18"/>
          <w:szCs w:val="18"/>
          <w:b w:val="1"/>
          <w:bCs w:val="1"/>
          <w:color w:val="auto"/>
        </w:rPr>
        <w:t xml:space="preserve"> </w:t>
      </w:r>
      <w:r>
        <w:rPr>
          <w:rFonts w:ascii="Arial" w:cs="Arial" w:eastAsia="Arial" w:hAnsi="Arial"/>
          <w:sz w:val="18"/>
          <w:szCs w:val="18"/>
          <w:color w:val="auto"/>
        </w:rPr>
        <w:t>one-half ownership of the full right, title and interest in and to the Joint Program Technology.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1.100 “RevMed R&amp;D Costs” </w:t>
      </w:r>
      <w:r>
        <w:rPr>
          <w:rFonts w:ascii="Arial" w:cs="Arial" w:eastAsia="Arial" w:hAnsi="Arial"/>
          <w:sz w:val="18"/>
          <w:szCs w:val="18"/>
          <w:color w:val="auto"/>
        </w:rPr>
        <w:t>means RevMed R&amp;D FTE Costs and RevMed R&amp;D Out-Of-Pocket Costs.</w:t>
      </w:r>
    </w:p>
    <w:p>
      <w:pPr>
        <w:spacing w:after="0" w:line="225" w:lineRule="exact"/>
        <w:rPr>
          <w:sz w:val="20"/>
          <w:szCs w:val="20"/>
          <w:color w:val="auto"/>
        </w:rPr>
      </w:pPr>
    </w:p>
    <w:p>
      <w:pPr>
        <w:ind w:right="320" w:firstLine="440"/>
        <w:spacing w:after="0" w:line="282" w:lineRule="auto"/>
        <w:rPr>
          <w:sz w:val="20"/>
          <w:szCs w:val="20"/>
          <w:color w:val="auto"/>
        </w:rPr>
      </w:pPr>
      <w:r>
        <w:rPr>
          <w:rFonts w:ascii="Arial" w:cs="Arial" w:eastAsia="Arial" w:hAnsi="Arial"/>
          <w:sz w:val="18"/>
          <w:szCs w:val="18"/>
          <w:b w:val="1"/>
          <w:bCs w:val="1"/>
          <w:color w:val="auto"/>
        </w:rPr>
        <w:t xml:space="preserve">1.101 “RevMed R&amp;D FTE Costs” </w:t>
      </w:r>
      <w:r>
        <w:rPr>
          <w:rFonts w:ascii="Arial" w:cs="Arial" w:eastAsia="Arial" w:hAnsi="Arial"/>
          <w:sz w:val="18"/>
          <w:szCs w:val="18"/>
          <w:color w:val="auto"/>
        </w:rPr>
        <w:t>means FTE Costs incurred by or on behalf of RevMed or its Affiliates in the Research or Development of</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in the Field in accordance with the Research Plan or Development Plan for such Product, as applicable.</w:t>
      </w:r>
    </w:p>
    <w:p>
      <w:pPr>
        <w:spacing w:after="0" w:line="162" w:lineRule="exact"/>
        <w:rPr>
          <w:sz w:val="20"/>
          <w:szCs w:val="20"/>
          <w:color w:val="auto"/>
        </w:rPr>
      </w:pPr>
    </w:p>
    <w:p>
      <w:pPr>
        <w:jc w:val="both"/>
        <w:ind w:right="160" w:firstLine="440"/>
        <w:spacing w:after="0" w:line="266" w:lineRule="auto"/>
        <w:rPr>
          <w:sz w:val="20"/>
          <w:szCs w:val="20"/>
          <w:color w:val="auto"/>
        </w:rPr>
      </w:pPr>
      <w:r>
        <w:rPr>
          <w:rFonts w:ascii="Arial" w:cs="Arial" w:eastAsia="Arial" w:hAnsi="Arial"/>
          <w:sz w:val="18"/>
          <w:szCs w:val="18"/>
          <w:b w:val="1"/>
          <w:bCs w:val="1"/>
          <w:color w:val="auto"/>
        </w:rPr>
        <w:t xml:space="preserve">1.102 “RevMed R&amp;D Out-Of-Pocket Costs” </w:t>
      </w:r>
      <w:r>
        <w:rPr>
          <w:rFonts w:ascii="Arial" w:cs="Arial" w:eastAsia="Arial" w:hAnsi="Arial"/>
          <w:sz w:val="18"/>
          <w:szCs w:val="18"/>
          <w:color w:val="auto"/>
        </w:rPr>
        <w:t>means amounts paid by RevMed in cash to Third Parties for goods and services required in order</w:t>
      </w:r>
      <w:r>
        <w:rPr>
          <w:rFonts w:ascii="Arial" w:cs="Arial" w:eastAsia="Arial" w:hAnsi="Arial"/>
          <w:sz w:val="18"/>
          <w:szCs w:val="18"/>
          <w:b w:val="1"/>
          <w:bCs w:val="1"/>
          <w:color w:val="auto"/>
        </w:rPr>
        <w:t xml:space="preserve"> </w:t>
      </w:r>
      <w:r>
        <w:rPr>
          <w:rFonts w:ascii="Arial" w:cs="Arial" w:eastAsia="Arial" w:hAnsi="Arial"/>
          <w:sz w:val="18"/>
          <w:szCs w:val="18"/>
          <w:color w:val="auto"/>
        </w:rPr>
        <w:t>for RevMed to conduct Research or Development of Product in the Field in accordance with the Research Plan or Development Plan for such Product, as applicable.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0" w:right="459" w:bottom="1440" w:gutter="0" w:footer="0" w:header="0"/>
        </w:sectPr>
      </w:pPr>
    </w:p>
    <w:bookmarkStart w:id="304" w:name="page305"/>
    <w:bookmarkEnd w:id="304"/>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1.103 “RevMed Sole Program Know-How” </w:t>
      </w:r>
      <w:r>
        <w:rPr>
          <w:rFonts w:ascii="Arial" w:cs="Arial" w:eastAsia="Arial" w:hAnsi="Arial"/>
          <w:sz w:val="18"/>
          <w:szCs w:val="18"/>
          <w:color w:val="auto"/>
        </w:rPr>
        <w:t>means all Program Inventions owned solely by RevMed pursuant to Section 10.1(a).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1.104 “RevMed Sole Program Patents” </w:t>
      </w:r>
      <w:r>
        <w:rPr>
          <w:rFonts w:ascii="Arial" w:cs="Arial" w:eastAsia="Arial" w:hAnsi="Arial"/>
          <w:sz w:val="18"/>
          <w:szCs w:val="18"/>
          <w:color w:val="auto"/>
        </w:rPr>
        <w:t>means any Patent Right covering or claiming the RevMed Sole Program Know-How.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1.105 “RevMed Sole Program Technology” </w:t>
      </w:r>
      <w:r>
        <w:rPr>
          <w:rFonts w:ascii="Arial" w:cs="Arial" w:eastAsia="Arial" w:hAnsi="Arial"/>
          <w:sz w:val="18"/>
          <w:szCs w:val="18"/>
          <w:color w:val="auto"/>
        </w:rPr>
        <w:t>means RevMed Sole Program Patents and RevMed Sole Program Know-How.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1.106 “Sanofi R&amp;D Costs” </w:t>
      </w:r>
      <w:r>
        <w:rPr>
          <w:rFonts w:ascii="Arial" w:cs="Arial" w:eastAsia="Arial" w:hAnsi="Arial"/>
          <w:sz w:val="18"/>
          <w:szCs w:val="18"/>
          <w:color w:val="auto"/>
        </w:rPr>
        <w:t>means Sanofi R&amp;D FTE Costs and Sanofi R&amp;D Out-Of-Pocket Costs.</w:t>
      </w:r>
    </w:p>
    <w:p>
      <w:pPr>
        <w:spacing w:after="0" w:line="225"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b w:val="1"/>
          <w:bCs w:val="1"/>
          <w:color w:val="auto"/>
        </w:rPr>
        <w:t xml:space="preserve">1.107 “Sanofi R&amp;D FTE Costs” </w:t>
      </w:r>
      <w:r>
        <w:rPr>
          <w:rFonts w:ascii="Arial" w:cs="Arial" w:eastAsia="Arial" w:hAnsi="Arial"/>
          <w:sz w:val="18"/>
          <w:szCs w:val="18"/>
          <w:color w:val="auto"/>
        </w:rPr>
        <w:t>means FTE Costs incurred by or on behalf of Sanofi or its Affiliates in the Research or Development of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in the Field in accordance with the Research Plan or Development Plan for such Product, as applicable.</w:t>
      </w:r>
    </w:p>
    <w:p>
      <w:pPr>
        <w:spacing w:after="0" w:line="162" w:lineRule="exact"/>
        <w:rPr>
          <w:sz w:val="20"/>
          <w:szCs w:val="20"/>
          <w:color w:val="auto"/>
        </w:rPr>
      </w:pPr>
    </w:p>
    <w:p>
      <w:pPr>
        <w:jc w:val="both"/>
        <w:ind w:right="340" w:firstLine="440"/>
        <w:spacing w:after="0" w:line="266" w:lineRule="auto"/>
        <w:rPr>
          <w:sz w:val="20"/>
          <w:szCs w:val="20"/>
          <w:color w:val="auto"/>
        </w:rPr>
      </w:pPr>
      <w:r>
        <w:rPr>
          <w:rFonts w:ascii="Arial" w:cs="Arial" w:eastAsia="Arial" w:hAnsi="Arial"/>
          <w:sz w:val="18"/>
          <w:szCs w:val="18"/>
          <w:b w:val="1"/>
          <w:bCs w:val="1"/>
          <w:color w:val="auto"/>
        </w:rPr>
        <w:t xml:space="preserve">1.108 “Sanofi R&amp;D Out-Of-Pocket Costs” </w:t>
      </w:r>
      <w:r>
        <w:rPr>
          <w:rFonts w:ascii="Arial" w:cs="Arial" w:eastAsia="Arial" w:hAnsi="Arial"/>
          <w:sz w:val="18"/>
          <w:szCs w:val="18"/>
          <w:color w:val="auto"/>
        </w:rPr>
        <w:t>means amount paid by Sanofi in cash to Third Parties for good and services required in order for</w:t>
      </w:r>
      <w:r>
        <w:rPr>
          <w:rFonts w:ascii="Arial" w:cs="Arial" w:eastAsia="Arial" w:hAnsi="Arial"/>
          <w:sz w:val="18"/>
          <w:szCs w:val="18"/>
          <w:b w:val="1"/>
          <w:bCs w:val="1"/>
          <w:color w:val="auto"/>
        </w:rPr>
        <w:t xml:space="preserve"> </w:t>
      </w:r>
      <w:r>
        <w:rPr>
          <w:rFonts w:ascii="Arial" w:cs="Arial" w:eastAsia="Arial" w:hAnsi="Arial"/>
          <w:sz w:val="18"/>
          <w:szCs w:val="18"/>
          <w:color w:val="auto"/>
        </w:rPr>
        <w:t>Sanofi to conduct Research or Development of Product in the Field in accordance with the Research Plan or Development Plan for such Product, as applicable.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1.109 “Sanofi Sole Program Know-How” </w:t>
      </w:r>
      <w:r>
        <w:rPr>
          <w:rFonts w:ascii="Arial" w:cs="Arial" w:eastAsia="Arial" w:hAnsi="Arial"/>
          <w:sz w:val="18"/>
          <w:szCs w:val="18"/>
          <w:color w:val="auto"/>
        </w:rPr>
        <w:t>means all Program Inventions owned solely by Sanofi pursuant to Section 10.1(a).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1.110 “Sanofi Sole Program Patents” </w:t>
      </w:r>
      <w:r>
        <w:rPr>
          <w:rFonts w:ascii="Arial" w:cs="Arial" w:eastAsia="Arial" w:hAnsi="Arial"/>
          <w:sz w:val="18"/>
          <w:szCs w:val="18"/>
          <w:color w:val="auto"/>
        </w:rPr>
        <w:t>means any Patent Right covering or claiming the Sanofi Sole Program Know-How.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1.111 “SHP1” </w:t>
      </w:r>
      <w:r>
        <w:rPr>
          <w:rFonts w:ascii="Arial" w:cs="Arial" w:eastAsia="Arial" w:hAnsi="Arial"/>
          <w:sz w:val="18"/>
          <w:szCs w:val="18"/>
          <w:color w:val="auto"/>
        </w:rPr>
        <w:t>means [***].</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1.112 “SHP1 Inhibitor” </w:t>
      </w:r>
      <w:r>
        <w:rPr>
          <w:rFonts w:ascii="Arial" w:cs="Arial" w:eastAsia="Arial" w:hAnsi="Arial"/>
          <w:sz w:val="18"/>
          <w:szCs w:val="18"/>
          <w:color w:val="auto"/>
        </w:rPr>
        <w:t>means [***].</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1.113 “SHP1 Inhibitor Criteria” </w:t>
      </w:r>
      <w:r>
        <w:rPr>
          <w:rFonts w:ascii="Arial" w:cs="Arial" w:eastAsia="Arial" w:hAnsi="Arial"/>
          <w:sz w:val="18"/>
          <w:szCs w:val="18"/>
          <w:color w:val="auto"/>
        </w:rPr>
        <w:t>means [***], as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C</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Correspondence.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1.114 “SHP1-SHP2 Dual Inhibitor” </w:t>
      </w:r>
      <w:r>
        <w:rPr>
          <w:rFonts w:ascii="Arial" w:cs="Arial" w:eastAsia="Arial" w:hAnsi="Arial"/>
          <w:sz w:val="18"/>
          <w:szCs w:val="18"/>
          <w:color w:val="auto"/>
        </w:rPr>
        <w:t>means [***].</w:t>
      </w:r>
    </w:p>
    <w:p>
      <w:pPr>
        <w:spacing w:after="0" w:line="225" w:lineRule="exact"/>
        <w:rPr>
          <w:sz w:val="20"/>
          <w:szCs w:val="20"/>
          <w:color w:val="auto"/>
        </w:rPr>
      </w:pPr>
    </w:p>
    <w:p>
      <w:pPr>
        <w:ind w:firstLine="440"/>
        <w:spacing w:after="0" w:line="312" w:lineRule="auto"/>
        <w:rPr>
          <w:sz w:val="20"/>
          <w:szCs w:val="20"/>
          <w:color w:val="auto"/>
        </w:rPr>
      </w:pPr>
      <w:r>
        <w:rPr>
          <w:rFonts w:ascii="Arial" w:cs="Arial" w:eastAsia="Arial" w:hAnsi="Arial"/>
          <w:sz w:val="17"/>
          <w:szCs w:val="17"/>
          <w:b w:val="1"/>
          <w:bCs w:val="1"/>
          <w:color w:val="auto"/>
        </w:rPr>
        <w:t xml:space="preserve">1.115 “SHP1-SHP2 Dual Inhibitor Product” </w:t>
      </w:r>
      <w:r>
        <w:rPr>
          <w:rFonts w:ascii="Arial" w:cs="Arial" w:eastAsia="Arial" w:hAnsi="Arial"/>
          <w:sz w:val="17"/>
          <w:szCs w:val="17"/>
          <w:color w:val="auto"/>
        </w:rPr>
        <w:t>means any pharmaceutical preparation in final form containing a SHP1-SHP2 Dual Inhibitor, alone</w:t>
      </w:r>
      <w:r>
        <w:rPr>
          <w:rFonts w:ascii="Arial" w:cs="Arial" w:eastAsia="Arial" w:hAnsi="Arial"/>
          <w:sz w:val="17"/>
          <w:szCs w:val="17"/>
          <w:b w:val="1"/>
          <w:bCs w:val="1"/>
          <w:color w:val="auto"/>
        </w:rPr>
        <w:t xml:space="preserve"> </w:t>
      </w:r>
      <w:r>
        <w:rPr>
          <w:rFonts w:ascii="Arial" w:cs="Arial" w:eastAsia="Arial" w:hAnsi="Arial"/>
          <w:sz w:val="17"/>
          <w:szCs w:val="17"/>
          <w:color w:val="auto"/>
        </w:rPr>
        <w:t>or in combination with one or more additional active ingredients, for sale by prescription, over-the-counter or any other method.</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1.116 “SHP1-SHP2 Dual Inhibitor Criteria” </w:t>
      </w:r>
      <w:r>
        <w:rPr>
          <w:rFonts w:ascii="Arial" w:cs="Arial" w:eastAsia="Arial" w:hAnsi="Arial"/>
          <w:sz w:val="18"/>
          <w:szCs w:val="18"/>
          <w:color w:val="auto"/>
        </w:rPr>
        <w:t>means [***], as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D</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Correspondence.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1.117 “SHP2” </w:t>
      </w:r>
      <w:r>
        <w:rPr>
          <w:rFonts w:ascii="Arial" w:cs="Arial" w:eastAsia="Arial" w:hAnsi="Arial"/>
          <w:sz w:val="18"/>
          <w:szCs w:val="18"/>
          <w:color w:val="auto"/>
        </w:rPr>
        <w:t>means [***].</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1.118 “SHP2 Inhibitor Combination Therapy” </w:t>
      </w:r>
      <w:r>
        <w:rPr>
          <w:rFonts w:ascii="Arial" w:cs="Arial" w:eastAsia="Arial" w:hAnsi="Arial"/>
          <w:sz w:val="18"/>
          <w:szCs w:val="18"/>
          <w:color w:val="auto"/>
        </w:rPr>
        <w:t>means [***].</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1.119 “SHP2 Inhibitor” </w:t>
      </w:r>
      <w:r>
        <w:rPr>
          <w:rFonts w:ascii="Arial" w:cs="Arial" w:eastAsia="Arial" w:hAnsi="Arial"/>
          <w:sz w:val="18"/>
          <w:szCs w:val="18"/>
          <w:color w:val="auto"/>
        </w:rPr>
        <w:t>means [***].</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0" w:right="459" w:bottom="1440" w:gutter="0" w:footer="0" w:header="0"/>
        </w:sectPr>
      </w:pPr>
    </w:p>
    <w:bookmarkStart w:id="305" w:name="page306"/>
    <w:bookmarkEnd w:id="305"/>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1.120 “SHP2 Inhibitor Criteria” </w:t>
      </w:r>
      <w:r>
        <w:rPr>
          <w:rFonts w:ascii="Arial" w:cs="Arial" w:eastAsia="Arial" w:hAnsi="Arial"/>
          <w:sz w:val="18"/>
          <w:szCs w:val="18"/>
          <w:color w:val="auto"/>
        </w:rPr>
        <w:t>means [***], as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Correspondence.</w:t>
      </w:r>
    </w:p>
    <w:p>
      <w:pPr>
        <w:spacing w:after="0" w:line="225"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b w:val="1"/>
          <w:bCs w:val="1"/>
          <w:color w:val="auto"/>
        </w:rPr>
        <w:t xml:space="preserve">1.121 “Study Report” </w:t>
      </w:r>
      <w:r>
        <w:rPr>
          <w:rFonts w:ascii="Arial" w:cs="Arial" w:eastAsia="Arial" w:hAnsi="Arial"/>
          <w:sz w:val="18"/>
          <w:szCs w:val="18"/>
          <w:color w:val="auto"/>
        </w:rPr>
        <w:t>means a written report that contains information required by ICH guidelines after the Clinical Trial in question is closed</w:t>
      </w:r>
      <w:r>
        <w:rPr>
          <w:rFonts w:ascii="Arial" w:cs="Arial" w:eastAsia="Arial" w:hAnsi="Arial"/>
          <w:sz w:val="18"/>
          <w:szCs w:val="18"/>
          <w:b w:val="1"/>
          <w:bCs w:val="1"/>
          <w:color w:val="auto"/>
        </w:rPr>
        <w:t xml:space="preserve"> </w:t>
      </w:r>
      <w:r>
        <w:rPr>
          <w:rFonts w:ascii="Arial" w:cs="Arial" w:eastAsia="Arial" w:hAnsi="Arial"/>
          <w:sz w:val="18"/>
          <w:szCs w:val="18"/>
          <w:color w:val="auto"/>
        </w:rPr>
        <w:t>but before database lock for such Clinical Trial.</w:t>
      </w:r>
    </w:p>
    <w:p>
      <w:pPr>
        <w:spacing w:after="0" w:line="162" w:lineRule="exact"/>
        <w:rPr>
          <w:sz w:val="20"/>
          <w:szCs w:val="20"/>
          <w:color w:val="auto"/>
        </w:rPr>
      </w:pPr>
    </w:p>
    <w:p>
      <w:pPr>
        <w:ind w:right="400" w:firstLine="440"/>
        <w:spacing w:after="0" w:line="282" w:lineRule="auto"/>
        <w:rPr>
          <w:sz w:val="20"/>
          <w:szCs w:val="20"/>
          <w:color w:val="auto"/>
        </w:rPr>
      </w:pPr>
      <w:r>
        <w:rPr>
          <w:rFonts w:ascii="Arial" w:cs="Arial" w:eastAsia="Arial" w:hAnsi="Arial"/>
          <w:sz w:val="18"/>
          <w:szCs w:val="18"/>
          <w:b w:val="1"/>
          <w:bCs w:val="1"/>
          <w:color w:val="auto"/>
        </w:rPr>
        <w:t xml:space="preserve">1.122 “Sublicensees” </w:t>
      </w:r>
      <w:r>
        <w:rPr>
          <w:rFonts w:ascii="Arial" w:cs="Arial" w:eastAsia="Arial" w:hAnsi="Arial"/>
          <w:sz w:val="18"/>
          <w:szCs w:val="18"/>
          <w:color w:val="auto"/>
        </w:rPr>
        <w:t>means a Person, other than an Affiliate or a Distributor, that is granted a sublicense by a Party or its Affiliate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license grants in this Agreement.</w:t>
      </w:r>
    </w:p>
    <w:p>
      <w:pPr>
        <w:spacing w:after="0" w:line="162" w:lineRule="exact"/>
        <w:rPr>
          <w:sz w:val="20"/>
          <w:szCs w:val="20"/>
          <w:color w:val="auto"/>
        </w:rPr>
      </w:pPr>
    </w:p>
    <w:p>
      <w:pPr>
        <w:ind w:right="120" w:firstLine="440"/>
        <w:spacing w:after="0" w:line="256" w:lineRule="auto"/>
        <w:rPr>
          <w:sz w:val="20"/>
          <w:szCs w:val="20"/>
          <w:color w:val="auto"/>
        </w:rPr>
      </w:pPr>
      <w:r>
        <w:rPr>
          <w:rFonts w:ascii="Arial" w:cs="Arial" w:eastAsia="Arial" w:hAnsi="Arial"/>
          <w:sz w:val="18"/>
          <w:szCs w:val="18"/>
          <w:b w:val="1"/>
          <w:bCs w:val="1"/>
          <w:color w:val="auto"/>
        </w:rPr>
        <w:t xml:space="preserve">1.123 “Subsidiary” </w:t>
      </w:r>
      <w:r>
        <w:rPr>
          <w:rFonts w:ascii="Arial" w:cs="Arial" w:eastAsia="Arial" w:hAnsi="Arial"/>
          <w:sz w:val="18"/>
          <w:szCs w:val="18"/>
          <w:color w:val="auto"/>
        </w:rPr>
        <w:t>means, with respect to a Party, any corporation or other business entity that, directly or indirectly, through one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intermediaries, is controlled by that Party for so long as such Party controls such corporation or other business entity. For the purpose of this definition only, “control” (including, with correlative meaning, the terms “controlled by” and “under the common control”) means the actual power of such Party, either directly or indirectly through one or more intermediaries, to direct or cause the direction of the management and policies of such corporation or other business entity, whether by the ownership of 50% or more of the voting equity of such corporation or other business entity, by contract or otherwise.</w:t>
      </w:r>
    </w:p>
    <w:p>
      <w:pPr>
        <w:spacing w:after="0" w:line="187"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 xml:space="preserve">1.124 “Targeted Anti-Cancer Agent” </w:t>
      </w:r>
      <w:r>
        <w:rPr>
          <w:rFonts w:ascii="Arial" w:cs="Arial" w:eastAsia="Arial" w:hAnsi="Arial"/>
          <w:sz w:val="18"/>
          <w:szCs w:val="18"/>
          <w:color w:val="auto"/>
        </w:rPr>
        <w:t>means, other than an Immuno-Oncology Agent, any molecularly targeted therapy that blocks the growth of</w:t>
      </w:r>
      <w:r>
        <w:rPr>
          <w:rFonts w:ascii="Arial" w:cs="Arial" w:eastAsia="Arial" w:hAnsi="Arial"/>
          <w:sz w:val="18"/>
          <w:szCs w:val="18"/>
          <w:b w:val="1"/>
          <w:bCs w:val="1"/>
          <w:color w:val="auto"/>
        </w:rPr>
        <w:t xml:space="preserve"> </w:t>
      </w:r>
      <w:r>
        <w:rPr>
          <w:rFonts w:ascii="Arial" w:cs="Arial" w:eastAsia="Arial" w:hAnsi="Arial"/>
          <w:sz w:val="18"/>
          <w:szCs w:val="18"/>
          <w:color w:val="auto"/>
        </w:rPr>
        <w:t>cancer [***]. For clarity, Targeted Anti-Cancer Agent includes [***].</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1.125 “Third Party” </w:t>
      </w:r>
      <w:r>
        <w:rPr>
          <w:rFonts w:ascii="Arial" w:cs="Arial" w:eastAsia="Arial" w:hAnsi="Arial"/>
          <w:sz w:val="18"/>
          <w:szCs w:val="18"/>
          <w:color w:val="auto"/>
        </w:rPr>
        <w:t>means any Person other than a Party or an Affiliate of a Party.</w:t>
      </w:r>
    </w:p>
    <w:p>
      <w:pPr>
        <w:spacing w:after="0" w:line="225" w:lineRule="exact"/>
        <w:rPr>
          <w:sz w:val="20"/>
          <w:szCs w:val="20"/>
          <w:color w:val="auto"/>
        </w:rPr>
      </w:pPr>
    </w:p>
    <w:p>
      <w:pPr>
        <w:ind w:right="560" w:firstLine="440"/>
        <w:spacing w:after="0" w:line="282" w:lineRule="auto"/>
        <w:rPr>
          <w:sz w:val="20"/>
          <w:szCs w:val="20"/>
          <w:color w:val="auto"/>
        </w:rPr>
      </w:pPr>
      <w:r>
        <w:rPr>
          <w:rFonts w:ascii="Arial" w:cs="Arial" w:eastAsia="Arial" w:hAnsi="Arial"/>
          <w:sz w:val="18"/>
          <w:szCs w:val="18"/>
          <w:b w:val="1"/>
          <w:bCs w:val="1"/>
          <w:color w:val="auto"/>
        </w:rPr>
        <w:t xml:space="preserve">1.126 “Third Party Claims” </w:t>
      </w:r>
      <w:r>
        <w:rPr>
          <w:rFonts w:ascii="Arial" w:cs="Arial" w:eastAsia="Arial" w:hAnsi="Arial"/>
          <w:sz w:val="18"/>
          <w:szCs w:val="18"/>
          <w:color w:val="auto"/>
        </w:rPr>
        <w:t>means all Third Party demands, claims, actions, investigations and proceedings (whether criminal or civil, in</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 tort or otherwise).</w:t>
      </w:r>
    </w:p>
    <w:p>
      <w:pPr>
        <w:spacing w:after="0" w:line="162" w:lineRule="exact"/>
        <w:rPr>
          <w:sz w:val="20"/>
          <w:szCs w:val="20"/>
          <w:color w:val="auto"/>
        </w:rPr>
      </w:pPr>
    </w:p>
    <w:p>
      <w:pPr>
        <w:ind w:right="140" w:firstLine="440"/>
        <w:spacing w:after="0" w:line="258" w:lineRule="auto"/>
        <w:rPr>
          <w:sz w:val="20"/>
          <w:szCs w:val="20"/>
          <w:color w:val="auto"/>
        </w:rPr>
      </w:pPr>
      <w:r>
        <w:rPr>
          <w:rFonts w:ascii="Arial" w:cs="Arial" w:eastAsia="Arial" w:hAnsi="Arial"/>
          <w:sz w:val="18"/>
          <w:szCs w:val="18"/>
          <w:b w:val="1"/>
          <w:bCs w:val="1"/>
          <w:color w:val="auto"/>
        </w:rPr>
        <w:t xml:space="preserve">1.127 “Trademark” </w:t>
      </w:r>
      <w:r>
        <w:rPr>
          <w:rFonts w:ascii="Arial" w:cs="Arial" w:eastAsia="Arial" w:hAnsi="Arial"/>
          <w:sz w:val="18"/>
          <w:szCs w:val="18"/>
          <w:color w:val="auto"/>
        </w:rPr>
        <w:t>means any word, name, symbol, color, shape, designation or any combination thereof, including any trademark,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mark, trade name, brand name, sub-brand name, trade dress, product configuration, program name, delivery form name, certification mark, collective mark, logo, tagline, slogan, design or business symbol, that functions as an identifier of source or origin, whether or not registered and all statutory and common law rights therein and all registrations and applications therefor, together with all goodwill associated with, or symbolized by, any of the foregoing.</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1.128 “Tumor Type” </w:t>
      </w:r>
      <w:r>
        <w:rPr>
          <w:rFonts w:ascii="Arial" w:cs="Arial" w:eastAsia="Arial" w:hAnsi="Arial"/>
          <w:sz w:val="18"/>
          <w:szCs w:val="18"/>
          <w:color w:val="auto"/>
        </w:rPr>
        <w:t>means a cancer that differs from another type of cancer in [***].</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1.129 “United States” </w:t>
      </w:r>
      <w:r>
        <w:rPr>
          <w:rFonts w:ascii="Arial" w:cs="Arial" w:eastAsia="Arial" w:hAnsi="Arial"/>
          <w:sz w:val="18"/>
          <w:szCs w:val="18"/>
          <w:color w:val="auto"/>
        </w:rPr>
        <w:t>or</w:t>
      </w:r>
      <w:r>
        <w:rPr>
          <w:rFonts w:ascii="Arial" w:cs="Arial" w:eastAsia="Arial" w:hAnsi="Arial"/>
          <w:sz w:val="18"/>
          <w:szCs w:val="18"/>
          <w:b w:val="1"/>
          <w:bCs w:val="1"/>
          <w:color w:val="auto"/>
        </w:rPr>
        <w:t xml:space="preserve"> “U.S.” </w:t>
      </w:r>
      <w:r>
        <w:rPr>
          <w:rFonts w:ascii="Arial" w:cs="Arial" w:eastAsia="Arial" w:hAnsi="Arial"/>
          <w:sz w:val="18"/>
          <w:szCs w:val="18"/>
          <w:color w:val="auto"/>
        </w:rPr>
        <w:t>means the United States of America, including its territories and possessions.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1.130 “Valid Claim” </w:t>
      </w:r>
      <w:r>
        <w:rPr>
          <w:rFonts w:ascii="Arial" w:cs="Arial" w:eastAsia="Arial" w:hAnsi="Arial"/>
          <w:sz w:val="18"/>
          <w:szCs w:val="18"/>
          <w:color w:val="auto"/>
        </w:rPr>
        <w:t>means [***].</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0" w:right="459" w:bottom="1440" w:gutter="0" w:footer="0" w:header="0"/>
        </w:sectPr>
      </w:pPr>
    </w:p>
    <w:bookmarkStart w:id="306" w:name="page307"/>
    <w:bookmarkEnd w:id="306"/>
    <w:p>
      <w:pPr>
        <w:ind w:left="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1.131 </w:t>
      </w:r>
      <w:r>
        <w:rPr>
          <w:rFonts w:ascii="Arial" w:cs="Arial" w:eastAsia="Arial" w:hAnsi="Arial"/>
          <w:sz w:val="17"/>
          <w:szCs w:val="17"/>
          <w:color w:val="auto"/>
        </w:rPr>
        <w:t>In addition to the foregoing definitions, the following table identifies the location of the following definitions set forth in various other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Sections of, or Exhibits to, the Agreement: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Defined Term</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280" w:type="dxa"/>
            <w:vAlign w:val="bottom"/>
            <w:tcBorders>
              <w:bottom w:val="single" w:sz="8" w:color="auto"/>
            </w:tcBorders>
          </w:tcPr>
          <w:p>
            <w:pPr>
              <w:ind w:left="2400"/>
              <w:spacing w:after="0"/>
              <w:rPr>
                <w:sz w:val="20"/>
                <w:szCs w:val="20"/>
                <w:color w:val="auto"/>
              </w:rPr>
            </w:pPr>
            <w:r>
              <w:rPr>
                <w:rFonts w:ascii="Arial" w:cs="Arial" w:eastAsia="Arial" w:hAnsi="Arial"/>
                <w:sz w:val="14"/>
                <w:szCs w:val="14"/>
                <w:b w:val="1"/>
                <w:bCs w:val="1"/>
                <w:color w:val="auto"/>
              </w:rPr>
              <w:t>Section</w:t>
            </w:r>
          </w:p>
        </w:tc>
      </w:tr>
      <w:tr>
        <w:trPr>
          <w:trHeight w:val="195"/>
        </w:trPr>
        <w:tc>
          <w:tcPr>
            <w:tcW w:w="4660" w:type="dxa"/>
            <w:vAlign w:val="bottom"/>
          </w:tcPr>
          <w:p>
            <w:pPr>
              <w:spacing w:after="0" w:line="195" w:lineRule="exact"/>
              <w:rPr>
                <w:sz w:val="20"/>
                <w:szCs w:val="20"/>
                <w:color w:val="auto"/>
              </w:rPr>
            </w:pPr>
            <w:r>
              <w:rPr>
                <w:rFonts w:ascii="Arial" w:cs="Arial" w:eastAsia="Arial" w:hAnsi="Arial"/>
                <w:sz w:val="18"/>
                <w:szCs w:val="18"/>
                <w:color w:val="auto"/>
              </w:rPr>
              <w:t>Acquiror</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80" w:type="dxa"/>
            <w:vAlign w:val="bottom"/>
          </w:tcPr>
          <w:p>
            <w:pPr>
              <w:spacing w:after="0" w:line="195" w:lineRule="exact"/>
              <w:rPr>
                <w:sz w:val="20"/>
                <w:szCs w:val="20"/>
                <w:color w:val="auto"/>
              </w:rPr>
            </w:pPr>
            <w:r>
              <w:rPr>
                <w:rFonts w:ascii="Arial" w:cs="Arial" w:eastAsia="Arial" w:hAnsi="Arial"/>
                <w:sz w:val="18"/>
                <w:szCs w:val="18"/>
                <w:color w:val="auto"/>
              </w:rPr>
              <w:t>Section 15.2(a)</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Agreement</w:t>
            </w:r>
          </w:p>
        </w:tc>
        <w:tc>
          <w:tcPr>
            <w:tcW w:w="960" w:type="dxa"/>
            <w:vAlign w:val="bottom"/>
          </w:tcPr>
          <w:p>
            <w:pPr>
              <w:spacing w:after="0"/>
              <w:rPr>
                <w:sz w:val="18"/>
                <w:szCs w:val="18"/>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Preamble</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Alliance Manager</w:t>
            </w:r>
          </w:p>
        </w:tc>
        <w:tc>
          <w:tcPr>
            <w:tcW w:w="960" w:type="dxa"/>
            <w:vAlign w:val="bottom"/>
          </w:tcPr>
          <w:p>
            <w:pPr>
              <w:spacing w:after="0"/>
              <w:rPr>
                <w:sz w:val="18"/>
                <w:szCs w:val="18"/>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2.1</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Applicable Reduction Percentage</w:t>
            </w:r>
          </w:p>
        </w:tc>
        <w:tc>
          <w:tcPr>
            <w:tcW w:w="960" w:type="dxa"/>
            <w:vAlign w:val="bottom"/>
          </w:tcPr>
          <w:p>
            <w:pPr>
              <w:spacing w:after="0"/>
              <w:rPr>
                <w:sz w:val="18"/>
                <w:szCs w:val="18"/>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9.3(c)(ii)</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Asset Transfer</w:t>
            </w:r>
          </w:p>
        </w:tc>
        <w:tc>
          <w:tcPr>
            <w:tcW w:w="960" w:type="dxa"/>
            <w:vAlign w:val="bottom"/>
          </w:tcPr>
          <w:p>
            <w:pPr>
              <w:spacing w:after="0"/>
              <w:rPr>
                <w:sz w:val="18"/>
                <w:szCs w:val="18"/>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1.12</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Base Net Sales</w:t>
            </w:r>
          </w:p>
        </w:tc>
        <w:tc>
          <w:tcPr>
            <w:tcW w:w="960" w:type="dxa"/>
            <w:vAlign w:val="bottom"/>
          </w:tcPr>
          <w:p>
            <w:pPr>
              <w:spacing w:after="0"/>
              <w:rPr>
                <w:sz w:val="18"/>
                <w:szCs w:val="18"/>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9.3(c)(ii)</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Closing Conditions</w:t>
            </w:r>
          </w:p>
        </w:tc>
        <w:tc>
          <w:tcPr>
            <w:tcW w:w="960" w:type="dxa"/>
            <w:vAlign w:val="bottom"/>
          </w:tcPr>
          <w:p>
            <w:pPr>
              <w:spacing w:after="0"/>
              <w:rPr>
                <w:sz w:val="18"/>
                <w:szCs w:val="18"/>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13.6</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Co-Promotion Agreement</w:t>
            </w:r>
          </w:p>
        </w:tc>
        <w:tc>
          <w:tcPr>
            <w:tcW w:w="960" w:type="dxa"/>
            <w:vAlign w:val="bottom"/>
          </w:tcPr>
          <w:p>
            <w:pPr>
              <w:spacing w:after="0"/>
              <w:rPr>
                <w:sz w:val="18"/>
                <w:szCs w:val="18"/>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8.7(c)</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Co-Promotion Option</w:t>
            </w:r>
          </w:p>
        </w:tc>
        <w:tc>
          <w:tcPr>
            <w:tcW w:w="960" w:type="dxa"/>
            <w:vAlign w:val="bottom"/>
          </w:tcPr>
          <w:p>
            <w:pPr>
              <w:spacing w:after="0"/>
              <w:rPr>
                <w:sz w:val="18"/>
                <w:szCs w:val="18"/>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8.7(a)</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Co-Promotion Product</w:t>
            </w:r>
          </w:p>
        </w:tc>
        <w:tc>
          <w:tcPr>
            <w:tcW w:w="960" w:type="dxa"/>
            <w:vAlign w:val="bottom"/>
          </w:tcPr>
          <w:p>
            <w:pPr>
              <w:spacing w:after="0"/>
              <w:rPr>
                <w:sz w:val="18"/>
                <w:szCs w:val="18"/>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8.7(a)</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Co-Promotion Territory</w:t>
            </w:r>
          </w:p>
        </w:tc>
        <w:tc>
          <w:tcPr>
            <w:tcW w:w="960" w:type="dxa"/>
            <w:vAlign w:val="bottom"/>
          </w:tcPr>
          <w:p>
            <w:pPr>
              <w:spacing w:after="0"/>
              <w:rPr>
                <w:sz w:val="18"/>
                <w:szCs w:val="18"/>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8.7(a)</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Combination Therapy</w:t>
            </w:r>
          </w:p>
        </w:tc>
        <w:tc>
          <w:tcPr>
            <w:tcW w:w="960" w:type="dxa"/>
            <w:vAlign w:val="bottom"/>
          </w:tcPr>
          <w:p>
            <w:pPr>
              <w:spacing w:after="0"/>
              <w:rPr>
                <w:sz w:val="18"/>
                <w:szCs w:val="18"/>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5.3(a)</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Commercialization Plan</w:t>
            </w:r>
          </w:p>
        </w:tc>
        <w:tc>
          <w:tcPr>
            <w:tcW w:w="960" w:type="dxa"/>
            <w:vAlign w:val="bottom"/>
          </w:tcPr>
          <w:p>
            <w:pPr>
              <w:spacing w:after="0"/>
              <w:rPr>
                <w:sz w:val="18"/>
                <w:szCs w:val="18"/>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8.2</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Confidentiality Agreement</w:t>
            </w:r>
          </w:p>
        </w:tc>
        <w:tc>
          <w:tcPr>
            <w:tcW w:w="960" w:type="dxa"/>
            <w:vAlign w:val="bottom"/>
          </w:tcPr>
          <w:p>
            <w:pPr>
              <w:spacing w:after="0"/>
              <w:rPr>
                <w:sz w:val="18"/>
                <w:szCs w:val="18"/>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15.9</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CREATE Act</w:t>
            </w:r>
          </w:p>
        </w:tc>
        <w:tc>
          <w:tcPr>
            <w:tcW w:w="960" w:type="dxa"/>
            <w:vAlign w:val="bottom"/>
          </w:tcPr>
          <w:p>
            <w:pPr>
              <w:spacing w:after="0"/>
              <w:rPr>
                <w:sz w:val="18"/>
                <w:szCs w:val="18"/>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10.3</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Data Package</w:t>
            </w:r>
          </w:p>
        </w:tc>
        <w:tc>
          <w:tcPr>
            <w:tcW w:w="960" w:type="dxa"/>
            <w:vAlign w:val="bottom"/>
          </w:tcPr>
          <w:p>
            <w:pPr>
              <w:spacing w:after="0"/>
              <w:rPr>
                <w:sz w:val="18"/>
                <w:szCs w:val="18"/>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5.2(c)</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Development Candidate</w:t>
            </w:r>
          </w:p>
        </w:tc>
        <w:tc>
          <w:tcPr>
            <w:tcW w:w="960" w:type="dxa"/>
            <w:vAlign w:val="bottom"/>
          </w:tcPr>
          <w:p>
            <w:pPr>
              <w:spacing w:after="0"/>
              <w:rPr>
                <w:sz w:val="18"/>
                <w:szCs w:val="18"/>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4.3</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Development Budget</w:t>
            </w:r>
          </w:p>
        </w:tc>
        <w:tc>
          <w:tcPr>
            <w:tcW w:w="960" w:type="dxa"/>
            <w:vAlign w:val="bottom"/>
          </w:tcPr>
          <w:p>
            <w:pPr>
              <w:spacing w:after="0"/>
              <w:rPr>
                <w:sz w:val="18"/>
                <w:szCs w:val="18"/>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5.2(a)</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Development Plan</w:t>
            </w:r>
          </w:p>
        </w:tc>
        <w:tc>
          <w:tcPr>
            <w:tcW w:w="960" w:type="dxa"/>
            <w:vAlign w:val="bottom"/>
          </w:tcPr>
          <w:p>
            <w:pPr>
              <w:spacing w:after="0"/>
              <w:rPr>
                <w:sz w:val="18"/>
                <w:szCs w:val="18"/>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5.2(a)</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5.2(b)</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Disclosing Party</w:t>
            </w:r>
          </w:p>
        </w:tc>
        <w:tc>
          <w:tcPr>
            <w:tcW w:w="960" w:type="dxa"/>
            <w:vAlign w:val="bottom"/>
          </w:tcPr>
          <w:p>
            <w:pPr>
              <w:spacing w:after="0"/>
              <w:rPr>
                <w:sz w:val="18"/>
                <w:szCs w:val="18"/>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11.1(a)</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Dispute</w:t>
            </w:r>
          </w:p>
        </w:tc>
        <w:tc>
          <w:tcPr>
            <w:tcW w:w="960" w:type="dxa"/>
            <w:vAlign w:val="bottom"/>
          </w:tcPr>
          <w:p>
            <w:pPr>
              <w:spacing w:after="0"/>
              <w:rPr>
                <w:sz w:val="18"/>
                <w:szCs w:val="18"/>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15.6(a)</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Distributor</w:t>
            </w:r>
          </w:p>
        </w:tc>
        <w:tc>
          <w:tcPr>
            <w:tcW w:w="960" w:type="dxa"/>
            <w:vAlign w:val="bottom"/>
          </w:tcPr>
          <w:p>
            <w:pPr>
              <w:spacing w:after="0"/>
              <w:rPr>
                <w:sz w:val="18"/>
                <w:szCs w:val="18"/>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8.3</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Effective Date</w:t>
            </w:r>
          </w:p>
        </w:tc>
        <w:tc>
          <w:tcPr>
            <w:tcW w:w="960" w:type="dxa"/>
            <w:vAlign w:val="bottom"/>
          </w:tcPr>
          <w:p>
            <w:pPr>
              <w:spacing w:after="0"/>
              <w:rPr>
                <w:sz w:val="18"/>
                <w:szCs w:val="18"/>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3.8</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Execution Date</w:t>
            </w:r>
          </w:p>
        </w:tc>
        <w:tc>
          <w:tcPr>
            <w:tcW w:w="960" w:type="dxa"/>
            <w:vAlign w:val="bottom"/>
          </w:tcPr>
          <w:p>
            <w:pPr>
              <w:spacing w:after="0"/>
              <w:rPr>
                <w:sz w:val="18"/>
                <w:szCs w:val="18"/>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Preamble</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Force Majeure</w:t>
            </w:r>
          </w:p>
        </w:tc>
        <w:tc>
          <w:tcPr>
            <w:tcW w:w="960" w:type="dxa"/>
            <w:vAlign w:val="bottom"/>
          </w:tcPr>
          <w:p>
            <w:pPr>
              <w:spacing w:after="0"/>
              <w:rPr>
                <w:sz w:val="18"/>
                <w:szCs w:val="18"/>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15.1</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Indemnification Claim Notice</w:t>
            </w:r>
          </w:p>
        </w:tc>
        <w:tc>
          <w:tcPr>
            <w:tcW w:w="960" w:type="dxa"/>
            <w:vAlign w:val="bottom"/>
          </w:tcPr>
          <w:p>
            <w:pPr>
              <w:spacing w:after="0"/>
              <w:rPr>
                <w:sz w:val="18"/>
                <w:szCs w:val="18"/>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14.3(a)</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Indemnified Party</w:t>
            </w:r>
          </w:p>
        </w:tc>
        <w:tc>
          <w:tcPr>
            <w:tcW w:w="960" w:type="dxa"/>
            <w:vAlign w:val="bottom"/>
          </w:tcPr>
          <w:p>
            <w:pPr>
              <w:spacing w:after="0"/>
              <w:rPr>
                <w:sz w:val="18"/>
                <w:szCs w:val="18"/>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14.3(a)</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Indemnifying Party</w:t>
            </w:r>
          </w:p>
        </w:tc>
        <w:tc>
          <w:tcPr>
            <w:tcW w:w="960" w:type="dxa"/>
            <w:vAlign w:val="bottom"/>
          </w:tcPr>
          <w:p>
            <w:pPr>
              <w:spacing w:after="0"/>
              <w:rPr>
                <w:sz w:val="18"/>
                <w:szCs w:val="18"/>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14.3(a)</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Indemnitee</w:t>
            </w:r>
          </w:p>
        </w:tc>
        <w:tc>
          <w:tcPr>
            <w:tcW w:w="960" w:type="dxa"/>
            <w:vAlign w:val="bottom"/>
          </w:tcPr>
          <w:p>
            <w:pPr>
              <w:spacing w:after="0"/>
              <w:rPr>
                <w:sz w:val="18"/>
                <w:szCs w:val="18"/>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14.3(a)</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Initial Know-How</w:t>
            </w:r>
          </w:p>
        </w:tc>
        <w:tc>
          <w:tcPr>
            <w:tcW w:w="960" w:type="dxa"/>
            <w:vAlign w:val="bottom"/>
          </w:tcPr>
          <w:p>
            <w:pPr>
              <w:spacing w:after="0"/>
              <w:rPr>
                <w:sz w:val="18"/>
                <w:szCs w:val="18"/>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3.7(a)</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Joint Commercialization Committee or JCC</w:t>
            </w:r>
          </w:p>
        </w:tc>
        <w:tc>
          <w:tcPr>
            <w:tcW w:w="960" w:type="dxa"/>
            <w:vAlign w:val="bottom"/>
          </w:tcPr>
          <w:p>
            <w:pPr>
              <w:spacing w:after="0"/>
              <w:rPr>
                <w:sz w:val="18"/>
                <w:szCs w:val="18"/>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2.4</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Joint Research and Development Committee or JRDC</w:t>
            </w:r>
          </w:p>
        </w:tc>
        <w:tc>
          <w:tcPr>
            <w:tcW w:w="960" w:type="dxa"/>
            <w:vAlign w:val="bottom"/>
          </w:tcPr>
          <w:p>
            <w:pPr>
              <w:spacing w:after="0"/>
              <w:rPr>
                <w:sz w:val="18"/>
                <w:szCs w:val="18"/>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2.3</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Joint Steering Committee or JSC</w:t>
            </w:r>
          </w:p>
        </w:tc>
        <w:tc>
          <w:tcPr>
            <w:tcW w:w="960" w:type="dxa"/>
            <w:vAlign w:val="bottom"/>
          </w:tcPr>
          <w:p>
            <w:pPr>
              <w:spacing w:after="0"/>
              <w:rPr>
                <w:sz w:val="18"/>
                <w:szCs w:val="18"/>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2.2</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Joint Program Know-How</w:t>
            </w:r>
          </w:p>
        </w:tc>
        <w:tc>
          <w:tcPr>
            <w:tcW w:w="960" w:type="dxa"/>
            <w:vAlign w:val="bottom"/>
          </w:tcPr>
          <w:p>
            <w:pPr>
              <w:spacing w:after="0"/>
              <w:rPr>
                <w:sz w:val="18"/>
                <w:szCs w:val="18"/>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10.1(a)</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Know-How Index</w:t>
            </w:r>
          </w:p>
        </w:tc>
        <w:tc>
          <w:tcPr>
            <w:tcW w:w="960" w:type="dxa"/>
            <w:vAlign w:val="bottom"/>
          </w:tcPr>
          <w:p>
            <w:pPr>
              <w:spacing w:after="0"/>
              <w:rPr>
                <w:sz w:val="18"/>
                <w:szCs w:val="18"/>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3.7(a)</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Launch Quarter</w:t>
            </w:r>
          </w:p>
        </w:tc>
        <w:tc>
          <w:tcPr>
            <w:tcW w:w="960" w:type="dxa"/>
            <w:vAlign w:val="bottom"/>
          </w:tcPr>
          <w:p>
            <w:pPr>
              <w:spacing w:after="0"/>
              <w:rPr>
                <w:sz w:val="18"/>
                <w:szCs w:val="18"/>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9.3(c)(ii)</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Merger</w:t>
            </w:r>
          </w:p>
        </w:tc>
        <w:tc>
          <w:tcPr>
            <w:tcW w:w="960" w:type="dxa"/>
            <w:vAlign w:val="bottom"/>
          </w:tcPr>
          <w:p>
            <w:pPr>
              <w:spacing w:after="0"/>
              <w:rPr>
                <w:sz w:val="18"/>
                <w:szCs w:val="18"/>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1.12</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Milestone Event</w:t>
            </w:r>
          </w:p>
        </w:tc>
        <w:tc>
          <w:tcPr>
            <w:tcW w:w="960" w:type="dxa"/>
            <w:vAlign w:val="bottom"/>
          </w:tcPr>
          <w:p>
            <w:pPr>
              <w:spacing w:after="0"/>
              <w:rPr>
                <w:sz w:val="18"/>
                <w:szCs w:val="18"/>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9.2</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Milestone Payment</w:t>
            </w:r>
          </w:p>
        </w:tc>
        <w:tc>
          <w:tcPr>
            <w:tcW w:w="960" w:type="dxa"/>
            <w:vAlign w:val="bottom"/>
          </w:tcPr>
          <w:p>
            <w:pPr>
              <w:spacing w:after="0"/>
              <w:rPr>
                <w:sz w:val="18"/>
                <w:szCs w:val="18"/>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9.2</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Non-SHP2 Termination Product</w:t>
            </w:r>
          </w:p>
        </w:tc>
        <w:tc>
          <w:tcPr>
            <w:tcW w:w="960" w:type="dxa"/>
            <w:vAlign w:val="bottom"/>
          </w:tcPr>
          <w:p>
            <w:pPr>
              <w:spacing w:after="0"/>
              <w:rPr>
                <w:sz w:val="18"/>
                <w:szCs w:val="18"/>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12.3(c)(ii)(A)</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Parent</w:t>
            </w:r>
          </w:p>
        </w:tc>
        <w:tc>
          <w:tcPr>
            <w:tcW w:w="960" w:type="dxa"/>
            <w:vAlign w:val="bottom"/>
          </w:tcPr>
          <w:p>
            <w:pPr>
              <w:spacing w:after="0"/>
              <w:rPr>
                <w:sz w:val="18"/>
                <w:szCs w:val="18"/>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1.12</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Party or Parties</w:t>
            </w:r>
          </w:p>
        </w:tc>
        <w:tc>
          <w:tcPr>
            <w:tcW w:w="960" w:type="dxa"/>
            <w:vAlign w:val="bottom"/>
          </w:tcPr>
          <w:p>
            <w:pPr>
              <w:spacing w:after="0"/>
              <w:rPr>
                <w:sz w:val="18"/>
                <w:szCs w:val="18"/>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Preamble</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Pharmacovigilance Agreement</w:t>
            </w:r>
          </w:p>
        </w:tc>
        <w:tc>
          <w:tcPr>
            <w:tcW w:w="960" w:type="dxa"/>
            <w:vAlign w:val="bottom"/>
          </w:tcPr>
          <w:p>
            <w:pPr>
              <w:spacing w:after="0"/>
              <w:rPr>
                <w:sz w:val="20"/>
                <w:szCs w:val="20"/>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6.5</w:t>
            </w:r>
          </w:p>
        </w:tc>
      </w:tr>
      <w:tr>
        <w:trPr>
          <w:trHeight w:val="365"/>
        </w:trPr>
        <w:tc>
          <w:tcPr>
            <w:tcW w:w="46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528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307" w:name="page308"/>
    <w:bookmarkEnd w:id="30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5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Defined Term</w:t>
            </w:r>
          </w:p>
        </w:tc>
        <w:tc>
          <w:tcPr>
            <w:tcW w:w="120" w:type="dxa"/>
            <w:vAlign w:val="bottom"/>
          </w:tcPr>
          <w:p>
            <w:pPr>
              <w:spacing w:after="0"/>
              <w:rPr>
                <w:sz w:val="16"/>
                <w:szCs w:val="16"/>
                <w:color w:val="auto"/>
              </w:rPr>
            </w:pPr>
          </w:p>
        </w:tc>
        <w:tc>
          <w:tcPr>
            <w:tcW w:w="5280" w:type="dxa"/>
            <w:vAlign w:val="bottom"/>
            <w:tcBorders>
              <w:bottom w:val="single" w:sz="8" w:color="auto"/>
            </w:tcBorders>
          </w:tcPr>
          <w:p>
            <w:pPr>
              <w:ind w:left="2400"/>
              <w:spacing w:after="0"/>
              <w:rPr>
                <w:sz w:val="20"/>
                <w:szCs w:val="20"/>
                <w:color w:val="auto"/>
              </w:rPr>
            </w:pPr>
            <w:r>
              <w:rPr>
                <w:rFonts w:ascii="Arial" w:cs="Arial" w:eastAsia="Arial" w:hAnsi="Arial"/>
                <w:sz w:val="14"/>
                <w:szCs w:val="14"/>
                <w:b w:val="1"/>
                <w:bCs w:val="1"/>
                <w:color w:val="auto"/>
              </w:rPr>
              <w:t>Section</w:t>
            </w:r>
          </w:p>
        </w:tc>
      </w:tr>
      <w:tr>
        <w:trPr>
          <w:trHeight w:val="195"/>
        </w:trPr>
        <w:tc>
          <w:tcPr>
            <w:tcW w:w="5620" w:type="dxa"/>
            <w:vAlign w:val="bottom"/>
          </w:tcPr>
          <w:p>
            <w:pPr>
              <w:spacing w:after="0" w:line="195" w:lineRule="exact"/>
              <w:rPr>
                <w:sz w:val="20"/>
                <w:szCs w:val="20"/>
                <w:color w:val="auto"/>
              </w:rPr>
            </w:pPr>
            <w:r>
              <w:rPr>
                <w:rFonts w:ascii="Arial" w:cs="Arial" w:eastAsia="Arial" w:hAnsi="Arial"/>
                <w:sz w:val="18"/>
                <w:szCs w:val="18"/>
                <w:color w:val="auto"/>
              </w:rPr>
              <w:t>Product Infringement</w:t>
            </w:r>
          </w:p>
        </w:tc>
        <w:tc>
          <w:tcPr>
            <w:tcW w:w="120" w:type="dxa"/>
            <w:vAlign w:val="bottom"/>
          </w:tcPr>
          <w:p>
            <w:pPr>
              <w:spacing w:after="0"/>
              <w:rPr>
                <w:sz w:val="16"/>
                <w:szCs w:val="16"/>
                <w:color w:val="auto"/>
              </w:rPr>
            </w:pPr>
          </w:p>
        </w:tc>
        <w:tc>
          <w:tcPr>
            <w:tcW w:w="5280" w:type="dxa"/>
            <w:vAlign w:val="bottom"/>
          </w:tcPr>
          <w:p>
            <w:pPr>
              <w:spacing w:after="0" w:line="195" w:lineRule="exact"/>
              <w:rPr>
                <w:sz w:val="20"/>
                <w:szCs w:val="20"/>
                <w:color w:val="auto"/>
              </w:rPr>
            </w:pPr>
            <w:r>
              <w:rPr>
                <w:rFonts w:ascii="Arial" w:cs="Arial" w:eastAsia="Arial" w:hAnsi="Arial"/>
                <w:sz w:val="18"/>
                <w:szCs w:val="18"/>
                <w:color w:val="auto"/>
              </w:rPr>
              <w:t>Section 10.4(a)</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Product Marks</w:t>
            </w: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10.5(a)</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Profit/Loss Share Agreement</w:t>
            </w: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9.4</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Quality Agreement</w:t>
            </w: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7.3</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Receiving Party</w:t>
            </w: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11.1(a)</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Remainder</w:t>
            </w: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10.4(f)</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Remedial Action</w:t>
            </w: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6.7</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Research Budget</w:t>
            </w: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4.2(a)</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Research Plan</w:t>
            </w: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4.1</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t>
            </w: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4.2(b)</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RevMed</w:t>
            </w: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Preamble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RevMed Commercialization Costs</w:t>
            </w: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8.2</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RevMed Indemnitee</w:t>
            </w: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14.2</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RevMed Program Invention</w:t>
            </w: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12.3(c)(ii)</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RevMed Study</w:t>
            </w: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5.6(b)</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Royalty Floor</w:t>
            </w: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9.3(c)(iii)</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Royalty Term</w:t>
            </w: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9.3(b)</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Sanofi</w:t>
            </w: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Preamble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Sanofi Indemnitee</w:t>
            </w: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14.1</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Sanofi Program Invention</w:t>
            </w: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12.3(c)(ii)</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Sanofi Prosecuted Patents</w:t>
            </w: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10.2(a)</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t>
            </w: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12.3(c)(ii)</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t>
            </w: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12.3(c)(ii)</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t>
            </w: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12.3(c)(ii)</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SHP1-SHP2 Dual Inhibitor License Rights</w:t>
            </w: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3.5(a)</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SHP1-SHP2 Dual Inhibitor Licensing Decision</w:t>
            </w: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3.5(a)</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SHP1-SHP2 Dual Inhibitor Licensing Negotiation Period</w:t>
            </w: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3.5(a)</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Stock Sale</w:t>
            </w: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1.12</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Supply Agreement</w:t>
            </w: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7.3</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Term</w:t>
            </w: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12.1</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Third Party Right</w:t>
            </w: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10.7(a)</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Termination Product</w:t>
            </w: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12.3(c)(ii)(D)</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Third Party Right Notification</w:t>
            </w: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10.7(a)</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VAT</w:t>
            </w: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Section 9.7(b)</w:t>
            </w:r>
          </w:p>
        </w:tc>
      </w:tr>
    </w:tbl>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1.132 Interpretation</w:t>
      </w:r>
      <w:r>
        <w:rPr>
          <w:rFonts w:ascii="Arial" w:cs="Arial" w:eastAsia="Arial" w:hAnsi="Arial"/>
          <w:sz w:val="18"/>
          <w:szCs w:val="18"/>
          <w:color w:val="auto"/>
        </w:rPr>
        <w:t>. In this Agreement, unless otherwise specified:</w:t>
      </w:r>
    </w:p>
    <w:p>
      <w:pPr>
        <w:spacing w:after="0" w:line="121" w:lineRule="exact"/>
        <w:rPr>
          <w:sz w:val="20"/>
          <w:szCs w:val="20"/>
          <w:color w:val="auto"/>
        </w:rPr>
      </w:pPr>
    </w:p>
    <w:p>
      <w:pPr>
        <w:ind w:left="680" w:hanging="244"/>
        <w:spacing w:after="0"/>
        <w:tabs>
          <w:tab w:leader="none" w:pos="6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words “include”, “includes” and “including” shall be deemed to be followed by the phrase “without limitation”;</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words “will” and “shall” have the same meaning;</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65" w:right="439" w:bottom="1440" w:gutter="0" w:footer="0" w:header="0"/>
        </w:sectPr>
      </w:pPr>
    </w:p>
    <w:bookmarkStart w:id="308" w:name="page309"/>
    <w:bookmarkEnd w:id="308"/>
    <w:p>
      <w:pPr>
        <w:ind w:left="684" w:hanging="244"/>
        <w:spacing w:after="0"/>
        <w:tabs>
          <w:tab w:leader="none" w:pos="684" w:val="left"/>
        </w:tabs>
        <w:numPr>
          <w:ilvl w:val="0"/>
          <w:numId w:val="1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word “or” shall be interpreted to mean “and/or” unless the context requires otherwise;</w:t>
      </w:r>
    </w:p>
    <w:p>
      <w:pPr>
        <w:spacing w:after="0" w:line="225" w:lineRule="exact"/>
        <w:rPr>
          <w:rFonts w:ascii="Arial" w:cs="Arial" w:eastAsia="Arial" w:hAnsi="Arial"/>
          <w:sz w:val="18"/>
          <w:szCs w:val="18"/>
          <w:color w:val="auto"/>
        </w:rPr>
      </w:pPr>
    </w:p>
    <w:p>
      <w:pPr>
        <w:ind w:left="704" w:hanging="264"/>
        <w:spacing w:after="0"/>
        <w:tabs>
          <w:tab w:leader="none" w:pos="704"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words denoting the singular shall include the plural and vice versa and words denoting any gender shall include all genders;</w:t>
      </w:r>
    </w:p>
    <w:p>
      <w:pPr>
        <w:spacing w:after="0" w:line="225" w:lineRule="exact"/>
        <w:rPr>
          <w:rFonts w:ascii="Arial" w:cs="Arial" w:eastAsia="Arial" w:hAnsi="Arial"/>
          <w:sz w:val="18"/>
          <w:szCs w:val="18"/>
          <w:color w:val="auto"/>
        </w:rPr>
      </w:pPr>
    </w:p>
    <w:p>
      <w:pPr>
        <w:ind w:left="4" w:right="20" w:firstLine="436"/>
        <w:spacing w:after="0" w:line="277" w:lineRule="auto"/>
        <w:tabs>
          <w:tab w:leader="none" w:pos="689"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words such as “herein”, “hereof”, and “hereunder” refer to this Agreement as a whole and not merely to the particular provision in which such words appear; and</w:t>
      </w:r>
    </w:p>
    <w:p>
      <w:pPr>
        <w:spacing w:after="0" w:line="170" w:lineRule="exact"/>
        <w:rPr>
          <w:rFonts w:ascii="Arial" w:cs="Arial" w:eastAsia="Arial" w:hAnsi="Arial"/>
          <w:sz w:val="18"/>
          <w:szCs w:val="18"/>
          <w:color w:val="auto"/>
        </w:rPr>
      </w:pPr>
    </w:p>
    <w:p>
      <w:pPr>
        <w:ind w:left="4" w:right="400" w:firstLine="436"/>
        <w:spacing w:after="0" w:line="277" w:lineRule="auto"/>
        <w:tabs>
          <w:tab w:leader="none" w:pos="669"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Exhibits and other attachments to this Agreement and the Correspondence form part of the operative provision of this Agreement and references to “this Agreement” shall include references to such Exhibits and attachments.</w:t>
      </w:r>
    </w:p>
    <w:p>
      <w:pPr>
        <w:spacing w:after="0" w:line="386"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Article II.</w:t>
      </w:r>
    </w:p>
    <w:p>
      <w:pPr>
        <w:spacing w:after="0" w:line="113"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color w:val="auto"/>
        </w:rPr>
        <w:t>GOVERNANCE</w:t>
      </w:r>
    </w:p>
    <w:p>
      <w:pPr>
        <w:spacing w:after="0" w:line="225"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b w:val="1"/>
          <w:bCs w:val="1"/>
          <w:color w:val="auto"/>
        </w:rPr>
        <w:t>2.1 Alliance Managers</w:t>
      </w:r>
      <w:r>
        <w:rPr>
          <w:rFonts w:ascii="Arial" w:cs="Arial" w:eastAsia="Arial" w:hAnsi="Arial"/>
          <w:sz w:val="16"/>
          <w:szCs w:val="16"/>
          <w:color w:val="auto"/>
        </w:rPr>
        <w:t>. Each Party hereby appoints the person listed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F</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Correspondence to act as its alliance manager under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as of the Effective Date (the “</w:t>
      </w:r>
      <w:r>
        <w:rPr>
          <w:rFonts w:ascii="Arial" w:cs="Arial" w:eastAsia="Arial" w:hAnsi="Arial"/>
          <w:sz w:val="16"/>
          <w:szCs w:val="16"/>
          <w:b w:val="1"/>
          <w:bCs w:val="1"/>
          <w:color w:val="auto"/>
        </w:rPr>
        <w:t>Alliance Manager</w:t>
      </w:r>
      <w:r>
        <w:rPr>
          <w:rFonts w:ascii="Arial" w:cs="Arial" w:eastAsia="Arial" w:hAnsi="Arial"/>
          <w:sz w:val="16"/>
          <w:szCs w:val="16"/>
          <w:color w:val="auto"/>
        </w:rPr>
        <w:t>”). Each Party’s Alliance Manager shall: (a) serve as the primary contact point between the Parties for the purpose of providing the other Party with information on the progress of such Party’s activities under this Agreement; (b) be primarily responsible for facilitating the flow of information and otherwise promoting communication, coordination and collaboration between the Parties; and</w:t>
      </w:r>
    </w:p>
    <w:p>
      <w:pPr>
        <w:spacing w:after="0" w:line="2" w:lineRule="exact"/>
        <w:rPr>
          <w:sz w:val="20"/>
          <w:szCs w:val="20"/>
          <w:color w:val="auto"/>
        </w:rPr>
      </w:pPr>
    </w:p>
    <w:p>
      <w:pPr>
        <w:ind w:left="4" w:right="180" w:hanging="4"/>
        <w:spacing w:after="0" w:line="252" w:lineRule="auto"/>
        <w:tabs>
          <w:tab w:leader="none" w:pos="249" w:val="left"/>
        </w:tabs>
        <w:numPr>
          <w:ilvl w:val="0"/>
          <w:numId w:val="158"/>
        </w:numPr>
        <w:rPr>
          <w:rFonts w:ascii="Arial" w:cs="Arial" w:eastAsia="Arial" w:hAnsi="Arial"/>
          <w:sz w:val="18"/>
          <w:szCs w:val="18"/>
          <w:color w:val="auto"/>
        </w:rPr>
      </w:pPr>
      <w:r>
        <w:rPr>
          <w:rFonts w:ascii="Arial" w:cs="Arial" w:eastAsia="Arial" w:hAnsi="Arial"/>
          <w:sz w:val="18"/>
          <w:szCs w:val="18"/>
          <w:color w:val="auto"/>
        </w:rPr>
        <w:t>have the right to attend all Committee meetings, all as non-voting members. Without limiting the foregoing, the Alliance Managers (or their designees) shall be responsible for (i) scheduling meetings of each Decision-Making Committee; (ii) setting agendas for meetings of each Decision-Making Committee with solicited input from members of the respective Committee, and (iii) preparing the draft minutes of such meetings (with such responsibility alternating between the Alliance Managers), which minutes shall provide a description in reasonable detail of the discussion held at the meeting and a list of any actions, decisions or determinations approved by the respective Committee. Each Party may replace its Alliance Manager at any time upon written notice to the other Party.</w:t>
      </w:r>
    </w:p>
    <w:p>
      <w:pPr>
        <w:spacing w:after="0" w:line="190" w:lineRule="exact"/>
        <w:rPr>
          <w:sz w:val="20"/>
          <w:szCs w:val="20"/>
          <w:color w:val="auto"/>
        </w:rPr>
      </w:pPr>
    </w:p>
    <w:p>
      <w:pPr>
        <w:ind w:left="444"/>
        <w:spacing w:after="0"/>
        <w:rPr>
          <w:sz w:val="20"/>
          <w:szCs w:val="20"/>
          <w:color w:val="auto"/>
        </w:rPr>
      </w:pPr>
      <w:r>
        <w:rPr>
          <w:rFonts w:ascii="Arial" w:cs="Arial" w:eastAsia="Arial" w:hAnsi="Arial"/>
          <w:sz w:val="16"/>
          <w:szCs w:val="16"/>
          <w:b w:val="1"/>
          <w:bCs w:val="1"/>
          <w:color w:val="auto"/>
        </w:rPr>
        <w:t>2.2 Joint Steering Committee</w:t>
      </w:r>
      <w:r>
        <w:rPr>
          <w:rFonts w:ascii="Arial" w:cs="Arial" w:eastAsia="Arial" w:hAnsi="Arial"/>
          <w:sz w:val="16"/>
          <w:szCs w:val="16"/>
          <w:color w:val="auto"/>
        </w:rPr>
        <w:t>. The Parties hereby establish an executive steering committee (the “</w:t>
      </w:r>
      <w:r>
        <w:rPr>
          <w:rFonts w:ascii="Arial" w:cs="Arial" w:eastAsia="Arial" w:hAnsi="Arial"/>
          <w:sz w:val="16"/>
          <w:szCs w:val="16"/>
          <w:b w:val="1"/>
          <w:bCs w:val="1"/>
          <w:color w:val="auto"/>
        </w:rPr>
        <w:t>Joint Steering Committee</w:t>
      </w:r>
      <w:r>
        <w:rPr>
          <w:rFonts w:ascii="Arial" w:cs="Arial" w:eastAsia="Arial" w:hAnsi="Arial"/>
          <w:sz w:val="16"/>
          <w:szCs w:val="16"/>
          <w:color w:val="auto"/>
        </w:rPr>
        <w:t>” or the “</w:t>
      </w:r>
      <w:r>
        <w:rPr>
          <w:rFonts w:ascii="Arial" w:cs="Arial" w:eastAsia="Arial" w:hAnsi="Arial"/>
          <w:sz w:val="16"/>
          <w:szCs w:val="16"/>
          <w:b w:val="1"/>
          <w:bCs w:val="1"/>
          <w:color w:val="auto"/>
        </w:rPr>
        <w:t>JSC</w:t>
      </w:r>
      <w:r>
        <w:rPr>
          <w:rFonts w:ascii="Arial" w:cs="Arial" w:eastAsia="Arial" w:hAnsi="Arial"/>
          <w:sz w:val="16"/>
          <w:szCs w:val="16"/>
          <w:color w:val="auto"/>
        </w:rPr>
        <w:t>”).</w:t>
      </w:r>
    </w:p>
    <w:p>
      <w:pPr>
        <w:spacing w:after="0" w:line="248" w:lineRule="exact"/>
        <w:rPr>
          <w:sz w:val="20"/>
          <w:szCs w:val="20"/>
          <w:color w:val="auto"/>
        </w:rPr>
      </w:pPr>
    </w:p>
    <w:p>
      <w:pPr>
        <w:ind w:left="4" w:right="340" w:firstLine="436"/>
        <w:spacing w:after="0" w:line="282" w:lineRule="auto"/>
        <w:tabs>
          <w:tab w:leader="none" w:pos="689" w:val="left"/>
        </w:tabs>
        <w:numPr>
          <w:ilvl w:val="0"/>
          <w:numId w:val="159"/>
        </w:numPr>
        <w:rPr>
          <w:rFonts w:ascii="Arial" w:cs="Arial" w:eastAsia="Arial" w:hAnsi="Arial"/>
          <w:sz w:val="18"/>
          <w:szCs w:val="18"/>
          <w:color w:val="auto"/>
        </w:rPr>
      </w:pPr>
      <w:r>
        <w:rPr>
          <w:rFonts w:ascii="Arial" w:cs="Arial" w:eastAsia="Arial" w:hAnsi="Arial"/>
          <w:sz w:val="18"/>
          <w:szCs w:val="18"/>
          <w:b w:val="1"/>
          <w:bCs w:val="1"/>
          <w:color w:val="auto"/>
        </w:rPr>
        <w:t>Composition</w:t>
      </w:r>
      <w:r>
        <w:rPr>
          <w:rFonts w:ascii="Arial" w:cs="Arial" w:eastAsia="Arial" w:hAnsi="Arial"/>
          <w:sz w:val="18"/>
          <w:szCs w:val="18"/>
          <w:color w:val="auto"/>
        </w:rPr>
        <w:t>. The JSC shall consist of three senior executives of each Party, with at least one such senior executive from each such Party</w:t>
      </w:r>
      <w:r>
        <w:rPr>
          <w:rFonts w:ascii="Arial" w:cs="Arial" w:eastAsia="Arial" w:hAnsi="Arial"/>
          <w:sz w:val="18"/>
          <w:szCs w:val="18"/>
          <w:b w:val="1"/>
          <w:bCs w:val="1"/>
          <w:color w:val="auto"/>
        </w:rPr>
        <w:t xml:space="preserve"> </w:t>
      </w:r>
      <w:r>
        <w:rPr>
          <w:rFonts w:ascii="Arial" w:cs="Arial" w:eastAsia="Arial" w:hAnsi="Arial"/>
          <w:sz w:val="18"/>
          <w:szCs w:val="18"/>
          <w:color w:val="auto"/>
        </w:rPr>
        <w:t>holding the position of vice president or above.</w:t>
      </w:r>
    </w:p>
    <w:p>
      <w:pPr>
        <w:spacing w:after="0" w:line="161" w:lineRule="exact"/>
        <w:rPr>
          <w:rFonts w:ascii="Arial" w:cs="Arial" w:eastAsia="Arial" w:hAnsi="Arial"/>
          <w:sz w:val="18"/>
          <w:szCs w:val="18"/>
          <w:color w:val="auto"/>
        </w:rPr>
      </w:pPr>
    </w:p>
    <w:p>
      <w:pPr>
        <w:ind w:left="704" w:hanging="264"/>
        <w:spacing w:after="0"/>
        <w:tabs>
          <w:tab w:leader="none" w:pos="704" w:val="left"/>
        </w:tabs>
        <w:numPr>
          <w:ilvl w:val="0"/>
          <w:numId w:val="159"/>
        </w:numPr>
        <w:rPr>
          <w:rFonts w:ascii="Arial" w:cs="Arial" w:eastAsia="Arial" w:hAnsi="Arial"/>
          <w:sz w:val="18"/>
          <w:szCs w:val="18"/>
          <w:color w:val="auto"/>
        </w:rPr>
      </w:pPr>
      <w:r>
        <w:rPr>
          <w:rFonts w:ascii="Arial" w:cs="Arial" w:eastAsia="Arial" w:hAnsi="Arial"/>
          <w:sz w:val="18"/>
          <w:szCs w:val="18"/>
          <w:b w:val="1"/>
          <w:bCs w:val="1"/>
          <w:color w:val="auto"/>
        </w:rPr>
        <w:t>Function and Powers</w:t>
      </w:r>
      <w:r>
        <w:rPr>
          <w:rFonts w:ascii="Arial" w:cs="Arial" w:eastAsia="Arial" w:hAnsi="Arial"/>
          <w:sz w:val="18"/>
          <w:szCs w:val="18"/>
          <w:color w:val="auto"/>
        </w:rPr>
        <w:t>. The JSC shall manage the overall Collaboration, and shall in particular:</w:t>
      </w:r>
    </w:p>
    <w:p>
      <w:pPr>
        <w:spacing w:after="0" w:line="121" w:lineRule="exact"/>
        <w:rPr>
          <w:rFonts w:ascii="Arial" w:cs="Arial" w:eastAsia="Arial" w:hAnsi="Arial"/>
          <w:sz w:val="18"/>
          <w:szCs w:val="18"/>
          <w:color w:val="auto"/>
        </w:rPr>
      </w:pPr>
    </w:p>
    <w:p>
      <w:pPr>
        <w:ind w:left="444" w:right="180" w:firstLine="419"/>
        <w:spacing w:after="0" w:line="277" w:lineRule="auto"/>
        <w:tabs>
          <w:tab w:leader="none" w:pos="1082" w:val="left"/>
        </w:tabs>
        <w:numPr>
          <w:ilvl w:val="1"/>
          <w:numId w:val="159"/>
        </w:numPr>
        <w:rPr>
          <w:rFonts w:ascii="Arial" w:cs="Arial" w:eastAsia="Arial" w:hAnsi="Arial"/>
          <w:sz w:val="18"/>
          <w:szCs w:val="18"/>
          <w:color w:val="auto"/>
        </w:rPr>
      </w:pPr>
      <w:r>
        <w:rPr>
          <w:rFonts w:ascii="Arial" w:cs="Arial" w:eastAsia="Arial" w:hAnsi="Arial"/>
          <w:sz w:val="18"/>
          <w:szCs w:val="18"/>
          <w:color w:val="auto"/>
        </w:rPr>
        <w:t>coordinate the activities of the Parties under this Agreement, including facilitating communications between the Parties with respect to the Research, Development, Manufacture and Commercialization of the SHP2 Inhibitors and Products;</w:t>
      </w:r>
    </w:p>
    <w:p>
      <w:pPr>
        <w:spacing w:after="0" w:line="103"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4"/>
          </w:cols>
          <w:pgMar w:left="436" w:top="274" w:right="519" w:bottom="1440" w:gutter="0" w:footer="0" w:header="0"/>
        </w:sectPr>
      </w:pPr>
    </w:p>
    <w:bookmarkStart w:id="309" w:name="page310"/>
    <w:bookmarkEnd w:id="309"/>
    <w:p>
      <w:pPr>
        <w:ind w:left="440" w:right="380" w:firstLine="419"/>
        <w:spacing w:after="0" w:line="277" w:lineRule="auto"/>
        <w:tabs>
          <w:tab w:leader="none" w:pos="1128" w:val="left"/>
        </w:tabs>
        <w:numPr>
          <w:ilvl w:val="0"/>
          <w:numId w:val="1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 a forum for discussion of matters relating to the Research, Development, Manufacture and Commercialization of the SHP2 Inhibitors and Products presented to the JSC by the other Committees;</w:t>
      </w:r>
    </w:p>
    <w:p>
      <w:pPr>
        <w:spacing w:after="0" w:line="62" w:lineRule="exact"/>
        <w:rPr>
          <w:rFonts w:ascii="Arial" w:cs="Arial" w:eastAsia="Arial" w:hAnsi="Arial"/>
          <w:sz w:val="18"/>
          <w:szCs w:val="18"/>
          <w:color w:val="auto"/>
        </w:rPr>
      </w:pPr>
    </w:p>
    <w:p>
      <w:pPr>
        <w:ind w:left="440" w:right="60" w:firstLine="419"/>
        <w:spacing w:after="0" w:line="263" w:lineRule="auto"/>
        <w:tabs>
          <w:tab w:leader="none" w:pos="117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direct and oversee the operation of the JRDC, JCC, JPC and any other joint subcommittee established by JSC, including resolving any disputed matter of the JRDC, JCC, JPC and other subcommittees in accordance with Section 2.10, and promote effective member participation in each such Committee’s or subcommittee’s operations;</w:t>
      </w:r>
    </w:p>
    <w:p>
      <w:pPr>
        <w:spacing w:after="0" w:line="75" w:lineRule="exact"/>
        <w:rPr>
          <w:rFonts w:ascii="Arial" w:cs="Arial" w:eastAsia="Arial" w:hAnsi="Arial"/>
          <w:sz w:val="18"/>
          <w:szCs w:val="18"/>
          <w:color w:val="auto"/>
        </w:rPr>
      </w:pPr>
    </w:p>
    <w:p>
      <w:pPr>
        <w:ind w:left="440" w:right="80" w:firstLine="419"/>
        <w:spacing w:after="0" w:line="277" w:lineRule="auto"/>
        <w:tabs>
          <w:tab w:leader="none" w:pos="116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approve each Research Plan and Development Plan prepared by the JRDC, and the Research Budget and Development Budget therein, respectively, and amendments to the foregoing in accordance with Section 5.2(d);</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establish additional subcommittees as appropriate;</w:t>
      </w:r>
    </w:p>
    <w:p>
      <w:pPr>
        <w:spacing w:after="0" w:line="117" w:lineRule="exact"/>
        <w:rPr>
          <w:rFonts w:ascii="Arial" w:cs="Arial" w:eastAsia="Arial" w:hAnsi="Arial"/>
          <w:sz w:val="18"/>
          <w:szCs w:val="18"/>
          <w:color w:val="auto"/>
        </w:rPr>
      </w:pPr>
    </w:p>
    <w:p>
      <w:pPr>
        <w:ind w:left="1160" w:hanging="301"/>
        <w:spacing w:after="0"/>
        <w:tabs>
          <w:tab w:leader="none" w:pos="11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440" w:right="100" w:firstLine="419"/>
        <w:spacing w:after="0" w:line="263" w:lineRule="auto"/>
        <w:tabs>
          <w:tab w:leader="none" w:pos="121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perform such other duties as are expressly assigned to the JSC in this Agreement, and perform such other functions as appropriate to further the purposes of this Agreement as may be allocated to it by the Parties’ written agreement, except where in conflict with any provision of this Agreement.</w:t>
      </w:r>
    </w:p>
    <w:p>
      <w:pPr>
        <w:spacing w:after="0" w:line="180" w:lineRule="exact"/>
        <w:rPr>
          <w:sz w:val="20"/>
          <w:szCs w:val="20"/>
          <w:color w:val="auto"/>
        </w:rPr>
      </w:pPr>
    </w:p>
    <w:p>
      <w:pPr>
        <w:ind w:right="840" w:firstLine="440"/>
        <w:spacing w:after="0" w:line="282" w:lineRule="auto"/>
        <w:rPr>
          <w:sz w:val="20"/>
          <w:szCs w:val="20"/>
          <w:color w:val="auto"/>
        </w:rPr>
      </w:pPr>
      <w:r>
        <w:rPr>
          <w:rFonts w:ascii="Arial" w:cs="Arial" w:eastAsia="Arial" w:hAnsi="Arial"/>
          <w:sz w:val="18"/>
          <w:szCs w:val="18"/>
          <w:b w:val="1"/>
          <w:bCs w:val="1"/>
          <w:color w:val="auto"/>
        </w:rPr>
        <w:t>2.3 Joint Research and Development Committee</w:t>
      </w:r>
      <w:r>
        <w:rPr>
          <w:rFonts w:ascii="Arial" w:cs="Arial" w:eastAsia="Arial" w:hAnsi="Arial"/>
          <w:sz w:val="18"/>
          <w:szCs w:val="18"/>
          <w:color w:val="auto"/>
        </w:rPr>
        <w:t>. The Parties hereby establish a joint research committee (the “</w:t>
      </w:r>
      <w:r>
        <w:rPr>
          <w:rFonts w:ascii="Arial" w:cs="Arial" w:eastAsia="Arial" w:hAnsi="Arial"/>
          <w:sz w:val="18"/>
          <w:szCs w:val="18"/>
          <w:b w:val="1"/>
          <w:bCs w:val="1"/>
          <w:color w:val="auto"/>
        </w:rPr>
        <w:t>Joint Research and Development Committee</w:t>
      </w:r>
      <w:r>
        <w:rPr>
          <w:rFonts w:ascii="Arial" w:cs="Arial" w:eastAsia="Arial" w:hAnsi="Arial"/>
          <w:sz w:val="18"/>
          <w:szCs w:val="18"/>
          <w:color w:val="auto"/>
        </w:rPr>
        <w:t>” or the “</w:t>
      </w:r>
      <w:r>
        <w:rPr>
          <w:rFonts w:ascii="Arial" w:cs="Arial" w:eastAsia="Arial" w:hAnsi="Arial"/>
          <w:sz w:val="18"/>
          <w:szCs w:val="18"/>
          <w:b w:val="1"/>
          <w:bCs w:val="1"/>
          <w:color w:val="auto"/>
        </w:rPr>
        <w:t>JRDC</w:t>
      </w:r>
      <w:r>
        <w:rPr>
          <w:rFonts w:ascii="Arial" w:cs="Arial" w:eastAsia="Arial" w:hAnsi="Arial"/>
          <w:sz w:val="18"/>
          <w:szCs w:val="18"/>
          <w:color w:val="auto"/>
        </w:rPr>
        <w:t>”).</w:t>
      </w:r>
    </w:p>
    <w:p>
      <w:pPr>
        <w:spacing w:after="0" w:line="162" w:lineRule="exact"/>
        <w:rPr>
          <w:sz w:val="20"/>
          <w:szCs w:val="20"/>
          <w:color w:val="auto"/>
        </w:rPr>
      </w:pPr>
    </w:p>
    <w:p>
      <w:pPr>
        <w:ind w:right="800" w:firstLine="436"/>
        <w:spacing w:after="0" w:line="282" w:lineRule="auto"/>
        <w:tabs>
          <w:tab w:leader="none" w:pos="685" w:val="left"/>
        </w:tabs>
        <w:numPr>
          <w:ilvl w:val="0"/>
          <w:numId w:val="161"/>
        </w:numPr>
        <w:rPr>
          <w:rFonts w:ascii="Arial" w:cs="Arial" w:eastAsia="Arial" w:hAnsi="Arial"/>
          <w:sz w:val="18"/>
          <w:szCs w:val="18"/>
          <w:color w:val="auto"/>
        </w:rPr>
      </w:pPr>
      <w:r>
        <w:rPr>
          <w:rFonts w:ascii="Arial" w:cs="Arial" w:eastAsia="Arial" w:hAnsi="Arial"/>
          <w:sz w:val="18"/>
          <w:szCs w:val="18"/>
          <w:b w:val="1"/>
          <w:bCs w:val="1"/>
          <w:color w:val="auto"/>
        </w:rPr>
        <w:t>Composition</w:t>
      </w:r>
      <w:r>
        <w:rPr>
          <w:rFonts w:ascii="Arial" w:cs="Arial" w:eastAsia="Arial" w:hAnsi="Arial"/>
          <w:sz w:val="18"/>
          <w:szCs w:val="18"/>
          <w:color w:val="auto"/>
        </w:rPr>
        <w:t>. The JRDC shall consist of three representatives of each Party that have knowledge and expertise in the Research and</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of pharmaceutical or biologic products in the Field.</w:t>
      </w:r>
    </w:p>
    <w:p>
      <w:pPr>
        <w:spacing w:after="0" w:line="161" w:lineRule="exact"/>
        <w:rPr>
          <w:rFonts w:ascii="Arial" w:cs="Arial" w:eastAsia="Arial" w:hAnsi="Arial"/>
          <w:sz w:val="18"/>
          <w:szCs w:val="18"/>
          <w:color w:val="auto"/>
        </w:rPr>
      </w:pPr>
    </w:p>
    <w:p>
      <w:pPr>
        <w:ind w:left="700" w:hanging="264"/>
        <w:spacing w:after="0"/>
        <w:tabs>
          <w:tab w:leader="none" w:pos="700" w:val="left"/>
        </w:tabs>
        <w:numPr>
          <w:ilvl w:val="0"/>
          <w:numId w:val="161"/>
        </w:numPr>
        <w:rPr>
          <w:rFonts w:ascii="Arial" w:cs="Arial" w:eastAsia="Arial" w:hAnsi="Arial"/>
          <w:sz w:val="18"/>
          <w:szCs w:val="18"/>
          <w:color w:val="auto"/>
        </w:rPr>
      </w:pPr>
      <w:r>
        <w:rPr>
          <w:rFonts w:ascii="Arial" w:cs="Arial" w:eastAsia="Arial" w:hAnsi="Arial"/>
          <w:sz w:val="18"/>
          <w:szCs w:val="18"/>
          <w:b w:val="1"/>
          <w:bCs w:val="1"/>
          <w:color w:val="auto"/>
        </w:rPr>
        <w:t>Function and Powers</w:t>
      </w:r>
      <w:r>
        <w:rPr>
          <w:rFonts w:ascii="Arial" w:cs="Arial" w:eastAsia="Arial" w:hAnsi="Arial"/>
          <w:sz w:val="18"/>
          <w:szCs w:val="18"/>
          <w:color w:val="auto"/>
        </w:rPr>
        <w:t>. The JRDC shall have the following responsibilities:</w:t>
      </w:r>
    </w:p>
    <w:p>
      <w:pPr>
        <w:spacing w:after="0" w:line="121" w:lineRule="exact"/>
        <w:rPr>
          <w:rFonts w:ascii="Arial" w:cs="Arial" w:eastAsia="Arial" w:hAnsi="Arial"/>
          <w:sz w:val="18"/>
          <w:szCs w:val="18"/>
          <w:color w:val="auto"/>
        </w:rPr>
      </w:pPr>
    </w:p>
    <w:p>
      <w:pPr>
        <w:ind w:left="440" w:right="600" w:firstLine="419"/>
        <w:spacing w:after="0" w:line="277" w:lineRule="auto"/>
        <w:tabs>
          <w:tab w:leader="none" w:pos="1078" w:val="left"/>
        </w:tabs>
        <w:numPr>
          <w:ilvl w:val="1"/>
          <w:numId w:val="161"/>
        </w:numPr>
        <w:rPr>
          <w:rFonts w:ascii="Arial" w:cs="Arial" w:eastAsia="Arial" w:hAnsi="Arial"/>
          <w:sz w:val="18"/>
          <w:szCs w:val="18"/>
          <w:color w:val="auto"/>
        </w:rPr>
      </w:pPr>
      <w:r>
        <w:rPr>
          <w:rFonts w:ascii="Arial" w:cs="Arial" w:eastAsia="Arial" w:hAnsi="Arial"/>
          <w:sz w:val="18"/>
          <w:szCs w:val="18"/>
          <w:color w:val="auto"/>
        </w:rPr>
        <w:t>prepare each Research Plan and Development Plan, and the Research Budget and Development Budget therein, respectively, and amendments to the foregoing in accordance with Section 5.2(d);</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oversee the implementation of each Research Plan and Development Plan;</w:t>
      </w:r>
    </w:p>
    <w:p>
      <w:pPr>
        <w:spacing w:after="0" w:line="117" w:lineRule="exact"/>
        <w:rPr>
          <w:rFonts w:ascii="Arial" w:cs="Arial" w:eastAsia="Arial" w:hAnsi="Arial"/>
          <w:sz w:val="18"/>
          <w:szCs w:val="18"/>
          <w:color w:val="auto"/>
        </w:rPr>
      </w:pPr>
    </w:p>
    <w:p>
      <w:pPr>
        <w:ind w:left="1180" w:hanging="321"/>
        <w:spacing w:after="0"/>
        <w:tabs>
          <w:tab w:leader="none" w:pos="1180" w:val="left"/>
        </w:tabs>
        <w:numPr>
          <w:ilvl w:val="1"/>
          <w:numId w:val="161"/>
        </w:numPr>
        <w:rPr>
          <w:rFonts w:ascii="Arial" w:cs="Arial" w:eastAsia="Arial" w:hAnsi="Arial"/>
          <w:sz w:val="16"/>
          <w:szCs w:val="16"/>
          <w:color w:val="auto"/>
        </w:rPr>
      </w:pPr>
      <w:r>
        <w:rPr>
          <w:rFonts w:ascii="Arial" w:cs="Arial" w:eastAsia="Arial" w:hAnsi="Arial"/>
          <w:sz w:val="16"/>
          <w:szCs w:val="16"/>
          <w:color w:val="auto"/>
        </w:rPr>
        <w:t>monitor, coordinate and evaluate the activities and performance of the Parties under each Research Plan and Development Plan[***];</w:t>
      </w:r>
    </w:p>
    <w:p>
      <w:pPr>
        <w:spacing w:after="0" w:line="140" w:lineRule="exact"/>
        <w:rPr>
          <w:rFonts w:ascii="Arial" w:cs="Arial" w:eastAsia="Arial" w:hAnsi="Arial"/>
          <w:sz w:val="16"/>
          <w:szCs w:val="16"/>
          <w:color w:val="auto"/>
        </w:rPr>
      </w:pPr>
    </w:p>
    <w:p>
      <w:pPr>
        <w:ind w:left="440" w:right="100" w:firstLine="419"/>
        <w:spacing w:after="0" w:line="277" w:lineRule="auto"/>
        <w:tabs>
          <w:tab w:leader="none" w:pos="1168" w:val="left"/>
        </w:tabs>
        <w:numPr>
          <w:ilvl w:val="1"/>
          <w:numId w:val="161"/>
        </w:numPr>
        <w:rPr>
          <w:rFonts w:ascii="Arial" w:cs="Arial" w:eastAsia="Arial" w:hAnsi="Arial"/>
          <w:sz w:val="18"/>
          <w:szCs w:val="18"/>
          <w:color w:val="auto"/>
        </w:rPr>
      </w:pPr>
      <w:r>
        <w:rPr>
          <w:rFonts w:ascii="Arial" w:cs="Arial" w:eastAsia="Arial" w:hAnsi="Arial"/>
          <w:sz w:val="18"/>
          <w:szCs w:val="18"/>
          <w:color w:val="auto"/>
        </w:rPr>
        <w:t>following completion of early Development activities for a Product, determine whether to further develop such Product for Regulatory Approval;</w:t>
      </w:r>
    </w:p>
    <w:p>
      <w:pPr>
        <w:spacing w:after="0" w:line="62" w:lineRule="exact"/>
        <w:rPr>
          <w:rFonts w:ascii="Arial" w:cs="Arial" w:eastAsia="Arial" w:hAnsi="Arial"/>
          <w:sz w:val="18"/>
          <w:szCs w:val="18"/>
          <w:color w:val="auto"/>
        </w:rPr>
      </w:pPr>
    </w:p>
    <w:p>
      <w:pPr>
        <w:ind w:left="440" w:firstLine="419"/>
        <w:spacing w:after="0" w:line="277" w:lineRule="auto"/>
        <w:tabs>
          <w:tab w:leader="none" w:pos="1118" w:val="left"/>
        </w:tabs>
        <w:numPr>
          <w:ilvl w:val="1"/>
          <w:numId w:val="161"/>
        </w:numPr>
        <w:rPr>
          <w:rFonts w:ascii="Arial" w:cs="Arial" w:eastAsia="Arial" w:hAnsi="Arial"/>
          <w:sz w:val="18"/>
          <w:szCs w:val="18"/>
          <w:color w:val="auto"/>
        </w:rPr>
      </w:pPr>
      <w:r>
        <w:rPr>
          <w:rFonts w:ascii="Arial" w:cs="Arial" w:eastAsia="Arial" w:hAnsi="Arial"/>
          <w:sz w:val="18"/>
          <w:szCs w:val="18"/>
          <w:color w:val="auto"/>
        </w:rPr>
        <w:t>if the JRDC determines to further Develop a Product for Regulatory Approval, develop the Data Package for such Product in accordance with Section 5.2(c);</w:t>
      </w:r>
    </w:p>
    <w:p>
      <w:pPr>
        <w:spacing w:after="0" w:line="62" w:lineRule="exact"/>
        <w:rPr>
          <w:rFonts w:ascii="Arial" w:cs="Arial" w:eastAsia="Arial" w:hAnsi="Arial"/>
          <w:sz w:val="18"/>
          <w:szCs w:val="18"/>
          <w:color w:val="auto"/>
        </w:rPr>
      </w:pPr>
    </w:p>
    <w:p>
      <w:pPr>
        <w:ind w:left="440" w:right="400" w:firstLine="419"/>
        <w:spacing w:after="0" w:line="277" w:lineRule="auto"/>
        <w:tabs>
          <w:tab w:leader="none" w:pos="1168" w:val="left"/>
        </w:tabs>
        <w:numPr>
          <w:ilvl w:val="1"/>
          <w:numId w:val="161"/>
        </w:numPr>
        <w:rPr>
          <w:rFonts w:ascii="Arial" w:cs="Arial" w:eastAsia="Arial" w:hAnsi="Arial"/>
          <w:sz w:val="18"/>
          <w:szCs w:val="18"/>
          <w:color w:val="auto"/>
        </w:rPr>
      </w:pPr>
      <w:r>
        <w:rPr>
          <w:rFonts w:ascii="Arial" w:cs="Arial" w:eastAsia="Arial" w:hAnsi="Arial"/>
          <w:sz w:val="18"/>
          <w:szCs w:val="18"/>
          <w:color w:val="auto"/>
        </w:rPr>
        <w:t>provide a forum for and facilitate communications between the Parties with respect to the Research and Development of the SHP2 Inhibitors and Products;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440" w:top="274" w:right="499" w:bottom="1440" w:gutter="0" w:footer="0" w:header="0"/>
        </w:sectPr>
      </w:pPr>
    </w:p>
    <w:bookmarkStart w:id="310" w:name="page311"/>
    <w:bookmarkEnd w:id="310"/>
    <w:p>
      <w:pPr>
        <w:ind w:left="1220" w:hanging="361"/>
        <w:spacing w:after="0"/>
        <w:tabs>
          <w:tab w:leader="none" w:pos="1220" w:val="left"/>
        </w:tabs>
        <w:numPr>
          <w:ilvl w:val="1"/>
          <w:numId w:val="16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review and approve a format for the expense reports to be provided by RevMed to Sanofi pursuant to Section 4.5 and Section 5.5;</w:t>
      </w:r>
    </w:p>
    <w:p>
      <w:pPr>
        <w:spacing w:after="0" w:line="128" w:lineRule="exact"/>
        <w:rPr>
          <w:rFonts w:ascii="Arial" w:cs="Arial" w:eastAsia="Arial" w:hAnsi="Arial"/>
          <w:sz w:val="17"/>
          <w:szCs w:val="17"/>
          <w:color w:val="auto"/>
        </w:rPr>
      </w:pPr>
    </w:p>
    <w:p>
      <w:pPr>
        <w:ind w:left="440" w:right="20" w:firstLine="419"/>
        <w:spacing w:after="0" w:line="277" w:lineRule="auto"/>
        <w:tabs>
          <w:tab w:leader="none" w:pos="1268" w:val="left"/>
        </w:tabs>
        <w:numPr>
          <w:ilvl w:val="1"/>
          <w:numId w:val="162"/>
        </w:numPr>
        <w:rPr>
          <w:rFonts w:ascii="Arial" w:cs="Arial" w:eastAsia="Arial" w:hAnsi="Arial"/>
          <w:sz w:val="18"/>
          <w:szCs w:val="18"/>
          <w:color w:val="auto"/>
        </w:rPr>
      </w:pPr>
      <w:r>
        <w:rPr>
          <w:rFonts w:ascii="Arial" w:cs="Arial" w:eastAsia="Arial" w:hAnsi="Arial"/>
          <w:sz w:val="18"/>
          <w:szCs w:val="18"/>
          <w:color w:val="auto"/>
        </w:rPr>
        <w:t>monitor and coordinate all regulatory actions, communications and submissions for the SHP2 Inhibitors and Products allocated to each Party under the Development Plans;</w:t>
      </w:r>
    </w:p>
    <w:p>
      <w:pPr>
        <w:spacing w:after="0" w:line="62" w:lineRule="exact"/>
        <w:rPr>
          <w:rFonts w:ascii="Arial" w:cs="Arial" w:eastAsia="Arial" w:hAnsi="Arial"/>
          <w:sz w:val="18"/>
          <w:szCs w:val="18"/>
          <w:color w:val="auto"/>
        </w:rPr>
      </w:pPr>
    </w:p>
    <w:p>
      <w:pPr>
        <w:ind w:left="440" w:right="20" w:firstLine="419"/>
        <w:spacing w:after="0" w:line="277" w:lineRule="auto"/>
        <w:tabs>
          <w:tab w:leader="none" w:pos="1168" w:val="left"/>
        </w:tabs>
        <w:numPr>
          <w:ilvl w:val="1"/>
          <w:numId w:val="162"/>
        </w:numPr>
        <w:rPr>
          <w:rFonts w:ascii="Arial" w:cs="Arial" w:eastAsia="Arial" w:hAnsi="Arial"/>
          <w:sz w:val="18"/>
          <w:szCs w:val="18"/>
          <w:color w:val="auto"/>
        </w:rPr>
      </w:pPr>
      <w:r>
        <w:rPr>
          <w:rFonts w:ascii="Arial" w:cs="Arial" w:eastAsia="Arial" w:hAnsi="Arial"/>
          <w:sz w:val="18"/>
          <w:szCs w:val="18"/>
          <w:color w:val="auto"/>
        </w:rPr>
        <w:t>oversee and coordinate the Manufacturing of the SHP2 Inhibitors and Products for clinical supply in accordance with Article VII, unless the JSC designates a manufacturing committee or subcommittee to perform such activities;</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establish other subcommittees, as appropriate, to carry out its functions; and</w:t>
      </w:r>
    </w:p>
    <w:p>
      <w:pPr>
        <w:spacing w:after="0" w:line="117" w:lineRule="exact"/>
        <w:rPr>
          <w:rFonts w:ascii="Arial" w:cs="Arial" w:eastAsia="Arial" w:hAnsi="Arial"/>
          <w:sz w:val="18"/>
          <w:szCs w:val="18"/>
          <w:color w:val="auto"/>
        </w:rPr>
      </w:pPr>
    </w:p>
    <w:p>
      <w:pPr>
        <w:ind w:left="440" w:right="480" w:firstLine="419"/>
        <w:spacing w:after="0" w:line="277" w:lineRule="auto"/>
        <w:tabs>
          <w:tab w:leader="none" w:pos="1168" w:val="left"/>
        </w:tabs>
        <w:numPr>
          <w:ilvl w:val="1"/>
          <w:numId w:val="162"/>
        </w:numPr>
        <w:rPr>
          <w:rFonts w:ascii="Arial" w:cs="Arial" w:eastAsia="Arial" w:hAnsi="Arial"/>
          <w:sz w:val="18"/>
          <w:szCs w:val="18"/>
          <w:color w:val="auto"/>
        </w:rPr>
      </w:pPr>
      <w:r>
        <w:rPr>
          <w:rFonts w:ascii="Arial" w:cs="Arial" w:eastAsia="Arial" w:hAnsi="Arial"/>
          <w:sz w:val="18"/>
          <w:szCs w:val="18"/>
          <w:color w:val="auto"/>
        </w:rPr>
        <w:t>perform such other functions as determined by the JSC to further the purposes of this Agreement with respect to the Research and Development of SHP2 Inhibitors and Products, except where in conflict with any provision of this Agreement.</w:t>
      </w:r>
    </w:p>
    <w:p>
      <w:pPr>
        <w:spacing w:after="0" w:line="166" w:lineRule="exact"/>
        <w:rPr>
          <w:rFonts w:ascii="Arial" w:cs="Arial" w:eastAsia="Arial" w:hAnsi="Arial"/>
          <w:sz w:val="18"/>
          <w:szCs w:val="18"/>
          <w:color w:val="auto"/>
        </w:rPr>
      </w:pPr>
    </w:p>
    <w:p>
      <w:pPr>
        <w:ind w:firstLine="436"/>
        <w:spacing w:after="0" w:line="266" w:lineRule="auto"/>
        <w:tabs>
          <w:tab w:leader="none" w:pos="685" w:val="left"/>
        </w:tabs>
        <w:numPr>
          <w:ilvl w:val="0"/>
          <w:numId w:val="163"/>
        </w:numPr>
        <w:rPr>
          <w:rFonts w:ascii="Arial" w:cs="Arial" w:eastAsia="Arial" w:hAnsi="Arial"/>
          <w:sz w:val="18"/>
          <w:szCs w:val="18"/>
          <w:color w:val="auto"/>
        </w:rPr>
      </w:pPr>
      <w:r>
        <w:rPr>
          <w:rFonts w:ascii="Arial" w:cs="Arial" w:eastAsia="Arial" w:hAnsi="Arial"/>
          <w:sz w:val="18"/>
          <w:szCs w:val="18"/>
          <w:b w:val="1"/>
          <w:bCs w:val="1"/>
          <w:color w:val="auto"/>
        </w:rPr>
        <w:t>Decision-Making</w:t>
      </w:r>
      <w:r>
        <w:rPr>
          <w:rFonts w:ascii="Arial" w:cs="Arial" w:eastAsia="Arial" w:hAnsi="Arial"/>
          <w:sz w:val="18"/>
          <w:szCs w:val="18"/>
          <w:color w:val="auto"/>
        </w:rPr>
        <w:t>. Notwithstanding anything to the contrary in Section 2.10(a), if the JRDC is unable to reach unanimous agreement on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matters then such matters shall not be submitted for resolution to the JSC and shall instead be subject to Sanofi’s final decision-making power: [***].</w:t>
      </w:r>
    </w:p>
    <w:p>
      <w:pPr>
        <w:spacing w:after="0" w:line="176" w:lineRule="exact"/>
        <w:rPr>
          <w:sz w:val="20"/>
          <w:szCs w:val="20"/>
          <w:color w:val="auto"/>
        </w:rPr>
      </w:pPr>
    </w:p>
    <w:p>
      <w:pPr>
        <w:ind w:right="500" w:firstLine="440"/>
        <w:spacing w:after="0" w:line="347" w:lineRule="auto"/>
        <w:rPr>
          <w:sz w:val="20"/>
          <w:szCs w:val="20"/>
          <w:color w:val="auto"/>
        </w:rPr>
      </w:pPr>
      <w:r>
        <w:rPr>
          <w:rFonts w:ascii="Arial" w:cs="Arial" w:eastAsia="Arial" w:hAnsi="Arial"/>
          <w:sz w:val="16"/>
          <w:szCs w:val="16"/>
          <w:b w:val="1"/>
          <w:bCs w:val="1"/>
          <w:color w:val="auto"/>
        </w:rPr>
        <w:t>2.4 Joint Commercialization Committee</w:t>
      </w:r>
      <w:r>
        <w:rPr>
          <w:rFonts w:ascii="Arial" w:cs="Arial" w:eastAsia="Arial" w:hAnsi="Arial"/>
          <w:sz w:val="16"/>
          <w:szCs w:val="16"/>
          <w:color w:val="auto"/>
        </w:rPr>
        <w:t>. The Parties shall establish a joint commercialization committee (the “</w:t>
      </w:r>
      <w:r>
        <w:rPr>
          <w:rFonts w:ascii="Arial" w:cs="Arial" w:eastAsia="Arial" w:hAnsi="Arial"/>
          <w:sz w:val="16"/>
          <w:szCs w:val="16"/>
          <w:b w:val="1"/>
          <w:bCs w:val="1"/>
          <w:color w:val="auto"/>
        </w:rPr>
        <w:t>Joint Commercialization Committee</w:t>
      </w:r>
      <w:r>
        <w:rPr>
          <w:rFonts w:ascii="Arial" w:cs="Arial" w:eastAsia="Arial" w:hAnsi="Arial"/>
          <w:sz w:val="16"/>
          <w:szCs w:val="16"/>
          <w:color w:val="auto"/>
        </w:rPr>
        <w:t>” or “</w:t>
      </w:r>
      <w:r>
        <w:rPr>
          <w:rFonts w:ascii="Arial" w:cs="Arial" w:eastAsia="Arial" w:hAnsi="Arial"/>
          <w:sz w:val="16"/>
          <w:szCs w:val="16"/>
          <w:b w:val="1"/>
          <w:bCs w:val="1"/>
          <w:color w:val="auto"/>
        </w:rPr>
        <w:t>JCC</w:t>
      </w:r>
      <w:r>
        <w:rPr>
          <w:rFonts w:ascii="Arial" w:cs="Arial" w:eastAsia="Arial" w:hAnsi="Arial"/>
          <w:sz w:val="16"/>
          <w:szCs w:val="16"/>
          <w:color w:val="auto"/>
        </w:rPr>
        <w:t>”) no later than the date that is [***] prior to the anticipated submission of the first NDA for the first Product.</w:t>
      </w:r>
    </w:p>
    <w:p>
      <w:pPr>
        <w:spacing w:after="0" w:line="116" w:lineRule="exact"/>
        <w:rPr>
          <w:sz w:val="20"/>
          <w:szCs w:val="20"/>
          <w:color w:val="auto"/>
        </w:rPr>
      </w:pPr>
    </w:p>
    <w:p>
      <w:pPr>
        <w:ind w:right="400" w:firstLine="436"/>
        <w:spacing w:after="0" w:line="282" w:lineRule="auto"/>
        <w:tabs>
          <w:tab w:leader="none" w:pos="685" w:val="left"/>
        </w:tabs>
        <w:numPr>
          <w:ilvl w:val="0"/>
          <w:numId w:val="164"/>
        </w:numPr>
        <w:rPr>
          <w:rFonts w:ascii="Arial" w:cs="Arial" w:eastAsia="Arial" w:hAnsi="Arial"/>
          <w:sz w:val="18"/>
          <w:szCs w:val="18"/>
          <w:color w:val="auto"/>
        </w:rPr>
      </w:pPr>
      <w:r>
        <w:rPr>
          <w:rFonts w:ascii="Arial" w:cs="Arial" w:eastAsia="Arial" w:hAnsi="Arial"/>
          <w:sz w:val="18"/>
          <w:szCs w:val="18"/>
          <w:b w:val="1"/>
          <w:bCs w:val="1"/>
          <w:color w:val="auto"/>
        </w:rPr>
        <w:t>Composition</w:t>
      </w:r>
      <w:r>
        <w:rPr>
          <w:rFonts w:ascii="Arial" w:cs="Arial" w:eastAsia="Arial" w:hAnsi="Arial"/>
          <w:sz w:val="18"/>
          <w:szCs w:val="18"/>
          <w:color w:val="auto"/>
        </w:rPr>
        <w:t>. The JCC shall consist of three representatives of each Party that have knowledge and expertise in the commercialization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pharmaceutical or biologic products in the Field.</w:t>
      </w:r>
    </w:p>
    <w:p>
      <w:pPr>
        <w:spacing w:after="0" w:line="161" w:lineRule="exact"/>
        <w:rPr>
          <w:rFonts w:ascii="Arial" w:cs="Arial" w:eastAsia="Arial" w:hAnsi="Arial"/>
          <w:sz w:val="18"/>
          <w:szCs w:val="18"/>
          <w:color w:val="auto"/>
        </w:rPr>
      </w:pPr>
    </w:p>
    <w:p>
      <w:pPr>
        <w:ind w:right="80" w:firstLine="436"/>
        <w:spacing w:after="0" w:line="282" w:lineRule="auto"/>
        <w:tabs>
          <w:tab w:leader="none" w:pos="695" w:val="left"/>
        </w:tabs>
        <w:numPr>
          <w:ilvl w:val="0"/>
          <w:numId w:val="164"/>
        </w:numPr>
        <w:rPr>
          <w:rFonts w:ascii="Arial" w:cs="Arial" w:eastAsia="Arial" w:hAnsi="Arial"/>
          <w:sz w:val="18"/>
          <w:szCs w:val="18"/>
          <w:color w:val="auto"/>
        </w:rPr>
      </w:pPr>
      <w:r>
        <w:rPr>
          <w:rFonts w:ascii="Arial" w:cs="Arial" w:eastAsia="Arial" w:hAnsi="Arial"/>
          <w:sz w:val="18"/>
          <w:szCs w:val="18"/>
          <w:b w:val="1"/>
          <w:bCs w:val="1"/>
          <w:color w:val="auto"/>
        </w:rPr>
        <w:t>Function and Powers</w:t>
      </w:r>
      <w:r>
        <w:rPr>
          <w:rFonts w:ascii="Arial" w:cs="Arial" w:eastAsia="Arial" w:hAnsi="Arial"/>
          <w:sz w:val="18"/>
          <w:szCs w:val="18"/>
          <w:color w:val="auto"/>
        </w:rPr>
        <w:t>. The JCC shall monitor and oversee the Commercialization activities (and certain Manufacturing activities as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of the SHP2 Inhibitors and Products and in particular have the following responsibilities:</w:t>
      </w:r>
    </w:p>
    <w:p>
      <w:pPr>
        <w:spacing w:after="0" w:line="57" w:lineRule="exact"/>
        <w:rPr>
          <w:rFonts w:ascii="Arial" w:cs="Arial" w:eastAsia="Arial" w:hAnsi="Arial"/>
          <w:sz w:val="18"/>
          <w:szCs w:val="18"/>
          <w:color w:val="auto"/>
        </w:rPr>
      </w:pPr>
    </w:p>
    <w:p>
      <w:pPr>
        <w:ind w:left="1080" w:hanging="221"/>
        <w:spacing w:after="0"/>
        <w:tabs>
          <w:tab w:leader="none" w:pos="108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coordinate the messaging and branding strategy for Products in the United States;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164"/>
        </w:numPr>
        <w:rPr>
          <w:rFonts w:ascii="Arial" w:cs="Arial" w:eastAsia="Arial" w:hAnsi="Arial"/>
          <w:sz w:val="16"/>
          <w:szCs w:val="16"/>
          <w:color w:val="auto"/>
        </w:rPr>
      </w:pPr>
      <w:r>
        <w:rPr>
          <w:rFonts w:ascii="Arial" w:cs="Arial" w:eastAsia="Arial" w:hAnsi="Arial"/>
          <w:sz w:val="16"/>
          <w:szCs w:val="16"/>
          <w:color w:val="auto"/>
        </w:rPr>
        <w:t>coordinate the activities of the Parties under the Commercialization Plan and oversee the implementation of the Commercialization Plan;</w:t>
      </w:r>
    </w:p>
    <w:p>
      <w:pPr>
        <w:spacing w:after="0" w:line="140" w:lineRule="exact"/>
        <w:rPr>
          <w:rFonts w:ascii="Arial" w:cs="Arial" w:eastAsia="Arial" w:hAnsi="Arial"/>
          <w:sz w:val="16"/>
          <w:szCs w:val="16"/>
          <w:color w:val="auto"/>
        </w:rPr>
      </w:pPr>
    </w:p>
    <w:p>
      <w:pPr>
        <w:ind w:left="440" w:right="220" w:firstLine="419"/>
        <w:spacing w:after="0" w:line="277" w:lineRule="auto"/>
        <w:tabs>
          <w:tab w:leader="none" w:pos="1178" w:val="left"/>
        </w:tabs>
        <w:numPr>
          <w:ilvl w:val="1"/>
          <w:numId w:val="164"/>
        </w:numPr>
        <w:rPr>
          <w:rFonts w:ascii="Arial" w:cs="Arial" w:eastAsia="Arial" w:hAnsi="Arial"/>
          <w:sz w:val="18"/>
          <w:szCs w:val="18"/>
          <w:color w:val="auto"/>
        </w:rPr>
      </w:pPr>
      <w:r>
        <w:rPr>
          <w:rFonts w:ascii="Arial" w:cs="Arial" w:eastAsia="Arial" w:hAnsi="Arial"/>
          <w:sz w:val="18"/>
          <w:szCs w:val="18"/>
          <w:color w:val="auto"/>
        </w:rPr>
        <w:t>if the Co-Promotion Option has been exercised, coordinate the activities of the Parties under the applicable Co-Promotion Agreement and oversee the implementation of such Co-Promotion Agreement;</w:t>
      </w:r>
    </w:p>
    <w:p>
      <w:pPr>
        <w:spacing w:after="0" w:line="62" w:lineRule="exact"/>
        <w:rPr>
          <w:rFonts w:ascii="Arial" w:cs="Arial" w:eastAsia="Arial" w:hAnsi="Arial"/>
          <w:sz w:val="18"/>
          <w:szCs w:val="18"/>
          <w:color w:val="auto"/>
        </w:rPr>
      </w:pPr>
    </w:p>
    <w:p>
      <w:pPr>
        <w:ind w:left="1160" w:hanging="301"/>
        <w:spacing w:after="0"/>
        <w:tabs>
          <w:tab w:leader="none" w:pos="116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review and discuss the Commercialization Plans and amendments thereto in accordance with Section 8.2;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311" w:name="page312"/>
    <w:bookmarkEnd w:id="311"/>
    <w:p>
      <w:pPr>
        <w:ind w:left="440" w:right="400" w:firstLine="419"/>
        <w:spacing w:after="0" w:line="277" w:lineRule="auto"/>
        <w:tabs>
          <w:tab w:leader="none" w:pos="1118" w:val="left"/>
        </w:tabs>
        <w:numPr>
          <w:ilvl w:val="0"/>
          <w:numId w:val="1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 a forum for and facilitate communications between the Parties with respect to the Commercialization of the Products in the United States;</w:t>
      </w:r>
    </w:p>
    <w:p>
      <w:pPr>
        <w:spacing w:after="0" w:line="62" w:lineRule="exact"/>
        <w:rPr>
          <w:rFonts w:ascii="Arial" w:cs="Arial" w:eastAsia="Arial" w:hAnsi="Arial"/>
          <w:sz w:val="18"/>
          <w:szCs w:val="18"/>
          <w:color w:val="auto"/>
        </w:rPr>
      </w:pPr>
    </w:p>
    <w:p>
      <w:pPr>
        <w:ind w:left="440" w:right="800" w:firstLine="419"/>
        <w:spacing w:after="0" w:line="342" w:lineRule="auto"/>
        <w:tabs>
          <w:tab w:leader="none" w:pos="1168" w:val="left"/>
        </w:tabs>
        <w:numPr>
          <w:ilvl w:val="0"/>
          <w:numId w:val="165"/>
        </w:numPr>
        <w:rPr>
          <w:rFonts w:ascii="Arial" w:cs="Arial" w:eastAsia="Arial" w:hAnsi="Arial"/>
          <w:sz w:val="16"/>
          <w:szCs w:val="16"/>
          <w:color w:val="auto"/>
        </w:rPr>
      </w:pPr>
      <w:r>
        <w:rPr>
          <w:rFonts w:ascii="Arial" w:cs="Arial" w:eastAsia="Arial" w:hAnsi="Arial"/>
          <w:sz w:val="16"/>
          <w:szCs w:val="16"/>
          <w:color w:val="auto"/>
        </w:rPr>
        <w:t>oversee and coordinate the Manufacturing of the SHP2 Inhibitors and Products for commercial supply in the United States in accordance with Article VII, unless the JSC designates a manufacturing committee or subcommittee to perform such activities;</w:t>
      </w:r>
    </w:p>
    <w:p>
      <w:pPr>
        <w:spacing w:after="0" w:line="15" w:lineRule="exact"/>
        <w:rPr>
          <w:rFonts w:ascii="Arial" w:cs="Arial" w:eastAsia="Arial" w:hAnsi="Arial"/>
          <w:sz w:val="16"/>
          <w:szCs w:val="16"/>
          <w:color w:val="auto"/>
        </w:rPr>
      </w:pPr>
    </w:p>
    <w:p>
      <w:pPr>
        <w:ind w:left="1220" w:hanging="361"/>
        <w:spacing w:after="0"/>
        <w:tabs>
          <w:tab w:leader="none" w:pos="12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establish subcommittees, as appropriate, to carry out its functions; and</w:t>
      </w:r>
    </w:p>
    <w:p>
      <w:pPr>
        <w:spacing w:after="0" w:line="117" w:lineRule="exact"/>
        <w:rPr>
          <w:rFonts w:ascii="Arial" w:cs="Arial" w:eastAsia="Arial" w:hAnsi="Arial"/>
          <w:sz w:val="18"/>
          <w:szCs w:val="18"/>
          <w:color w:val="auto"/>
        </w:rPr>
      </w:pPr>
    </w:p>
    <w:p>
      <w:pPr>
        <w:ind w:left="440" w:right="1360" w:firstLine="419"/>
        <w:spacing w:after="0" w:line="277" w:lineRule="auto"/>
        <w:tabs>
          <w:tab w:leader="none" w:pos="1268" w:val="left"/>
        </w:tabs>
        <w:numPr>
          <w:ilvl w:val="0"/>
          <w:numId w:val="165"/>
        </w:numPr>
        <w:rPr>
          <w:rFonts w:ascii="Arial" w:cs="Arial" w:eastAsia="Arial" w:hAnsi="Arial"/>
          <w:sz w:val="18"/>
          <w:szCs w:val="18"/>
          <w:color w:val="auto"/>
        </w:rPr>
      </w:pPr>
      <w:r>
        <w:rPr>
          <w:rFonts w:ascii="Arial" w:cs="Arial" w:eastAsia="Arial" w:hAnsi="Arial"/>
          <w:sz w:val="18"/>
          <w:szCs w:val="18"/>
          <w:color w:val="auto"/>
        </w:rPr>
        <w:t>perform such other functions as determined by the JSC to further the purposes of this Agreement with respect to the Commercialization of the Products, except where in conflict with any provision of this Agreement.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2.5 Joint Patent Committee</w:t>
      </w:r>
      <w:r>
        <w:rPr>
          <w:rFonts w:ascii="Arial" w:cs="Arial" w:eastAsia="Arial" w:hAnsi="Arial"/>
          <w:sz w:val="18"/>
          <w:szCs w:val="18"/>
          <w:color w:val="auto"/>
        </w:rPr>
        <w:t>. The Parties shall establish a joint patent committee (“</w:t>
      </w:r>
      <w:r>
        <w:rPr>
          <w:rFonts w:ascii="Arial" w:cs="Arial" w:eastAsia="Arial" w:hAnsi="Arial"/>
          <w:sz w:val="18"/>
          <w:szCs w:val="18"/>
          <w:b w:val="1"/>
          <w:bCs w:val="1"/>
          <w:color w:val="auto"/>
        </w:rPr>
        <w:t>Joint Patent Committee</w:t>
      </w:r>
      <w:r>
        <w:rPr>
          <w:rFonts w:ascii="Arial" w:cs="Arial" w:eastAsia="Arial" w:hAnsi="Arial"/>
          <w:sz w:val="18"/>
          <w:szCs w:val="18"/>
          <w:color w:val="auto"/>
        </w:rPr>
        <w:t>” or “</w:t>
      </w:r>
      <w:r>
        <w:rPr>
          <w:rFonts w:ascii="Arial" w:cs="Arial" w:eastAsia="Arial" w:hAnsi="Arial"/>
          <w:sz w:val="18"/>
          <w:szCs w:val="18"/>
          <w:b w:val="1"/>
          <w:bCs w:val="1"/>
          <w:color w:val="auto"/>
        </w:rPr>
        <w:t>JPC</w:t>
      </w:r>
      <w:r>
        <w:rPr>
          <w:rFonts w:ascii="Arial" w:cs="Arial" w:eastAsia="Arial" w:hAnsi="Arial"/>
          <w:sz w:val="18"/>
          <w:szCs w:val="18"/>
          <w:color w:val="auto"/>
        </w:rPr>
        <w:t>”).</w:t>
      </w:r>
    </w:p>
    <w:p>
      <w:pPr>
        <w:spacing w:after="0" w:line="225" w:lineRule="exact"/>
        <w:rPr>
          <w:sz w:val="20"/>
          <w:szCs w:val="20"/>
          <w:color w:val="auto"/>
        </w:rPr>
      </w:pPr>
    </w:p>
    <w:p>
      <w:pPr>
        <w:jc w:val="both"/>
        <w:ind w:right="100" w:firstLine="436"/>
        <w:spacing w:after="0" w:line="266" w:lineRule="auto"/>
        <w:tabs>
          <w:tab w:leader="none" w:pos="685" w:val="left"/>
        </w:tabs>
        <w:numPr>
          <w:ilvl w:val="0"/>
          <w:numId w:val="166"/>
        </w:numPr>
        <w:rPr>
          <w:rFonts w:ascii="Arial" w:cs="Arial" w:eastAsia="Arial" w:hAnsi="Arial"/>
          <w:sz w:val="18"/>
          <w:szCs w:val="18"/>
          <w:color w:val="auto"/>
        </w:rPr>
      </w:pPr>
      <w:r>
        <w:rPr>
          <w:rFonts w:ascii="Arial" w:cs="Arial" w:eastAsia="Arial" w:hAnsi="Arial"/>
          <w:sz w:val="18"/>
          <w:szCs w:val="18"/>
          <w:b w:val="1"/>
          <w:bCs w:val="1"/>
          <w:color w:val="auto"/>
        </w:rPr>
        <w:t>Composition</w:t>
      </w:r>
      <w:r>
        <w:rPr>
          <w:rFonts w:ascii="Arial" w:cs="Arial" w:eastAsia="Arial" w:hAnsi="Arial"/>
          <w:sz w:val="18"/>
          <w:szCs w:val="18"/>
          <w:color w:val="auto"/>
        </w:rPr>
        <w:t>. The JPC shall be composed of one patent counsel representing Sanofi, one patent counsel representing RevMed, (who may be</w:t>
      </w:r>
      <w:r>
        <w:rPr>
          <w:rFonts w:ascii="Arial" w:cs="Arial" w:eastAsia="Arial" w:hAnsi="Arial"/>
          <w:sz w:val="18"/>
          <w:szCs w:val="18"/>
          <w:b w:val="1"/>
          <w:bCs w:val="1"/>
          <w:color w:val="auto"/>
        </w:rPr>
        <w:t xml:space="preserve"> </w:t>
      </w:r>
      <w:r>
        <w:rPr>
          <w:rFonts w:ascii="Arial" w:cs="Arial" w:eastAsia="Arial" w:hAnsi="Arial"/>
          <w:sz w:val="18"/>
          <w:szCs w:val="18"/>
          <w:color w:val="auto"/>
        </w:rPr>
        <w:t>internal or outside counsel to RevMed), and up to two additional representatives of each Party that have knowledge and expertise in patent prosecution of pharmaceutical or biologic products.</w:t>
      </w:r>
    </w:p>
    <w:p>
      <w:pPr>
        <w:spacing w:after="0" w:line="175" w:lineRule="exact"/>
        <w:rPr>
          <w:rFonts w:ascii="Arial" w:cs="Arial" w:eastAsia="Arial" w:hAnsi="Arial"/>
          <w:sz w:val="18"/>
          <w:szCs w:val="18"/>
          <w:color w:val="auto"/>
        </w:rPr>
      </w:pPr>
    </w:p>
    <w:p>
      <w:pPr>
        <w:ind w:right="40" w:firstLine="436"/>
        <w:spacing w:after="0" w:line="282" w:lineRule="auto"/>
        <w:tabs>
          <w:tab w:leader="none" w:pos="695" w:val="left"/>
        </w:tabs>
        <w:numPr>
          <w:ilvl w:val="0"/>
          <w:numId w:val="166"/>
        </w:numPr>
        <w:rPr>
          <w:rFonts w:ascii="Arial" w:cs="Arial" w:eastAsia="Arial" w:hAnsi="Arial"/>
          <w:sz w:val="18"/>
          <w:szCs w:val="18"/>
          <w:color w:val="auto"/>
        </w:rPr>
      </w:pPr>
      <w:r>
        <w:rPr>
          <w:rFonts w:ascii="Arial" w:cs="Arial" w:eastAsia="Arial" w:hAnsi="Arial"/>
          <w:sz w:val="18"/>
          <w:szCs w:val="18"/>
          <w:b w:val="1"/>
          <w:bCs w:val="1"/>
          <w:color w:val="auto"/>
        </w:rPr>
        <w:t>No Power or Authority; Function</w:t>
      </w:r>
      <w:r>
        <w:rPr>
          <w:rFonts w:ascii="Arial" w:cs="Arial" w:eastAsia="Arial" w:hAnsi="Arial"/>
          <w:sz w:val="18"/>
          <w:szCs w:val="18"/>
          <w:color w:val="auto"/>
        </w:rPr>
        <w:t>. The JPC shall not have any power or authority (including decision making) with respect to Collaboration</w:t>
      </w:r>
      <w:r>
        <w:rPr>
          <w:rFonts w:ascii="Arial" w:cs="Arial" w:eastAsia="Arial" w:hAnsi="Arial"/>
          <w:sz w:val="18"/>
          <w:szCs w:val="18"/>
          <w:b w:val="1"/>
          <w:bCs w:val="1"/>
          <w:color w:val="auto"/>
        </w:rPr>
        <w:t xml:space="preserve"> </w:t>
      </w:r>
      <w:r>
        <w:rPr>
          <w:rFonts w:ascii="Arial" w:cs="Arial" w:eastAsia="Arial" w:hAnsi="Arial"/>
          <w:sz w:val="18"/>
          <w:szCs w:val="18"/>
          <w:color w:val="auto"/>
        </w:rPr>
        <w:t>matters. Rather, the JPC shall serve as an information-sharing forum for the Parties with respect to the following:</w:t>
      </w:r>
    </w:p>
    <w:p>
      <w:pPr>
        <w:spacing w:after="0" w:line="57" w:lineRule="exact"/>
        <w:rPr>
          <w:rFonts w:ascii="Arial" w:cs="Arial" w:eastAsia="Arial" w:hAnsi="Arial"/>
          <w:sz w:val="18"/>
          <w:szCs w:val="18"/>
          <w:color w:val="auto"/>
        </w:rPr>
      </w:pPr>
    </w:p>
    <w:p>
      <w:pPr>
        <w:ind w:left="440" w:firstLine="419"/>
        <w:spacing w:after="0" w:line="277" w:lineRule="auto"/>
        <w:tabs>
          <w:tab w:leader="none" w:pos="1078"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the filing, prosecution, and maintenance of the RevMed Licensed Patents and Joint Program Patents, including deadlines for responses to patent authorities and Sanofi’s proposed timelines for submission of comments to patent authorities;</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any periodic reports or updates for Collaboration-related intellectual property matters as may be requested by the JRDC;</w:t>
      </w:r>
    </w:p>
    <w:p>
      <w:pPr>
        <w:spacing w:after="0" w:line="117" w:lineRule="exact"/>
        <w:rPr>
          <w:rFonts w:ascii="Arial" w:cs="Arial" w:eastAsia="Arial" w:hAnsi="Arial"/>
          <w:sz w:val="18"/>
          <w:szCs w:val="18"/>
          <w:color w:val="auto"/>
        </w:rPr>
      </w:pPr>
    </w:p>
    <w:p>
      <w:pPr>
        <w:ind w:left="440" w:firstLine="419"/>
        <w:spacing w:after="0" w:line="277" w:lineRule="auto"/>
        <w:tabs>
          <w:tab w:leader="none" w:pos="1178" w:val="left"/>
        </w:tabs>
        <w:numPr>
          <w:ilvl w:val="1"/>
          <w:numId w:val="166"/>
        </w:numPr>
        <w:rPr>
          <w:rFonts w:ascii="Arial" w:cs="Arial" w:eastAsia="Arial" w:hAnsi="Arial"/>
          <w:sz w:val="18"/>
          <w:szCs w:val="18"/>
          <w:color w:val="auto"/>
        </w:rPr>
      </w:pPr>
      <w:r>
        <w:rPr>
          <w:rFonts w:ascii="Arial" w:cs="Arial" w:eastAsia="Arial" w:hAnsi="Arial"/>
          <w:sz w:val="18"/>
          <w:szCs w:val="18"/>
          <w:color w:val="auto"/>
        </w:rPr>
        <w:t>strategy for patent term extensions to extend exclusivity in the Licensed Territory and for listings in the FDA’s Approved Drug Products with Therapeutic Equivalence Evaluations (known as the “Orange Book”) and its foreign counterparts;</w:t>
      </w:r>
    </w:p>
    <w:p>
      <w:pPr>
        <w:spacing w:after="0" w:line="62" w:lineRule="exact"/>
        <w:rPr>
          <w:rFonts w:ascii="Arial" w:cs="Arial" w:eastAsia="Arial" w:hAnsi="Arial"/>
          <w:sz w:val="18"/>
          <w:szCs w:val="18"/>
          <w:color w:val="auto"/>
        </w:rPr>
      </w:pPr>
    </w:p>
    <w:p>
      <w:pPr>
        <w:ind w:left="440" w:right="340" w:firstLine="419"/>
        <w:spacing w:after="0" w:line="277" w:lineRule="auto"/>
        <w:tabs>
          <w:tab w:leader="none" w:pos="1168" w:val="left"/>
        </w:tabs>
        <w:numPr>
          <w:ilvl w:val="1"/>
          <w:numId w:val="166"/>
        </w:numPr>
        <w:rPr>
          <w:rFonts w:ascii="Arial" w:cs="Arial" w:eastAsia="Arial" w:hAnsi="Arial"/>
          <w:sz w:val="18"/>
          <w:szCs w:val="18"/>
          <w:color w:val="auto"/>
        </w:rPr>
      </w:pPr>
      <w:r>
        <w:rPr>
          <w:rFonts w:ascii="Arial" w:cs="Arial" w:eastAsia="Arial" w:hAnsi="Arial"/>
          <w:sz w:val="18"/>
          <w:szCs w:val="18"/>
          <w:color w:val="auto"/>
        </w:rPr>
        <w:t>confer regarding any related information to ensure the Parties’ compliance with the 37 C.F.R. 1.56 duty of disclosure as it relates to SHP2 Inhibitors or SHP2 inhibition; and</w:t>
      </w:r>
    </w:p>
    <w:p>
      <w:pPr>
        <w:spacing w:after="0" w:line="62" w:lineRule="exact"/>
        <w:rPr>
          <w:rFonts w:ascii="Arial" w:cs="Arial" w:eastAsia="Arial" w:hAnsi="Arial"/>
          <w:sz w:val="18"/>
          <w:szCs w:val="18"/>
          <w:color w:val="auto"/>
        </w:rPr>
      </w:pPr>
    </w:p>
    <w:p>
      <w:pPr>
        <w:ind w:left="440" w:right="360" w:firstLine="419"/>
        <w:spacing w:after="0" w:line="277" w:lineRule="auto"/>
        <w:tabs>
          <w:tab w:leader="none" w:pos="1118" w:val="left"/>
        </w:tabs>
        <w:numPr>
          <w:ilvl w:val="1"/>
          <w:numId w:val="166"/>
        </w:numPr>
        <w:rPr>
          <w:rFonts w:ascii="Arial" w:cs="Arial" w:eastAsia="Arial" w:hAnsi="Arial"/>
          <w:sz w:val="18"/>
          <w:szCs w:val="18"/>
          <w:color w:val="auto"/>
        </w:rPr>
      </w:pPr>
      <w:r>
        <w:rPr>
          <w:rFonts w:ascii="Arial" w:cs="Arial" w:eastAsia="Arial" w:hAnsi="Arial"/>
          <w:sz w:val="18"/>
          <w:szCs w:val="18"/>
          <w:color w:val="auto"/>
        </w:rPr>
        <w:t>such other intellectual property-related matters as determined by the JSC to further the purposes of this Agreement, except where in conflict with any provision of this Agreement.</w:t>
      </w:r>
    </w:p>
    <w:p>
      <w:pPr>
        <w:spacing w:after="0" w:line="166" w:lineRule="exact"/>
        <w:rPr>
          <w:sz w:val="20"/>
          <w:szCs w:val="20"/>
          <w:color w:val="auto"/>
        </w:rPr>
      </w:pPr>
    </w:p>
    <w:p>
      <w:pPr>
        <w:ind w:right="440" w:firstLine="440"/>
        <w:spacing w:after="0" w:line="282" w:lineRule="auto"/>
        <w:rPr>
          <w:sz w:val="20"/>
          <w:szCs w:val="20"/>
          <w:color w:val="auto"/>
        </w:rPr>
      </w:pPr>
      <w:r>
        <w:rPr>
          <w:rFonts w:ascii="Arial" w:cs="Arial" w:eastAsia="Arial" w:hAnsi="Arial"/>
          <w:sz w:val="18"/>
          <w:szCs w:val="18"/>
          <w:b w:val="1"/>
          <w:bCs w:val="1"/>
          <w:color w:val="auto"/>
        </w:rPr>
        <w:t>2.6 Joint Manufacturing Committee</w:t>
      </w:r>
      <w:r>
        <w:rPr>
          <w:rFonts w:ascii="Arial" w:cs="Arial" w:eastAsia="Arial" w:hAnsi="Arial"/>
          <w:sz w:val="18"/>
          <w:szCs w:val="18"/>
          <w:color w:val="auto"/>
        </w:rPr>
        <w:t>. The Parties shall establish a joint manufacturing committee (“</w:t>
      </w:r>
      <w:r>
        <w:rPr>
          <w:rFonts w:ascii="Arial" w:cs="Arial" w:eastAsia="Arial" w:hAnsi="Arial"/>
          <w:sz w:val="18"/>
          <w:szCs w:val="18"/>
          <w:b w:val="1"/>
          <w:bCs w:val="1"/>
          <w:color w:val="auto"/>
        </w:rPr>
        <w:t>Joint Manufacturing Committee</w:t>
      </w:r>
      <w:r>
        <w:rPr>
          <w:rFonts w:ascii="Arial" w:cs="Arial" w:eastAsia="Arial" w:hAnsi="Arial"/>
          <w:sz w:val="18"/>
          <w:szCs w:val="18"/>
          <w:color w:val="auto"/>
        </w:rPr>
        <w:t>” or</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JMC</w:t>
      </w:r>
      <w:r>
        <w:rPr>
          <w:rFonts w:ascii="Arial" w:cs="Arial" w:eastAsia="Arial" w:hAnsi="Arial"/>
          <w:sz w:val="18"/>
          <w:szCs w:val="18"/>
          <w:color w:val="auto"/>
        </w:rPr>
        <w: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440" w:top="274" w:right="499" w:bottom="1440" w:gutter="0" w:footer="0" w:header="0"/>
        </w:sectPr>
      </w:pPr>
    </w:p>
    <w:bookmarkStart w:id="312" w:name="page313"/>
    <w:bookmarkEnd w:id="312"/>
    <w:p>
      <w:pPr>
        <w:ind w:right="260" w:firstLine="436"/>
        <w:spacing w:after="0" w:line="282" w:lineRule="auto"/>
        <w:tabs>
          <w:tab w:leader="none" w:pos="685" w:val="left"/>
        </w:tabs>
        <w:numPr>
          <w:ilvl w:val="0"/>
          <w:numId w:val="16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Composition</w:t>
      </w:r>
      <w:r>
        <w:rPr>
          <w:rFonts w:ascii="Arial" w:cs="Arial" w:eastAsia="Arial" w:hAnsi="Arial"/>
          <w:sz w:val="18"/>
          <w:szCs w:val="18"/>
          <w:color w:val="auto"/>
        </w:rPr>
        <w:t>. The JMC shall consist of three representatives of each Party that have knowledge and expertise in the manufacture or supply</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of pharmaceutical or biologic products in the Field.</w:t>
      </w:r>
    </w:p>
    <w:p>
      <w:pPr>
        <w:spacing w:after="0" w:line="161" w:lineRule="exact"/>
        <w:rPr>
          <w:rFonts w:ascii="Arial" w:cs="Arial" w:eastAsia="Arial" w:hAnsi="Arial"/>
          <w:sz w:val="18"/>
          <w:szCs w:val="18"/>
          <w:color w:val="auto"/>
        </w:rPr>
      </w:pPr>
    </w:p>
    <w:p>
      <w:pPr>
        <w:ind w:firstLine="436"/>
        <w:spacing w:after="0" w:line="282" w:lineRule="auto"/>
        <w:tabs>
          <w:tab w:leader="none" w:pos="695" w:val="left"/>
        </w:tabs>
        <w:numPr>
          <w:ilvl w:val="0"/>
          <w:numId w:val="167"/>
        </w:numPr>
        <w:rPr>
          <w:rFonts w:ascii="Arial" w:cs="Arial" w:eastAsia="Arial" w:hAnsi="Arial"/>
          <w:sz w:val="18"/>
          <w:szCs w:val="18"/>
          <w:color w:val="auto"/>
        </w:rPr>
      </w:pPr>
      <w:r>
        <w:rPr>
          <w:rFonts w:ascii="Arial" w:cs="Arial" w:eastAsia="Arial" w:hAnsi="Arial"/>
          <w:sz w:val="18"/>
          <w:szCs w:val="18"/>
          <w:b w:val="1"/>
          <w:bCs w:val="1"/>
          <w:color w:val="auto"/>
        </w:rPr>
        <w:t>No Power or Authority; Function</w:t>
      </w:r>
      <w:r>
        <w:rPr>
          <w:rFonts w:ascii="Arial" w:cs="Arial" w:eastAsia="Arial" w:hAnsi="Arial"/>
          <w:sz w:val="18"/>
          <w:szCs w:val="18"/>
          <w:color w:val="auto"/>
        </w:rPr>
        <w:t>. The JMC shall not have any power or authority (including decision making) with respect to Collaboration</w:t>
      </w:r>
      <w:r>
        <w:rPr>
          <w:rFonts w:ascii="Arial" w:cs="Arial" w:eastAsia="Arial" w:hAnsi="Arial"/>
          <w:sz w:val="18"/>
          <w:szCs w:val="18"/>
          <w:b w:val="1"/>
          <w:bCs w:val="1"/>
          <w:color w:val="auto"/>
        </w:rPr>
        <w:t xml:space="preserve"> </w:t>
      </w:r>
      <w:r>
        <w:rPr>
          <w:rFonts w:ascii="Arial" w:cs="Arial" w:eastAsia="Arial" w:hAnsi="Arial"/>
          <w:sz w:val="18"/>
          <w:szCs w:val="18"/>
          <w:color w:val="auto"/>
        </w:rPr>
        <w:t>matters. Rather, the JMC shall serve as an information-sharing forum for the Parties with respect to the following:</w:t>
      </w:r>
    </w:p>
    <w:p>
      <w:pPr>
        <w:spacing w:after="0" w:line="57" w:lineRule="exact"/>
        <w:rPr>
          <w:rFonts w:ascii="Arial" w:cs="Arial" w:eastAsia="Arial" w:hAnsi="Arial"/>
          <w:sz w:val="18"/>
          <w:szCs w:val="18"/>
          <w:color w:val="auto"/>
        </w:rPr>
      </w:pPr>
    </w:p>
    <w:p>
      <w:pPr>
        <w:ind w:left="1080" w:hanging="221"/>
        <w:spacing w:after="0"/>
        <w:tabs>
          <w:tab w:leader="none" w:pos="108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transfer of the Manufacturing Know-How in accordance with Section 7.2 hereof;</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periodic reports or updates for Collaboration-related Manufacturing matters as may be requested by the JSC;</w:t>
      </w:r>
    </w:p>
    <w:p>
      <w:pPr>
        <w:spacing w:after="0" w:line="117" w:lineRule="exact"/>
        <w:rPr>
          <w:rFonts w:ascii="Arial" w:cs="Arial" w:eastAsia="Arial" w:hAnsi="Arial"/>
          <w:sz w:val="18"/>
          <w:szCs w:val="18"/>
          <w:color w:val="auto"/>
        </w:rPr>
      </w:pPr>
    </w:p>
    <w:p>
      <w:pPr>
        <w:ind w:left="440" w:right="180" w:firstLine="419"/>
        <w:spacing w:after="0" w:line="277" w:lineRule="auto"/>
        <w:tabs>
          <w:tab w:leader="none" w:pos="1178" w:val="left"/>
        </w:tabs>
        <w:numPr>
          <w:ilvl w:val="1"/>
          <w:numId w:val="167"/>
        </w:numPr>
        <w:rPr>
          <w:rFonts w:ascii="Arial" w:cs="Arial" w:eastAsia="Arial" w:hAnsi="Arial"/>
          <w:sz w:val="18"/>
          <w:szCs w:val="18"/>
          <w:color w:val="auto"/>
        </w:rPr>
      </w:pPr>
      <w:r>
        <w:rPr>
          <w:rFonts w:ascii="Arial" w:cs="Arial" w:eastAsia="Arial" w:hAnsi="Arial"/>
          <w:sz w:val="18"/>
          <w:szCs w:val="18"/>
          <w:color w:val="auto"/>
        </w:rPr>
        <w:t>logistical strategies, capacity planning and inventory levels for each Product for consistency with the then-current Development Plans and Commercialization Plans for such Product;</w:t>
      </w:r>
    </w:p>
    <w:p>
      <w:pPr>
        <w:spacing w:after="0" w:line="62" w:lineRule="exact"/>
        <w:rPr>
          <w:rFonts w:ascii="Arial" w:cs="Arial" w:eastAsia="Arial" w:hAnsi="Arial"/>
          <w:sz w:val="18"/>
          <w:szCs w:val="18"/>
          <w:color w:val="auto"/>
        </w:rPr>
      </w:pPr>
    </w:p>
    <w:p>
      <w:pPr>
        <w:ind w:left="1160" w:hanging="301"/>
        <w:spacing w:after="0"/>
        <w:tabs>
          <w:tab w:leader="none" w:pos="1160" w:val="left"/>
        </w:tabs>
        <w:numPr>
          <w:ilvl w:val="1"/>
          <w:numId w:val="167"/>
        </w:numPr>
        <w:rPr>
          <w:rFonts w:ascii="Arial" w:cs="Arial" w:eastAsia="Arial" w:hAnsi="Arial"/>
          <w:sz w:val="16"/>
          <w:szCs w:val="16"/>
          <w:color w:val="auto"/>
        </w:rPr>
      </w:pPr>
      <w:r>
        <w:rPr>
          <w:rFonts w:ascii="Arial" w:cs="Arial" w:eastAsia="Arial" w:hAnsi="Arial"/>
          <w:sz w:val="16"/>
          <w:szCs w:val="16"/>
          <w:color w:val="auto"/>
        </w:rPr>
        <w:t>results of regulatory inspections related to Products and steps taken by the concerned Party to address any Manufacturing deficiencies</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noted;</w:t>
      </w:r>
    </w:p>
    <w:p>
      <w:pPr>
        <w:spacing w:after="0" w:line="102" w:lineRule="exact"/>
        <w:rPr>
          <w:rFonts w:ascii="Arial" w:cs="Arial" w:eastAsia="Arial" w:hAnsi="Arial"/>
          <w:sz w:val="16"/>
          <w:szCs w:val="16"/>
          <w:color w:val="auto"/>
        </w:rPr>
      </w:pPr>
    </w:p>
    <w:p>
      <w:pPr>
        <w:ind w:left="440" w:right="180" w:firstLine="419"/>
        <w:spacing w:after="0" w:line="277" w:lineRule="auto"/>
        <w:tabs>
          <w:tab w:leader="none" w:pos="1118" w:val="left"/>
        </w:tabs>
        <w:numPr>
          <w:ilvl w:val="1"/>
          <w:numId w:val="167"/>
        </w:numPr>
        <w:rPr>
          <w:rFonts w:ascii="Arial" w:cs="Arial" w:eastAsia="Arial" w:hAnsi="Arial"/>
          <w:sz w:val="18"/>
          <w:szCs w:val="18"/>
          <w:color w:val="auto"/>
        </w:rPr>
      </w:pPr>
      <w:r>
        <w:rPr>
          <w:rFonts w:ascii="Arial" w:cs="Arial" w:eastAsia="Arial" w:hAnsi="Arial"/>
          <w:sz w:val="18"/>
          <w:szCs w:val="18"/>
          <w:color w:val="auto"/>
        </w:rPr>
        <w:t>such other functions as may be agreed upon by the Parties to further the purposes of this Agreement, except where in conflict with any provision of this Agreement.</w:t>
      </w:r>
    </w:p>
    <w:p>
      <w:pPr>
        <w:spacing w:after="0" w:line="166"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2.7 Limitation of Committee Authority</w:t>
      </w:r>
      <w:r>
        <w:rPr>
          <w:rFonts w:ascii="Arial" w:cs="Arial" w:eastAsia="Arial" w:hAnsi="Arial"/>
          <w:sz w:val="18"/>
          <w:szCs w:val="18"/>
          <w:color w:val="auto"/>
        </w:rPr>
        <w:t>. Each Committee shall only have the powers expressly assigned to it in this Article II and elsewhere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shall not have the authority to: (a) modify or amend the terms and conditions of this Agreement; (b) waive either Party’s compliance with the terms and conditions of this Agreement; or (c) determine any issue in a manner that would conflict with the express terms and conditions of this Agreement.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2.8 Committee Membership and Meetings</w:t>
      </w:r>
      <w:r>
        <w:rPr>
          <w:rFonts w:ascii="Arial" w:cs="Arial" w:eastAsia="Arial" w:hAnsi="Arial"/>
          <w:sz w:val="18"/>
          <w:szCs w:val="18"/>
          <w:color w:val="auto"/>
        </w:rPr>
        <w:t>.</w:t>
      </w:r>
    </w:p>
    <w:p>
      <w:pPr>
        <w:spacing w:after="0" w:line="225" w:lineRule="exact"/>
        <w:rPr>
          <w:sz w:val="20"/>
          <w:szCs w:val="20"/>
          <w:color w:val="auto"/>
        </w:rPr>
      </w:pPr>
    </w:p>
    <w:p>
      <w:pPr>
        <w:ind w:right="80" w:firstLine="436"/>
        <w:spacing w:after="0" w:line="288" w:lineRule="auto"/>
        <w:tabs>
          <w:tab w:leader="none" w:pos="685" w:val="left"/>
        </w:tabs>
        <w:numPr>
          <w:ilvl w:val="0"/>
          <w:numId w:val="168"/>
        </w:numPr>
        <w:rPr>
          <w:rFonts w:ascii="Arial" w:cs="Arial" w:eastAsia="Arial" w:hAnsi="Arial"/>
          <w:sz w:val="16"/>
          <w:szCs w:val="16"/>
          <w:color w:val="auto"/>
        </w:rPr>
      </w:pPr>
      <w:r>
        <w:rPr>
          <w:rFonts w:ascii="Arial" w:cs="Arial" w:eastAsia="Arial" w:hAnsi="Arial"/>
          <w:sz w:val="16"/>
          <w:szCs w:val="16"/>
          <w:b w:val="1"/>
          <w:bCs w:val="1"/>
          <w:color w:val="auto"/>
        </w:rPr>
        <w:t>Committee Members</w:t>
      </w:r>
      <w:r>
        <w:rPr>
          <w:rFonts w:ascii="Arial" w:cs="Arial" w:eastAsia="Arial" w:hAnsi="Arial"/>
          <w:sz w:val="16"/>
          <w:szCs w:val="16"/>
          <w:color w:val="auto"/>
        </w:rPr>
        <w:t>. The initial members of each Party on each Committee (other than the JCC) as of the Effective Date are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of the Correspondence. Each Party may replace its representatives on any Committee by written notice to the other Party. Each Committee representative shall have appropriate knowledge and expertise and sufficient seniority within the applicable Party to make decisions arising within the scope of the applicable Committee’s responsibilities. A particular individual may serve as a Party’s representative on more than one Committee, provided that such individual satisfies the requirements of the preceding sentence for each applicable Committee. Each Party shall appoint one of its representatives on each Committee to act as a co-chairperson of such Committee. The Alliance Managers shall be responsible for calling any regularly scheduled meetings for each Decision-Making Committee on no less than [***] notice and shall also jointly prepare and circulate agendas for each Decision-Making Committee meeting no less than [***] prior to such meeting. In addition, members of each Decision-Making Committee may request that the Alliance Managers schedule and facilitate ad hoc meetings. The Alliance Managers shall jointly prepare and circulate reasonably detailed minutes for each Decision-Making Committee meeting within [***] of such meeting. For the avoidance of doubt, meetings of the JPC shall not require any formal agenda or preparation or circulation of any minutes unless otherwise agreed by the Parties.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40" w:top="270" w:right="479" w:bottom="1440" w:gutter="0" w:footer="0" w:header="0"/>
        </w:sectPr>
      </w:pPr>
    </w:p>
    <w:bookmarkStart w:id="313" w:name="page314"/>
    <w:bookmarkEnd w:id="313"/>
    <w:p>
      <w:pPr>
        <w:ind w:left="700" w:hanging="264"/>
        <w:spacing w:after="0"/>
        <w:tabs>
          <w:tab w:leader="none" w:pos="700" w:val="left"/>
        </w:tabs>
        <w:numPr>
          <w:ilvl w:val="0"/>
          <w:numId w:val="16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Meetings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419"/>
        <w:spacing w:after="0" w:line="271" w:lineRule="auto"/>
        <w:tabs>
          <w:tab w:leader="none" w:pos="1078" w:val="left"/>
        </w:tabs>
        <w:numPr>
          <w:ilvl w:val="1"/>
          <w:numId w:val="169"/>
        </w:numPr>
        <w:rPr>
          <w:rFonts w:ascii="Arial" w:cs="Arial" w:eastAsia="Arial" w:hAnsi="Arial"/>
          <w:sz w:val="17"/>
          <w:szCs w:val="17"/>
          <w:color w:val="auto"/>
        </w:rPr>
      </w:pPr>
      <w:r>
        <w:rPr>
          <w:rFonts w:ascii="Arial" w:cs="Arial" w:eastAsia="Arial" w:hAnsi="Arial"/>
          <w:sz w:val="17"/>
          <w:szCs w:val="17"/>
          <w:b w:val="1"/>
          <w:bCs w:val="1"/>
          <w:color w:val="auto"/>
        </w:rPr>
        <w:t>Decision-Making Committees</w:t>
      </w:r>
      <w:r>
        <w:rPr>
          <w:rFonts w:ascii="Arial" w:cs="Arial" w:eastAsia="Arial" w:hAnsi="Arial"/>
          <w:sz w:val="17"/>
          <w:szCs w:val="17"/>
          <w:color w:val="auto"/>
        </w:rPr>
        <w:t>. Each Decision-Making Committee shall meet in accordance with a schedule established by mutual</w:t>
      </w:r>
      <w:r>
        <w:rPr>
          <w:rFonts w:ascii="Arial" w:cs="Arial" w:eastAsia="Arial" w:hAnsi="Arial"/>
          <w:sz w:val="17"/>
          <w:szCs w:val="17"/>
          <w:b w:val="1"/>
          <w:bCs w:val="1"/>
          <w:color w:val="auto"/>
        </w:rPr>
        <w:t xml:space="preserve"> </w:t>
      </w:r>
      <w:r>
        <w:rPr>
          <w:rFonts w:ascii="Arial" w:cs="Arial" w:eastAsia="Arial" w:hAnsi="Arial"/>
          <w:sz w:val="17"/>
          <w:szCs w:val="17"/>
          <w:color w:val="auto"/>
        </w:rPr>
        <w:t>written agreement of both Parties, but no less frequently than [***]. Meetings of any Decision-Making Committee will be held in person, at locations to be alternately selected by each Party, with [***] deciding the location for the first such meeting of each Decision-Making Committee. Alternatively, each Decision-Making Committee may meet by means of teleconference, videoconference, or other similar communications equipment; provided, however, to the extent practicable at least [***] meetings of each Decision-Making Committee per [***] should be conducted in-person. A meeting shall be deemed to be “in-person” as long as one representative of each Party is participating in person; for clarity, other representatives of such Party may participate remotely during an “in person” meeting as provided under this subsection. Each Party shall be responsible for all of its own expenses of participating in any Decision-Making Committee. No action taken at any meeting of a Decision-Making Committee shall be effective unless at least one representative of each Party is participating.</w:t>
      </w:r>
    </w:p>
    <w:p>
      <w:pPr>
        <w:spacing w:after="0" w:line="65" w:lineRule="exact"/>
        <w:rPr>
          <w:rFonts w:ascii="Arial" w:cs="Arial" w:eastAsia="Arial" w:hAnsi="Arial"/>
          <w:sz w:val="17"/>
          <w:szCs w:val="17"/>
          <w:color w:val="auto"/>
        </w:rPr>
      </w:pPr>
    </w:p>
    <w:p>
      <w:pPr>
        <w:ind w:left="440" w:right="20" w:firstLine="419"/>
        <w:spacing w:after="0" w:line="266" w:lineRule="auto"/>
        <w:tabs>
          <w:tab w:leader="none" w:pos="1128" w:val="left"/>
        </w:tabs>
        <w:numPr>
          <w:ilvl w:val="1"/>
          <w:numId w:val="169"/>
        </w:numPr>
        <w:rPr>
          <w:rFonts w:ascii="Arial" w:cs="Arial" w:eastAsia="Arial" w:hAnsi="Arial"/>
          <w:sz w:val="18"/>
          <w:szCs w:val="18"/>
          <w:color w:val="auto"/>
        </w:rPr>
      </w:pPr>
      <w:r>
        <w:rPr>
          <w:rFonts w:ascii="Arial" w:cs="Arial" w:eastAsia="Arial" w:hAnsi="Arial"/>
          <w:sz w:val="18"/>
          <w:szCs w:val="18"/>
          <w:b w:val="1"/>
          <w:bCs w:val="1"/>
          <w:color w:val="auto"/>
        </w:rPr>
        <w:t>JPC and JMC</w:t>
      </w:r>
      <w:r>
        <w:rPr>
          <w:rFonts w:ascii="Arial" w:cs="Arial" w:eastAsia="Arial" w:hAnsi="Arial"/>
          <w:sz w:val="18"/>
          <w:szCs w:val="18"/>
          <w:color w:val="auto"/>
        </w:rPr>
        <w:t>. The JPC and JMC shall hold meetings as agreed upon by both Parties but in no event less frequently than [***].</w:t>
      </w:r>
      <w:r>
        <w:rPr>
          <w:rFonts w:ascii="Arial" w:cs="Arial" w:eastAsia="Arial" w:hAnsi="Arial"/>
          <w:sz w:val="18"/>
          <w:szCs w:val="18"/>
          <w:b w:val="1"/>
          <w:bCs w:val="1"/>
          <w:color w:val="auto"/>
        </w:rPr>
        <w:t xml:space="preserve"> </w:t>
      </w:r>
      <w:r>
        <w:rPr>
          <w:rFonts w:ascii="Arial" w:cs="Arial" w:eastAsia="Arial" w:hAnsi="Arial"/>
          <w:sz w:val="18"/>
          <w:szCs w:val="18"/>
          <w:color w:val="auto"/>
        </w:rPr>
        <w:t>Meetings of the JPC and JMC will be held by telephone, video conference or similar means in which each participant can hear what is said by, and be heard by, the other participants, unless the Parties agree to meet in person.</w:t>
      </w:r>
    </w:p>
    <w:p>
      <w:pPr>
        <w:spacing w:after="0" w:line="175" w:lineRule="exact"/>
        <w:rPr>
          <w:rFonts w:ascii="Arial" w:cs="Arial" w:eastAsia="Arial" w:hAnsi="Arial"/>
          <w:sz w:val="18"/>
          <w:szCs w:val="18"/>
          <w:color w:val="auto"/>
        </w:rPr>
      </w:pPr>
    </w:p>
    <w:p>
      <w:pPr>
        <w:jc w:val="both"/>
        <w:ind w:right="160" w:firstLine="436"/>
        <w:spacing w:after="0" w:line="261" w:lineRule="auto"/>
        <w:tabs>
          <w:tab w:leader="none" w:pos="685" w:val="left"/>
        </w:tabs>
        <w:numPr>
          <w:ilvl w:val="0"/>
          <w:numId w:val="169"/>
        </w:numPr>
        <w:rPr>
          <w:rFonts w:ascii="Arial" w:cs="Arial" w:eastAsia="Arial" w:hAnsi="Arial"/>
          <w:sz w:val="18"/>
          <w:szCs w:val="18"/>
          <w:color w:val="auto"/>
        </w:rPr>
      </w:pPr>
      <w:r>
        <w:rPr>
          <w:rFonts w:ascii="Arial" w:cs="Arial" w:eastAsia="Arial" w:hAnsi="Arial"/>
          <w:sz w:val="18"/>
          <w:szCs w:val="18"/>
          <w:b w:val="1"/>
          <w:bCs w:val="1"/>
          <w:color w:val="auto"/>
        </w:rPr>
        <w:t>Non-Member Attendance</w:t>
      </w:r>
      <w:r>
        <w:rPr>
          <w:rFonts w:ascii="Arial" w:cs="Arial" w:eastAsia="Arial" w:hAnsi="Arial"/>
          <w:sz w:val="18"/>
          <w:szCs w:val="18"/>
          <w:color w:val="auto"/>
        </w:rPr>
        <w:t>. Each Party may from time to time invite a reasonable number of participants, in addition to its representatives, to</w:t>
      </w:r>
      <w:r>
        <w:rPr>
          <w:rFonts w:ascii="Arial" w:cs="Arial" w:eastAsia="Arial" w:hAnsi="Arial"/>
          <w:sz w:val="18"/>
          <w:szCs w:val="18"/>
          <w:b w:val="1"/>
          <w:bCs w:val="1"/>
          <w:color w:val="auto"/>
        </w:rPr>
        <w:t xml:space="preserve"> </w:t>
      </w:r>
      <w:r>
        <w:rPr>
          <w:rFonts w:ascii="Arial" w:cs="Arial" w:eastAsia="Arial" w:hAnsi="Arial"/>
          <w:sz w:val="18"/>
          <w:szCs w:val="18"/>
          <w:color w:val="auto"/>
        </w:rPr>
        <w:t>attend the Committee meetings in a non-voting capacity; provided that if either Party intends to have any Third Party (including any consultant) attend such a meeting, such Party shall provide prior written notice to the other Party and shall ensure that such Third Party is bound by confidentiality and non-use obligations consistent with the terms of this Agreement.</w:t>
      </w:r>
    </w:p>
    <w:p>
      <w:pPr>
        <w:spacing w:after="0" w:line="180"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b w:val="1"/>
          <w:bCs w:val="1"/>
          <w:color w:val="auto"/>
        </w:rPr>
        <w:t>2.9 Continuity of Representation</w:t>
      </w:r>
      <w:r>
        <w:rPr>
          <w:rFonts w:ascii="Arial" w:cs="Arial" w:eastAsia="Arial" w:hAnsi="Arial"/>
          <w:sz w:val="18"/>
          <w:szCs w:val="18"/>
          <w:color w:val="auto"/>
        </w:rPr>
        <w:t>. Notwithstanding the Parties’ respective rights to replace its Alliance Manager and members of Committees by</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notification to the other Party, each Party shall strive to maintain continuity in the representation of such Alliance Manager and Committee members.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2.10 Decision-Making</w:t>
      </w:r>
      <w:r>
        <w:rPr>
          <w:rFonts w:ascii="Arial" w:cs="Arial" w:eastAsia="Arial" w:hAnsi="Arial"/>
          <w:sz w:val="18"/>
          <w:szCs w:val="18"/>
          <w:color w:val="auto"/>
        </w:rPr>
        <w:t>.</w:t>
      </w:r>
    </w:p>
    <w:p>
      <w:pPr>
        <w:spacing w:after="0" w:line="229" w:lineRule="exact"/>
        <w:rPr>
          <w:sz w:val="20"/>
          <w:szCs w:val="20"/>
          <w:color w:val="auto"/>
        </w:rPr>
      </w:pPr>
    </w:p>
    <w:p>
      <w:pPr>
        <w:ind w:right="60" w:firstLine="436"/>
        <w:spacing w:after="0" w:line="279" w:lineRule="auto"/>
        <w:tabs>
          <w:tab w:leader="none" w:pos="685" w:val="left"/>
        </w:tabs>
        <w:numPr>
          <w:ilvl w:val="0"/>
          <w:numId w:val="170"/>
        </w:numPr>
        <w:rPr>
          <w:rFonts w:ascii="Arial" w:cs="Arial" w:eastAsia="Arial" w:hAnsi="Arial"/>
          <w:sz w:val="17"/>
          <w:szCs w:val="17"/>
          <w:color w:val="auto"/>
        </w:rPr>
      </w:pPr>
      <w:r>
        <w:rPr>
          <w:rFonts w:ascii="Arial" w:cs="Arial" w:eastAsia="Arial" w:hAnsi="Arial"/>
          <w:sz w:val="17"/>
          <w:szCs w:val="17"/>
          <w:color w:val="auto"/>
        </w:rPr>
        <w:t>All decisions of each Decision-Making Committee shall be made by unanimous vote, with each Party’s representatives collectively having one vote (such vote to be cast by the Party’s co-chair to the extent such Party’s representatives do not unanimously agree on a decision). If after reasonable discussion and good faith consideration of each Party’s view on a particular matter before a Decision-Making Committee, the representatives of the Parties cannot reach an agreement as to such matter within [***] after such matter was brought to such Decision-Making</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0" w:right="439" w:bottom="1440" w:gutter="0" w:footer="0" w:header="0"/>
        </w:sectPr>
      </w:pPr>
    </w:p>
    <w:bookmarkStart w:id="314" w:name="page315"/>
    <w:bookmarkEnd w:id="314"/>
    <w:p>
      <w:pPr>
        <w:ind w:left="4"/>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Committee for resolution or after such matter has been referred to such Decision-Making Committee, such disagreement shall, upon the written request of either Party, be referred to the JSC (in the case of disagreement of the JRDC, JCC or subcommittees of the JSC), or the Designated Senior Officers (in the case of disagreement of the JSC) for resolution, in each case, to discuss such matter in good faith for resolution. If the Designated Senior Officers cannot resolve any matter referred to them by the JSC within [***] after such matter has been referred to them, then such matters shall be finally and definitively resolved as set forth in Section 2.10(b) or otherwise by consensus. The Parties may by mutual written agreement determine to shorten the timeframes specified above in this Section 2.10. If any decision-making authority assigned to any Committee necessarily extends beyond the term of such Committee as set forth in Section 2.11, then such decision making authority shall be automatically transferred to Sanofi.</w:t>
      </w:r>
    </w:p>
    <w:p>
      <w:pPr>
        <w:spacing w:after="0" w:line="166" w:lineRule="exact"/>
        <w:rPr>
          <w:sz w:val="20"/>
          <w:szCs w:val="20"/>
          <w:color w:val="auto"/>
        </w:rPr>
      </w:pPr>
    </w:p>
    <w:p>
      <w:pPr>
        <w:ind w:left="4" w:right="120" w:firstLine="436"/>
        <w:spacing w:after="0" w:line="263" w:lineRule="auto"/>
        <w:tabs>
          <w:tab w:leader="none" w:pos="699" w:val="left"/>
        </w:tabs>
        <w:numPr>
          <w:ilvl w:val="1"/>
          <w:numId w:val="171"/>
        </w:numPr>
        <w:rPr>
          <w:rFonts w:ascii="Arial" w:cs="Arial" w:eastAsia="Arial" w:hAnsi="Arial"/>
          <w:sz w:val="18"/>
          <w:szCs w:val="18"/>
          <w:color w:val="auto"/>
        </w:rPr>
      </w:pPr>
      <w:r>
        <w:rPr>
          <w:rFonts w:ascii="Arial" w:cs="Arial" w:eastAsia="Arial" w:hAnsi="Arial"/>
          <w:sz w:val="18"/>
          <w:szCs w:val="18"/>
          <w:color w:val="auto"/>
        </w:rPr>
        <w:t xml:space="preserve">For any matters submitted for resolution by the Designated Senior Officers, the Designated Senior Officer of Sanofi shall have final decision-making power with respect to such matter;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Designated Senior Officer of Sanofi shall not have the right to exercise its final decision-making authority without RevMed’s consent to:</w:t>
      </w:r>
    </w:p>
    <w:p>
      <w:pPr>
        <w:spacing w:after="0" w:line="75" w:lineRule="exact"/>
        <w:rPr>
          <w:rFonts w:ascii="Arial" w:cs="Arial" w:eastAsia="Arial" w:hAnsi="Arial"/>
          <w:sz w:val="18"/>
          <w:szCs w:val="18"/>
          <w:color w:val="auto"/>
        </w:rPr>
      </w:pPr>
    </w:p>
    <w:p>
      <w:pPr>
        <w:ind w:left="1084" w:hanging="221"/>
        <w:spacing w:after="0"/>
        <w:tabs>
          <w:tab w:leader="none" w:pos="1084" w:val="left"/>
        </w:tabs>
        <w:numPr>
          <w:ilvl w:val="2"/>
          <w:numId w:val="171"/>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24" w:hanging="261"/>
        <w:spacing w:after="0"/>
        <w:tabs>
          <w:tab w:leader="none" w:pos="1124" w:val="left"/>
        </w:tabs>
        <w:numPr>
          <w:ilvl w:val="2"/>
          <w:numId w:val="171"/>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84" w:hanging="321"/>
        <w:spacing w:after="0"/>
        <w:tabs>
          <w:tab w:leader="none" w:pos="1184" w:val="left"/>
        </w:tabs>
        <w:numPr>
          <w:ilvl w:val="2"/>
          <w:numId w:val="171"/>
        </w:numPr>
        <w:rPr>
          <w:rFonts w:ascii="Arial" w:cs="Arial" w:eastAsia="Arial" w:hAnsi="Arial"/>
          <w:sz w:val="18"/>
          <w:szCs w:val="18"/>
          <w:color w:val="auto"/>
        </w:rPr>
      </w:pPr>
      <w:r>
        <w:rPr>
          <w:rFonts w:ascii="Arial" w:cs="Arial" w:eastAsia="Arial" w:hAnsi="Arial"/>
          <w:sz w:val="18"/>
          <w:szCs w:val="18"/>
          <w:color w:val="auto"/>
        </w:rPr>
        <w:t>[***] or</w:t>
      </w:r>
    </w:p>
    <w:p>
      <w:pPr>
        <w:spacing w:after="0" w:line="117" w:lineRule="exact"/>
        <w:rPr>
          <w:rFonts w:ascii="Arial" w:cs="Arial" w:eastAsia="Arial" w:hAnsi="Arial"/>
          <w:sz w:val="18"/>
          <w:szCs w:val="18"/>
          <w:color w:val="auto"/>
        </w:rPr>
      </w:pPr>
    </w:p>
    <w:p>
      <w:pPr>
        <w:ind w:left="444" w:right="780" w:firstLine="419"/>
        <w:spacing w:after="0" w:line="277" w:lineRule="auto"/>
        <w:tabs>
          <w:tab w:leader="none" w:pos="1172" w:val="left"/>
        </w:tabs>
        <w:numPr>
          <w:ilvl w:val="2"/>
          <w:numId w:val="171"/>
        </w:numPr>
        <w:rPr>
          <w:rFonts w:ascii="Arial" w:cs="Arial" w:eastAsia="Arial" w:hAnsi="Arial"/>
          <w:sz w:val="18"/>
          <w:szCs w:val="18"/>
          <w:color w:val="auto"/>
        </w:rPr>
      </w:pPr>
      <w:r>
        <w:rPr>
          <w:rFonts w:ascii="Arial" w:cs="Arial" w:eastAsia="Arial" w:hAnsi="Arial"/>
          <w:sz w:val="18"/>
          <w:szCs w:val="18"/>
          <w:color w:val="auto"/>
        </w:rPr>
        <w:t>[***]. Notwithstanding anything to the contrary in this Agreement, except as expressly set forth in Section 4.2(a)(i)(A) and, if applicable, Section 4.2(a)(i)(B), [***]:</w:t>
      </w:r>
    </w:p>
    <w:p>
      <w:pPr>
        <w:spacing w:after="0" w:line="62" w:lineRule="exact"/>
        <w:rPr>
          <w:rFonts w:ascii="Arial" w:cs="Arial" w:eastAsia="Arial" w:hAnsi="Arial"/>
          <w:sz w:val="18"/>
          <w:szCs w:val="18"/>
          <w:color w:val="auto"/>
        </w:rPr>
      </w:pPr>
    </w:p>
    <w:p>
      <w:pPr>
        <w:ind w:left="4" w:right="180" w:firstLine="1428"/>
        <w:spacing w:after="0" w:line="277" w:lineRule="auto"/>
        <w:tabs>
          <w:tab w:leader="none" w:pos="1656" w:val="left"/>
        </w:tabs>
        <w:numPr>
          <w:ilvl w:val="3"/>
          <w:numId w:val="171"/>
        </w:numPr>
        <w:rPr>
          <w:rFonts w:ascii="Arial" w:cs="Arial" w:eastAsia="Arial" w:hAnsi="Arial"/>
          <w:sz w:val="18"/>
          <w:szCs w:val="18"/>
          <w:color w:val="auto"/>
        </w:rPr>
      </w:pPr>
      <w:r>
        <w:rPr>
          <w:rFonts w:ascii="Arial" w:cs="Arial" w:eastAsia="Arial" w:hAnsi="Arial"/>
          <w:sz w:val="18"/>
          <w:szCs w:val="18"/>
          <w:color w:val="auto"/>
        </w:rPr>
        <w:t>Sanofi cannot without cause exercise such final decision-making authority to [***] from one of its assigned activities under the applicable Research Plan or Development Plan and [***] similar activity;</w:t>
      </w:r>
    </w:p>
    <w:p>
      <w:pPr>
        <w:spacing w:after="0" w:line="170" w:lineRule="exact"/>
        <w:rPr>
          <w:rFonts w:ascii="Arial" w:cs="Arial" w:eastAsia="Arial" w:hAnsi="Arial"/>
          <w:sz w:val="18"/>
          <w:szCs w:val="18"/>
          <w:color w:val="auto"/>
        </w:rPr>
      </w:pPr>
    </w:p>
    <w:p>
      <w:pPr>
        <w:ind w:left="4" w:right="500" w:firstLine="1428"/>
        <w:spacing w:after="0" w:line="277" w:lineRule="auto"/>
        <w:tabs>
          <w:tab w:leader="none" w:pos="1646" w:val="left"/>
        </w:tabs>
        <w:numPr>
          <w:ilvl w:val="3"/>
          <w:numId w:val="171"/>
        </w:numPr>
        <w:rPr>
          <w:rFonts w:ascii="Arial" w:cs="Arial" w:eastAsia="Arial" w:hAnsi="Arial"/>
          <w:sz w:val="18"/>
          <w:szCs w:val="18"/>
          <w:color w:val="auto"/>
        </w:rPr>
      </w:pPr>
      <w:r>
        <w:rPr>
          <w:rFonts w:ascii="Arial" w:cs="Arial" w:eastAsia="Arial" w:hAnsi="Arial"/>
          <w:sz w:val="18"/>
          <w:szCs w:val="18"/>
          <w:color w:val="auto"/>
        </w:rPr>
        <w:t>for any proposal to [***], the JRDC shall first use good faith efforts to [***], a pending amendment thereto or as otherwise determined by the JRDC, that [***]; and</w:t>
      </w:r>
    </w:p>
    <w:p>
      <w:pPr>
        <w:spacing w:after="0" w:line="170" w:lineRule="exact"/>
        <w:rPr>
          <w:rFonts w:ascii="Arial" w:cs="Arial" w:eastAsia="Arial" w:hAnsi="Arial"/>
          <w:sz w:val="18"/>
          <w:szCs w:val="18"/>
          <w:color w:val="auto"/>
        </w:rPr>
      </w:pPr>
    </w:p>
    <w:p>
      <w:pPr>
        <w:ind w:left="4" w:right="160" w:firstLine="1428"/>
        <w:spacing w:after="0" w:line="274" w:lineRule="auto"/>
        <w:tabs>
          <w:tab w:leader="none" w:pos="1646" w:val="left"/>
        </w:tabs>
        <w:numPr>
          <w:ilvl w:val="3"/>
          <w:numId w:val="171"/>
        </w:numPr>
        <w:rPr>
          <w:rFonts w:ascii="Arial" w:cs="Arial" w:eastAsia="Arial" w:hAnsi="Arial"/>
          <w:sz w:val="17"/>
          <w:szCs w:val="17"/>
          <w:color w:val="auto"/>
        </w:rPr>
      </w:pPr>
      <w:r>
        <w:rPr>
          <w:rFonts w:ascii="Arial" w:cs="Arial" w:eastAsia="Arial" w:hAnsi="Arial"/>
          <w:sz w:val="17"/>
          <w:szCs w:val="17"/>
          <w:color w:val="auto"/>
        </w:rPr>
        <w:t>if [***] does not occur and if Sanofi [***] by [***] without RevMed’s consent, then [***] for a period of [***] in which such [***], provided that RevMed shall use good faith efforts to [***] during [***], and provided further that Sanofi shall not be required to make any such</w:t>
      </w:r>
    </w:p>
    <w:p>
      <w:pPr>
        <w:ind w:left="444" w:hanging="444"/>
        <w:spacing w:after="0"/>
        <w:tabs>
          <w:tab w:leader="none" w:pos="444" w:val="left"/>
        </w:tabs>
        <w:numPr>
          <w:ilvl w:val="0"/>
          <w:numId w:val="171"/>
        </w:numPr>
        <w:rPr>
          <w:rFonts w:ascii="Arial" w:cs="Arial" w:eastAsia="Arial" w:hAnsi="Arial"/>
          <w:sz w:val="18"/>
          <w:szCs w:val="18"/>
          <w:color w:val="auto"/>
        </w:rPr>
      </w:pPr>
      <w:r>
        <w:rPr>
          <w:rFonts w:ascii="Arial" w:cs="Arial" w:eastAsia="Arial" w:hAnsi="Arial"/>
          <w:sz w:val="18"/>
          <w:szCs w:val="18"/>
          <w:color w:val="auto"/>
        </w:rPr>
        <w:t>during [***]. Without limiting the foregoing, Sanofi shall be deemed to have cause to [***], for example, in the case of [***].</w:t>
      </w:r>
    </w:p>
    <w:p>
      <w:pPr>
        <w:spacing w:after="0" w:line="206"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6"/>
          <w:szCs w:val="16"/>
          <w:b w:val="1"/>
          <w:bCs w:val="1"/>
          <w:color w:val="auto"/>
        </w:rPr>
        <w:t>2.11 Discontinuation of Committees</w:t>
      </w:r>
      <w:r>
        <w:rPr>
          <w:rFonts w:ascii="Arial" w:cs="Arial" w:eastAsia="Arial" w:hAnsi="Arial"/>
          <w:sz w:val="16"/>
          <w:szCs w:val="16"/>
          <w:color w:val="auto"/>
        </w:rPr>
        <w:t>. The activities to be performed by each Committee shall solely relate to governance under this Agreement,</w:t>
      </w:r>
    </w:p>
    <w:p>
      <w:pPr>
        <w:spacing w:after="0" w:line="50" w:lineRule="exact"/>
        <w:rPr>
          <w:sz w:val="20"/>
          <w:szCs w:val="20"/>
          <w:color w:val="auto"/>
        </w:rPr>
      </w:pPr>
    </w:p>
    <w:p>
      <w:pPr>
        <w:ind w:left="4" w:right="280"/>
        <w:spacing w:after="0" w:line="281" w:lineRule="auto"/>
        <w:rPr>
          <w:sz w:val="20"/>
          <w:szCs w:val="20"/>
          <w:color w:val="auto"/>
        </w:rPr>
      </w:pPr>
      <w:r>
        <w:rPr>
          <w:rFonts w:ascii="Arial" w:cs="Arial" w:eastAsia="Arial" w:hAnsi="Arial"/>
          <w:sz w:val="16"/>
          <w:szCs w:val="16"/>
          <w:color w:val="auto"/>
        </w:rPr>
        <w:t>and are not intended to be or involve the delivery of services. Each Committee shall continue to exist until the Parties mutually agree to disband such Committee, or if RevMed provides Sanofi with written notification of its decision to discontinue its participation in such Committee; provided that</w:t>
      </w:r>
    </w:p>
    <w:p>
      <w:pPr>
        <w:spacing w:after="0" w:line="1" w:lineRule="exact"/>
        <w:rPr>
          <w:sz w:val="20"/>
          <w:szCs w:val="20"/>
          <w:color w:val="auto"/>
        </w:rPr>
      </w:pPr>
    </w:p>
    <w:p>
      <w:pPr>
        <w:ind w:left="4" w:right="260" w:hanging="4"/>
        <w:spacing w:after="0" w:line="277" w:lineRule="auto"/>
        <w:tabs>
          <w:tab w:leader="none" w:pos="249"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JPC shall disband upon [***], (b) the JCC shall disband if [***]; (c) the JRDC shall disband upon [***]; and (d) the JMC shall disband upon [***]. If a Committee is so disbanded, such Committee shall have no further obligations under this Agreement and, thereafter, the Alliance Managers shall be the contact persons for the exchange of information under this Agreement and decisions of such</w:t>
      </w:r>
    </w:p>
    <w:p>
      <w:pPr>
        <w:spacing w:after="0" w:line="10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4"/>
          </w:cols>
          <w:pgMar w:left="436" w:top="274" w:right="459" w:bottom="1440" w:gutter="0" w:footer="0" w:header="0"/>
        </w:sectPr>
      </w:pPr>
    </w:p>
    <w:bookmarkStart w:id="315" w:name="page316"/>
    <w:bookmarkEnd w:id="315"/>
    <w:p>
      <w:pPr>
        <w:ind w:right="1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Committee shall be decisions of Sanofi. Upon disbandment of the JRDC, JCC, JPC or JMC or at any time in the JSC’s discretion, the JSC may assume from the JRDC, JCC, JPC or JMC any and all of such Committees’ respective responsibilities. Notwithstanding anything to the contrary in</w:t>
      </w:r>
    </w:p>
    <w:p>
      <w:pPr>
        <w:spacing w:after="0" w:line="253" w:lineRule="auto"/>
        <w:rPr>
          <w:sz w:val="20"/>
          <w:szCs w:val="20"/>
          <w:color w:val="auto"/>
        </w:rPr>
      </w:pPr>
      <w:r>
        <w:rPr>
          <w:rFonts w:ascii="Arial" w:cs="Arial" w:eastAsia="Arial" w:hAnsi="Arial"/>
          <w:sz w:val="18"/>
          <w:szCs w:val="18"/>
          <w:color w:val="auto"/>
        </w:rPr>
        <w:t>Section 2.8(b)(i), following substantial completion of RevMed’s activities under the Research Plan and Development Plan, the JRDC shall meet no less frequently than [***], provided that there are bona fide agenda items for such meetings. If RevMed undergoes a Change of Control following substantial completion of RevMed’s activities under the Research Plan and Development Plan, [***] may, in its sole discretion, [***]. The JSC shall disband if all other Committees have disbanded.</w:t>
      </w:r>
    </w:p>
    <w:p>
      <w:pPr>
        <w:spacing w:after="0" w:line="200" w:lineRule="exact"/>
        <w:rPr>
          <w:sz w:val="20"/>
          <w:szCs w:val="20"/>
          <w:color w:val="auto"/>
        </w:rPr>
      </w:pPr>
    </w:p>
    <w:p>
      <w:pPr>
        <w:spacing w:after="0" w:line="20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Article III.</w:t>
      </w:r>
    </w:p>
    <w:p>
      <w:pPr>
        <w:spacing w:after="0" w:line="113"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LICENSE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3.1 Licenses and Option to Sanofi</w:t>
      </w:r>
      <w:r>
        <w:rPr>
          <w:rFonts w:ascii="Arial" w:cs="Arial" w:eastAsia="Arial" w:hAnsi="Arial"/>
          <w:sz w:val="18"/>
          <w:szCs w:val="18"/>
          <w:color w:val="auto"/>
        </w:rPr>
        <w:t>.</w:t>
      </w:r>
    </w:p>
    <w:p>
      <w:pPr>
        <w:spacing w:after="0" w:line="229" w:lineRule="exact"/>
        <w:rPr>
          <w:sz w:val="20"/>
          <w:szCs w:val="20"/>
          <w:color w:val="auto"/>
        </w:rPr>
      </w:pPr>
    </w:p>
    <w:p>
      <w:pPr>
        <w:ind w:right="580" w:firstLine="440"/>
        <w:spacing w:after="0" w:line="279" w:lineRule="auto"/>
        <w:rPr>
          <w:sz w:val="20"/>
          <w:szCs w:val="20"/>
          <w:color w:val="auto"/>
        </w:rPr>
      </w:pPr>
      <w:r>
        <w:rPr>
          <w:rFonts w:ascii="Arial" w:cs="Arial" w:eastAsia="Arial" w:hAnsi="Arial"/>
          <w:sz w:val="17"/>
          <w:szCs w:val="17"/>
          <w:color w:val="auto"/>
        </w:rPr>
        <w:t>Licenses. Subject to the terms and conditions of this Agreement, RevMed hereby grants to Sanofi an exclusive (even as to RevMed and its Affiliates), royalty-bearing license (which shall be sub-licensable solely as provided in Section 3.4) under the RevMed Licensed Technology, to Research, Develop, Manufacture, use, sell, offer for sale, import and otherwise Commercialize and exploit Products (including, for clarity, any Companion Diagnostics with respect to such Products) in the Field in the Licensed Territory.</w:t>
      </w:r>
    </w:p>
    <w:p>
      <w:pPr>
        <w:spacing w:after="0" w:line="167" w:lineRule="exact"/>
        <w:rPr>
          <w:sz w:val="20"/>
          <w:szCs w:val="20"/>
          <w:color w:val="auto"/>
        </w:rPr>
      </w:pPr>
    </w:p>
    <w:p>
      <w:pPr>
        <w:ind w:left="680" w:hanging="244"/>
        <w:spacing w:after="0"/>
        <w:tabs>
          <w:tab w:leader="none" w:pos="680" w:val="left"/>
        </w:tabs>
        <w:numPr>
          <w:ilvl w:val="0"/>
          <w:numId w:val="173"/>
        </w:numPr>
        <w:rPr>
          <w:rFonts w:ascii="Arial" w:cs="Arial" w:eastAsia="Arial" w:hAnsi="Arial"/>
          <w:sz w:val="18"/>
          <w:szCs w:val="18"/>
          <w:color w:val="auto"/>
        </w:rPr>
      </w:pPr>
      <w:r>
        <w:rPr>
          <w:rFonts w:ascii="Arial" w:cs="Arial" w:eastAsia="Arial" w:hAnsi="Arial"/>
          <w:sz w:val="18"/>
          <w:szCs w:val="18"/>
          <w:b w:val="1"/>
          <w:bCs w:val="1"/>
          <w:color w:val="auto"/>
        </w:rPr>
        <w:t>Option.</w:t>
      </w:r>
    </w:p>
    <w:p>
      <w:pPr>
        <w:spacing w:after="0" w:line="117" w:lineRule="exact"/>
        <w:rPr>
          <w:rFonts w:ascii="Arial" w:cs="Arial" w:eastAsia="Arial" w:hAnsi="Arial"/>
          <w:sz w:val="18"/>
          <w:szCs w:val="18"/>
          <w:color w:val="auto"/>
        </w:rPr>
      </w:pPr>
    </w:p>
    <w:p>
      <w:pPr>
        <w:ind w:left="440" w:right="280" w:firstLine="419"/>
        <w:spacing w:after="0" w:line="282" w:lineRule="auto"/>
        <w:tabs>
          <w:tab w:leader="none" w:pos="1078" w:val="left"/>
        </w:tabs>
        <w:numPr>
          <w:ilvl w:val="1"/>
          <w:numId w:val="173"/>
        </w:numPr>
        <w:rPr>
          <w:rFonts w:ascii="Arial" w:cs="Arial" w:eastAsia="Arial" w:hAnsi="Arial"/>
          <w:sz w:val="18"/>
          <w:szCs w:val="18"/>
          <w:color w:val="auto"/>
        </w:rPr>
      </w:pPr>
      <w:r>
        <w:rPr>
          <w:rFonts w:ascii="Arial" w:cs="Arial" w:eastAsia="Arial" w:hAnsi="Arial"/>
          <w:sz w:val="18"/>
          <w:szCs w:val="18"/>
          <w:b w:val="1"/>
          <w:bCs w:val="1"/>
          <w:color w:val="auto"/>
        </w:rPr>
        <w:t xml:space="preserve">Option. </w:t>
      </w:r>
      <w:r>
        <w:rPr>
          <w:rFonts w:ascii="Arial" w:cs="Arial" w:eastAsia="Arial" w:hAnsi="Arial"/>
          <w:sz w:val="18"/>
          <w:szCs w:val="18"/>
          <w:color w:val="auto"/>
        </w:rPr>
        <w:t>Subject to the terms and conditions of this Agreement, RevMed hereby grants to Sanofi an exclusive option, under the Patent</w:t>
      </w:r>
      <w:r>
        <w:rPr>
          <w:rFonts w:ascii="Arial" w:cs="Arial" w:eastAsia="Arial" w:hAnsi="Arial"/>
          <w:sz w:val="18"/>
          <w:szCs w:val="18"/>
          <w:b w:val="1"/>
          <w:bCs w:val="1"/>
          <w:color w:val="auto"/>
        </w:rPr>
        <w:t xml:space="preserve"> </w:t>
      </w:r>
      <w:r>
        <w:rPr>
          <w:rFonts w:ascii="Arial" w:cs="Arial" w:eastAsia="Arial" w:hAnsi="Arial"/>
          <w:sz w:val="18"/>
          <w:szCs w:val="18"/>
          <w:color w:val="auto"/>
        </w:rPr>
        <w:t>Rights and Know-How claiming or embodied in the [***].</w:t>
      </w:r>
    </w:p>
    <w:p>
      <w:pPr>
        <w:spacing w:after="0" w:line="53" w:lineRule="exact"/>
        <w:rPr>
          <w:rFonts w:ascii="Arial" w:cs="Arial" w:eastAsia="Arial" w:hAnsi="Arial"/>
          <w:sz w:val="18"/>
          <w:szCs w:val="18"/>
          <w:color w:val="auto"/>
        </w:rPr>
      </w:pPr>
    </w:p>
    <w:p>
      <w:pPr>
        <w:ind w:left="440" w:right="20" w:firstLine="419"/>
        <w:spacing w:after="0" w:line="258" w:lineRule="auto"/>
        <w:tabs>
          <w:tab w:leader="none" w:pos="1128" w:val="left"/>
        </w:tabs>
        <w:numPr>
          <w:ilvl w:val="1"/>
          <w:numId w:val="173"/>
        </w:numPr>
        <w:rPr>
          <w:rFonts w:ascii="Arial" w:cs="Arial" w:eastAsia="Arial" w:hAnsi="Arial"/>
          <w:sz w:val="18"/>
          <w:szCs w:val="18"/>
          <w:color w:val="auto"/>
        </w:rPr>
      </w:pPr>
      <w:r>
        <w:rPr>
          <w:rFonts w:ascii="Arial" w:cs="Arial" w:eastAsia="Arial" w:hAnsi="Arial"/>
          <w:sz w:val="18"/>
          <w:szCs w:val="18"/>
          <w:b w:val="1"/>
          <w:bCs w:val="1"/>
          <w:color w:val="auto"/>
        </w:rPr>
        <w:t xml:space="preserve">Exercise. </w:t>
      </w:r>
      <w:r>
        <w:rPr>
          <w:rFonts w:ascii="Arial" w:cs="Arial" w:eastAsia="Arial" w:hAnsi="Arial"/>
          <w:sz w:val="18"/>
          <w:szCs w:val="18"/>
          <w:color w:val="auto"/>
        </w:rPr>
        <w:t>Sanofi may exercise its Option at any time during the Term by providing RevMed with written notice of such exercise. During</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prior to the Option exercise by Sanofi, RevMed shall provide to Sanofi any additional information Controlled by RevMed that is reasonably requested by Sanofi in order to assist Sanofi in determining whether to exercise its Option. If Sanofi so exercises its Option pursuant to this Section 3.1(b)(ii), [***]. Upon Sanofi’s exercise of the Option, [***] accordingly subject to the license granted to Sanofi under Section 3.1(a) and the payment obligations therefor pursuant to this Agreement.</w:t>
      </w:r>
    </w:p>
    <w:p>
      <w:pPr>
        <w:spacing w:after="0" w:line="183" w:lineRule="exact"/>
        <w:rPr>
          <w:sz w:val="20"/>
          <w:szCs w:val="20"/>
          <w:color w:val="auto"/>
        </w:rPr>
      </w:pPr>
    </w:p>
    <w:p>
      <w:pPr>
        <w:ind w:right="40" w:firstLine="440"/>
        <w:spacing w:after="0" w:line="258" w:lineRule="auto"/>
        <w:rPr>
          <w:sz w:val="20"/>
          <w:szCs w:val="20"/>
          <w:color w:val="auto"/>
        </w:rPr>
      </w:pPr>
      <w:r>
        <w:rPr>
          <w:rFonts w:ascii="Arial" w:cs="Arial" w:eastAsia="Arial" w:hAnsi="Arial"/>
          <w:sz w:val="18"/>
          <w:szCs w:val="18"/>
          <w:b w:val="1"/>
          <w:bCs w:val="1"/>
          <w:color w:val="auto"/>
        </w:rPr>
        <w:t>3.2 License to RevMed</w:t>
      </w:r>
      <w:r>
        <w:rPr>
          <w:rFonts w:ascii="Arial" w:cs="Arial" w:eastAsia="Arial" w:hAnsi="Arial"/>
          <w:sz w:val="18"/>
          <w:szCs w:val="18"/>
          <w:color w:val="auto"/>
        </w:rPr>
        <w:t>. Subject to the terms and conditions of this Agreement, Sanofi hereby grants to RevMed a non-exclusive, royalty-free</w:t>
      </w:r>
      <w:r>
        <w:rPr>
          <w:rFonts w:ascii="Arial" w:cs="Arial" w:eastAsia="Arial" w:hAnsi="Arial"/>
          <w:sz w:val="18"/>
          <w:szCs w:val="18"/>
          <w:b w:val="1"/>
          <w:bCs w:val="1"/>
          <w:color w:val="auto"/>
        </w:rPr>
        <w:t xml:space="preserve"> </w:t>
      </w:r>
      <w:r>
        <w:rPr>
          <w:rFonts w:ascii="Arial" w:cs="Arial" w:eastAsia="Arial" w:hAnsi="Arial"/>
          <w:sz w:val="18"/>
          <w:szCs w:val="18"/>
          <w:color w:val="auto"/>
        </w:rPr>
        <w:t>sublicense (which shall only be further sub-licensable (a) to RevMed’s Subsidiaries, (b) to the Permitted Contractors or Researchers, and (c) solely with Sanofi’s prior written consent, such consent not to be unreasonably withheld, delayed or conditioned, to Third Parties who are not Permitted Contractors or Researchers) under the rights exclusively licensed to Sanofi pursuant to Section 3.1, solely to the extent necessary for RevMed to perform its obligations under this Agreement and the Ancillary Agreements.</w:t>
      </w:r>
    </w:p>
    <w:p>
      <w:pPr>
        <w:spacing w:after="0" w:line="183" w:lineRule="exact"/>
        <w:rPr>
          <w:sz w:val="20"/>
          <w:szCs w:val="20"/>
          <w:color w:val="auto"/>
        </w:rPr>
      </w:pPr>
    </w:p>
    <w:p>
      <w:pPr>
        <w:jc w:val="both"/>
        <w:ind w:right="320" w:firstLine="440"/>
        <w:spacing w:after="0" w:line="266" w:lineRule="auto"/>
        <w:rPr>
          <w:sz w:val="20"/>
          <w:szCs w:val="20"/>
          <w:color w:val="auto"/>
        </w:rPr>
      </w:pPr>
      <w:r>
        <w:rPr>
          <w:rFonts w:ascii="Arial" w:cs="Arial" w:eastAsia="Arial" w:hAnsi="Arial"/>
          <w:sz w:val="18"/>
          <w:szCs w:val="18"/>
          <w:b w:val="1"/>
          <w:bCs w:val="1"/>
          <w:color w:val="auto"/>
        </w:rPr>
        <w:t>3.3 Retained Rights; Residuals</w:t>
      </w:r>
      <w:r>
        <w:rPr>
          <w:rFonts w:ascii="Arial" w:cs="Arial" w:eastAsia="Arial" w:hAnsi="Arial"/>
          <w:sz w:val="18"/>
          <w:szCs w:val="18"/>
          <w:color w:val="auto"/>
        </w:rPr>
        <w:t>. RevMed hereby retains subject to Section 3.5(b), all rights in and to the RevMed Licensed Technology other</w:t>
      </w:r>
      <w:r>
        <w:rPr>
          <w:rFonts w:ascii="Arial" w:cs="Arial" w:eastAsia="Arial" w:hAnsi="Arial"/>
          <w:sz w:val="18"/>
          <w:szCs w:val="18"/>
          <w:b w:val="1"/>
          <w:bCs w:val="1"/>
          <w:color w:val="auto"/>
        </w:rPr>
        <w:t xml:space="preserve"> </w:t>
      </w:r>
      <w:r>
        <w:rPr>
          <w:rFonts w:ascii="Arial" w:cs="Arial" w:eastAsia="Arial" w:hAnsi="Arial"/>
          <w:sz w:val="18"/>
          <w:szCs w:val="18"/>
          <w:color w:val="auto"/>
        </w:rPr>
        <w:t>than the rights expressly licensed to Sanofi thereunder pursuant to Section 3.1. Notwithstanding the foregoing, each Party shall have the right to use [***]. Notwithstanding anything to the contrary in this Agreement, nothing shall [***].</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316" w:name="page317"/>
    <w:bookmarkEnd w:id="316"/>
    <w:p>
      <w:pPr>
        <w:ind w:left="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3.4 Sublicense and Subcontracting Rights</w:t>
      </w:r>
      <w:r>
        <w:rPr>
          <w:rFonts w:ascii="Arial" w:cs="Arial" w:eastAsia="Arial" w:hAnsi="Arial"/>
          <w:sz w:val="18"/>
          <w:szCs w:val="18"/>
          <w:color w:val="auto"/>
        </w:rPr>
        <w:t>. Subject to the terms and conditions of this Agreement:</w:t>
      </w:r>
    </w:p>
    <w:p>
      <w:pPr>
        <w:spacing w:after="0" w:line="121" w:lineRule="exact"/>
        <w:rPr>
          <w:sz w:val="20"/>
          <w:szCs w:val="20"/>
          <w:color w:val="auto"/>
        </w:rPr>
      </w:pPr>
    </w:p>
    <w:p>
      <w:pPr>
        <w:ind w:left="-20" w:firstLine="436"/>
        <w:spacing w:after="0" w:line="279" w:lineRule="auto"/>
        <w:tabs>
          <w:tab w:leader="none" w:pos="665" w:val="left"/>
        </w:tabs>
        <w:numPr>
          <w:ilvl w:val="0"/>
          <w:numId w:val="174"/>
        </w:numPr>
        <w:rPr>
          <w:rFonts w:ascii="Arial" w:cs="Arial" w:eastAsia="Arial" w:hAnsi="Arial"/>
          <w:sz w:val="17"/>
          <w:szCs w:val="17"/>
          <w:color w:val="auto"/>
        </w:rPr>
      </w:pPr>
      <w:r>
        <w:rPr>
          <w:rFonts w:ascii="Arial" w:cs="Arial" w:eastAsia="Arial" w:hAnsi="Arial"/>
          <w:sz w:val="17"/>
          <w:szCs w:val="17"/>
          <w:color w:val="auto"/>
        </w:rPr>
        <w:t>Subject to Section 3.4(c) below, Sanofi may exercise its rights and perform its obligations under this Agreement by itself or through the engagement of any of its Affiliates without RevMed’s consent. For the avoidance of doubt, RevMed shall not have any responsibility for any taxes relating to or arising out of the engagement of Sanofi’s Affiliates or Sanofi’s use of subcontractors, except for any taxes to the extent that RevMed would have incurred such taxes even in the absence of such engagement of Sanofi’s Affiliates or Sanofi’s use of subcontractors.</w:t>
      </w:r>
    </w:p>
    <w:p>
      <w:pPr>
        <w:spacing w:after="0" w:line="171" w:lineRule="exact"/>
        <w:rPr>
          <w:rFonts w:ascii="Arial" w:cs="Arial" w:eastAsia="Arial" w:hAnsi="Arial"/>
          <w:sz w:val="17"/>
          <w:szCs w:val="17"/>
          <w:color w:val="auto"/>
        </w:rPr>
      </w:pPr>
    </w:p>
    <w:p>
      <w:pPr>
        <w:ind w:left="-20" w:right="160" w:firstLine="436"/>
        <w:spacing w:after="0" w:line="259" w:lineRule="auto"/>
        <w:tabs>
          <w:tab w:leader="none" w:pos="67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Sanofi shall have the right to grant sublicenses (through multiple tiers) under the rights granted to it under Section 3.1 to one or more Third Parties (i) outside of the United States, and (ii) in the United States; provided that for purposes of subsection (ii), Sanofi shall not sublicense substantially all of the rights granted to it under Section 3.1 in the United States to Third Parties without RevMed’s prior written consent, such consent not to be unreasonably withheld, delayed or conditioned.</w:t>
      </w:r>
    </w:p>
    <w:p>
      <w:pPr>
        <w:spacing w:after="0" w:line="186" w:lineRule="exact"/>
        <w:rPr>
          <w:rFonts w:ascii="Arial" w:cs="Arial" w:eastAsia="Arial" w:hAnsi="Arial"/>
          <w:sz w:val="18"/>
          <w:szCs w:val="18"/>
          <w:color w:val="auto"/>
        </w:rPr>
      </w:pPr>
    </w:p>
    <w:p>
      <w:pPr>
        <w:ind w:left="-20" w:right="20" w:firstLine="436"/>
        <w:spacing w:after="0" w:line="285" w:lineRule="auto"/>
        <w:tabs>
          <w:tab w:leader="none" w:pos="665" w:val="left"/>
        </w:tabs>
        <w:numPr>
          <w:ilvl w:val="0"/>
          <w:numId w:val="174"/>
        </w:numPr>
        <w:rPr>
          <w:rFonts w:ascii="Arial" w:cs="Arial" w:eastAsia="Arial" w:hAnsi="Arial"/>
          <w:sz w:val="16"/>
          <w:szCs w:val="16"/>
          <w:color w:val="auto"/>
        </w:rPr>
      </w:pPr>
      <w:r>
        <w:rPr>
          <w:rFonts w:ascii="Arial" w:cs="Arial" w:eastAsia="Arial" w:hAnsi="Arial"/>
          <w:sz w:val="16"/>
          <w:szCs w:val="16"/>
          <w:color w:val="auto"/>
        </w:rPr>
        <w:t xml:space="preserve">Subject to the remainder of this Section 3.4(c), (i) Sanofi may subcontract to Third Parties the performance of Sanofi’s tasks and obligations with respect to the Research, Development, Manufacture and Commercialization of any Product as Sanofi deems appropriate (ii) RevMed may subcontract to the Permitted Contractors or Researchers listed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of the Correspondence as of the Effective Date the performance of RevMed’s tasks and obligations with respect to the Research, Development, Manufacture and Commercialization of any Product, and (iii) RevMed shall not, without the prior written approval of Sanofi, otherwise subcontract to Third Parties the performance of RevMed’s tasks and obligations with respect to the Research, Development, Manufacture and Commercialization of any Product. If Sanofi approves a Third Party subcontractor of RevMed following the Effective Date, or such Third Party is named in the Research Plan or the Development Plan, then RevMed, unless otherwise explicitly waived by the Sanofi Alliance Manager, shall enter into a written agreement with such Third Party substantially in a form approved by Sanofi and such Third Party shall be deemed a Permitted Subcontractor or Researcher under this Agreement. Each Party shall remain liable for any action or failure to act by its Affiliates, Sublicensees or subcontractors to whom such Party’s obligations under this Agreement have been delegated, subcontracted or sublicensed and which action or failure to act would constitute a breach of this Agreement if such action or failure to act were committed by such Party. Such Party shall require that such Affiliates, Sublicensees and subcontractors agree in writing to comply with the applicable terms and conditions of this Agreement. Without limiting the foregoing, if a Party first engages a subcontractor after the Effective Date to perform any activities assigned to it under this Agreement, such Party shall require that such subcontractor be bound by written obligations of confidentiality and non-use consistent with this Agreement and shall have agreed to assign to the Party engaging such subcontractor (or, if an assignment cannot be made, grant an irrevocable, perpetual, fully-paid, exclusive, royalty-free, worldwide license to such Party, with the right to sublicense through multiple tiers, to Research, Develop, Manufacture, Commercialize and otherwise exploit SHP2 Inhibitors and Products) under all Program Inventions made by such subcontractor in the course of performing such subcontracted work that relate to any Products or their use, manufacture or sale.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60" w:top="270" w:right="459" w:bottom="1440" w:gutter="0" w:footer="0" w:header="0"/>
        </w:sectPr>
      </w:pPr>
    </w:p>
    <w:bookmarkStart w:id="317" w:name="page318"/>
    <w:bookmarkEnd w:id="317"/>
    <w:p>
      <w:pPr>
        <w:ind w:left="4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3.5 SHP1-SHP2 Dual Inhibitors</w:t>
      </w:r>
      <w:r>
        <w:rPr>
          <w:rFonts w:ascii="Arial" w:cs="Arial" w:eastAsia="Arial" w:hAnsi="Arial"/>
          <w:sz w:val="18"/>
          <w:szCs w:val="18"/>
          <w:color w:val="auto"/>
        </w:rPr>
        <w:t>.</w:t>
      </w:r>
    </w:p>
    <w:p>
      <w:pPr>
        <w:spacing w:after="0" w:line="121" w:lineRule="exact"/>
        <w:rPr>
          <w:sz w:val="20"/>
          <w:szCs w:val="20"/>
          <w:color w:val="auto"/>
        </w:rPr>
      </w:pPr>
    </w:p>
    <w:p>
      <w:pPr>
        <w:ind w:left="4" w:right="220" w:firstLine="436"/>
        <w:spacing w:after="0" w:line="286" w:lineRule="auto"/>
        <w:tabs>
          <w:tab w:leader="none" w:pos="689" w:val="left"/>
        </w:tabs>
        <w:numPr>
          <w:ilvl w:val="1"/>
          <w:numId w:val="175"/>
        </w:numPr>
        <w:rPr>
          <w:rFonts w:ascii="Arial" w:cs="Arial" w:eastAsia="Arial" w:hAnsi="Arial"/>
          <w:sz w:val="17"/>
          <w:szCs w:val="17"/>
          <w:color w:val="auto"/>
        </w:rPr>
      </w:pPr>
      <w:r>
        <w:rPr>
          <w:rFonts w:ascii="Arial" w:cs="Arial" w:eastAsia="Arial" w:hAnsi="Arial"/>
          <w:sz w:val="17"/>
          <w:szCs w:val="17"/>
          <w:color w:val="auto"/>
        </w:rPr>
        <w:t>Except pursuant to or as expressly permitted by this Agreement, RevMed shall not, shall cause its Affiliates not to, conduct or agree to conduct, outside of the Collaboration, on its own or together with one or more Third Parties, the Research, Development or Commercialization of any product that contains a SHP2 Inhibitor, including any SHP1-SHP2 Dual Inhibitor that [***]. For purposes of this Section, [***].</w:t>
      </w:r>
    </w:p>
    <w:p>
      <w:pPr>
        <w:spacing w:after="0" w:line="161" w:lineRule="exact"/>
        <w:rPr>
          <w:rFonts w:ascii="Arial" w:cs="Arial" w:eastAsia="Arial" w:hAnsi="Arial"/>
          <w:sz w:val="17"/>
          <w:szCs w:val="17"/>
          <w:color w:val="auto"/>
        </w:rPr>
      </w:pPr>
    </w:p>
    <w:p>
      <w:pPr>
        <w:ind w:left="4" w:right="100" w:firstLine="436"/>
        <w:spacing w:after="0" w:line="284" w:lineRule="auto"/>
        <w:tabs>
          <w:tab w:leader="none" w:pos="699" w:val="left"/>
        </w:tabs>
        <w:numPr>
          <w:ilvl w:val="1"/>
          <w:numId w:val="175"/>
        </w:numPr>
        <w:rPr>
          <w:rFonts w:ascii="Arial" w:cs="Arial" w:eastAsia="Arial" w:hAnsi="Arial"/>
          <w:sz w:val="16"/>
          <w:szCs w:val="16"/>
          <w:color w:val="auto"/>
        </w:rPr>
      </w:pPr>
      <w:r>
        <w:rPr>
          <w:rFonts w:ascii="Arial" w:cs="Arial" w:eastAsia="Arial" w:hAnsi="Arial"/>
          <w:sz w:val="16"/>
          <w:szCs w:val="16"/>
          <w:color w:val="auto"/>
        </w:rPr>
        <w:t>If [***] (such determination, the “</w:t>
      </w:r>
      <w:r>
        <w:rPr>
          <w:rFonts w:ascii="Arial" w:cs="Arial" w:eastAsia="Arial" w:hAnsi="Arial"/>
          <w:sz w:val="16"/>
          <w:szCs w:val="16"/>
          <w:b w:val="1"/>
          <w:bCs w:val="1"/>
          <w:color w:val="auto"/>
        </w:rPr>
        <w:t>SHP1-SHP2 Dual Inhibitor Licensing Decision</w:t>
      </w:r>
      <w:r>
        <w:rPr>
          <w:rFonts w:ascii="Arial" w:cs="Arial" w:eastAsia="Arial" w:hAnsi="Arial"/>
          <w:sz w:val="16"/>
          <w:szCs w:val="16"/>
          <w:color w:val="auto"/>
        </w:rPr>
        <w:t>” and such Third Party’s rights, the “</w:t>
      </w:r>
      <w:r>
        <w:rPr>
          <w:rFonts w:ascii="Arial" w:cs="Arial" w:eastAsia="Arial" w:hAnsi="Arial"/>
          <w:sz w:val="16"/>
          <w:szCs w:val="16"/>
          <w:b w:val="1"/>
          <w:bCs w:val="1"/>
          <w:color w:val="auto"/>
        </w:rPr>
        <w:t>SHP1-SHP2 Dual</w:t>
      </w:r>
      <w:r>
        <w:rPr>
          <w:rFonts w:ascii="Arial" w:cs="Arial" w:eastAsia="Arial" w:hAnsi="Arial"/>
          <w:sz w:val="16"/>
          <w:szCs w:val="16"/>
          <w:color w:val="auto"/>
        </w:rPr>
        <w:t xml:space="preserve"> </w:t>
      </w:r>
      <w:r>
        <w:rPr>
          <w:rFonts w:ascii="Arial" w:cs="Arial" w:eastAsia="Arial" w:hAnsi="Arial"/>
          <w:sz w:val="16"/>
          <w:szCs w:val="16"/>
          <w:b w:val="1"/>
          <w:bCs w:val="1"/>
          <w:color w:val="auto"/>
        </w:rPr>
        <w:t>Inhibitor License Rights</w:t>
      </w:r>
      <w:r>
        <w:rPr>
          <w:rFonts w:ascii="Arial" w:cs="Arial" w:eastAsia="Arial" w:hAnsi="Arial"/>
          <w:sz w:val="16"/>
          <w:szCs w:val="16"/>
          <w:color w:val="auto"/>
        </w:rPr>
        <w:t>”), then prior to commencing any negotiations with any Third Party with regard to any SHP1-SHP2 Dual Inhibitor License</w:t>
      </w:r>
      <w:r>
        <w:rPr>
          <w:rFonts w:ascii="Arial" w:cs="Arial" w:eastAsia="Arial" w:hAnsi="Arial"/>
          <w:sz w:val="16"/>
          <w:szCs w:val="16"/>
          <w:b w:val="1"/>
          <w:bCs w:val="1"/>
          <w:color w:val="auto"/>
        </w:rPr>
        <w:t xml:space="preserve"> </w:t>
      </w:r>
      <w:r>
        <w:rPr>
          <w:rFonts w:ascii="Arial" w:cs="Arial" w:eastAsia="Arial" w:hAnsi="Arial"/>
          <w:sz w:val="16"/>
          <w:szCs w:val="16"/>
          <w:color w:val="auto"/>
        </w:rPr>
        <w:t>Rights, RevMed shall promptly notify Sanofi in writing of such SHP1-SHP2 Dual Inhibitor Licensing Decision and provide to Sanofi a detailed summary of the data then in RevMed’s Control regarding the relevant SHP1-SHP2 Dual Inhibitor. Sanofi shall notify RevMed in writing (a “</w:t>
      </w:r>
      <w:r>
        <w:rPr>
          <w:rFonts w:ascii="Arial" w:cs="Arial" w:eastAsia="Arial" w:hAnsi="Arial"/>
          <w:sz w:val="16"/>
          <w:szCs w:val="16"/>
          <w:b w:val="1"/>
          <w:bCs w:val="1"/>
          <w:color w:val="auto"/>
        </w:rPr>
        <w:t>Notice of</w:t>
      </w:r>
      <w:r>
        <w:rPr>
          <w:rFonts w:ascii="Arial" w:cs="Arial" w:eastAsia="Arial" w:hAnsi="Arial"/>
          <w:sz w:val="16"/>
          <w:szCs w:val="16"/>
          <w:color w:val="auto"/>
        </w:rPr>
        <w:t xml:space="preserve"> </w:t>
      </w:r>
      <w:r>
        <w:rPr>
          <w:rFonts w:ascii="Arial" w:cs="Arial" w:eastAsia="Arial" w:hAnsi="Arial"/>
          <w:sz w:val="16"/>
          <w:szCs w:val="16"/>
          <w:b w:val="1"/>
          <w:bCs w:val="1"/>
          <w:color w:val="auto"/>
        </w:rPr>
        <w:t>Interest</w:t>
      </w:r>
      <w:r>
        <w:rPr>
          <w:rFonts w:ascii="Arial" w:cs="Arial" w:eastAsia="Arial" w:hAnsi="Arial"/>
          <w:sz w:val="16"/>
          <w:szCs w:val="16"/>
          <w:color w:val="auto"/>
        </w:rPr>
        <w:t>”), within [***] after Sanofi’s receipt of such notice, if Sanofi desires to enter into negotiations with RevMed of the terms under which Sanofi</w:t>
      </w:r>
      <w:r>
        <w:rPr>
          <w:rFonts w:ascii="Arial" w:cs="Arial" w:eastAsia="Arial" w:hAnsi="Arial"/>
          <w:sz w:val="16"/>
          <w:szCs w:val="16"/>
          <w:b w:val="1"/>
          <w:bCs w:val="1"/>
          <w:color w:val="auto"/>
        </w:rPr>
        <w:t xml:space="preserve"> </w:t>
      </w:r>
      <w:r>
        <w:rPr>
          <w:rFonts w:ascii="Arial" w:cs="Arial" w:eastAsia="Arial" w:hAnsi="Arial"/>
          <w:sz w:val="16"/>
          <w:szCs w:val="16"/>
          <w:color w:val="auto"/>
        </w:rPr>
        <w:t>would obtain SHP1-SHP2 Dual Inhibitor License Rights. If Sanofi provides a Notice of Interest to RevMed within [***], then (i) RevMed shall, upon request of Sanofi, provide Sanofi with reasonable access to all other then-existing Know-How in RevMed’s Control that exists in either paper or electronic form and pertains to the relevant SHP1-SHP2 Dual Inhibitor and (ii) the Parties shall negotiate exclusively in good faith and on a commercially reasonable basis the terms of a definitive agreement under which Sanofi would be granted SHP1-SHP2 Dual Inhibitor License Rights for</w:t>
      </w:r>
    </w:p>
    <w:p>
      <w:pPr>
        <w:spacing w:after="0" w:line="2" w:lineRule="exact"/>
        <w:rPr>
          <w:rFonts w:ascii="Arial" w:cs="Arial" w:eastAsia="Arial" w:hAnsi="Arial"/>
          <w:sz w:val="16"/>
          <w:szCs w:val="16"/>
          <w:color w:val="auto"/>
        </w:rPr>
      </w:pPr>
    </w:p>
    <w:p>
      <w:pPr>
        <w:ind w:left="4" w:hanging="4"/>
        <w:spacing w:after="0" w:line="268" w:lineRule="auto"/>
        <w:tabs>
          <w:tab w:leader="none" w:pos="439" w:val="left"/>
        </w:tabs>
        <w:numPr>
          <w:ilvl w:val="0"/>
          <w:numId w:val="175"/>
        </w:numPr>
        <w:rPr>
          <w:rFonts w:ascii="Arial" w:cs="Arial" w:eastAsia="Arial" w:hAnsi="Arial"/>
          <w:sz w:val="17"/>
          <w:szCs w:val="17"/>
          <w:color w:val="auto"/>
        </w:rPr>
      </w:pPr>
      <w:r>
        <w:rPr>
          <w:rFonts w:ascii="Arial" w:cs="Arial" w:eastAsia="Arial" w:hAnsi="Arial"/>
          <w:sz w:val="17"/>
          <w:szCs w:val="17"/>
          <w:color w:val="auto"/>
        </w:rPr>
        <w:t>after RevMed receives such Notice of Interest (such period, the “</w:t>
      </w:r>
      <w:r>
        <w:rPr>
          <w:rFonts w:ascii="Arial" w:cs="Arial" w:eastAsia="Arial" w:hAnsi="Arial"/>
          <w:sz w:val="17"/>
          <w:szCs w:val="17"/>
          <w:b w:val="1"/>
          <w:bCs w:val="1"/>
          <w:color w:val="auto"/>
        </w:rPr>
        <w:t>SHP1-SHP2 Dual Inhibitor Licensing Negotiation Period</w:t>
      </w:r>
      <w:r>
        <w:rPr>
          <w:rFonts w:ascii="Arial" w:cs="Arial" w:eastAsia="Arial" w:hAnsi="Arial"/>
          <w:sz w:val="17"/>
          <w:szCs w:val="17"/>
          <w:color w:val="auto"/>
        </w:rPr>
        <w:t>”). If Sanofi provides such Notice of Interest during [***], then RevMed shall not negotiate with any Third Party the terms under which such Third Party would obtain any development or commercialization rights with respect to a SHP1-SHP2 Dual Inhibitor during the SHP1-SHP2 Dual Inhibitor Licensing Negotiation Period. If (x) Sanofi does not provide a Notice of Interest within [***] or (y) Sanofi does provide a Notice of Interest within [***] but Parties have not entered into an agreement under which Sanofi is granted SHP1-SHP2 Dual Inhibitor License Rights prior to the expiration of the SHP1-SHP2 Dual Inhibitor Licensing Negotiation Period, then RevMed shall have no further obligations to Sanofi with respect to such SHP1-SHP2 Dual Inhibitor Products, and RevMed shall have the right to enter into negotiations and execute an agreement with a Third Party under which such Third Party is granted the SHP1-SHP2 Dual Inhibitor License Rights [***]. For clarity, the Parties’ rights and obligations under this Section 3.5(b) shall apply one time only, upon the occurrence of the first SHP1-SHP2 Dual Inhibitor Licensing Decision.</w:t>
      </w:r>
    </w:p>
    <w:p>
      <w:pPr>
        <w:spacing w:after="0" w:line="177" w:lineRule="exact"/>
        <w:rPr>
          <w:sz w:val="20"/>
          <w:szCs w:val="20"/>
          <w:color w:val="auto"/>
        </w:rPr>
      </w:pPr>
    </w:p>
    <w:p>
      <w:pPr>
        <w:ind w:left="4" w:firstLine="440"/>
        <w:spacing w:after="0" w:line="303" w:lineRule="auto"/>
        <w:rPr>
          <w:sz w:val="20"/>
          <w:szCs w:val="20"/>
          <w:color w:val="auto"/>
        </w:rPr>
      </w:pPr>
      <w:r>
        <w:rPr>
          <w:rFonts w:ascii="Arial" w:cs="Arial" w:eastAsia="Arial" w:hAnsi="Arial"/>
          <w:sz w:val="16"/>
          <w:szCs w:val="16"/>
          <w:b w:val="1"/>
          <w:bCs w:val="1"/>
          <w:color w:val="auto"/>
        </w:rPr>
        <w:t>3.6 No Implied Licenses</w:t>
      </w:r>
      <w:r>
        <w:rPr>
          <w:rFonts w:ascii="Arial" w:cs="Arial" w:eastAsia="Arial" w:hAnsi="Arial"/>
          <w:sz w:val="16"/>
          <w:szCs w:val="16"/>
          <w:color w:val="auto"/>
        </w:rPr>
        <w:t>. Except as expressly set forth herein, neither Party shall acquire any license or other intellectual property interest, by</w:t>
      </w:r>
      <w:r>
        <w:rPr>
          <w:rFonts w:ascii="Arial" w:cs="Arial" w:eastAsia="Arial" w:hAnsi="Arial"/>
          <w:sz w:val="16"/>
          <w:szCs w:val="16"/>
          <w:b w:val="1"/>
          <w:bCs w:val="1"/>
          <w:color w:val="auto"/>
        </w:rPr>
        <w:t xml:space="preserve"> </w:t>
      </w:r>
      <w:r>
        <w:rPr>
          <w:rFonts w:ascii="Arial" w:cs="Arial" w:eastAsia="Arial" w:hAnsi="Arial"/>
          <w:sz w:val="16"/>
          <w:szCs w:val="16"/>
          <w:color w:val="auto"/>
        </w:rPr>
        <w:t>implication or otherwise, under or to any trademarks, Patents, Know-How, or other intellectual property rights Controlled by the other Party. For clarity, any exclusive license granted to each Party under any particular Patent Rights or Know-How Controlled by the other Party shall confer exclusivity to the Party obtaining such license only to the extent the Party granting such license Controls the exclusive rights to such Patent Rights or Know-How.</w:t>
      </w:r>
    </w:p>
    <w:p>
      <w:pPr>
        <w:spacing w:after="0" w:line="8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4"/>
          </w:cols>
          <w:pgMar w:left="436" w:top="270" w:right="459" w:bottom="1440" w:gutter="0" w:footer="0" w:header="0"/>
        </w:sectPr>
      </w:pPr>
    </w:p>
    <w:bookmarkStart w:id="318" w:name="page319"/>
    <w:bookmarkEnd w:id="318"/>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3.7 Technology Transfers</w:t>
      </w:r>
      <w:r>
        <w:rPr>
          <w:rFonts w:ascii="Arial" w:cs="Arial" w:eastAsia="Arial" w:hAnsi="Arial"/>
          <w:sz w:val="18"/>
          <w:szCs w:val="18"/>
          <w:color w:val="auto"/>
        </w:rPr>
        <w:t>.</w:t>
      </w:r>
    </w:p>
    <w:p>
      <w:pPr>
        <w:spacing w:after="0" w:line="225" w:lineRule="exact"/>
        <w:rPr>
          <w:sz w:val="20"/>
          <w:szCs w:val="20"/>
          <w:color w:val="auto"/>
        </w:rPr>
      </w:pPr>
    </w:p>
    <w:p>
      <w:pPr>
        <w:ind w:right="200" w:firstLine="436"/>
        <w:spacing w:after="0" w:line="256" w:lineRule="auto"/>
        <w:tabs>
          <w:tab w:leader="none" w:pos="685" w:val="left"/>
        </w:tabs>
        <w:numPr>
          <w:ilvl w:val="0"/>
          <w:numId w:val="176"/>
        </w:numPr>
        <w:rPr>
          <w:rFonts w:ascii="Arial" w:cs="Arial" w:eastAsia="Arial" w:hAnsi="Arial"/>
          <w:sz w:val="18"/>
          <w:szCs w:val="18"/>
          <w:color w:val="auto"/>
        </w:rPr>
      </w:pPr>
      <w:r>
        <w:rPr>
          <w:rFonts w:ascii="Arial" w:cs="Arial" w:eastAsia="Arial" w:hAnsi="Arial"/>
          <w:sz w:val="18"/>
          <w:szCs w:val="18"/>
          <w:b w:val="1"/>
          <w:bCs w:val="1"/>
          <w:color w:val="auto"/>
        </w:rPr>
        <w:t>Initial</w:t>
      </w:r>
      <w:r>
        <w:rPr>
          <w:rFonts w:ascii="Arial" w:cs="Arial" w:eastAsia="Arial" w:hAnsi="Arial"/>
          <w:sz w:val="18"/>
          <w:szCs w:val="18"/>
          <w:color w:val="auto"/>
        </w:rPr>
        <w:t>. As of the Effective Date RevMed shall have included in the electronic dataroom for this Agreement: (i) all Know-How in its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that is necessary or useful to the Research, Development, Manufacture, Commercialization or other exploitation of the Development Candidate on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of the Correspondence that currently exists in either paper or electronic form (the “</w:t>
      </w:r>
      <w:r>
        <w:rPr>
          <w:rFonts w:ascii="Arial" w:cs="Arial" w:eastAsia="Arial" w:hAnsi="Arial"/>
          <w:sz w:val="18"/>
          <w:szCs w:val="18"/>
          <w:b w:val="1"/>
          <w:bCs w:val="1"/>
          <w:color w:val="auto"/>
        </w:rPr>
        <w:t>Initial Know-How</w:t>
      </w:r>
      <w:r>
        <w:rPr>
          <w:rFonts w:ascii="Arial" w:cs="Arial" w:eastAsia="Arial" w:hAnsi="Arial"/>
          <w:sz w:val="18"/>
          <w:szCs w:val="18"/>
          <w:color w:val="auto"/>
        </w:rPr>
        <w:t>”) and (ii) a complete, accurate and detailed index of all other SHP2 Inhibitors which RevMed, as of the Effective Date, has made or had made and all related Know-How in RevMed’s Control, which consists of the data regarding the structure and biochemical and other characteristics of such SHP2 Inhibitors that currently exists in RevMed’s database(s) (the “</w:t>
      </w:r>
      <w:r>
        <w:rPr>
          <w:rFonts w:ascii="Arial" w:cs="Arial" w:eastAsia="Arial" w:hAnsi="Arial"/>
          <w:sz w:val="18"/>
          <w:szCs w:val="18"/>
          <w:b w:val="1"/>
          <w:bCs w:val="1"/>
          <w:color w:val="auto"/>
        </w:rPr>
        <w:t>Index</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right="200" w:firstLine="436"/>
        <w:spacing w:after="0" w:line="261" w:lineRule="auto"/>
        <w:tabs>
          <w:tab w:leader="none" w:pos="695" w:val="left"/>
        </w:tabs>
        <w:numPr>
          <w:ilvl w:val="0"/>
          <w:numId w:val="176"/>
        </w:numPr>
        <w:rPr>
          <w:rFonts w:ascii="Arial" w:cs="Arial" w:eastAsia="Arial" w:hAnsi="Arial"/>
          <w:sz w:val="18"/>
          <w:szCs w:val="18"/>
          <w:color w:val="auto"/>
        </w:rPr>
      </w:pPr>
      <w:r>
        <w:rPr>
          <w:rFonts w:ascii="Arial" w:cs="Arial" w:eastAsia="Arial" w:hAnsi="Arial"/>
          <w:sz w:val="18"/>
          <w:szCs w:val="18"/>
          <w:b w:val="1"/>
          <w:bCs w:val="1"/>
          <w:color w:val="auto"/>
        </w:rPr>
        <w:t>Ongoing</w:t>
      </w:r>
      <w:r>
        <w:rPr>
          <w:rFonts w:ascii="Arial" w:cs="Arial" w:eastAsia="Arial" w:hAnsi="Arial"/>
          <w:sz w:val="18"/>
          <w:szCs w:val="18"/>
          <w:color w:val="auto"/>
        </w:rPr>
        <w:t>. Following the Effective Date, RevMed shall disclose to the JRDC on a [***] basis all RevMed Licensed Know-How created,</w:t>
      </w:r>
      <w:r>
        <w:rPr>
          <w:rFonts w:ascii="Arial" w:cs="Arial" w:eastAsia="Arial" w:hAnsi="Arial"/>
          <w:sz w:val="18"/>
          <w:szCs w:val="18"/>
          <w:b w:val="1"/>
          <w:bCs w:val="1"/>
          <w:color w:val="auto"/>
        </w:rPr>
        <w:t xml:space="preserve"> </w:t>
      </w:r>
      <w:r>
        <w:rPr>
          <w:rFonts w:ascii="Arial" w:cs="Arial" w:eastAsia="Arial" w:hAnsi="Arial"/>
          <w:sz w:val="18"/>
          <w:szCs w:val="18"/>
          <w:color w:val="auto"/>
        </w:rPr>
        <w:t>generated, invented or developed by or on behalf of RevMed under the Collaboration. In addition, upon Sanofi’s reasonable written request, RevMed shall deliver to Sanofi updates to the Index, and related RevMed Licensed Know-How, including the data regarding the structure and biochemical and other characteristics of such SHP2 Inhibitors that then exists in RevMed’s database(s).</w:t>
      </w:r>
    </w:p>
    <w:p>
      <w:pPr>
        <w:spacing w:after="0" w:line="179" w:lineRule="exact"/>
        <w:rPr>
          <w:rFonts w:ascii="Arial" w:cs="Arial" w:eastAsia="Arial" w:hAnsi="Arial"/>
          <w:sz w:val="18"/>
          <w:szCs w:val="18"/>
          <w:color w:val="auto"/>
        </w:rPr>
      </w:pPr>
    </w:p>
    <w:p>
      <w:pPr>
        <w:jc w:val="both"/>
        <w:ind w:right="360" w:firstLine="436"/>
        <w:spacing w:after="0" w:line="266" w:lineRule="auto"/>
        <w:tabs>
          <w:tab w:leader="none" w:pos="685" w:val="left"/>
        </w:tabs>
        <w:numPr>
          <w:ilvl w:val="0"/>
          <w:numId w:val="176"/>
        </w:numPr>
        <w:rPr>
          <w:rFonts w:ascii="Arial" w:cs="Arial" w:eastAsia="Arial" w:hAnsi="Arial"/>
          <w:sz w:val="18"/>
          <w:szCs w:val="18"/>
          <w:color w:val="auto"/>
        </w:rPr>
      </w:pPr>
      <w:r>
        <w:rPr>
          <w:rFonts w:ascii="Arial" w:cs="Arial" w:eastAsia="Arial" w:hAnsi="Arial"/>
          <w:sz w:val="18"/>
          <w:szCs w:val="18"/>
          <w:b w:val="1"/>
          <w:bCs w:val="1"/>
          <w:color w:val="auto"/>
        </w:rPr>
        <w:t>Breach of Section 3.7(a) or 3.7(b) by RevMed</w:t>
      </w:r>
      <w:r>
        <w:rPr>
          <w:rFonts w:ascii="Arial" w:cs="Arial" w:eastAsia="Arial" w:hAnsi="Arial"/>
          <w:sz w:val="18"/>
          <w:szCs w:val="18"/>
          <w:color w:val="auto"/>
        </w:rPr>
        <w:t>. Notwithstanding anything to the contrary in Section 12.2(b), in the event Sanofi believes</w:t>
      </w:r>
      <w:r>
        <w:rPr>
          <w:rFonts w:ascii="Arial" w:cs="Arial" w:eastAsia="Arial" w:hAnsi="Arial"/>
          <w:sz w:val="18"/>
          <w:szCs w:val="18"/>
          <w:b w:val="1"/>
          <w:bCs w:val="1"/>
          <w:color w:val="auto"/>
        </w:rPr>
        <w:t xml:space="preserve"> </w:t>
      </w:r>
      <w:r>
        <w:rPr>
          <w:rFonts w:ascii="Arial" w:cs="Arial" w:eastAsia="Arial" w:hAnsi="Arial"/>
          <w:sz w:val="18"/>
          <w:szCs w:val="18"/>
          <w:color w:val="auto"/>
        </w:rPr>
        <w:t>RevMed has materially breached Section 3.7(a) or 3.7(b), Sanofi shall so notify RevMed in writing. RevMed may, within [***] following receipt of such notice from Sanofi, request that [***].</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3.8 Government Approvals.</w:t>
      </w:r>
    </w:p>
    <w:p>
      <w:pPr>
        <w:spacing w:after="0" w:line="225" w:lineRule="exact"/>
        <w:rPr>
          <w:sz w:val="20"/>
          <w:szCs w:val="20"/>
          <w:color w:val="auto"/>
        </w:rPr>
      </w:pPr>
    </w:p>
    <w:p>
      <w:pPr>
        <w:ind w:firstLine="436"/>
        <w:spacing w:after="0" w:line="270" w:lineRule="auto"/>
        <w:tabs>
          <w:tab w:leader="none" w:pos="685" w:val="left"/>
        </w:tabs>
        <w:numPr>
          <w:ilvl w:val="0"/>
          <w:numId w:val="177"/>
        </w:numPr>
        <w:rPr>
          <w:rFonts w:ascii="Arial" w:cs="Arial" w:eastAsia="Arial" w:hAnsi="Arial"/>
          <w:sz w:val="17"/>
          <w:szCs w:val="17"/>
          <w:color w:val="auto"/>
        </w:rPr>
      </w:pPr>
      <w:r>
        <w:rPr>
          <w:rFonts w:ascii="Arial" w:cs="Arial" w:eastAsia="Arial" w:hAnsi="Arial"/>
          <w:sz w:val="17"/>
          <w:szCs w:val="17"/>
          <w:b w:val="1"/>
          <w:bCs w:val="1"/>
          <w:color w:val="auto"/>
        </w:rPr>
        <w:t>Efforts</w:t>
      </w:r>
      <w:r>
        <w:rPr>
          <w:rFonts w:ascii="Arial" w:cs="Arial" w:eastAsia="Arial" w:hAnsi="Arial"/>
          <w:sz w:val="17"/>
          <w:szCs w:val="17"/>
          <w:color w:val="auto"/>
        </w:rPr>
        <w:t>. Each of RevMed and Sanofi will use its commercially reasonable good faith efforts to remove promptly any and all impediments to</w:t>
      </w:r>
      <w:r>
        <w:rPr>
          <w:rFonts w:ascii="Arial" w:cs="Arial" w:eastAsia="Arial" w:hAnsi="Arial"/>
          <w:sz w:val="17"/>
          <w:szCs w:val="17"/>
          <w:b w:val="1"/>
          <w:bCs w:val="1"/>
          <w:color w:val="auto"/>
        </w:rPr>
        <w:t xml:space="preserve"> </w:t>
      </w:r>
      <w:r>
        <w:rPr>
          <w:rFonts w:ascii="Arial" w:cs="Arial" w:eastAsia="Arial" w:hAnsi="Arial"/>
          <w:sz w:val="17"/>
          <w:szCs w:val="17"/>
          <w:color w:val="auto"/>
        </w:rPr>
        <w:t>consummation of the transaction contemplated by this Agreement, including obtaining government antitrust clearance, cooperating in good faith with any Governmental Authority investigation, promptly producing any documents and information and providing witness testimony if requested by a Governmental Authority. Notwithstanding anything to the contrary in this Agreement, this Section 3.8 and the term “commercially reasonable good faith efforts” do not require that either Party (i) offer, negotiate, commit to or effect, by consent decree, hold separate order, trust or otherwise, the sale, divestiture, license or other disposition of any capital stock, assets, rights, products or businesses of RevMed or Sanofi or its Affiliates, (ii) agree to any restrictions on the businesses of RevMed or Sanofi or its Affiliates, or (iii) pay any amount or take any other action to prevent, effect the dissolution of, vacate, or lift any decree, order, judgment, injunction, temporary restraining order, or other order in any suit or proceeding that would otherwise have the effect of preventing or delaying the transaction contemplated by this Agreement (collectively, an “</w:t>
      </w:r>
      <w:r>
        <w:rPr>
          <w:rFonts w:ascii="Arial" w:cs="Arial" w:eastAsia="Arial" w:hAnsi="Arial"/>
          <w:sz w:val="17"/>
          <w:szCs w:val="17"/>
          <w:b w:val="1"/>
          <w:bCs w:val="1"/>
          <w:color w:val="auto"/>
        </w:rPr>
        <w:t>Antitrust Remedy</w:t>
      </w:r>
      <w:r>
        <w:rPr>
          <w:rFonts w:ascii="Arial" w:cs="Arial" w:eastAsia="Arial" w:hAnsi="Arial"/>
          <w:sz w:val="17"/>
          <w:szCs w:val="17"/>
          <w:color w:val="auto"/>
        </w:rPr>
        <w:t>”), where such Antitrust Remedy would represent a Material Adverse Event for RevMed or Sanofi.</w:t>
      </w:r>
    </w:p>
    <w:p>
      <w:pPr>
        <w:spacing w:after="0" w:line="176" w:lineRule="exact"/>
        <w:rPr>
          <w:rFonts w:ascii="Arial" w:cs="Arial" w:eastAsia="Arial" w:hAnsi="Arial"/>
          <w:sz w:val="17"/>
          <w:szCs w:val="17"/>
          <w:color w:val="auto"/>
        </w:rPr>
      </w:pPr>
    </w:p>
    <w:p>
      <w:pPr>
        <w:ind w:right="20" w:firstLine="987"/>
        <w:spacing w:after="0" w:line="261" w:lineRule="auto"/>
        <w:tabs>
          <w:tab w:leader="none" w:pos="1246" w:val="left"/>
        </w:tabs>
        <w:numPr>
          <w:ilvl w:val="1"/>
          <w:numId w:val="177"/>
        </w:numPr>
        <w:rPr>
          <w:rFonts w:ascii="Arial" w:cs="Arial" w:eastAsia="Arial" w:hAnsi="Arial"/>
          <w:sz w:val="18"/>
          <w:szCs w:val="18"/>
          <w:color w:val="auto"/>
        </w:rPr>
      </w:pPr>
      <w:r>
        <w:rPr>
          <w:rFonts w:ascii="Arial" w:cs="Arial" w:eastAsia="Arial" w:hAnsi="Arial"/>
          <w:sz w:val="18"/>
          <w:szCs w:val="18"/>
          <w:b w:val="1"/>
          <w:bCs w:val="1"/>
          <w:color w:val="auto"/>
        </w:rPr>
        <w:t>HSR/Antitrust Filings</w:t>
      </w:r>
      <w:r>
        <w:rPr>
          <w:rFonts w:ascii="Arial" w:cs="Arial" w:eastAsia="Arial" w:hAnsi="Arial"/>
          <w:sz w:val="18"/>
          <w:szCs w:val="18"/>
          <w:color w:val="auto"/>
        </w:rPr>
        <w:t>. Each of RevMed and Sanofi will, within [***] after the execution of the Agreement (or such later time as may</w:t>
      </w:r>
      <w:r>
        <w:rPr>
          <w:rFonts w:ascii="Arial" w:cs="Arial" w:eastAsia="Arial" w:hAnsi="Arial"/>
          <w:sz w:val="18"/>
          <w:szCs w:val="18"/>
          <w:b w:val="1"/>
          <w:bCs w:val="1"/>
          <w:color w:val="auto"/>
        </w:rPr>
        <w:t xml:space="preserve"> </w:t>
      </w:r>
      <w:r>
        <w:rPr>
          <w:rFonts w:ascii="Arial" w:cs="Arial" w:eastAsia="Arial" w:hAnsi="Arial"/>
          <w:sz w:val="18"/>
          <w:szCs w:val="18"/>
          <w:color w:val="auto"/>
        </w:rPr>
        <w:t>be agreed to in writing by the Parties) file with the U.S. Federal Trade Commission (“</w:t>
      </w:r>
      <w:r>
        <w:rPr>
          <w:rFonts w:ascii="Arial" w:cs="Arial" w:eastAsia="Arial" w:hAnsi="Arial"/>
          <w:sz w:val="18"/>
          <w:szCs w:val="18"/>
          <w:b w:val="1"/>
          <w:bCs w:val="1"/>
          <w:color w:val="auto"/>
        </w:rPr>
        <w:t>FTC</w:t>
      </w:r>
      <w:r>
        <w:rPr>
          <w:rFonts w:ascii="Arial" w:cs="Arial" w:eastAsia="Arial" w:hAnsi="Arial"/>
          <w:sz w:val="18"/>
          <w:szCs w:val="18"/>
          <w:color w:val="auto"/>
        </w:rPr>
        <w:t>”) and the Antitrust Division of the U.S. Department of Justice (“</w:t>
      </w:r>
      <w:r>
        <w:rPr>
          <w:rFonts w:ascii="Arial" w:cs="Arial" w:eastAsia="Arial" w:hAnsi="Arial"/>
          <w:sz w:val="18"/>
          <w:szCs w:val="18"/>
          <w:b w:val="1"/>
          <w:bCs w:val="1"/>
          <w:color w:val="auto"/>
        </w:rPr>
        <w:t>DOJ</w:t>
      </w:r>
      <w:r>
        <w:rPr>
          <w:rFonts w:ascii="Arial" w:cs="Arial" w:eastAsia="Arial" w:hAnsi="Arial"/>
          <w:sz w:val="18"/>
          <w:szCs w:val="18"/>
          <w:color w:val="auto"/>
        </w:rPr>
        <w:t>”) any HSR/Antitrust Filing required of it under the HSR Act and, as soon as practicable, file with the appropriate Governmental Authority any other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0" w:right="459" w:bottom="1440" w:gutter="0" w:footer="0" w:header="0"/>
        </w:sectPr>
      </w:pPr>
    </w:p>
    <w:bookmarkStart w:id="319" w:name="page320"/>
    <w:bookmarkEnd w:id="319"/>
    <w:p>
      <w:pPr>
        <w:ind w:left="4"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HSR/Antitrust Filing required of it under any other Antitrust Law as determined in the reasonable opinion of either Party with respect to the transactions contemplated by the Agreement and Ancillary Agreements. The Parties shall cooperate with one another to the extent necessary in the preparation of any such HSR/Antitrust Filing. Each Party shall be responsible for its own costs, expenses, and filing fees associated with any HSR/Antitrust Filing; provided, however, that Sanofi shall bear solely all fees (other than penalties that may be incurred as a result of actions or omissions on the part of a Party, which penalties shall be the sole financial responsibility of such Party), required to be paid to any Governmental Authority in connection with making any such HSR/Antitrust Filing. In the event that the Parties make an HSR/Antitrust Filing under this Section 3.8, this Agreement shall terminate</w:t>
      </w:r>
    </w:p>
    <w:p>
      <w:pPr>
        <w:spacing w:after="0" w:line="4" w:lineRule="exact"/>
        <w:rPr>
          <w:sz w:val="20"/>
          <w:szCs w:val="20"/>
          <w:color w:val="auto"/>
        </w:rPr>
      </w:pPr>
    </w:p>
    <w:p>
      <w:pPr>
        <w:ind w:left="4" w:hanging="4"/>
        <w:spacing w:after="0" w:line="284" w:lineRule="auto"/>
        <w:tabs>
          <w:tab w:leader="none" w:pos="219" w:val="left"/>
        </w:tabs>
        <w:numPr>
          <w:ilvl w:val="0"/>
          <w:numId w:val="178"/>
        </w:numPr>
        <w:rPr>
          <w:rFonts w:ascii="Arial" w:cs="Arial" w:eastAsia="Arial" w:hAnsi="Arial"/>
          <w:sz w:val="16"/>
          <w:szCs w:val="16"/>
          <w:color w:val="auto"/>
        </w:rPr>
      </w:pPr>
      <w:r>
        <w:rPr>
          <w:rFonts w:ascii="Arial" w:cs="Arial" w:eastAsia="Arial" w:hAnsi="Arial"/>
          <w:sz w:val="16"/>
          <w:szCs w:val="16"/>
          <w:color w:val="auto"/>
        </w:rPr>
        <w:t>at the election of either Party, immediately upon notice to the other Party, in the event that the FTC, DOJ or other Governmental Authority obtains a preliminary injunction or final order under Antitrust Law enjoining the transactions contemplated by the Agreement, or (ii) at the election of either Party, immediately upon notice to the other Party, in the event that the Antitrust Clearance Date shall not have occurred on or prior to [***] after the date upon which a HSR/Antitrust Filing has been submitted by each Party to a Governmental Authority in relation to the Agreement. Notwithstanding anything to the contrary contained herein, except for the terms and conditions of this Section 3.8, none of the terms and conditions contained in this Agreement shall be effective until the “</w:t>
      </w:r>
      <w:r>
        <w:rPr>
          <w:rFonts w:ascii="Arial" w:cs="Arial" w:eastAsia="Arial" w:hAnsi="Arial"/>
          <w:sz w:val="16"/>
          <w:szCs w:val="16"/>
          <w:b w:val="1"/>
          <w:bCs w:val="1"/>
          <w:color w:val="auto"/>
        </w:rPr>
        <w:t>Effective Date</w:t>
      </w:r>
      <w:r>
        <w:rPr>
          <w:rFonts w:ascii="Arial" w:cs="Arial" w:eastAsia="Arial" w:hAnsi="Arial"/>
          <w:sz w:val="16"/>
          <w:szCs w:val="16"/>
          <w:color w:val="auto"/>
        </w:rPr>
        <w:t>,” which is agreed and understood to mean, subject to the Closing Conditions having been fulfilled or waived in accordance with Section 13.6, the later of (A) if a determination is made pursuant to this Section 3.8 that an HSR/Antitrust Filing is not required to be made under any Antitrust Law for this Agreement, the date of such determination, or (B) if a determination is made pursuant to this Section 3.8 that an HSR/Antitrust Filing is required to be made under any Antitrust Law for this Agreement, the Antitrust Clearance Date. As used herein: (1) “</w:t>
      </w:r>
      <w:r>
        <w:rPr>
          <w:rFonts w:ascii="Arial" w:cs="Arial" w:eastAsia="Arial" w:hAnsi="Arial"/>
          <w:sz w:val="16"/>
          <w:szCs w:val="16"/>
          <w:b w:val="1"/>
          <w:bCs w:val="1"/>
          <w:color w:val="auto"/>
        </w:rPr>
        <w:t>Antitrust</w:t>
      </w:r>
      <w:r>
        <w:rPr>
          <w:rFonts w:ascii="Arial" w:cs="Arial" w:eastAsia="Arial" w:hAnsi="Arial"/>
          <w:sz w:val="16"/>
          <w:szCs w:val="16"/>
          <w:color w:val="auto"/>
        </w:rPr>
        <w:t xml:space="preserve"> </w:t>
      </w:r>
      <w:r>
        <w:rPr>
          <w:rFonts w:ascii="Arial" w:cs="Arial" w:eastAsia="Arial" w:hAnsi="Arial"/>
          <w:sz w:val="16"/>
          <w:szCs w:val="16"/>
          <w:b w:val="1"/>
          <w:bCs w:val="1"/>
          <w:color w:val="auto"/>
        </w:rPr>
        <w:t>Clearance Date</w:t>
      </w:r>
      <w:r>
        <w:rPr>
          <w:rFonts w:ascii="Arial" w:cs="Arial" w:eastAsia="Arial" w:hAnsi="Arial"/>
          <w:sz w:val="16"/>
          <w:szCs w:val="16"/>
          <w:color w:val="auto"/>
        </w:rPr>
        <w:t>” means the earliest date on which the Parties have actual knowledge that all applicable waiting periods under the HSR Act and any</w:t>
      </w:r>
      <w:r>
        <w:rPr>
          <w:rFonts w:ascii="Arial" w:cs="Arial" w:eastAsia="Arial" w:hAnsi="Arial"/>
          <w:sz w:val="16"/>
          <w:szCs w:val="16"/>
          <w:b w:val="1"/>
          <w:bCs w:val="1"/>
          <w:color w:val="auto"/>
        </w:rPr>
        <w:t xml:space="preserve"> </w:t>
      </w:r>
      <w:r>
        <w:rPr>
          <w:rFonts w:ascii="Arial" w:cs="Arial" w:eastAsia="Arial" w:hAnsi="Arial"/>
          <w:sz w:val="16"/>
          <w:szCs w:val="16"/>
          <w:color w:val="auto"/>
        </w:rPr>
        <w:t>comparable waiting periods as required under any other Antitrust Law, in each case with respect to the transaction contemplated by this Agreement have expired or have been terminated; and (2) “</w:t>
      </w:r>
      <w:r>
        <w:rPr>
          <w:rFonts w:ascii="Arial" w:cs="Arial" w:eastAsia="Arial" w:hAnsi="Arial"/>
          <w:sz w:val="16"/>
          <w:szCs w:val="16"/>
          <w:b w:val="1"/>
          <w:bCs w:val="1"/>
          <w:color w:val="auto"/>
        </w:rPr>
        <w:t>HSR/Antitrust Filing</w:t>
      </w:r>
      <w:r>
        <w:rPr>
          <w:rFonts w:ascii="Arial" w:cs="Arial" w:eastAsia="Arial" w:hAnsi="Arial"/>
          <w:sz w:val="16"/>
          <w:szCs w:val="16"/>
          <w:color w:val="auto"/>
        </w:rPr>
        <w:t>” means (x) a filing by RevMed and a filing by Sanofi with the FTC and the DOJ of a Notification and Report Form for Certain Mergers and Acquisitions (as that term is defined in the HSR Act), together with all required documentary attachments thereto or (y) any comparable filing by RevMed or Sanofi required under any other Antitrust Law, in each case ((x) and (y)) with respect to the transaction contemplated by this Agreement.</w:t>
      </w:r>
    </w:p>
    <w:p>
      <w:pPr>
        <w:spacing w:after="0" w:line="171" w:lineRule="exact"/>
        <w:rPr>
          <w:rFonts w:ascii="Arial" w:cs="Arial" w:eastAsia="Arial" w:hAnsi="Arial"/>
          <w:sz w:val="16"/>
          <w:szCs w:val="16"/>
          <w:color w:val="auto"/>
        </w:rPr>
      </w:pPr>
    </w:p>
    <w:p>
      <w:pPr>
        <w:ind w:left="4" w:right="20" w:firstLine="987"/>
        <w:spacing w:after="0" w:line="271" w:lineRule="auto"/>
        <w:tabs>
          <w:tab w:leader="none" w:pos="1240" w:val="left"/>
        </w:tabs>
        <w:numPr>
          <w:ilvl w:val="1"/>
          <w:numId w:val="178"/>
        </w:numPr>
        <w:rPr>
          <w:rFonts w:ascii="Arial" w:cs="Arial" w:eastAsia="Arial" w:hAnsi="Arial"/>
          <w:sz w:val="17"/>
          <w:szCs w:val="17"/>
          <w:color w:val="auto"/>
        </w:rPr>
      </w:pPr>
      <w:r>
        <w:rPr>
          <w:rFonts w:ascii="Arial" w:cs="Arial" w:eastAsia="Arial" w:hAnsi="Arial"/>
          <w:sz w:val="17"/>
          <w:szCs w:val="17"/>
          <w:b w:val="1"/>
          <w:bCs w:val="1"/>
          <w:color w:val="auto"/>
        </w:rPr>
        <w:t>Information Exchange</w:t>
      </w:r>
      <w:r>
        <w:rPr>
          <w:rFonts w:ascii="Arial" w:cs="Arial" w:eastAsia="Arial" w:hAnsi="Arial"/>
          <w:sz w:val="17"/>
          <w:szCs w:val="17"/>
          <w:color w:val="auto"/>
        </w:rPr>
        <w:t>. Each of RevMed and Sanofi will, in connection with any HSR/Antitrust Filing, (i) reasonably cooperate with</w:t>
      </w:r>
      <w:r>
        <w:rPr>
          <w:rFonts w:ascii="Arial" w:cs="Arial" w:eastAsia="Arial" w:hAnsi="Arial"/>
          <w:sz w:val="17"/>
          <w:szCs w:val="17"/>
          <w:b w:val="1"/>
          <w:bCs w:val="1"/>
          <w:color w:val="auto"/>
        </w:rPr>
        <w:t xml:space="preserve"> </w:t>
      </w:r>
      <w:r>
        <w:rPr>
          <w:rFonts w:ascii="Arial" w:cs="Arial" w:eastAsia="Arial" w:hAnsi="Arial"/>
          <w:sz w:val="17"/>
          <w:szCs w:val="17"/>
          <w:color w:val="auto"/>
        </w:rPr>
        <w:t>each other in connection with any communication, filing or submission and in connection with any investigation or other inquiry, including any proceeding initiated by a private party; (ii) keep the other Party and/or its counsel informed of any communication received by such Party from, or given by such Party to, the FTC, the DOJ or any other U.S. or other Governmental Authority and of any communication received or given in connection with any proceeding by a private party, in each case regarding the transaction contemplated by this Agreement; (iii) consult with each other in advance of any meeting or conference with the FTC, the DOJ or any other Governmental Authority or, in connection with any proceeding by a private party, with any other Person, and to the extent permitted by the FTC, the DOJ or such other Governmental Authority or other Person, give the Parties and/or their counsel the opportunity to attend and participate in such meetings and conferences; and (iv) to the extent practicable, permit the other Party and/or its counsel to review in advance any submission, filing or communication (and documents submitted therewith)</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4"/>
          </w:cols>
          <w:pgMar w:left="436" w:top="274" w:right="459" w:bottom="1440" w:gutter="0" w:footer="0" w:header="0"/>
        </w:sectPr>
      </w:pPr>
    </w:p>
    <w:bookmarkStart w:id="320" w:name="page321"/>
    <w:bookmarkEnd w:id="320"/>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intended to be given by it to the FTC, the DOJ or any other Governmental Authority; provided, that materials may be redacted to remove references concerning the valuation of the business of the disclosing Party or other sensitive information in the judgment of such disclosing Party. RevMed and Sanofi, as each deems advisable and necessary, may reasonably designate any competitively sensitive material to be provided to the other under this Section 3.8 as “Antitrust Counsel Only Material.” Such materials and the information contained therein shall be given only to the outside antitrust counsel of the recipient and will not be disclosed by such outside counsel to employees, officers or directors of the recipient unless express permission is obtained in advance from the source of the materials (RevMed or Sanofi, as the case may be) or its legal counsel.</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RESEARCH</w:t>
      </w:r>
    </w:p>
    <w:p>
      <w:pPr>
        <w:spacing w:after="0" w:line="225" w:lineRule="exact"/>
        <w:rPr>
          <w:sz w:val="20"/>
          <w:szCs w:val="20"/>
          <w:color w:val="auto"/>
        </w:rPr>
      </w:pPr>
    </w:p>
    <w:p>
      <w:pPr>
        <w:ind w:right="160" w:firstLine="440"/>
        <w:spacing w:after="0" w:line="289" w:lineRule="auto"/>
        <w:rPr>
          <w:sz w:val="20"/>
          <w:szCs w:val="20"/>
          <w:color w:val="auto"/>
        </w:rPr>
      </w:pPr>
      <w:r>
        <w:rPr>
          <w:rFonts w:ascii="Arial" w:cs="Arial" w:eastAsia="Arial" w:hAnsi="Arial"/>
          <w:sz w:val="17"/>
          <w:szCs w:val="17"/>
          <w:b w:val="1"/>
          <w:bCs w:val="1"/>
          <w:color w:val="auto"/>
        </w:rPr>
        <w:t>4.1 General</w:t>
      </w:r>
      <w:r>
        <w:rPr>
          <w:rFonts w:ascii="Arial" w:cs="Arial" w:eastAsia="Arial" w:hAnsi="Arial"/>
          <w:sz w:val="17"/>
          <w:szCs w:val="17"/>
          <w:color w:val="auto"/>
        </w:rPr>
        <w:t>. Subject to the terms and conditions of this Agreement, the Parties will conduct a research program for the identification, validation</w:t>
      </w:r>
      <w:r>
        <w:rPr>
          <w:rFonts w:ascii="Arial" w:cs="Arial" w:eastAsia="Arial" w:hAnsi="Arial"/>
          <w:sz w:val="17"/>
          <w:szCs w:val="17"/>
          <w:b w:val="1"/>
          <w:bCs w:val="1"/>
          <w:color w:val="auto"/>
        </w:rPr>
        <w:t xml:space="preserve"> </w:t>
      </w:r>
      <w:r>
        <w:rPr>
          <w:rFonts w:ascii="Arial" w:cs="Arial" w:eastAsia="Arial" w:hAnsi="Arial"/>
          <w:sz w:val="17"/>
          <w:szCs w:val="17"/>
          <w:color w:val="auto"/>
        </w:rPr>
        <w:t>and optimization of SHP2 Inhibitors (including without limitation back-up compound chemistry and characterization, pre-clinical studies, and translation and biomarker studies) pursuant to a research plan (such plan, the “</w:t>
      </w:r>
      <w:r>
        <w:rPr>
          <w:rFonts w:ascii="Arial" w:cs="Arial" w:eastAsia="Arial" w:hAnsi="Arial"/>
          <w:sz w:val="17"/>
          <w:szCs w:val="17"/>
          <w:b w:val="1"/>
          <w:bCs w:val="1"/>
          <w:color w:val="auto"/>
        </w:rPr>
        <w:t>Research Plan</w:t>
      </w:r>
      <w:r>
        <w:rPr>
          <w:rFonts w:ascii="Arial" w:cs="Arial" w:eastAsia="Arial" w:hAnsi="Arial"/>
          <w:sz w:val="17"/>
          <w:szCs w:val="17"/>
          <w:color w:val="auto"/>
        </w:rPr>
        <w:t>”).</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4.2 Research Plan</w:t>
      </w:r>
      <w:r>
        <w:rPr>
          <w:rFonts w:ascii="Arial" w:cs="Arial" w:eastAsia="Arial" w:hAnsi="Arial"/>
          <w:sz w:val="18"/>
          <w:szCs w:val="18"/>
          <w:color w:val="auto"/>
        </w:rPr>
        <w:t>.</w:t>
      </w:r>
    </w:p>
    <w:p>
      <w:pPr>
        <w:spacing w:after="0" w:line="225" w:lineRule="exact"/>
        <w:rPr>
          <w:sz w:val="20"/>
          <w:szCs w:val="20"/>
          <w:color w:val="auto"/>
        </w:rPr>
      </w:pPr>
    </w:p>
    <w:p>
      <w:pPr>
        <w:ind w:left="680" w:hanging="244"/>
        <w:spacing w:after="0"/>
        <w:tabs>
          <w:tab w:leader="none" w:pos="680" w:val="left"/>
        </w:tabs>
        <w:numPr>
          <w:ilvl w:val="0"/>
          <w:numId w:val="179"/>
        </w:numPr>
        <w:rPr>
          <w:rFonts w:ascii="Arial" w:cs="Arial" w:eastAsia="Arial" w:hAnsi="Arial"/>
          <w:sz w:val="18"/>
          <w:szCs w:val="18"/>
          <w:color w:val="auto"/>
        </w:rPr>
      </w:pPr>
      <w:r>
        <w:rPr>
          <w:rFonts w:ascii="Arial" w:cs="Arial" w:eastAsia="Arial" w:hAnsi="Arial"/>
          <w:sz w:val="18"/>
          <w:szCs w:val="18"/>
          <w:b w:val="1"/>
          <w:bCs w:val="1"/>
          <w:color w:val="auto"/>
        </w:rPr>
        <w:t>Research Plan and Budget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60" w:firstLine="419"/>
        <w:spacing w:after="0" w:line="282" w:lineRule="auto"/>
        <w:tabs>
          <w:tab w:leader="none" w:pos="1078" w:val="left"/>
        </w:tabs>
        <w:numPr>
          <w:ilvl w:val="1"/>
          <w:numId w:val="179"/>
        </w:numPr>
        <w:rPr>
          <w:rFonts w:ascii="Arial" w:cs="Arial" w:eastAsia="Arial" w:hAnsi="Arial"/>
          <w:sz w:val="18"/>
          <w:szCs w:val="18"/>
          <w:color w:val="auto"/>
        </w:rPr>
      </w:pPr>
      <w:r>
        <w:rPr>
          <w:rFonts w:ascii="Arial" w:cs="Arial" w:eastAsia="Arial" w:hAnsi="Arial"/>
          <w:sz w:val="18"/>
          <w:szCs w:val="18"/>
          <w:b w:val="1"/>
          <w:bCs w:val="1"/>
          <w:color w:val="auto"/>
        </w:rPr>
        <w:t xml:space="preserve">Initial. </w:t>
      </w:r>
      <w:r>
        <w:rPr>
          <w:rFonts w:ascii="Arial" w:cs="Arial" w:eastAsia="Arial" w:hAnsi="Arial"/>
          <w:sz w:val="18"/>
          <w:szCs w:val="18"/>
          <w:color w:val="auto"/>
        </w:rPr>
        <w:t>As of the Effective Date, the Parties have agreed on an initial Research Plan and Research Budget for Calendar Years 2018, 2019</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2020, which is set forth in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of the Correspondence.</w:t>
      </w:r>
    </w:p>
    <w:p>
      <w:pPr>
        <w:spacing w:after="0" w:line="161" w:lineRule="exact"/>
        <w:rPr>
          <w:rFonts w:ascii="Arial" w:cs="Arial" w:eastAsia="Arial" w:hAnsi="Arial"/>
          <w:sz w:val="18"/>
          <w:szCs w:val="18"/>
          <w:color w:val="auto"/>
        </w:rPr>
      </w:pPr>
    </w:p>
    <w:p>
      <w:pPr>
        <w:jc w:val="both"/>
        <w:ind w:right="40" w:firstLine="1428"/>
        <w:spacing w:after="0" w:line="266" w:lineRule="auto"/>
        <w:tabs>
          <w:tab w:leader="none" w:pos="1652" w:val="left"/>
        </w:tabs>
        <w:numPr>
          <w:ilvl w:val="2"/>
          <w:numId w:val="179"/>
        </w:numPr>
        <w:rPr>
          <w:rFonts w:ascii="Arial" w:cs="Arial" w:eastAsia="Arial" w:hAnsi="Arial"/>
          <w:sz w:val="18"/>
          <w:szCs w:val="18"/>
          <w:color w:val="auto"/>
        </w:rPr>
      </w:pPr>
      <w:r>
        <w:rPr>
          <w:rFonts w:ascii="Arial" w:cs="Arial" w:eastAsia="Arial" w:hAnsi="Arial"/>
          <w:sz w:val="18"/>
          <w:szCs w:val="18"/>
          <w:b w:val="1"/>
          <w:bCs w:val="1"/>
          <w:color w:val="auto"/>
        </w:rPr>
        <w:t>Calendar Year 2018</w:t>
      </w:r>
      <w:r>
        <w:rPr>
          <w:rFonts w:ascii="Arial" w:cs="Arial" w:eastAsia="Arial" w:hAnsi="Arial"/>
          <w:sz w:val="18"/>
          <w:szCs w:val="18"/>
          <w:color w:val="auto"/>
        </w:rPr>
        <w:t>. The initial Research Plan and Research Budget for Calendar Year 2018 are final and may only be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or modified by mutual agreement of the Parties (i.e., Sanofi shall not have the unilateral right, either directly or through its participation in the JRDC or the JSC, including by exercising its final decision-making power under Section 2.10(b), [***]).</w:t>
      </w:r>
    </w:p>
    <w:p>
      <w:pPr>
        <w:spacing w:after="0" w:line="175" w:lineRule="exact"/>
        <w:rPr>
          <w:rFonts w:ascii="Arial" w:cs="Arial" w:eastAsia="Arial" w:hAnsi="Arial"/>
          <w:sz w:val="18"/>
          <w:szCs w:val="18"/>
          <w:color w:val="auto"/>
        </w:rPr>
      </w:pPr>
    </w:p>
    <w:p>
      <w:pPr>
        <w:ind w:right="40" w:firstLine="1428"/>
        <w:spacing w:after="0" w:line="270" w:lineRule="auto"/>
        <w:tabs>
          <w:tab w:leader="none" w:pos="1642" w:val="left"/>
        </w:tabs>
        <w:numPr>
          <w:ilvl w:val="2"/>
          <w:numId w:val="179"/>
        </w:numPr>
        <w:rPr>
          <w:rFonts w:ascii="Arial" w:cs="Arial" w:eastAsia="Arial" w:hAnsi="Arial"/>
          <w:sz w:val="17"/>
          <w:szCs w:val="17"/>
          <w:color w:val="auto"/>
        </w:rPr>
      </w:pPr>
      <w:r>
        <w:rPr>
          <w:rFonts w:ascii="Arial" w:cs="Arial" w:eastAsia="Arial" w:hAnsi="Arial"/>
          <w:sz w:val="17"/>
          <w:szCs w:val="17"/>
          <w:b w:val="1"/>
          <w:bCs w:val="1"/>
          <w:color w:val="auto"/>
        </w:rPr>
        <w:t xml:space="preserve">Calendar Years 2019 and 2020. </w:t>
      </w:r>
      <w:r>
        <w:rPr>
          <w:rFonts w:ascii="Arial" w:cs="Arial" w:eastAsia="Arial" w:hAnsi="Arial"/>
          <w:sz w:val="17"/>
          <w:szCs w:val="17"/>
          <w:color w:val="auto"/>
        </w:rPr>
        <w:t>The initial Research Budget for Calendar Years 2019 and 2020 included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H</w:t>
      </w:r>
      <w:r>
        <w:rPr>
          <w:rFonts w:ascii="Arial" w:cs="Arial" w:eastAsia="Arial" w:hAnsi="Arial"/>
          <w:sz w:val="17"/>
          <w:szCs w:val="17"/>
          <w:b w:val="1"/>
          <w:bCs w:val="1"/>
          <w:color w:val="auto"/>
        </w:rPr>
        <w:t xml:space="preserve"> </w:t>
      </w:r>
      <w:r>
        <w:rPr>
          <w:rFonts w:ascii="Arial" w:cs="Arial" w:eastAsia="Arial" w:hAnsi="Arial"/>
          <w:sz w:val="17"/>
          <w:szCs w:val="17"/>
          <w:color w:val="auto"/>
        </w:rPr>
        <w:t>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Correspondence represents, as of the Effective Date, what the Parties believe to be a reasonable estimate of the Research Budget for Calendar Years 2019 and 2020 and shall become final only if the Parties mutually agree in writing with respect to the detailed Research activities and timelines to be set forth in the Research Plan for Calendar Years 2019 and 2020. Upon any such mutual agreement, such Research Plan and Research Budget may only be amended or modified by mutual agreement of the Parties (i.e., Sanofi shall not have the right to exercise its final decision-making power under Section 2.10(b), [***]. If the Parties do not reach such mutual agreement and Sanofi exercises its final decision-making power under Section 2.10(b) [***]. For clarity, if the Parties mutually agree upon activities under the Research Plan for a Research Budget equal to or greater than that set forth in </w:t>
      </w:r>
      <w:r>
        <w:rPr>
          <w:rFonts w:ascii="Arial" w:cs="Arial" w:eastAsia="Arial" w:hAnsi="Arial"/>
          <w:sz w:val="17"/>
          <w:szCs w:val="17"/>
          <w:u w:val="single" w:color="auto"/>
          <w:color w:val="auto"/>
        </w:rPr>
        <w:t>Exhibit H</w:t>
      </w:r>
      <w:r>
        <w:rPr>
          <w:rFonts w:ascii="Arial" w:cs="Arial" w:eastAsia="Arial" w:hAnsi="Arial"/>
          <w:sz w:val="17"/>
          <w:szCs w:val="17"/>
          <w:color w:val="auto"/>
        </w:rPr>
        <w:t xml:space="preserve"> of the Correspondence then Section 4.5(b) shall apply and Sanofi shall be responsible for 80% of the Research and Development Costs and RevMed shall be responsible for 20% of the Research and Development Costs, provided that Sanofi shall be responsible for [***]% of the Research and Development Costs associated with [***].</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321" w:name="page322"/>
    <w:bookmarkEnd w:id="321"/>
    <w:p>
      <w:pPr>
        <w:jc w:val="both"/>
        <w:ind w:right="60" w:firstLine="1432"/>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 </w:t>
      </w:r>
      <w:r>
        <w:rPr>
          <w:rFonts w:ascii="Arial" w:cs="Arial" w:eastAsia="Arial" w:hAnsi="Arial"/>
          <w:sz w:val="18"/>
          <w:szCs w:val="18"/>
          <w:b w:val="1"/>
          <w:bCs w:val="1"/>
          <w:color w:val="auto"/>
        </w:rPr>
        <w:t>Calendar Year 2021 and Beyond</w:t>
      </w:r>
      <w:r>
        <w:rPr>
          <w:rFonts w:ascii="Arial" w:cs="Arial" w:eastAsia="Arial" w:hAnsi="Arial"/>
          <w:sz w:val="18"/>
          <w:szCs w:val="18"/>
          <w:color w:val="auto"/>
        </w:rPr>
        <w:t>. The Research Plan and Research Budget for Calendar Year 2021 and any Calendar Year after 2021 shall be subject in all respects to the governance set forth in Article II (including Sanofi’s final decision-making power under Section 2.10(b) and the procedure for amendments set forth in Section 4.2(a)(ii)).</w:t>
      </w:r>
    </w:p>
    <w:p>
      <w:pPr>
        <w:spacing w:after="0" w:line="68" w:lineRule="exact"/>
        <w:rPr>
          <w:sz w:val="20"/>
          <w:szCs w:val="20"/>
          <w:color w:val="auto"/>
        </w:rPr>
      </w:pPr>
    </w:p>
    <w:p>
      <w:pPr>
        <w:jc w:val="both"/>
        <w:ind w:left="440" w:right="120" w:firstLine="419"/>
        <w:spacing w:after="0" w:line="277" w:lineRule="auto"/>
        <w:tabs>
          <w:tab w:leader="none" w:pos="1128" w:val="left"/>
        </w:tabs>
        <w:numPr>
          <w:ilvl w:val="1"/>
          <w:numId w:val="180"/>
        </w:numPr>
        <w:rPr>
          <w:rFonts w:ascii="Arial" w:cs="Arial" w:eastAsia="Arial" w:hAnsi="Arial"/>
          <w:sz w:val="17"/>
          <w:szCs w:val="17"/>
          <w:color w:val="auto"/>
        </w:rPr>
      </w:pPr>
      <w:r>
        <w:rPr>
          <w:rFonts w:ascii="Arial" w:cs="Arial" w:eastAsia="Arial" w:hAnsi="Arial"/>
          <w:sz w:val="17"/>
          <w:szCs w:val="17"/>
          <w:b w:val="1"/>
          <w:bCs w:val="1"/>
          <w:color w:val="auto"/>
        </w:rPr>
        <w:t xml:space="preserve">Amendments. </w:t>
      </w:r>
      <w:r>
        <w:rPr>
          <w:rFonts w:ascii="Arial" w:cs="Arial" w:eastAsia="Arial" w:hAnsi="Arial"/>
          <w:sz w:val="17"/>
          <w:szCs w:val="17"/>
          <w:color w:val="auto"/>
        </w:rPr>
        <w:t>From time to time after the Effective Date, the JRDC may propose any amendment to the Research Plan, which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made in good faith, based on scientific and regulatory judgment. The Research Plan shall set forth: (a) the Research activities to be conducted by either Party; (b) the estimated timelines for such Research activities; and (c) a detailed budget setting forth the estimated RevMed R&amp;D Costs to be incurred in connection with such activities (the “</w:t>
      </w:r>
      <w:r>
        <w:rPr>
          <w:rFonts w:ascii="Arial" w:cs="Arial" w:eastAsia="Arial" w:hAnsi="Arial"/>
          <w:sz w:val="17"/>
          <w:szCs w:val="17"/>
          <w:b w:val="1"/>
          <w:bCs w:val="1"/>
          <w:color w:val="auto"/>
        </w:rPr>
        <w:t>Research Budget</w:t>
      </w:r>
      <w:r>
        <w:rPr>
          <w:rFonts w:ascii="Arial" w:cs="Arial" w:eastAsia="Arial" w:hAnsi="Arial"/>
          <w:sz w:val="17"/>
          <w:szCs w:val="17"/>
          <w:color w:val="auto"/>
        </w:rPr>
        <w:t>”). If the terms of the Research Plan contradict, or create inconsistencies or ambiguities with, the terms of this Agreement, then the terms of this Agreement shall govern.</w:t>
      </w:r>
    </w:p>
    <w:p>
      <w:pPr>
        <w:spacing w:after="0" w:line="167" w:lineRule="exact"/>
        <w:rPr>
          <w:rFonts w:ascii="Arial" w:cs="Arial" w:eastAsia="Arial" w:hAnsi="Arial"/>
          <w:sz w:val="17"/>
          <w:szCs w:val="17"/>
          <w:color w:val="auto"/>
        </w:rPr>
      </w:pPr>
    </w:p>
    <w:p>
      <w:pPr>
        <w:ind w:firstLine="436"/>
        <w:spacing w:after="0" w:line="269" w:lineRule="auto"/>
        <w:tabs>
          <w:tab w:leader="none" w:pos="695" w:val="left"/>
        </w:tabs>
        <w:numPr>
          <w:ilvl w:val="0"/>
          <w:numId w:val="181"/>
        </w:numPr>
        <w:rPr>
          <w:rFonts w:ascii="Arial" w:cs="Arial" w:eastAsia="Arial" w:hAnsi="Arial"/>
          <w:sz w:val="17"/>
          <w:szCs w:val="17"/>
          <w:color w:val="auto"/>
        </w:rPr>
      </w:pPr>
      <w:r>
        <w:rPr>
          <w:rFonts w:ascii="Arial" w:cs="Arial" w:eastAsia="Arial" w:hAnsi="Arial"/>
          <w:sz w:val="17"/>
          <w:szCs w:val="17"/>
          <w:b w:val="1"/>
          <w:bCs w:val="1"/>
          <w:color w:val="auto"/>
        </w:rPr>
        <w:t>Conduct of Research</w:t>
      </w:r>
      <w:r>
        <w:rPr>
          <w:rFonts w:ascii="Arial" w:cs="Arial" w:eastAsia="Arial" w:hAnsi="Arial"/>
          <w:sz w:val="17"/>
          <w:szCs w:val="17"/>
          <w:color w:val="auto"/>
        </w:rPr>
        <w:t>. Each Party shall perform all Research activities under this Agreement in compliance with all Applicable Law</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GMP, GLP and GCP). In furtherance and not in limitation of the foregoing, RevMed shall use diligent efforts to conduct its activities under each Research Plan in accordance with the terms of such Research Plan (including timelines), as the same may be amended from time to time (and which basis for comparison shall be tolled until any then-contemplated or pending amendments are completed or for the duration of any bona fide dispute between the Parties with respect to a Research Plan or amendment thereto), and this Agreement. If Sanofi believes RevMed has materially breached its obligation in the foregoing sentences with respect to any Product, Sanofi shall so notify RevMed in writing. If either RevMed agrees or it is determined in accordance with [***], that RevMed has committed a material breach of its obligations under this Section 4.2(b) with respect to such Product, the JRDC shall, within [***] after such agreement on or determination of material breach, meet in person or by teleconference to discuss such material breach and specify reasonable actions that RevMed should take to cure such material breach. If RevMed fails to commence within [***] after such discussion occurs such actions recommended by the JRDC, or fails to cure any such material breach within [***] after the JRDC meets (or such longer timeframe as the JRDC decides is necessary to complete the actions specified by the JRDC), then Sanofi shall have the right, without prejudice to any other rights or remedies Sanofi may have under this Agreement or otherwise at law or in equity, [***]. In such case, RevMed shall, [***], (i) make available [***], (ii) provide [***], and (iii) otherwise provide [***].</w:t>
      </w:r>
    </w:p>
    <w:p>
      <w:pPr>
        <w:spacing w:after="0" w:line="176" w:lineRule="exact"/>
        <w:rPr>
          <w:sz w:val="20"/>
          <w:szCs w:val="20"/>
          <w:color w:val="auto"/>
        </w:rPr>
      </w:pPr>
    </w:p>
    <w:p>
      <w:pPr>
        <w:ind w:right="120" w:firstLine="991"/>
        <w:spacing w:after="0" w:line="294" w:lineRule="auto"/>
        <w:rPr>
          <w:sz w:val="20"/>
          <w:szCs w:val="20"/>
          <w:color w:val="auto"/>
        </w:rPr>
      </w:pPr>
      <w:r>
        <w:rPr>
          <w:rFonts w:ascii="Arial" w:cs="Arial" w:eastAsia="Arial" w:hAnsi="Arial"/>
          <w:sz w:val="16"/>
          <w:szCs w:val="16"/>
          <w:b w:val="1"/>
          <w:bCs w:val="1"/>
          <w:color w:val="auto"/>
        </w:rPr>
        <w:t xml:space="preserve">4.3 Designation of Development Candidates </w:t>
      </w:r>
      <w:r>
        <w:rPr>
          <w:rFonts w:ascii="Arial" w:cs="Arial" w:eastAsia="Arial" w:hAnsi="Arial"/>
          <w:sz w:val="16"/>
          <w:szCs w:val="16"/>
          <w:color w:val="auto"/>
        </w:rPr>
        <w:t>As of the Effective Date, the Parties agree that the SHP2 Inhibitor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I</w:t>
      </w:r>
      <w:r>
        <w:rPr>
          <w:rFonts w:ascii="Arial" w:cs="Arial" w:eastAsia="Arial" w:hAnsi="Arial"/>
          <w:sz w:val="16"/>
          <w:szCs w:val="16"/>
          <w:b w:val="1"/>
          <w:bCs w:val="1"/>
          <w:color w:val="auto"/>
        </w:rPr>
        <w:t xml:space="preserve"> </w:t>
      </w:r>
      <w:r>
        <w:rPr>
          <w:rFonts w:ascii="Arial" w:cs="Arial" w:eastAsia="Arial" w:hAnsi="Arial"/>
          <w:sz w:val="16"/>
          <w:szCs w:val="16"/>
          <w:color w:val="auto"/>
        </w:rPr>
        <w:t>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Correspondence is deemed a Development Candidate (defined below) under this Agreement. From time to time, either Party may nominate one or more additional SHP2 Inhibitors to the JRDC for consideration as a candidate for Development under a Development Plan (the “</w:t>
      </w:r>
      <w:r>
        <w:rPr>
          <w:rFonts w:ascii="Arial" w:cs="Arial" w:eastAsia="Arial" w:hAnsi="Arial"/>
          <w:sz w:val="16"/>
          <w:szCs w:val="16"/>
          <w:b w:val="1"/>
          <w:bCs w:val="1"/>
          <w:color w:val="auto"/>
        </w:rPr>
        <w:t>Development</w:t>
      </w:r>
      <w:r>
        <w:rPr>
          <w:rFonts w:ascii="Arial" w:cs="Arial" w:eastAsia="Arial" w:hAnsi="Arial"/>
          <w:sz w:val="16"/>
          <w:szCs w:val="16"/>
          <w:color w:val="auto"/>
        </w:rPr>
        <w:t xml:space="preserve"> </w:t>
      </w:r>
      <w:r>
        <w:rPr>
          <w:rFonts w:ascii="Arial" w:cs="Arial" w:eastAsia="Arial" w:hAnsi="Arial"/>
          <w:sz w:val="16"/>
          <w:szCs w:val="16"/>
          <w:b w:val="1"/>
          <w:bCs w:val="1"/>
          <w:color w:val="auto"/>
        </w:rPr>
        <w:t>Candidate</w:t>
      </w:r>
      <w:r>
        <w:rPr>
          <w:rFonts w:ascii="Arial" w:cs="Arial" w:eastAsia="Arial" w:hAnsi="Arial"/>
          <w:sz w:val="16"/>
          <w:szCs w:val="16"/>
          <w:color w:val="auto"/>
        </w:rPr>
        <w:t>”). Such nomination (and approval thereof by the JRDC) shall be made prior to the initiation of the IND-enabling studies for such SHP2</w:t>
      </w:r>
      <w:r>
        <w:rPr>
          <w:rFonts w:ascii="Arial" w:cs="Arial" w:eastAsia="Arial" w:hAnsi="Arial"/>
          <w:sz w:val="16"/>
          <w:szCs w:val="16"/>
          <w:b w:val="1"/>
          <w:bCs w:val="1"/>
          <w:color w:val="auto"/>
        </w:rPr>
        <w:t xml:space="preserve"> </w:t>
      </w:r>
      <w:r>
        <w:rPr>
          <w:rFonts w:ascii="Arial" w:cs="Arial" w:eastAsia="Arial" w:hAnsi="Arial"/>
          <w:sz w:val="16"/>
          <w:szCs w:val="16"/>
          <w:color w:val="auto"/>
        </w:rPr>
        <w:t>Inhibitor(s), unless otherwise permitted by the JRDC. Promptly after such nomination, each Party shall present to the JRDC the data and results it has obtained with respect to such SHP2 Inhibitor(s) as well as, if requested by the other Party, written records maintained</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80"/>
          </w:cols>
          <w:pgMar w:left="440" w:top="270" w:right="479" w:bottom="1440" w:gutter="0" w:footer="0" w:header="0"/>
        </w:sectPr>
      </w:pPr>
    </w:p>
    <w:bookmarkStart w:id="322" w:name="page323"/>
    <w:bookmarkEnd w:id="322"/>
    <w:p>
      <w:pPr>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or on behalf of such Party or its Affiliates with respect to the discovery or development history of such SHP2 Inhibitor. The JRDC shall determine whether such SHP2 Inhibitor(s) shall be approved as a Development Candidate under this Agreement. The JRDC may also request that further Research activities be conducted with respect to such SHP2 Inhibitor(s) (under an amended Research Plan), after which activities such SHP2 Inhibitor(s) may be reconsidered for nomination as a Development Candidate. If the JRDC (or Designated Senior Officers, as applicable) approve a particular SHP2 Inhibitor as a Development Candidate, then the Parties shall proceed to conduct further Development of such SHP2 Inhibitor (including IND-enabling studies, other pre-clinical and non-clinical studies, and clinical studies) pursuant to a Development Plan (as further described in Section 5.2) and under the oversight of the JRDC. In addition, at any time after a SHP2 Inhibitor is designated as a Development Candidate, if requested by Sanofi, RevMed shall make available written records (such as lab notebooks) maintained by or on behalf of RevMed or its Affiliates with respect to the discovery and/or development history of such SHP2 Inhibitor or any Product under Development that contains such SHP2 Inhibitor, provided that such request shall not be made more than once for each SHP2 Inhibitor or each Product, as applicable, except for cause.</w:t>
      </w:r>
    </w:p>
    <w:p>
      <w:pPr>
        <w:spacing w:after="0" w:line="164"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b w:val="1"/>
          <w:bCs w:val="1"/>
          <w:color w:val="auto"/>
        </w:rPr>
        <w:t>4.4 Research Records and Reports</w:t>
      </w:r>
      <w:r>
        <w:rPr>
          <w:rFonts w:ascii="Arial" w:cs="Arial" w:eastAsia="Arial" w:hAnsi="Arial"/>
          <w:sz w:val="18"/>
          <w:szCs w:val="18"/>
          <w:color w:val="auto"/>
        </w:rPr>
        <w:t>. Each Party shall maintain complete, current and accurate records of all Research activities conducted by it</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and all data and other information resulting from such activities. Such records shall fully and properly reflect all work done and results achieved in the performance of the Research activities in good scientific manner appropriate for regulatory and patent purposes. Each Party shall keep the other Party reasonably informed as to its progress in the conduct of the Research activities through meetings of the JRDC. Upon written request from the JRDC, each Party shall submit to the JRDC a written summary (in slide format unless otherwise agreed by the Parties) of its Research activities since its prior report.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4.5 Research Costs</w:t>
      </w:r>
      <w:r>
        <w:rPr>
          <w:rFonts w:ascii="Arial" w:cs="Arial" w:eastAsia="Arial" w:hAnsi="Arial"/>
          <w:sz w:val="18"/>
          <w:szCs w:val="18"/>
          <w:color w:val="auto"/>
        </w:rPr>
        <w:t>.</w:t>
      </w:r>
    </w:p>
    <w:p>
      <w:pPr>
        <w:spacing w:after="0" w:line="225" w:lineRule="exact"/>
        <w:rPr>
          <w:sz w:val="20"/>
          <w:szCs w:val="20"/>
          <w:color w:val="auto"/>
        </w:rPr>
      </w:pPr>
    </w:p>
    <w:p>
      <w:pPr>
        <w:ind w:right="100" w:firstLine="436"/>
        <w:spacing w:after="0" w:line="289" w:lineRule="auto"/>
        <w:tabs>
          <w:tab w:leader="none" w:pos="685" w:val="left"/>
        </w:tabs>
        <w:numPr>
          <w:ilvl w:val="0"/>
          <w:numId w:val="182"/>
        </w:numPr>
        <w:rPr>
          <w:rFonts w:ascii="Arial" w:cs="Arial" w:eastAsia="Arial" w:hAnsi="Arial"/>
          <w:sz w:val="16"/>
          <w:szCs w:val="16"/>
          <w:color w:val="auto"/>
        </w:rPr>
      </w:pPr>
      <w:r>
        <w:rPr>
          <w:rFonts w:ascii="Arial" w:cs="Arial" w:eastAsia="Arial" w:hAnsi="Arial"/>
          <w:sz w:val="16"/>
          <w:szCs w:val="16"/>
          <w:b w:val="1"/>
          <w:bCs w:val="1"/>
          <w:color w:val="auto"/>
        </w:rPr>
        <w:t>Calendar Years 2018, 2021 and All Calendar Years After 2021</w:t>
      </w:r>
      <w:r>
        <w:rPr>
          <w:rFonts w:ascii="Arial" w:cs="Arial" w:eastAsia="Arial" w:hAnsi="Arial"/>
          <w:sz w:val="16"/>
          <w:szCs w:val="16"/>
          <w:color w:val="auto"/>
        </w:rPr>
        <w:t>. Sanofi shall be responsible for 100% of the Research and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Costs for Calendar Years 2018, 2021 and all Calendar Years after 2021. Sanofi will reimburse RevMed for any RevMed R&amp;D Costs incurred by or on behalf of RevMed after the Execution Date in the performance of its activities under the Research Plan, provided that such RevMed R&amp;D Costs are incurred per the Research Budget for such activities as approved by the JSC and [***] set forth in the Research Budget for the particular Calendar Quarter. Promptly following the end of each Calendar Quarter during which RevMed is responsible for activities under the Research Plan, but in no event later than [***] following the end of such Calendar Quarter, RevMed will provide to Sanofi a detailed expense report in form approved by the JRDC with respect to the RevMed R&amp;D Costs incurred by or on behalf of RevMed during such Calendar Quarter consistent with the previous sentence (including, if requested by Sanofi in writing, copies of receipts or invoices from Third Parties for all RevMed R&amp;D Out-of-Pocket Costs) together with an invoice for the same, provided that[***]. Sanofi will reimburse RevMed in Dollars all undisputed amounts within such expense reports under this Section 4.5 within [***] following receipt of the invoice therefor. RevMed shall invoice Sanofi for costs under this Section 4.5 on an accrual basis.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323" w:name="page324"/>
    <w:bookmarkEnd w:id="323"/>
    <w:p>
      <w:pPr>
        <w:ind w:firstLine="436"/>
        <w:spacing w:after="0" w:line="288" w:lineRule="auto"/>
        <w:tabs>
          <w:tab w:leader="none" w:pos="695" w:val="left"/>
        </w:tabs>
        <w:numPr>
          <w:ilvl w:val="0"/>
          <w:numId w:val="183"/>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Calendar Years 2019 and 2020</w:t>
      </w:r>
      <w:r>
        <w:rPr>
          <w:rFonts w:ascii="Arial" w:cs="Arial" w:eastAsia="Arial" w:hAnsi="Arial"/>
          <w:sz w:val="16"/>
          <w:szCs w:val="16"/>
          <w:color w:val="auto"/>
        </w:rPr>
        <w:t>. Subject to Section 4.2(a)(i)(B), Sanofi shall be responsible for 80% of the Research and Development Costs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 Calendar Years 2019 and 2020 and RevMed shall be responsible for 20% of the Research and Development Costs for Calendar Years 2019 and 2020 (provided that such Research and Development Costs are incurred per the Research Budget for such activities as approved by the JSC and [***] set forth in the Research Budget for the particular Calendar Quarter). Research and Development Costs shall initially be borne by the Party incurring the cost or expense. Promptly following the end of each Calendar Quarter during Calendar Years 2019 and 2020, but in no event later than [***] following the end of such Calendar Quarter, each Party will provide to the JRDC a detailed expense report in form approved by the JRDC with respect to the Research and Development Costs incurred by or on behalf of such Party during such Calendar Quarter consistent with the previous sentence (including, if requested by Sanofi in writing, copies of receipts or invoices from Third Parties for all RevMed R&amp;D Out-of-Pocket Costs). The Party that incurs more than its share of the total Research and Development Costs during any such Calendar Quarter shall deliver an invoice to the other Party for an amount of cash sufficient to reconcile to the invoicing Party’s agreed percentage of Research and Development Costs. Such other Party will reimburse the invoicing Party in Dollars all undisputed amounts within such expense reports under this Section 4.5 in accordance with Section 9.5 </w:t>
      </w:r>
      <w:r>
        <w:rPr>
          <w:rFonts w:ascii="Arial" w:cs="Arial" w:eastAsia="Arial" w:hAnsi="Arial"/>
          <w:sz w:val="16"/>
          <w:szCs w:val="16"/>
          <w:i w:val="1"/>
          <w:iCs w:val="1"/>
          <w:color w:val="auto"/>
        </w:rPr>
        <w:t>mutatis mutandis</w:t>
      </w:r>
      <w:r>
        <w:rPr>
          <w:rFonts w:ascii="Arial" w:cs="Arial" w:eastAsia="Arial" w:hAnsi="Arial"/>
          <w:sz w:val="16"/>
          <w:szCs w:val="16"/>
          <w:color w:val="auto"/>
        </w:rPr>
        <w: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DEVELOPMENT</w:t>
      </w:r>
    </w:p>
    <w:p>
      <w:pPr>
        <w:spacing w:after="0" w:line="225" w:lineRule="exact"/>
        <w:rPr>
          <w:sz w:val="20"/>
          <w:szCs w:val="20"/>
          <w:color w:val="auto"/>
        </w:rPr>
      </w:pPr>
    </w:p>
    <w:p>
      <w:pPr>
        <w:ind w:right="180" w:firstLine="440"/>
        <w:spacing w:after="0" w:line="312" w:lineRule="auto"/>
        <w:rPr>
          <w:sz w:val="20"/>
          <w:szCs w:val="20"/>
          <w:color w:val="auto"/>
        </w:rPr>
      </w:pPr>
      <w:r>
        <w:rPr>
          <w:rFonts w:ascii="Arial" w:cs="Arial" w:eastAsia="Arial" w:hAnsi="Arial"/>
          <w:sz w:val="17"/>
          <w:szCs w:val="17"/>
          <w:b w:val="1"/>
          <w:bCs w:val="1"/>
          <w:color w:val="auto"/>
        </w:rPr>
        <w:t>5.1 General</w:t>
      </w:r>
      <w:r>
        <w:rPr>
          <w:rFonts w:ascii="Arial" w:cs="Arial" w:eastAsia="Arial" w:hAnsi="Arial"/>
          <w:sz w:val="17"/>
          <w:szCs w:val="17"/>
          <w:color w:val="auto"/>
        </w:rPr>
        <w:t>. Subject to the terms and conditions of this Agreement, the Parties will collaborate on the Development of the Products in the Field</w:t>
      </w:r>
      <w:r>
        <w:rPr>
          <w:rFonts w:ascii="Arial" w:cs="Arial" w:eastAsia="Arial" w:hAnsi="Arial"/>
          <w:sz w:val="17"/>
          <w:szCs w:val="17"/>
          <w:b w:val="1"/>
          <w:bCs w:val="1"/>
          <w:color w:val="auto"/>
        </w:rPr>
        <w:t xml:space="preserve"> </w:t>
      </w:r>
      <w:r>
        <w:rPr>
          <w:rFonts w:ascii="Arial" w:cs="Arial" w:eastAsia="Arial" w:hAnsi="Arial"/>
          <w:sz w:val="17"/>
          <w:szCs w:val="17"/>
          <w:color w:val="auto"/>
        </w:rPr>
        <w:t>for Regulatory Approval under the direction of the JRDC and pursuant to the Development Plan, as set forth in more detail below.</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5.2 Development</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69" w:lineRule="auto"/>
        <w:tabs>
          <w:tab w:leader="none" w:pos="685" w:val="left"/>
        </w:tabs>
        <w:numPr>
          <w:ilvl w:val="0"/>
          <w:numId w:val="184"/>
        </w:numPr>
        <w:rPr>
          <w:rFonts w:ascii="Arial" w:cs="Arial" w:eastAsia="Arial" w:hAnsi="Arial"/>
          <w:sz w:val="17"/>
          <w:szCs w:val="17"/>
          <w:color w:val="auto"/>
        </w:rPr>
      </w:pPr>
      <w:r>
        <w:rPr>
          <w:rFonts w:ascii="Arial" w:cs="Arial" w:eastAsia="Arial" w:hAnsi="Arial"/>
          <w:sz w:val="17"/>
          <w:szCs w:val="17"/>
          <w:b w:val="1"/>
          <w:bCs w:val="1"/>
          <w:color w:val="auto"/>
        </w:rPr>
        <w:t>Development Plan and Budget</w:t>
      </w:r>
      <w:r>
        <w:rPr>
          <w:rFonts w:ascii="Arial" w:cs="Arial" w:eastAsia="Arial" w:hAnsi="Arial"/>
          <w:sz w:val="17"/>
          <w:szCs w:val="17"/>
          <w:color w:val="auto"/>
        </w:rPr>
        <w:t>. As of the Effective Date, the Parties have agreed on an initial Development Plan and Development Budget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(each as defined below), which is set forth in </w:t>
      </w:r>
      <w:r>
        <w:rPr>
          <w:rFonts w:ascii="Arial" w:cs="Arial" w:eastAsia="Arial" w:hAnsi="Arial"/>
          <w:sz w:val="17"/>
          <w:szCs w:val="17"/>
          <w:u w:val="single" w:color="auto"/>
          <w:color w:val="auto"/>
        </w:rPr>
        <w:t>Exhibit J</w:t>
      </w:r>
      <w:r>
        <w:rPr>
          <w:rFonts w:ascii="Arial" w:cs="Arial" w:eastAsia="Arial" w:hAnsi="Arial"/>
          <w:sz w:val="17"/>
          <w:szCs w:val="17"/>
          <w:color w:val="auto"/>
        </w:rPr>
        <w:t xml:space="preserve"> of the Correspondence. After the Effective Date, for the Development Candidate listed in </w:t>
      </w:r>
      <w:r>
        <w:rPr>
          <w:rFonts w:ascii="Arial" w:cs="Arial" w:eastAsia="Arial" w:hAnsi="Arial"/>
          <w:sz w:val="17"/>
          <w:szCs w:val="17"/>
          <w:u w:val="single" w:color="auto"/>
          <w:color w:val="auto"/>
        </w:rPr>
        <w:t>Exhibit</w:t>
      </w:r>
      <w:r>
        <w:rPr>
          <w:rFonts w:ascii="Arial" w:cs="Arial" w:eastAsia="Arial" w:hAnsi="Arial"/>
          <w:sz w:val="17"/>
          <w:szCs w:val="17"/>
          <w:color w:val="auto"/>
        </w:rPr>
        <w:t xml:space="preserve"> </w:t>
      </w:r>
      <w:r>
        <w:rPr>
          <w:rFonts w:ascii="Arial" w:cs="Arial" w:eastAsia="Arial" w:hAnsi="Arial"/>
          <w:sz w:val="17"/>
          <w:szCs w:val="17"/>
          <w:u w:val="single" w:color="auto"/>
          <w:color w:val="auto"/>
        </w:rPr>
        <w:t>J</w:t>
      </w:r>
      <w:r>
        <w:rPr>
          <w:rFonts w:ascii="Arial" w:cs="Arial" w:eastAsia="Arial" w:hAnsi="Arial"/>
          <w:sz w:val="17"/>
          <w:szCs w:val="17"/>
          <w:color w:val="auto"/>
        </w:rPr>
        <w:t xml:space="preserve"> of the Correspondence, and at the time any other SHP2 Inhibitor is designated as a Development Candidate by the JRDC, the JRDC shall prepare and approve a Development plan for Products containing such SHP2 Inhibitor through Regulatory Approval of the Product from the FDA, EMA, or PMDA, as applicable, that includes the items described below (the “</w:t>
      </w:r>
      <w:r>
        <w:rPr>
          <w:rFonts w:ascii="Arial" w:cs="Arial" w:eastAsia="Arial" w:hAnsi="Arial"/>
          <w:sz w:val="17"/>
          <w:szCs w:val="17"/>
          <w:b w:val="1"/>
          <w:bCs w:val="1"/>
          <w:color w:val="auto"/>
        </w:rPr>
        <w:t>Development Plan</w:t>
      </w:r>
      <w:r>
        <w:rPr>
          <w:rFonts w:ascii="Arial" w:cs="Arial" w:eastAsia="Arial" w:hAnsi="Arial"/>
          <w:sz w:val="17"/>
          <w:szCs w:val="17"/>
          <w:color w:val="auto"/>
        </w:rPr>
        <w:t>”). The Development Plan for each Product shall set forth the timeline and details of: (i) all clinical Development activities to be conducted by the Parties that are designed to generate data sufficient to present to the FDA, EMA, and PMDA or other Regulatory Authority at the Pre-Registrational Meetings; (ii) the protocol synopsis for each Clinical Trial included in such Development Plan; (iii) a Manufacturing plan for the Manufacturing of the Product for such Clinical Trials; (iv) all additional clinical Development activities to be conducted by the Parties that are designed to generate data sufficient to seek Regulatory Approval of the Product from the FDA, EMA, or PMDA, as applicable, for the indication(s) to be pursued; (v) any other Development activities to be performed in order to obtain Regulatory Approval by the FDA, EMA, PMDA or the Regulatory Authority of any other jurisdiction; (vi) a detailed budget setting forth the estimated RevMed R&amp;D Costs to be incurred in connection with such activities (the “</w:t>
      </w:r>
      <w:r>
        <w:rPr>
          <w:rFonts w:ascii="Arial" w:cs="Arial" w:eastAsia="Arial" w:hAnsi="Arial"/>
          <w:sz w:val="17"/>
          <w:szCs w:val="17"/>
          <w:b w:val="1"/>
          <w:bCs w:val="1"/>
          <w:color w:val="auto"/>
        </w:rPr>
        <w:t>Development Budget</w:t>
      </w:r>
      <w:r>
        <w:rPr>
          <w:rFonts w:ascii="Arial" w:cs="Arial" w:eastAsia="Arial" w:hAnsi="Arial"/>
          <w:sz w:val="17"/>
          <w:szCs w:val="17"/>
          <w:color w:val="auto"/>
        </w:rPr>
        <w:t>”); and (vi) the Party responsible for conducting each Development activity under such Development Plan.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0" w:right="459" w:bottom="1440" w:gutter="0" w:footer="0" w:header="0"/>
        </w:sectPr>
      </w:pPr>
    </w:p>
    <w:bookmarkStart w:id="324" w:name="page325"/>
    <w:bookmarkEnd w:id="324"/>
    <w:p>
      <w:pPr>
        <w:ind w:left="-20" w:right="40" w:firstLine="436"/>
        <w:spacing w:after="0" w:line="269" w:lineRule="auto"/>
        <w:tabs>
          <w:tab w:leader="none" w:pos="675" w:val="left"/>
        </w:tabs>
        <w:numPr>
          <w:ilvl w:val="0"/>
          <w:numId w:val="185"/>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Conduct of Development</w:t>
      </w:r>
      <w:r>
        <w:rPr>
          <w:rFonts w:ascii="Arial" w:cs="Arial" w:eastAsia="Arial" w:hAnsi="Arial"/>
          <w:sz w:val="17"/>
          <w:szCs w:val="17"/>
          <w:color w:val="auto"/>
        </w:rPr>
        <w:t>. Each Party shall perform all Development activities under this Agreement in compliance with all Applicable Law</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GMP, GLP and GCP). In furtherance and not in limitation of the foregoing, RevMed shall use diligent efforts to conduct its activities under each Development Plan in accordance with the terms of such Development Plan (including timelines), as the same may be amended from time to time (and which basis for comparison shall be tolled until any then-contemplated or pending amendments are completed or for the duration of any bona fide dispute between the Parties with respect to a Development Plan or amendment thereto), and this Agreement. If either RevMed agrees or it is determined in accordance with [***] that RevMed has committed a material breach of its obligations under this Section 5.2(b) with respect to any Clinical Trial of a Product, the JSC shall, within [***] after such agreement on or determination of material breach, meet in person or by teleconference to discuss such material breach and specify reasonable actions that RevMed should take to cure such material breach. If RevMed fails to commence within [***] after such discussion occurs such actions recommended by the JSC, or fails to cure any such material breach within [***] after the JSC meets (or such longer timeframe as the JSC decides is necessary to complete the actions specified by the JSC), then Sanofi shall have the right, without prejudice to any other rights or remedies Sanofi may have under this Agreement or otherwise at law or in equity[***]. In such case, RevMed shall, [***], (i) make available [***], (ii) provide [***], (iii) provide [***], and (iv) otherwise provide [***].</w:t>
      </w:r>
    </w:p>
    <w:p>
      <w:pPr>
        <w:spacing w:after="0" w:line="178" w:lineRule="exact"/>
        <w:rPr>
          <w:rFonts w:ascii="Arial" w:cs="Arial" w:eastAsia="Arial" w:hAnsi="Arial"/>
          <w:sz w:val="17"/>
          <w:szCs w:val="17"/>
          <w:color w:val="auto"/>
        </w:rPr>
      </w:pPr>
    </w:p>
    <w:p>
      <w:pPr>
        <w:ind w:left="-20" w:right="140" w:firstLine="436"/>
        <w:spacing w:after="0" w:line="292" w:lineRule="auto"/>
        <w:tabs>
          <w:tab w:leader="none" w:pos="665" w:val="left"/>
        </w:tabs>
        <w:numPr>
          <w:ilvl w:val="0"/>
          <w:numId w:val="185"/>
        </w:numPr>
        <w:rPr>
          <w:rFonts w:ascii="Arial" w:cs="Arial" w:eastAsia="Arial" w:hAnsi="Arial"/>
          <w:sz w:val="16"/>
          <w:szCs w:val="16"/>
          <w:color w:val="auto"/>
        </w:rPr>
      </w:pPr>
      <w:r>
        <w:rPr>
          <w:rFonts w:ascii="Arial" w:cs="Arial" w:eastAsia="Arial" w:hAnsi="Arial"/>
          <w:sz w:val="16"/>
          <w:szCs w:val="16"/>
          <w:b w:val="1"/>
          <w:bCs w:val="1"/>
          <w:color w:val="auto"/>
        </w:rPr>
        <w:t>Pre-Registrational Meeting</w:t>
      </w:r>
      <w:r>
        <w:rPr>
          <w:rFonts w:ascii="Arial" w:cs="Arial" w:eastAsia="Arial" w:hAnsi="Arial"/>
          <w:sz w:val="16"/>
          <w:szCs w:val="16"/>
          <w:color w:val="auto"/>
        </w:rPr>
        <w:t>. After obtaining early Development data and results under the Development Plan for a particular Product, in the</w:t>
      </w:r>
      <w:r>
        <w:rPr>
          <w:rFonts w:ascii="Arial" w:cs="Arial" w:eastAsia="Arial" w:hAnsi="Arial"/>
          <w:sz w:val="16"/>
          <w:szCs w:val="16"/>
          <w:b w:val="1"/>
          <w:bCs w:val="1"/>
          <w:color w:val="auto"/>
        </w:rPr>
        <w:t xml:space="preserve"> </w:t>
      </w:r>
      <w:r>
        <w:rPr>
          <w:rFonts w:ascii="Arial" w:cs="Arial" w:eastAsia="Arial" w:hAnsi="Arial"/>
          <w:sz w:val="16"/>
          <w:szCs w:val="16"/>
          <w:color w:val="auto"/>
        </w:rPr>
        <w:t>event the JRDC determines to further Develop such Product for Marketing Approval, the JRDC shall develop a package setting forth such data and results, a planned regulatory strategy for the Development of such Product for a defined indication in the Field, the protocol synopses for each Registrational Clinical Trial included in the applicable Registration Program, any other Development activities to be conducted in support of such regulatory strategy, any other materials as may be required by the FDA, EMA, or PMDA or other Regulatory Authority for the Pre-Registrational Meetings for the applicable Products, and the Party responsible for conducting each Development activity under such package (the “</w:t>
      </w:r>
      <w:r>
        <w:rPr>
          <w:rFonts w:ascii="Arial" w:cs="Arial" w:eastAsia="Arial" w:hAnsi="Arial"/>
          <w:sz w:val="16"/>
          <w:szCs w:val="16"/>
          <w:b w:val="1"/>
          <w:bCs w:val="1"/>
          <w:color w:val="auto"/>
        </w:rPr>
        <w:t>Data Package</w:t>
      </w:r>
      <w:r>
        <w:rPr>
          <w:rFonts w:ascii="Arial" w:cs="Arial" w:eastAsia="Arial" w:hAnsi="Arial"/>
          <w:sz w:val="16"/>
          <w:szCs w:val="16"/>
          <w:color w:val="auto"/>
        </w:rPr>
        <w:t>”). After developing such Data Package, the Parties shall conduct the Pre-Registrational Meetings as set forth in Section 6.3(a).</w:t>
      </w:r>
    </w:p>
    <w:p>
      <w:pPr>
        <w:spacing w:after="0" w:line="161" w:lineRule="exact"/>
        <w:rPr>
          <w:rFonts w:ascii="Arial" w:cs="Arial" w:eastAsia="Arial" w:hAnsi="Arial"/>
          <w:sz w:val="16"/>
          <w:szCs w:val="16"/>
          <w:color w:val="auto"/>
        </w:rPr>
      </w:pPr>
    </w:p>
    <w:p>
      <w:pPr>
        <w:jc w:val="both"/>
        <w:ind w:left="-20" w:firstLine="436"/>
        <w:spacing w:after="0" w:line="314" w:lineRule="auto"/>
        <w:tabs>
          <w:tab w:leader="none" w:pos="675" w:val="left"/>
        </w:tabs>
        <w:numPr>
          <w:ilvl w:val="0"/>
          <w:numId w:val="185"/>
        </w:numPr>
        <w:rPr>
          <w:rFonts w:ascii="Arial" w:cs="Arial" w:eastAsia="Arial" w:hAnsi="Arial"/>
          <w:sz w:val="16"/>
          <w:szCs w:val="16"/>
          <w:color w:val="auto"/>
        </w:rPr>
      </w:pPr>
      <w:r>
        <w:rPr>
          <w:rFonts w:ascii="Arial" w:cs="Arial" w:eastAsia="Arial" w:hAnsi="Arial"/>
          <w:sz w:val="16"/>
          <w:szCs w:val="16"/>
          <w:b w:val="1"/>
          <w:bCs w:val="1"/>
          <w:color w:val="auto"/>
        </w:rPr>
        <w:t>Development Plan Amendments</w:t>
      </w:r>
      <w:r>
        <w:rPr>
          <w:rFonts w:ascii="Arial" w:cs="Arial" w:eastAsia="Arial" w:hAnsi="Arial"/>
          <w:sz w:val="16"/>
          <w:szCs w:val="16"/>
          <w:color w:val="auto"/>
        </w:rPr>
        <w:t>. From time to time during the Term, the JRDC shall prepare amendments, as appropriate, to the then-current</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Plan. Subject to the foregoing, the JRDC shall have the right to approve amendments to the Development Plan, with final decision-making authority as provided in Section 2.10. Once approved by the JRDC, such amended Development Plan shall replace the prior Development Plan.</w:t>
      </w:r>
    </w:p>
    <w:p>
      <w:pPr>
        <w:spacing w:after="0" w:line="14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5.3 Combination Therapies</w:t>
      </w:r>
      <w:r>
        <w:rPr>
          <w:rFonts w:ascii="Arial" w:cs="Arial" w:eastAsia="Arial" w:hAnsi="Arial"/>
          <w:sz w:val="18"/>
          <w:szCs w:val="18"/>
          <w:color w:val="auto"/>
        </w:rPr>
        <w:t>.</w:t>
      </w:r>
    </w:p>
    <w:p>
      <w:pPr>
        <w:spacing w:after="0" w:line="229" w:lineRule="exact"/>
        <w:rPr>
          <w:sz w:val="20"/>
          <w:szCs w:val="20"/>
          <w:color w:val="auto"/>
        </w:rPr>
      </w:pPr>
    </w:p>
    <w:p>
      <w:pPr>
        <w:ind w:left="-20" w:right="140" w:firstLine="436"/>
        <w:spacing w:after="0" w:line="259" w:lineRule="auto"/>
        <w:tabs>
          <w:tab w:leader="none" w:pos="66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JRDC shall discuss whether to include in the Development Plan for a Product the Development of such Product for use with other products to the extent not already provided for in the Development Plan (each, a “</w:t>
      </w:r>
      <w:r>
        <w:rPr>
          <w:rFonts w:ascii="Arial" w:cs="Arial" w:eastAsia="Arial" w:hAnsi="Arial"/>
          <w:sz w:val="18"/>
          <w:szCs w:val="18"/>
          <w:b w:val="1"/>
          <w:bCs w:val="1"/>
          <w:color w:val="auto"/>
        </w:rPr>
        <w:t>Combination Therapy</w:t>
      </w:r>
      <w:r>
        <w:rPr>
          <w:rFonts w:ascii="Arial" w:cs="Arial" w:eastAsia="Arial" w:hAnsi="Arial"/>
          <w:sz w:val="18"/>
          <w:szCs w:val="18"/>
          <w:color w:val="auto"/>
        </w:rPr>
        <w:t>”), including products developed or sold by a Third Party or that are in the public domain. Subject to this Section 5.3, each Party shall have the right to propose to the JRDC studies for co-development of Products with other products under the applicable Development Plan.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80"/>
          </w:cols>
          <w:pgMar w:left="460" w:top="270" w:right="459" w:bottom="1440" w:gutter="0" w:footer="0" w:header="0"/>
        </w:sectPr>
      </w:pPr>
    </w:p>
    <w:bookmarkStart w:id="325" w:name="page326"/>
    <w:bookmarkEnd w:id="325"/>
    <w:p>
      <w:pPr>
        <w:ind w:left="4" w:firstLine="436"/>
        <w:spacing w:after="0" w:line="259" w:lineRule="auto"/>
        <w:tabs>
          <w:tab w:leader="none" w:pos="699" w:val="left"/>
        </w:tabs>
        <w:numPr>
          <w:ilvl w:val="0"/>
          <w:numId w:val="1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Development Plan shall address the conduct of any Clinical Trial for a Combination Therapy and shall (i) specify which Party will be responsible for each activity for the Development of such Combination Therapy and (ii) specify which Party will be responsible for obtaining supplies of the Product or other product in such Combination Therapy as necessary. The JRDC shall review and approve the terms of any agreement with a Third Party in connection with any supply or other aspect of Development of such Combination Therapy.</w:t>
      </w:r>
    </w:p>
    <w:p>
      <w:pPr>
        <w:spacing w:after="0" w:line="183" w:lineRule="exact"/>
        <w:rPr>
          <w:sz w:val="20"/>
          <w:szCs w:val="20"/>
          <w:color w:val="auto"/>
        </w:rPr>
      </w:pPr>
    </w:p>
    <w:p>
      <w:pPr>
        <w:ind w:left="4" w:right="160" w:firstLine="440"/>
        <w:spacing w:after="0" w:line="282" w:lineRule="auto"/>
        <w:rPr>
          <w:sz w:val="20"/>
          <w:szCs w:val="20"/>
          <w:color w:val="auto"/>
        </w:rPr>
      </w:pPr>
      <w:r>
        <w:rPr>
          <w:rFonts w:ascii="Arial" w:cs="Arial" w:eastAsia="Arial" w:hAnsi="Arial"/>
          <w:sz w:val="18"/>
          <w:szCs w:val="18"/>
          <w:b w:val="1"/>
          <w:bCs w:val="1"/>
          <w:color w:val="auto"/>
        </w:rPr>
        <w:t>5.4 Conflicts</w:t>
      </w:r>
      <w:r>
        <w:rPr>
          <w:rFonts w:ascii="Arial" w:cs="Arial" w:eastAsia="Arial" w:hAnsi="Arial"/>
          <w:sz w:val="18"/>
          <w:szCs w:val="18"/>
          <w:color w:val="auto"/>
        </w:rPr>
        <w:t>. If the terms of a Development Plan contradict, or create inconsistencies or ambiguities with, the terms of this Agreement, then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this Agreement shall govern.</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5.5 Development Costs.</w:t>
      </w:r>
    </w:p>
    <w:p>
      <w:pPr>
        <w:spacing w:after="0" w:line="229" w:lineRule="exact"/>
        <w:rPr>
          <w:sz w:val="20"/>
          <w:szCs w:val="20"/>
          <w:color w:val="auto"/>
        </w:rPr>
      </w:pPr>
    </w:p>
    <w:p>
      <w:pPr>
        <w:ind w:left="4" w:firstLine="436"/>
        <w:spacing w:after="0" w:line="289" w:lineRule="auto"/>
        <w:tabs>
          <w:tab w:leader="none" w:pos="689" w:val="left"/>
        </w:tabs>
        <w:numPr>
          <w:ilvl w:val="0"/>
          <w:numId w:val="188"/>
        </w:numPr>
        <w:rPr>
          <w:rFonts w:ascii="Arial" w:cs="Arial" w:eastAsia="Arial" w:hAnsi="Arial"/>
          <w:sz w:val="16"/>
          <w:szCs w:val="16"/>
          <w:color w:val="auto"/>
        </w:rPr>
      </w:pPr>
      <w:r>
        <w:rPr>
          <w:rFonts w:ascii="Arial" w:cs="Arial" w:eastAsia="Arial" w:hAnsi="Arial"/>
          <w:sz w:val="16"/>
          <w:szCs w:val="16"/>
          <w:color w:val="auto"/>
        </w:rPr>
        <w:t>Sanofi will reimburse RevMed for RevMed R&amp;D Costs incurred by or on behalf of RevMed after the Execution Date in the performance of its activities under the Development Plan, as applicable, provided that such RevMed R&amp;D Costs are incurred per the Development Budget, as applicable, for such activities as approved by the JSC and do not exceed [***]% of the applicable amounts set forth in the Development Budget for the particular Calendar Quarter. Promptly following the end of each Calendar Quarter during which RevMed is responsible for activities under any Development Plan, but in no event later than [***] following the end of such Calendar Quarter, RevMed will provide to Sanofi a detailed expense report in form approved by the JRDC with respect to the RevMed R&amp;D Costs incurred by or on behalf of RevMed during such Calendar Quarter consistent with the previous sentence (including, if requested by Sanofi in writing, copies of receipts or invoices from Third Parties for all RevMed Out-of-Pocket Costs) together with an invoice for the same, provided that [***]. Sanofi will reimburse RevMed in Dollars all undisputed amounts within such expense reports under this Section 5.5 within [***] following receipt of the invoice therefor. RevMed shall invoice Sanofi for costs under this Section 5.5 on an accrual basis.</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5.6 RevMed Studies</w:t>
      </w:r>
      <w:r>
        <w:rPr>
          <w:rFonts w:ascii="Arial" w:cs="Arial" w:eastAsia="Arial" w:hAnsi="Arial"/>
          <w:sz w:val="18"/>
          <w:szCs w:val="18"/>
          <w:color w:val="auto"/>
        </w:rPr>
        <w:t>.</w:t>
      </w:r>
    </w:p>
    <w:p>
      <w:pPr>
        <w:spacing w:after="0" w:line="229" w:lineRule="exact"/>
        <w:rPr>
          <w:sz w:val="20"/>
          <w:szCs w:val="20"/>
          <w:color w:val="auto"/>
        </w:rPr>
      </w:pPr>
    </w:p>
    <w:p>
      <w:pPr>
        <w:jc w:val="both"/>
        <w:ind w:left="4" w:right="100" w:firstLine="436"/>
        <w:spacing w:after="0" w:line="257" w:lineRule="auto"/>
        <w:tabs>
          <w:tab w:leader="none" w:pos="689" w:val="left"/>
        </w:tabs>
        <w:numPr>
          <w:ilvl w:val="1"/>
          <w:numId w:val="189"/>
        </w:numPr>
        <w:rPr>
          <w:rFonts w:ascii="Arial" w:cs="Arial" w:eastAsia="Arial" w:hAnsi="Arial"/>
          <w:sz w:val="18"/>
          <w:szCs w:val="18"/>
          <w:color w:val="auto"/>
        </w:rPr>
      </w:pPr>
      <w:r>
        <w:rPr>
          <w:rFonts w:ascii="Arial" w:cs="Arial" w:eastAsia="Arial" w:hAnsi="Arial"/>
          <w:sz w:val="18"/>
          <w:szCs w:val="18"/>
          <w:color w:val="auto"/>
        </w:rPr>
        <w:t>RevMed or its Affiliates may propose to the JRDC that the Parties conduct a Clinical Trial of a Product in the Field that is not included in the Development Plan for such Product, in which case RevMed shall present the proposed design and projected costs of such Clinical Trial to the JRDC. If Sanofi agrees to include such Clinical Trial and related costs in the Development Plan and Development Budget for such Product, the Parties shall prepare an updated Development Plan and Development Budget and such Clinical Trial shall become part of the Collaboration and subject to this Agreement.</w:t>
      </w:r>
    </w:p>
    <w:p>
      <w:pPr>
        <w:spacing w:after="0" w:line="187" w:lineRule="exact"/>
        <w:rPr>
          <w:rFonts w:ascii="Arial" w:cs="Arial" w:eastAsia="Arial" w:hAnsi="Arial"/>
          <w:sz w:val="18"/>
          <w:szCs w:val="18"/>
          <w:color w:val="auto"/>
        </w:rPr>
      </w:pPr>
    </w:p>
    <w:p>
      <w:pPr>
        <w:ind w:left="704" w:hanging="264"/>
        <w:spacing w:after="0"/>
        <w:tabs>
          <w:tab w:leader="none" w:pos="704" w:val="left"/>
        </w:tabs>
        <w:numPr>
          <w:ilvl w:val="1"/>
          <w:numId w:val="189"/>
        </w:numPr>
        <w:rPr>
          <w:rFonts w:ascii="Arial" w:cs="Arial" w:eastAsia="Arial" w:hAnsi="Arial"/>
          <w:sz w:val="16"/>
          <w:szCs w:val="16"/>
          <w:color w:val="auto"/>
        </w:rPr>
      </w:pPr>
      <w:r>
        <w:rPr>
          <w:rFonts w:ascii="Arial" w:cs="Arial" w:eastAsia="Arial" w:hAnsi="Arial"/>
          <w:sz w:val="16"/>
          <w:szCs w:val="16"/>
          <w:color w:val="auto"/>
        </w:rPr>
        <w:t>In the event Sanofi, through the JRDC, decides not to pursue a Clinical Trial that RevMed presents in accordance with Section 5.6(a), then</w:t>
      </w:r>
    </w:p>
    <w:p>
      <w:pPr>
        <w:spacing w:after="0" w:line="46" w:lineRule="exact"/>
        <w:rPr>
          <w:rFonts w:ascii="Arial" w:cs="Arial" w:eastAsia="Arial" w:hAnsi="Arial"/>
          <w:sz w:val="16"/>
          <w:szCs w:val="16"/>
          <w:color w:val="auto"/>
        </w:rPr>
      </w:pPr>
    </w:p>
    <w:p>
      <w:pPr>
        <w:ind w:left="4" w:right="60" w:hanging="4"/>
        <w:spacing w:after="0" w:line="281" w:lineRule="auto"/>
        <w:tabs>
          <w:tab w:leader="none" w:pos="219"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the matter will be escalated pursuant to Section 2.10 and (ii) notwithstanding anything to the contrary in Section 2.10(b), if such matter remains unresolved after the matter is escalated to Designated Senior Officers, then RevMed, subject to this Section 5.6(b), may elect to conduct such study, on its own and at its own expense, provided that if such study [***], RevMed shall not have the right to conduct such study unless Sanofi agrees in writing that RevMed may conduct such study (any such study so conducted, a “</w:t>
      </w:r>
      <w:r>
        <w:rPr>
          <w:rFonts w:ascii="Arial" w:cs="Arial" w:eastAsia="Arial" w:hAnsi="Arial"/>
          <w:sz w:val="16"/>
          <w:szCs w:val="16"/>
          <w:b w:val="1"/>
          <w:bCs w:val="1"/>
          <w:color w:val="auto"/>
        </w:rPr>
        <w:t>RevMed Study</w:t>
      </w:r>
      <w:r>
        <w:rPr>
          <w:rFonts w:ascii="Arial" w:cs="Arial" w:eastAsia="Arial" w:hAnsi="Arial"/>
          <w:sz w:val="16"/>
          <w:szCs w:val="16"/>
          <w:color w:val="auto"/>
        </w:rPr>
        <w:t>”). For purposes of determining whether subsections (x), (y) or</w:t>
      </w:r>
    </w:p>
    <w:p>
      <w:pPr>
        <w:spacing w:after="0" w:line="2" w:lineRule="exact"/>
        <w:rPr>
          <w:rFonts w:ascii="Arial" w:cs="Arial" w:eastAsia="Arial" w:hAnsi="Arial"/>
          <w:sz w:val="16"/>
          <w:szCs w:val="16"/>
          <w:color w:val="auto"/>
        </w:rPr>
      </w:pPr>
    </w:p>
    <w:p>
      <w:pPr>
        <w:ind w:left="244" w:hanging="244"/>
        <w:spacing w:after="0"/>
        <w:tabs>
          <w:tab w:leader="none" w:pos="244"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apply, RevMed shall, prior to commencing a RevMed Study, submit to the JRDC for comment and review</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84"/>
          </w:cols>
          <w:pgMar w:left="436" w:top="274" w:right="479" w:bottom="1440" w:gutter="0" w:footer="0" w:header="0"/>
        </w:sectPr>
      </w:pPr>
    </w:p>
    <w:bookmarkStart w:id="326" w:name="page327"/>
    <w:bookmarkEnd w:id="326"/>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protocol for such RevMed Study. Any disagreement among the JRDC members as to whether subsections (x), (y) or (z) apply shall be submitted for resolution to the Designated Senior Officers, provided that if the Designated Senior Officers do not agree on such matter, then RevMed shall not conduct such study. Provided that RevMed is permitted to conduct a RevMed Study, RevMed shall report to the JRDC on an ongoing basis any and all data arising from a RevMed Study (the “</w:t>
      </w:r>
      <w:r>
        <w:rPr>
          <w:rFonts w:ascii="Arial" w:cs="Arial" w:eastAsia="Arial" w:hAnsi="Arial"/>
          <w:sz w:val="18"/>
          <w:szCs w:val="18"/>
          <w:b w:val="1"/>
          <w:bCs w:val="1"/>
          <w:color w:val="auto"/>
        </w:rPr>
        <w:t>RevMed Study Data</w:t>
      </w:r>
      <w:r>
        <w:rPr>
          <w:rFonts w:ascii="Arial" w:cs="Arial" w:eastAsia="Arial" w:hAnsi="Arial"/>
          <w:sz w:val="18"/>
          <w:szCs w:val="18"/>
          <w:color w:val="auto"/>
        </w:rPr>
        <w:t>”) and provide the JRDC with updates and any other information pertaining to any RevMed Study as may be requested by the JRDC.</w:t>
      </w:r>
    </w:p>
    <w:p>
      <w:pPr>
        <w:spacing w:after="0" w:line="188" w:lineRule="exact"/>
        <w:rPr>
          <w:sz w:val="20"/>
          <w:szCs w:val="20"/>
          <w:color w:val="auto"/>
        </w:rPr>
      </w:pPr>
    </w:p>
    <w:p>
      <w:pPr>
        <w:ind w:right="40" w:firstLine="1432"/>
        <w:spacing w:after="0" w:line="263" w:lineRule="auto"/>
        <w:rPr>
          <w:sz w:val="20"/>
          <w:szCs w:val="20"/>
          <w:color w:val="auto"/>
        </w:rPr>
      </w:pPr>
      <w:r>
        <w:rPr>
          <w:rFonts w:ascii="Arial" w:cs="Arial" w:eastAsia="Arial" w:hAnsi="Arial"/>
          <w:sz w:val="18"/>
          <w:szCs w:val="18"/>
          <w:color w:val="auto"/>
        </w:rPr>
        <w:t>A. Sanofi shall have rights to use, at no additional cost, any RevMed Study Data in its performance of its obligations and exercise of its rights under the Collaboration except in connection with filing of MAAs for the Indication and Product Treatment Regimen that were the subject of such RevMed Study.</w:t>
      </w:r>
    </w:p>
    <w:p>
      <w:pPr>
        <w:spacing w:after="0" w:line="184" w:lineRule="exact"/>
        <w:rPr>
          <w:sz w:val="20"/>
          <w:szCs w:val="20"/>
          <w:color w:val="auto"/>
        </w:rPr>
      </w:pPr>
    </w:p>
    <w:p>
      <w:pPr>
        <w:ind w:right="20" w:firstLine="1432"/>
        <w:spacing w:after="0" w:line="255" w:lineRule="auto"/>
        <w:rPr>
          <w:sz w:val="20"/>
          <w:szCs w:val="20"/>
          <w:color w:val="auto"/>
        </w:rPr>
      </w:pPr>
      <w:r>
        <w:rPr>
          <w:rFonts w:ascii="Arial" w:cs="Arial" w:eastAsia="Arial" w:hAnsi="Arial"/>
          <w:sz w:val="18"/>
          <w:szCs w:val="18"/>
          <w:color w:val="auto"/>
        </w:rPr>
        <w:t>B. If Sanofi wishes to use, or actually uses, RevMed Study Data in support of filing a MAA for the Indication and Product Treatment Regimen that were the subject of such RevMed Study, it shall notify RevMed in writing and shall make a buy-in payment to RevMed in Dollars equal to [***] within [***] after the date that Sanofi receives a detailed invoice from RevMed setting forth [***]. In such case the RevMed Study shall be deemed a Clinical Trial under the Collaboration for all purposes, including that all Know-How conceived, reduced to practice, developed, made or otherwise generated by or on behalf of RevMed or its Affiliates in the course of the RevMed Study activities shall be deemed Program Inventions hereunder.</w:t>
      </w:r>
    </w:p>
    <w:p>
      <w:pPr>
        <w:spacing w:after="0" w:line="192"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C. Each Party shall have rights to use RevMed Study Data for internal research and development outside the scope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Collaboration.</w:t>
      </w:r>
    </w:p>
    <w:p>
      <w:pPr>
        <w:spacing w:after="0" w:line="207" w:lineRule="exact"/>
        <w:rPr>
          <w:sz w:val="20"/>
          <w:szCs w:val="20"/>
          <w:color w:val="auto"/>
        </w:rPr>
      </w:pPr>
    </w:p>
    <w:p>
      <w:pPr>
        <w:ind w:right="60" w:firstLine="440"/>
        <w:spacing w:after="0" w:line="289" w:lineRule="auto"/>
        <w:rPr>
          <w:sz w:val="20"/>
          <w:szCs w:val="20"/>
          <w:color w:val="auto"/>
        </w:rPr>
      </w:pPr>
      <w:r>
        <w:rPr>
          <w:rFonts w:ascii="Arial" w:cs="Arial" w:eastAsia="Arial" w:hAnsi="Arial"/>
          <w:sz w:val="17"/>
          <w:szCs w:val="17"/>
          <w:b w:val="1"/>
          <w:bCs w:val="1"/>
          <w:color w:val="auto"/>
        </w:rPr>
        <w:t>5.7 Diligence</w:t>
      </w:r>
      <w:r>
        <w:rPr>
          <w:rFonts w:ascii="Arial" w:cs="Arial" w:eastAsia="Arial" w:hAnsi="Arial"/>
          <w:sz w:val="17"/>
          <w:szCs w:val="17"/>
          <w:color w:val="auto"/>
        </w:rPr>
        <w:t>. Consistent with [***] or as otherwise agreed by the Parties, Sanofi shall use Commercially Reasonable Efforts [***] to file and</w:t>
      </w:r>
      <w:r>
        <w:rPr>
          <w:rFonts w:ascii="Arial" w:cs="Arial" w:eastAsia="Arial" w:hAnsi="Arial"/>
          <w:sz w:val="17"/>
          <w:szCs w:val="17"/>
          <w:b w:val="1"/>
          <w:bCs w:val="1"/>
          <w:color w:val="auto"/>
        </w:rPr>
        <w:t xml:space="preserve"> </w:t>
      </w:r>
      <w:r>
        <w:rPr>
          <w:rFonts w:ascii="Arial" w:cs="Arial" w:eastAsia="Arial" w:hAnsi="Arial"/>
          <w:sz w:val="17"/>
          <w:szCs w:val="17"/>
          <w:color w:val="auto"/>
        </w:rPr>
        <w:t>seek approval for an MAA for at least one Product in all of such countries or, in the case of the Major Market Countries in the European Union, through the centralized European Union approval process. If Sanofi materially breaches its obligation set forth in this Section 5.7, [***].</w:t>
      </w:r>
    </w:p>
    <w:p>
      <w:pPr>
        <w:spacing w:after="0" w:line="158" w:lineRule="exact"/>
        <w:rPr>
          <w:sz w:val="20"/>
          <w:szCs w:val="20"/>
          <w:color w:val="auto"/>
        </w:rPr>
      </w:pPr>
    </w:p>
    <w:p>
      <w:pPr>
        <w:ind w:firstLine="440"/>
        <w:spacing w:after="0" w:line="292" w:lineRule="auto"/>
        <w:rPr>
          <w:sz w:val="20"/>
          <w:szCs w:val="20"/>
          <w:color w:val="auto"/>
        </w:rPr>
      </w:pPr>
      <w:r>
        <w:rPr>
          <w:rFonts w:ascii="Arial" w:cs="Arial" w:eastAsia="Arial" w:hAnsi="Arial"/>
          <w:sz w:val="16"/>
          <w:szCs w:val="16"/>
          <w:b w:val="1"/>
          <w:bCs w:val="1"/>
          <w:color w:val="auto"/>
        </w:rPr>
        <w:t>5.8 Development Records</w:t>
      </w:r>
      <w:r>
        <w:rPr>
          <w:rFonts w:ascii="Arial" w:cs="Arial" w:eastAsia="Arial" w:hAnsi="Arial"/>
          <w:sz w:val="16"/>
          <w:szCs w:val="16"/>
          <w:color w:val="auto"/>
        </w:rPr>
        <w:t>. Each Party shall maintain complete, current and accurate records of all Development activities conducted by it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hereunder, and all data and other information resulting from such activities, for at least [***] after the expiration or termination of this Agreement in its entirety or for such longer period as may be required by Applicable Law. Such records shall fully and properly reflect all work done and results achieved in the performance of the Development activities in good scientific manner appropriate for regulatory and patent purposes. Each Party shall document all non-clinical studies and Clinical Trials for Products in formal written study reports in accordance with Applicable Law and national and international guidelines </w:t>
      </w:r>
      <w:r>
        <w:rPr>
          <w:rFonts w:ascii="Arial" w:cs="Arial" w:eastAsia="Arial" w:hAnsi="Arial"/>
          <w:sz w:val="16"/>
          <w:szCs w:val="16"/>
          <w:i w:val="1"/>
          <w:iCs w:val="1"/>
          <w:color w:val="auto"/>
        </w:rPr>
        <w:t>(e.g.</w:t>
      </w:r>
      <w:r>
        <w:rPr>
          <w:rFonts w:ascii="Arial" w:cs="Arial" w:eastAsia="Arial" w:hAnsi="Arial"/>
          <w:sz w:val="16"/>
          <w:szCs w:val="16"/>
          <w:color w:val="auto"/>
        </w:rPr>
        <w:t>, GCP, GLP, and GMP). Each Party shall have the right to review and copy such records maintained by the other Party at reasonable times and to obtain access to the original to the extent necessary for regulatory and patent purposes or for other legal proceedings.</w:t>
      </w:r>
    </w:p>
    <w:p>
      <w:pPr>
        <w:spacing w:after="0" w:line="161" w:lineRule="exact"/>
        <w:rPr>
          <w:sz w:val="20"/>
          <w:szCs w:val="20"/>
          <w:color w:val="auto"/>
        </w:rPr>
      </w:pPr>
    </w:p>
    <w:p>
      <w:pPr>
        <w:jc w:val="both"/>
        <w:ind w:right="200" w:firstLine="440"/>
        <w:spacing w:after="0" w:line="266" w:lineRule="auto"/>
        <w:rPr>
          <w:sz w:val="20"/>
          <w:szCs w:val="20"/>
          <w:color w:val="auto"/>
        </w:rPr>
      </w:pPr>
      <w:r>
        <w:rPr>
          <w:rFonts w:ascii="Arial" w:cs="Arial" w:eastAsia="Arial" w:hAnsi="Arial"/>
          <w:sz w:val="18"/>
          <w:szCs w:val="18"/>
          <w:b w:val="1"/>
          <w:bCs w:val="1"/>
          <w:color w:val="auto"/>
        </w:rPr>
        <w:t>5.9 Data Exchange and Development Reports</w:t>
      </w:r>
      <w:r>
        <w:rPr>
          <w:rFonts w:ascii="Arial" w:cs="Arial" w:eastAsia="Arial" w:hAnsi="Arial"/>
          <w:sz w:val="18"/>
          <w:szCs w:val="18"/>
          <w:color w:val="auto"/>
        </w:rPr>
        <w:t>. In addition to adverse event and safety data reporting obligations pursuant to Section 6.5, each</w:t>
      </w:r>
      <w:r>
        <w:rPr>
          <w:rFonts w:ascii="Arial" w:cs="Arial" w:eastAsia="Arial" w:hAnsi="Arial"/>
          <w:sz w:val="18"/>
          <w:szCs w:val="18"/>
          <w:b w:val="1"/>
          <w:bCs w:val="1"/>
          <w:color w:val="auto"/>
        </w:rPr>
        <w:t xml:space="preserve"> </w:t>
      </w:r>
      <w:r>
        <w:rPr>
          <w:rFonts w:ascii="Arial" w:cs="Arial" w:eastAsia="Arial" w:hAnsi="Arial"/>
          <w:sz w:val="18"/>
          <w:szCs w:val="18"/>
          <w:color w:val="auto"/>
        </w:rPr>
        <w:t>Party shall promptly provide the other Party with copies of all data and results generated by or on behalf of such Party in the course of performing the Development activities hereunder, including, in each case of data arising from</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327" w:name="page328"/>
    <w:bookmarkEnd w:id="327"/>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Clinical Trials for Products, or in such form as the JRDC may agree from time to time. Each Party shall provide the JRDC with regular reports detailing its Development activities for the Products, and the results of such activities at each regularly scheduled JRDC meeting. The Parties shall discuss the status, progress and results of each Party’s Development activities at such JRDC meetings.</w:t>
      </w:r>
    </w:p>
    <w:p>
      <w:pPr>
        <w:spacing w:after="0" w:line="180" w:lineRule="exact"/>
        <w:rPr>
          <w:sz w:val="20"/>
          <w:szCs w:val="20"/>
          <w:color w:val="auto"/>
        </w:rPr>
      </w:pPr>
    </w:p>
    <w:p>
      <w:pPr>
        <w:ind w:right="500" w:firstLine="440"/>
        <w:spacing w:after="0" w:line="347" w:lineRule="auto"/>
        <w:rPr>
          <w:sz w:val="20"/>
          <w:szCs w:val="20"/>
          <w:color w:val="auto"/>
        </w:rPr>
      </w:pPr>
      <w:r>
        <w:rPr>
          <w:rFonts w:ascii="Arial" w:cs="Arial" w:eastAsia="Arial" w:hAnsi="Arial"/>
          <w:sz w:val="16"/>
          <w:szCs w:val="16"/>
          <w:b w:val="1"/>
          <w:bCs w:val="1"/>
          <w:color w:val="auto"/>
        </w:rPr>
        <w:t>5.10 Clinical Samples</w:t>
      </w:r>
      <w:r>
        <w:rPr>
          <w:rFonts w:ascii="Arial" w:cs="Arial" w:eastAsia="Arial" w:hAnsi="Arial"/>
          <w:sz w:val="16"/>
          <w:szCs w:val="16"/>
          <w:color w:val="auto"/>
        </w:rPr>
        <w:t>. The Party who sponsors the applicable Clinical Trial of SHP2 Inhibitors shall retain and archive all clinical samples</w:t>
      </w:r>
      <w:r>
        <w:rPr>
          <w:rFonts w:ascii="Arial" w:cs="Arial" w:eastAsia="Arial" w:hAnsi="Arial"/>
          <w:sz w:val="16"/>
          <w:szCs w:val="16"/>
          <w:b w:val="1"/>
          <w:bCs w:val="1"/>
          <w:color w:val="auto"/>
        </w:rPr>
        <w:t xml:space="preserve"> </w:t>
      </w:r>
      <w:r>
        <w:rPr>
          <w:rFonts w:ascii="Arial" w:cs="Arial" w:eastAsia="Arial" w:hAnsi="Arial"/>
          <w:sz w:val="16"/>
          <w:szCs w:val="16"/>
          <w:color w:val="auto"/>
        </w:rPr>
        <w:t>obtained by such Party in the course of such Clinical Trial, and shall provide the other Party reasonable access to such retained clinical samples.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REGULATORY</w:t>
      </w:r>
    </w:p>
    <w:p>
      <w:pPr>
        <w:spacing w:after="0" w:line="225" w:lineRule="exact"/>
        <w:rPr>
          <w:sz w:val="20"/>
          <w:szCs w:val="20"/>
          <w:color w:val="auto"/>
        </w:rPr>
      </w:pPr>
    </w:p>
    <w:p>
      <w:pPr>
        <w:ind w:right="340" w:firstLine="440"/>
        <w:spacing w:after="0" w:line="277" w:lineRule="auto"/>
        <w:rPr>
          <w:sz w:val="20"/>
          <w:szCs w:val="20"/>
          <w:color w:val="auto"/>
        </w:rPr>
      </w:pPr>
      <w:r>
        <w:rPr>
          <w:rFonts w:ascii="Arial" w:cs="Arial" w:eastAsia="Arial" w:hAnsi="Arial"/>
          <w:sz w:val="17"/>
          <w:szCs w:val="17"/>
          <w:b w:val="1"/>
          <w:bCs w:val="1"/>
          <w:color w:val="auto"/>
        </w:rPr>
        <w:t>6.1 Regulatory Responsibilities</w:t>
      </w:r>
      <w:r>
        <w:rPr>
          <w:rFonts w:ascii="Arial" w:cs="Arial" w:eastAsia="Arial" w:hAnsi="Arial"/>
          <w:sz w:val="17"/>
          <w:szCs w:val="17"/>
          <w:color w:val="auto"/>
        </w:rPr>
        <w:t>. Subject to the Parties’ cooperation as set forth in Section 6.3, and except as otherwise set forth in a</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Plan or this Article VI, Sanofi shall have the sole right and responsibility to perform all regulatory activities under the Collaboration (including conducting all correspondence and communications with Regulatory Authorities and filing all Marketing Authorization Applications and other filings with Regulatory Authorities). The Development Plan shall set forth the regulatory strategy for seeking Regulatory Approval for the Products in the Field by the FDA, EMA and other Regulatory Authorities in the Major Market Countries.</w:t>
      </w:r>
    </w:p>
    <w:p>
      <w:pPr>
        <w:spacing w:after="0" w:line="168"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b w:val="1"/>
          <w:bCs w:val="1"/>
          <w:color w:val="auto"/>
        </w:rPr>
        <w:t>6.2 Regulatory Materials and Database</w:t>
      </w:r>
      <w:r>
        <w:rPr>
          <w:rFonts w:ascii="Arial" w:cs="Arial" w:eastAsia="Arial" w:hAnsi="Arial"/>
          <w:sz w:val="18"/>
          <w:szCs w:val="18"/>
          <w:color w:val="auto"/>
        </w:rPr>
        <w:t>. All INDs in existence as of the Effective Date related to a Product shall be solely owned and held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name of RevMed or its Affiliate for so long as necessary for RevMed to conduct any Clinical Trial for such Product it is responsible for under the Development Plan for such Product. Following the Effective Date, each Party shall file and hold the IND and NDA for all Products in Clinical Trials conducted by it. Once RevMed has completed conducting all Clinical Trials for a Product assigned to it under the Development Plan for such Product, RevMed agrees to assign, and hereby does assign, to Sanofi all of its rights, title and interests in and to all Regulatory Approvals (including INDs and NDAs) for such Product.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6.3 Cooperation</w:t>
      </w:r>
      <w:r>
        <w:rPr>
          <w:rFonts w:ascii="Arial" w:cs="Arial" w:eastAsia="Arial" w:hAnsi="Arial"/>
          <w:sz w:val="16"/>
          <w:szCs w:val="16"/>
          <w:color w:val="auto"/>
        </w:rPr>
        <w:t>. For each Product, each Party shall cooperate reasonably with the other Party with respect to all regulatory activities under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Research Plan or Development Plans relating to the Products. Without limiting the foregoing, for such activities, each Party:</w:t>
      </w:r>
    </w:p>
    <w:p>
      <w:pPr>
        <w:spacing w:after="0" w:line="103" w:lineRule="exact"/>
        <w:rPr>
          <w:sz w:val="20"/>
          <w:szCs w:val="20"/>
          <w:color w:val="auto"/>
        </w:rPr>
      </w:pPr>
    </w:p>
    <w:p>
      <w:pPr>
        <w:ind w:right="140" w:firstLine="436"/>
        <w:spacing w:after="0" w:line="263" w:lineRule="auto"/>
        <w:tabs>
          <w:tab w:leader="none" w:pos="68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shall meet and discuss with the other Party through the JRDC the timing, strategy and presentation of the Pre-Registrational Meeting with the goal of developing the Registration Program and setting the regulatory path to obtain Regulatory Approval for the Product from the FDA, EMA, and PMDA;</w:t>
      </w:r>
    </w:p>
    <w:p>
      <w:pPr>
        <w:spacing w:after="0" w:line="183" w:lineRule="exact"/>
        <w:rPr>
          <w:rFonts w:ascii="Arial" w:cs="Arial" w:eastAsia="Arial" w:hAnsi="Arial"/>
          <w:sz w:val="18"/>
          <w:szCs w:val="18"/>
          <w:color w:val="auto"/>
        </w:rPr>
      </w:pPr>
    </w:p>
    <w:p>
      <w:pPr>
        <w:ind w:left="700" w:hanging="264"/>
        <w:spacing w:after="0"/>
        <w:tabs>
          <w:tab w:leader="none" w:pos="7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shall consult with each other with respect to the preparation of the Data Package;</w:t>
      </w:r>
    </w:p>
    <w:p>
      <w:pPr>
        <w:spacing w:after="0" w:line="225" w:lineRule="exact"/>
        <w:rPr>
          <w:rFonts w:ascii="Arial" w:cs="Arial" w:eastAsia="Arial" w:hAnsi="Arial"/>
          <w:sz w:val="18"/>
          <w:szCs w:val="18"/>
          <w:color w:val="auto"/>
        </w:rPr>
      </w:pPr>
    </w:p>
    <w:p>
      <w:pPr>
        <w:ind w:right="80" w:firstLine="436"/>
        <w:spacing w:after="0" w:line="259" w:lineRule="auto"/>
        <w:tabs>
          <w:tab w:leader="none" w:pos="68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shall consult with the other Party through the JRDC regarding material regulatory matters pertaining to all Regulatory Materials of the Products in the United States, European Union and the Major Market Countries outside the European Union, including plans, strategies, filings, reports, updates and supplements in connection therewith and perform its responsibilities in connection with the preparation of the portion of such Regulatory Materials allocated to such Party for preparation in the Development Plan;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328" w:name="page329"/>
    <w:bookmarkEnd w:id="328"/>
    <w:p>
      <w:pPr>
        <w:ind w:right="100" w:firstLine="436"/>
        <w:spacing w:after="0" w:line="259" w:lineRule="auto"/>
        <w:tabs>
          <w:tab w:leader="none" w:pos="695" w:val="left"/>
        </w:tabs>
        <w:numPr>
          <w:ilvl w:val="0"/>
          <w:numId w:val="1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provide the other Party with drafts of any Regulatory Materials for the Products to be submitted by such Party to any Regulatory Authority in the United States, European Union and the Major Market Countries outside the European Union within a reasonable time (but in no event less than [***], unless impractical) prior to submission for review and comment, and shall consider in good faith any comments received from the other Party;</w:t>
      </w:r>
    </w:p>
    <w:p>
      <w:pPr>
        <w:spacing w:after="0" w:line="186" w:lineRule="exact"/>
        <w:rPr>
          <w:rFonts w:ascii="Arial" w:cs="Arial" w:eastAsia="Arial" w:hAnsi="Arial"/>
          <w:sz w:val="18"/>
          <w:szCs w:val="18"/>
          <w:color w:val="auto"/>
        </w:rPr>
      </w:pPr>
    </w:p>
    <w:p>
      <w:pPr>
        <w:ind w:right="300" w:firstLine="436"/>
        <w:spacing w:after="0" w:line="263" w:lineRule="auto"/>
        <w:tabs>
          <w:tab w:leader="none" w:pos="68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shall provide the other Party with copies in electronic format (e.g., eCTD format) of any Regulatory Materials submitted to and any correspondence received from any Regulatory Authority in the United States, European Union and the Major Market Countries outside the European Union pertaining to the Products promptly after its submission or receipt by such Party; and</w:t>
      </w:r>
    </w:p>
    <w:p>
      <w:pPr>
        <w:spacing w:after="0" w:line="183" w:lineRule="exact"/>
        <w:rPr>
          <w:rFonts w:ascii="Arial" w:cs="Arial" w:eastAsia="Arial" w:hAnsi="Arial"/>
          <w:sz w:val="18"/>
          <w:szCs w:val="18"/>
          <w:color w:val="auto"/>
        </w:rPr>
      </w:pPr>
    </w:p>
    <w:p>
      <w:pPr>
        <w:ind w:right="200" w:firstLine="436"/>
        <w:spacing w:after="0" w:line="308" w:lineRule="auto"/>
        <w:tabs>
          <w:tab w:leader="none" w:pos="665" w:val="left"/>
        </w:tabs>
        <w:numPr>
          <w:ilvl w:val="0"/>
          <w:numId w:val="193"/>
        </w:numPr>
        <w:rPr>
          <w:rFonts w:ascii="Arial" w:cs="Arial" w:eastAsia="Arial" w:hAnsi="Arial"/>
          <w:sz w:val="17"/>
          <w:szCs w:val="17"/>
          <w:color w:val="auto"/>
        </w:rPr>
      </w:pPr>
      <w:r>
        <w:rPr>
          <w:rFonts w:ascii="Arial" w:cs="Arial" w:eastAsia="Arial" w:hAnsi="Arial"/>
          <w:sz w:val="17"/>
          <w:szCs w:val="17"/>
          <w:color w:val="auto"/>
        </w:rPr>
        <w:t>shall provide the other Party written minutes or other records of any material oral discussions with any Regulatory Authority in the European Union and the Major Market Countries outside the European Union pertaining to the Products promptly after any such discussion.</w:t>
      </w:r>
    </w:p>
    <w:p>
      <w:pPr>
        <w:spacing w:after="0" w:line="146" w:lineRule="exact"/>
        <w:rPr>
          <w:sz w:val="20"/>
          <w:szCs w:val="20"/>
          <w:color w:val="auto"/>
        </w:rPr>
      </w:pPr>
    </w:p>
    <w:p>
      <w:pPr>
        <w:ind w:right="60" w:firstLine="440"/>
        <w:spacing w:after="0" w:line="311" w:lineRule="auto"/>
        <w:rPr>
          <w:sz w:val="20"/>
          <w:szCs w:val="20"/>
          <w:color w:val="auto"/>
        </w:rPr>
      </w:pPr>
      <w:r>
        <w:rPr>
          <w:rFonts w:ascii="Arial" w:cs="Arial" w:eastAsia="Arial" w:hAnsi="Arial"/>
          <w:sz w:val="16"/>
          <w:szCs w:val="16"/>
          <w:color w:val="auto"/>
        </w:rPr>
        <w:t>If any Regulatory Material to be provided under this Section 6.3 was originally created in a language other than the English language, if requested by the receiving Party, the providing Party shall provide an English translation along with the original document to the receiving Party at the receiving Party’s cost if such translation would not normally be made by the providing Party in accordance with its standard operating procedures.</w:t>
      </w:r>
    </w:p>
    <w:p>
      <w:pPr>
        <w:spacing w:after="0" w:line="145" w:lineRule="exact"/>
        <w:rPr>
          <w:sz w:val="20"/>
          <w:szCs w:val="20"/>
          <w:color w:val="auto"/>
        </w:rPr>
      </w:pPr>
    </w:p>
    <w:p>
      <w:pPr>
        <w:ind w:right="120" w:firstLine="440"/>
        <w:spacing w:after="0" w:line="271" w:lineRule="auto"/>
        <w:rPr>
          <w:sz w:val="20"/>
          <w:szCs w:val="20"/>
          <w:color w:val="auto"/>
        </w:rPr>
      </w:pPr>
      <w:r>
        <w:rPr>
          <w:rFonts w:ascii="Arial" w:cs="Arial" w:eastAsia="Arial" w:hAnsi="Arial"/>
          <w:sz w:val="17"/>
          <w:szCs w:val="17"/>
          <w:b w:val="1"/>
          <w:bCs w:val="1"/>
          <w:color w:val="auto"/>
        </w:rPr>
        <w:t>6.4 Meetings with Regulatory Authorities</w:t>
      </w:r>
      <w:r>
        <w:rPr>
          <w:rFonts w:ascii="Arial" w:cs="Arial" w:eastAsia="Arial" w:hAnsi="Arial"/>
          <w:sz w:val="17"/>
          <w:szCs w:val="17"/>
          <w:color w:val="auto"/>
        </w:rPr>
        <w:t>. The Development Plan shall set forth which Party shall lead and present at each meeting or</w:t>
      </w:r>
      <w:r>
        <w:rPr>
          <w:rFonts w:ascii="Arial" w:cs="Arial" w:eastAsia="Arial" w:hAnsi="Arial"/>
          <w:sz w:val="17"/>
          <w:szCs w:val="17"/>
          <w:b w:val="1"/>
          <w:bCs w:val="1"/>
          <w:color w:val="auto"/>
        </w:rPr>
        <w:t xml:space="preserve"> </w:t>
      </w:r>
      <w:r>
        <w:rPr>
          <w:rFonts w:ascii="Arial" w:cs="Arial" w:eastAsia="Arial" w:hAnsi="Arial"/>
          <w:sz w:val="17"/>
          <w:szCs w:val="17"/>
          <w:color w:val="auto"/>
        </w:rPr>
        <w:t>teleconference with Regulatory Authorities for the applicable Product, provided that, notwithstanding the foregoing, RevMed shall lead and present at such meetings or teleconferences with respect to any RevMed Studies and for Clinical Trials conducted under RevMed’s IND while RevMed remains the holder of such IND. The Party leading such regulatory interactions shall provide the other Party with advance notification of any in-person meeting or teleconference with the Regulatory Authorities that relates to the Development of any Product as promptly as possible after such meeting has been scheduled, but in no event less than [***] before the meeting is scheduled to occur. The Party leading such regulatory interactions shall, as applicable, seek permission from the Regulatory Authority for representatives of the other Party to attend any such meeting or teleconference, and such other Party shall have the right, but not the obligation, to have its representatives attend (but, unless otherwise requested by the Party responsible for such meeting, not participate in) such meetings.</w:t>
      </w:r>
    </w:p>
    <w:p>
      <w:pPr>
        <w:spacing w:after="0" w:line="174"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b w:val="1"/>
          <w:bCs w:val="1"/>
          <w:color w:val="auto"/>
        </w:rPr>
        <w:t>6.5 Adverse Events Reporting</w:t>
      </w:r>
      <w:r>
        <w:rPr>
          <w:rFonts w:ascii="Arial" w:cs="Arial" w:eastAsia="Arial" w:hAnsi="Arial"/>
          <w:sz w:val="18"/>
          <w:szCs w:val="18"/>
          <w:color w:val="auto"/>
        </w:rPr>
        <w:t>. Following the Effective Date, but in any case prior to the Initiation of the first Clinical Trial for a Product or</w:t>
      </w:r>
      <w:r>
        <w:rPr>
          <w:rFonts w:ascii="Arial" w:cs="Arial" w:eastAsia="Arial" w:hAnsi="Arial"/>
          <w:sz w:val="18"/>
          <w:szCs w:val="18"/>
          <w:b w:val="1"/>
          <w:bCs w:val="1"/>
          <w:color w:val="auto"/>
        </w:rPr>
        <w:t xml:space="preserve"> </w:t>
      </w:r>
      <w:r>
        <w:rPr>
          <w:rFonts w:ascii="Arial" w:cs="Arial" w:eastAsia="Arial" w:hAnsi="Arial"/>
          <w:sz w:val="18"/>
          <w:szCs w:val="18"/>
          <w:color w:val="auto"/>
        </w:rPr>
        <w:t>earlier upon the written request of either Party, the Parties shall enter into a pharmacovigilance agreement setting forth the worldwide pharmacovigilance procedures for the Parties with respect to the Products, such as safety data sharing, adverse events reporting and safety profile monitoring (the “</w:t>
      </w:r>
      <w:r>
        <w:rPr>
          <w:rFonts w:ascii="Arial" w:cs="Arial" w:eastAsia="Arial" w:hAnsi="Arial"/>
          <w:sz w:val="18"/>
          <w:szCs w:val="18"/>
          <w:b w:val="1"/>
          <w:bCs w:val="1"/>
          <w:color w:val="auto"/>
        </w:rPr>
        <w:t>Pharmacovigilance Agreement</w:t>
      </w:r>
      <w:r>
        <w:rPr>
          <w:rFonts w:ascii="Arial" w:cs="Arial" w:eastAsia="Arial" w:hAnsi="Arial"/>
          <w:sz w:val="18"/>
          <w:szCs w:val="18"/>
          <w:color w:val="auto"/>
        </w:rPr>
        <w:t>”). Such procedures shall be in accordance with, and enable the Parties to fulfill, local and national regulatory reporting obligations under Applicable Law. Each Party shall be responsible for reporting quality complaints, adverse events and safety data related to the Products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20"/>
          </w:cols>
          <w:pgMar w:left="440" w:top="274" w:right="439" w:bottom="1440" w:gutter="0" w:footer="0" w:header="0"/>
        </w:sectPr>
      </w:pPr>
    </w:p>
    <w:bookmarkStart w:id="329" w:name="page330"/>
    <w:bookmarkEnd w:id="329"/>
    <w:p>
      <w:pPr>
        <w:ind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applicable Regulatory Authorities in its territory, as well as responding to safety issues and to all requests of Regulatory Authorities related to the Products in its territory, in each case at its own cost. The initial global safety database shall be established by RevMed using its Permitted Contractors or Researchers, and RevMed shall, at RevMed’s sole cost and expense, transfer such global safety database to Sanofi upon Sanofi’s written request reasonably in advance of the desired transfer date, which transfer date shall be no later than [***] prior to the initiation of Sanofi’s first Clinical Trial for a Product and in the form requested by Sanofi. Prior to such transfer RevMed shall provide to Sanofi all safety information obtained by RevMed for the Products prior to Sanofi’s assumption of the global safety database. Each Party agrees to comply with its respective obligations under the Pharmacovigilance Agreement and to cause its Affiliates, and Sublicensees to comply with such obligations.</w:t>
      </w:r>
    </w:p>
    <w:p>
      <w:pPr>
        <w:spacing w:after="0" w:line="173"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b w:val="1"/>
          <w:bCs w:val="1"/>
          <w:color w:val="auto"/>
        </w:rPr>
        <w:t>6.6 Notification of Threatened Action</w:t>
      </w:r>
      <w:r>
        <w:rPr>
          <w:rFonts w:ascii="Arial" w:cs="Arial" w:eastAsia="Arial" w:hAnsi="Arial"/>
          <w:sz w:val="18"/>
          <w:szCs w:val="18"/>
          <w:color w:val="auto"/>
        </w:rPr>
        <w:t>. Each Party shall immediately notify the other Party of any information it receives regarding any</w:t>
      </w:r>
      <w:r>
        <w:rPr>
          <w:rFonts w:ascii="Arial" w:cs="Arial" w:eastAsia="Arial" w:hAnsi="Arial"/>
          <w:sz w:val="18"/>
          <w:szCs w:val="18"/>
          <w:b w:val="1"/>
          <w:bCs w:val="1"/>
          <w:color w:val="auto"/>
        </w:rPr>
        <w:t xml:space="preserve"> </w:t>
      </w:r>
      <w:r>
        <w:rPr>
          <w:rFonts w:ascii="Arial" w:cs="Arial" w:eastAsia="Arial" w:hAnsi="Arial"/>
          <w:sz w:val="18"/>
          <w:szCs w:val="18"/>
          <w:color w:val="auto"/>
        </w:rPr>
        <w:t>threatened or pending action, inspection or communication by any Regulatory Authority, which may affect the safety or efficacy claims of any Product or the continued marketing of any Product. Upon receipt of such information, the Parties shall promptly consult with each other in an effort to arrive at a mutually acceptable procedure for taking appropriate action.</w:t>
      </w:r>
    </w:p>
    <w:p>
      <w:pPr>
        <w:spacing w:after="0" w:line="180"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b w:val="1"/>
          <w:bCs w:val="1"/>
          <w:color w:val="auto"/>
        </w:rPr>
        <w:t>6.7 Remedial Actions</w:t>
      </w:r>
      <w:r>
        <w:rPr>
          <w:rFonts w:ascii="Arial" w:cs="Arial" w:eastAsia="Arial" w:hAnsi="Arial"/>
          <w:sz w:val="16"/>
          <w:szCs w:val="16"/>
          <w:color w:val="auto"/>
        </w:rPr>
        <w:t>. Each Party shall notify the other immediately, and promptly confirm such notice in writing, if it obtains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indicating that any Product may be subject to any recall, corrective action, market withdrawal or other similar regulatory action with respect to the Product taken by virtue of Applicable Law (a “</w:t>
      </w:r>
      <w:r>
        <w:rPr>
          <w:rFonts w:ascii="Arial" w:cs="Arial" w:eastAsia="Arial" w:hAnsi="Arial"/>
          <w:sz w:val="16"/>
          <w:szCs w:val="16"/>
          <w:b w:val="1"/>
          <w:bCs w:val="1"/>
          <w:color w:val="auto"/>
        </w:rPr>
        <w:t>Remedial Action</w:t>
      </w:r>
      <w:r>
        <w:rPr>
          <w:rFonts w:ascii="Arial" w:cs="Arial" w:eastAsia="Arial" w:hAnsi="Arial"/>
          <w:sz w:val="16"/>
          <w:szCs w:val="16"/>
          <w:color w:val="auto"/>
        </w:rPr>
        <w:t>”). The Parties shall fully assist each other in gathering and evaluating such information as is necessary to determine the necessity of conducting a Remedial Action. Each Party shall, and shall ensure that its Affiliates, Sublicensees, (sub)contractors and Distributors shall, maintain adequate records to permit the Parties to trace the Manufacture, distribution and use of the Products, as required by Applicable Law. Sanofi shall have sole discretion with respect to any matters relating to any Remedial Action in the Licensed Territory, including the decision to commence such Remedial Action and the control over such Remedial Action, at its sole cost and expense; provided that to the extent such Remedial Action results from (a) the breach of RevMed’s obligations hereunder or under any Ancillary Agreement or (b) the negligence, recklessness or willful misconduct of RevMed or its Affiliate, in each case, RevMed shall bear the costs and expenses of such Remedial Action.</w:t>
      </w:r>
    </w:p>
    <w:p>
      <w:pPr>
        <w:spacing w:after="0" w:line="166" w:lineRule="exact"/>
        <w:rPr>
          <w:sz w:val="20"/>
          <w:szCs w:val="20"/>
          <w:color w:val="auto"/>
        </w:rPr>
      </w:pPr>
    </w:p>
    <w:p>
      <w:pPr>
        <w:jc w:val="both"/>
        <w:ind w:firstLine="440"/>
        <w:spacing w:after="0" w:line="314" w:lineRule="auto"/>
        <w:rPr>
          <w:sz w:val="20"/>
          <w:szCs w:val="20"/>
          <w:color w:val="auto"/>
        </w:rPr>
      </w:pPr>
      <w:r>
        <w:rPr>
          <w:rFonts w:ascii="Arial" w:cs="Arial" w:eastAsia="Arial" w:hAnsi="Arial"/>
          <w:sz w:val="16"/>
          <w:szCs w:val="16"/>
          <w:b w:val="1"/>
          <w:bCs w:val="1"/>
          <w:color w:val="auto"/>
        </w:rPr>
        <w:t>6.8 Compassionate Use</w:t>
      </w:r>
      <w:r>
        <w:rPr>
          <w:rFonts w:ascii="Arial" w:cs="Arial" w:eastAsia="Arial" w:hAnsi="Arial"/>
          <w:sz w:val="16"/>
          <w:szCs w:val="16"/>
          <w:color w:val="auto"/>
        </w:rPr>
        <w:t>. Promptly after the Pre-Registrational Meeting with the FDA, EMA, and PMDA for a particular Product (or in the case in</w:t>
      </w:r>
      <w:r>
        <w:rPr>
          <w:rFonts w:ascii="Arial" w:cs="Arial" w:eastAsia="Arial" w:hAnsi="Arial"/>
          <w:sz w:val="16"/>
          <w:szCs w:val="16"/>
          <w:b w:val="1"/>
          <w:bCs w:val="1"/>
          <w:color w:val="auto"/>
        </w:rPr>
        <w:t xml:space="preserve"> </w:t>
      </w:r>
      <w:r>
        <w:rPr>
          <w:rFonts w:ascii="Arial" w:cs="Arial" w:eastAsia="Arial" w:hAnsi="Arial"/>
          <w:sz w:val="16"/>
          <w:szCs w:val="16"/>
          <w:color w:val="auto"/>
        </w:rPr>
        <w:t>which a Product is only being developed for the US or the EU, but not both, after the applicable FDA, EMA or PMDA Pre-Registrational Meeting) or at a time otherwise agreed by the Parties, the JRDC shall decide on a procedure for managing Product requests for compassionate use.</w:t>
      </w:r>
    </w:p>
    <w:p>
      <w:pPr>
        <w:spacing w:after="0" w:line="142" w:lineRule="exact"/>
        <w:rPr>
          <w:sz w:val="20"/>
          <w:szCs w:val="20"/>
          <w:color w:val="auto"/>
        </w:rPr>
      </w:pPr>
    </w:p>
    <w:p>
      <w:pPr>
        <w:ind w:right="120" w:firstLine="440"/>
        <w:spacing w:after="0" w:line="258" w:lineRule="auto"/>
        <w:rPr>
          <w:sz w:val="20"/>
          <w:szCs w:val="20"/>
          <w:color w:val="auto"/>
        </w:rPr>
      </w:pPr>
      <w:r>
        <w:rPr>
          <w:rFonts w:ascii="Arial" w:cs="Arial" w:eastAsia="Arial" w:hAnsi="Arial"/>
          <w:sz w:val="18"/>
          <w:szCs w:val="18"/>
          <w:b w:val="1"/>
          <w:bCs w:val="1"/>
          <w:color w:val="auto"/>
        </w:rPr>
        <w:t>6.9 Audit Vendors &amp; Contractors</w:t>
      </w:r>
      <w:r>
        <w:rPr>
          <w:rFonts w:ascii="Arial" w:cs="Arial" w:eastAsia="Arial" w:hAnsi="Arial"/>
          <w:sz w:val="18"/>
          <w:szCs w:val="18"/>
          <w:color w:val="auto"/>
        </w:rPr>
        <w:t>. Each Party shall have in place standard operating procedures for their vendor management processes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with respect to compliance). Each Party shall notify the other Party of any inspections of such Party or any of its Affiliates or subcontractors conducted by any Regulatory Authority or other government entity and any related findings to the extent that such inspections relate to the activities conducted hereunder. In addition, Sanofi shall have the right to conduct customary reviews and audits of RevMed and its Affiliates and subcontractors (provided that, with respect to Permitted Contractors or Researchers that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330" w:name="page331"/>
    <w:bookmarkEnd w:id="330"/>
    <w:p>
      <w:pPr>
        <w:jc w:val="both"/>
        <w:ind w:right="2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RevMed entered into a written agreements with prior to the Effective Date, such right of Sanofi shall be to the extent RevMed has the right to permit Sanofi to do so under such written agreements, and provided further, that RevMed shall use Commercially Reasonable Efforts to secure such right for Sanofi where one does not exist).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MANUFACTURING AND SUPPLY</w:t>
      </w:r>
    </w:p>
    <w:p>
      <w:pPr>
        <w:spacing w:after="0" w:line="225" w:lineRule="exact"/>
        <w:rPr>
          <w:sz w:val="20"/>
          <w:szCs w:val="20"/>
          <w:color w:val="auto"/>
        </w:rPr>
      </w:pPr>
    </w:p>
    <w:p>
      <w:pPr>
        <w:ind w:right="40" w:firstLine="440"/>
        <w:spacing w:after="0" w:line="258" w:lineRule="auto"/>
        <w:rPr>
          <w:sz w:val="20"/>
          <w:szCs w:val="20"/>
          <w:color w:val="auto"/>
        </w:rPr>
      </w:pPr>
      <w:r>
        <w:rPr>
          <w:rFonts w:ascii="Arial" w:cs="Arial" w:eastAsia="Arial" w:hAnsi="Arial"/>
          <w:sz w:val="18"/>
          <w:szCs w:val="18"/>
          <w:b w:val="1"/>
          <w:bCs w:val="1"/>
          <w:color w:val="auto"/>
        </w:rPr>
        <w:t>7.1 General</w:t>
      </w:r>
      <w:r>
        <w:rPr>
          <w:rFonts w:ascii="Arial" w:cs="Arial" w:eastAsia="Arial" w:hAnsi="Arial"/>
          <w:sz w:val="18"/>
          <w:szCs w:val="18"/>
          <w:color w:val="auto"/>
        </w:rPr>
        <w:t>. The Manufacture of the SHP2 Inhibitors and Products, including all process and formulation development in connection therewith,</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Chemistry, Manufacturing and Controls (CMC) activities, shall be overseen and coordinated by (a) RevMed for clinical supply related to Phase 1 Clinical Trials, and Phase 2 Clinical Trials that are not Registrational Clinical Trials, and (b) Sanofi for supply of all Clinical Trials other than those set forth in clause (a) and all supply associated with Commercialization. If requested by the JMC, each Party shall provide reports summarizing its Manufacturing activities and the results of such activities.</w:t>
      </w:r>
    </w:p>
    <w:p>
      <w:pPr>
        <w:spacing w:after="0" w:line="183"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b w:val="1"/>
          <w:bCs w:val="1"/>
          <w:color w:val="auto"/>
        </w:rPr>
        <w:t>7.2 Transfer of Manufacturing Know-How</w:t>
      </w:r>
      <w:r>
        <w:rPr>
          <w:rFonts w:ascii="Arial" w:cs="Arial" w:eastAsia="Arial" w:hAnsi="Arial"/>
          <w:sz w:val="16"/>
          <w:szCs w:val="16"/>
          <w:color w:val="auto"/>
        </w:rPr>
        <w:t>. Upon Sanofi’s request, RevMed shall transfer to Sanofi or its designee Know-How Controlled 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RevMed that is necessary or useful to enable the Manufacture of each SHP2 Inhibitor that is nominated or designated as a Development Candidate pursuant to Section 4.3, Development Candidate and Product, including regulatory starting materials and key starting materials, as set forth in this Section 7.2. Sanofi may also request such Know-How for backup SHP2 Inhibitors that Sanofi is considering for nomination or designation as a Development Candidate, and RevMed shall transfer such Know-How to Sanofi (to the extent any exists). RevMed shall (a) at [***] cost, provide copies or samples of relevant documentation (including, but not limited to, documentation listed in </w:t>
      </w:r>
      <w:r>
        <w:rPr>
          <w:rFonts w:ascii="Arial" w:cs="Arial" w:eastAsia="Arial" w:hAnsi="Arial"/>
          <w:sz w:val="16"/>
          <w:szCs w:val="16"/>
          <w:u w:val="single" w:color="auto"/>
          <w:color w:val="auto"/>
        </w:rPr>
        <w:t>Exhibit K</w:t>
      </w:r>
      <w:r>
        <w:rPr>
          <w:rFonts w:ascii="Arial" w:cs="Arial" w:eastAsia="Arial" w:hAnsi="Arial"/>
          <w:sz w:val="16"/>
          <w:szCs w:val="16"/>
          <w:color w:val="auto"/>
        </w:rPr>
        <w:t xml:space="preserve"> of the Correspondence), materials and other embodiments of such Know-How, (b) at [***] cost (calculated on [***]), make available RevMed’s qualified technical employees, and use Commercially Reasonable Efforts to make available the qualified technical personnel of RevMed’s independent manufacturing contractors, in each case, on a reasonable basis to consult with Sanofi or its designee with respect to such Know-How, and (c) if requested by Sanofi, at [***] cost, use Commercially Reasonable Efforts to support Sanofi in the establishment of its own supply agreements with Third Party suppliers of RevMed.</w:t>
      </w:r>
    </w:p>
    <w:p>
      <w:pPr>
        <w:spacing w:after="0" w:line="161"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b w:val="1"/>
          <w:bCs w:val="1"/>
          <w:color w:val="auto"/>
        </w:rPr>
        <w:t>7.3 Supply Agreement</w:t>
      </w:r>
      <w:r>
        <w:rPr>
          <w:rFonts w:ascii="Arial" w:cs="Arial" w:eastAsia="Arial" w:hAnsi="Arial"/>
          <w:sz w:val="18"/>
          <w:szCs w:val="18"/>
          <w:color w:val="auto"/>
        </w:rPr>
        <w:t>. In each case where one Party shall Manufacture Product for the other Party for clinical use or commercial use,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cost and expense of the commercial supply of Product for the U.S. being subject to Section 9.4), the Parties shall negotiate in good faith to enter into a supply agreement (a “</w:t>
      </w:r>
      <w:r>
        <w:rPr>
          <w:rFonts w:ascii="Arial" w:cs="Arial" w:eastAsia="Arial" w:hAnsi="Arial"/>
          <w:sz w:val="18"/>
          <w:szCs w:val="18"/>
          <w:b w:val="1"/>
          <w:bCs w:val="1"/>
          <w:color w:val="auto"/>
        </w:rPr>
        <w:t>Supply Agreement</w:t>
      </w:r>
      <w:r>
        <w:rPr>
          <w:rFonts w:ascii="Arial" w:cs="Arial" w:eastAsia="Arial" w:hAnsi="Arial"/>
          <w:sz w:val="18"/>
          <w:szCs w:val="18"/>
          <w:color w:val="auto"/>
        </w:rPr>
        <w:t>”) and a quality agreement (a “</w:t>
      </w:r>
      <w:r>
        <w:rPr>
          <w:rFonts w:ascii="Arial" w:cs="Arial" w:eastAsia="Arial" w:hAnsi="Arial"/>
          <w:sz w:val="18"/>
          <w:szCs w:val="18"/>
          <w:b w:val="1"/>
          <w:bCs w:val="1"/>
          <w:color w:val="auto"/>
        </w:rPr>
        <w:t>Quality Agreement</w:t>
      </w:r>
      <w:r>
        <w:rPr>
          <w:rFonts w:ascii="Arial" w:cs="Arial" w:eastAsia="Arial" w:hAnsi="Arial"/>
          <w:sz w:val="18"/>
          <w:szCs w:val="18"/>
          <w:color w:val="auto"/>
        </w:rPr>
        <w:t>”) for such Manufacture on commercially reasonable terms. Such Supply Agreement shall cover the documentation and other quality requirements for the acceptance of previously manufactured supply of Product for use by the other Party. The price charged by the manufacturing Party under any Supply Agreement shall be equal to [***] unless otherwise agreed by the Parties.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331" w:name="page332"/>
    <w:bookmarkEnd w:id="331"/>
    <w:p>
      <w:pPr>
        <w:jc w:val="center"/>
        <w:ind w:right="-2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VIII.</w:t>
      </w:r>
    </w:p>
    <w:p>
      <w:pPr>
        <w:spacing w:after="0" w:line="113"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COMMERCIALIZATION</w:t>
      </w:r>
    </w:p>
    <w:p>
      <w:pPr>
        <w:spacing w:after="0" w:line="225" w:lineRule="exact"/>
        <w:rPr>
          <w:sz w:val="20"/>
          <w:szCs w:val="20"/>
          <w:color w:val="auto"/>
        </w:rPr>
      </w:pPr>
    </w:p>
    <w:p>
      <w:pPr>
        <w:ind w:left="4" w:right="20" w:firstLine="440"/>
        <w:spacing w:after="0" w:line="287" w:lineRule="auto"/>
        <w:rPr>
          <w:sz w:val="20"/>
          <w:szCs w:val="20"/>
          <w:color w:val="auto"/>
        </w:rPr>
      </w:pPr>
      <w:r>
        <w:rPr>
          <w:rFonts w:ascii="Arial" w:cs="Arial" w:eastAsia="Arial" w:hAnsi="Arial"/>
          <w:sz w:val="16"/>
          <w:szCs w:val="16"/>
          <w:b w:val="1"/>
          <w:bCs w:val="1"/>
          <w:color w:val="auto"/>
        </w:rPr>
        <w:t>8.1 General</w:t>
      </w:r>
      <w:r>
        <w:rPr>
          <w:rFonts w:ascii="Arial" w:cs="Arial" w:eastAsia="Arial" w:hAnsi="Arial"/>
          <w:sz w:val="16"/>
          <w:szCs w:val="16"/>
          <w:color w:val="auto"/>
        </w:rPr>
        <w:t>. Subject to Section 8.7 and unless otherwise delegated to RevMed by the JCC, Sanofi shall have the sole right and responsibility, at</w:t>
      </w:r>
      <w:r>
        <w:rPr>
          <w:rFonts w:ascii="Arial" w:cs="Arial" w:eastAsia="Arial" w:hAnsi="Arial"/>
          <w:sz w:val="16"/>
          <w:szCs w:val="16"/>
          <w:b w:val="1"/>
          <w:bCs w:val="1"/>
          <w:color w:val="auto"/>
        </w:rPr>
        <w:t xml:space="preserve"> </w:t>
      </w:r>
      <w:r>
        <w:rPr>
          <w:rFonts w:ascii="Arial" w:cs="Arial" w:eastAsia="Arial" w:hAnsi="Arial"/>
          <w:sz w:val="16"/>
          <w:szCs w:val="16"/>
          <w:color w:val="auto"/>
        </w:rPr>
        <w:t>its own expense, for all aspects of the Commercialization of the Products in the Field in the Licensed Territory including: (a) developing and executing a commercial launch and pre-launch plan, (b) negotiating with applicable Governmental Authorities regarding the pricing and reimbursement status of the Products; (c) marketing and promotion (including promotional materials); (d) booking sales and distribution and performance of related services;</w:t>
      </w:r>
    </w:p>
    <w:p>
      <w:pPr>
        <w:spacing w:after="0" w:line="2" w:lineRule="exact"/>
        <w:rPr>
          <w:sz w:val="20"/>
          <w:szCs w:val="20"/>
          <w:color w:val="auto"/>
        </w:rPr>
      </w:pPr>
    </w:p>
    <w:p>
      <w:pPr>
        <w:ind w:left="4" w:right="220" w:hanging="4"/>
        <w:spacing w:after="0" w:line="255" w:lineRule="auto"/>
        <w:tabs>
          <w:tab w:leader="none" w:pos="249" w:val="left"/>
        </w:tabs>
        <w:numPr>
          <w:ilvl w:val="0"/>
          <w:numId w:val="194"/>
        </w:numPr>
        <w:rPr>
          <w:rFonts w:ascii="Arial" w:cs="Arial" w:eastAsia="Arial" w:hAnsi="Arial"/>
          <w:sz w:val="18"/>
          <w:szCs w:val="18"/>
          <w:color w:val="auto"/>
        </w:rPr>
      </w:pPr>
      <w:r>
        <w:rPr>
          <w:rFonts w:ascii="Arial" w:cs="Arial" w:eastAsia="Arial" w:hAnsi="Arial"/>
          <w:sz w:val="18"/>
          <w:szCs w:val="18"/>
          <w:color w:val="auto"/>
        </w:rPr>
        <w:t>handling all aspects of order processing, invoicing and collection, inventory and receivables; (f) providing customer support, including handling medical queries, and performing other related functions; and (g) conforming its practices and procedures to Applicable Law relating to the marketing, detailing and promotion of the Products.</w:t>
      </w:r>
    </w:p>
    <w:p>
      <w:pPr>
        <w:spacing w:after="0" w:line="186" w:lineRule="exact"/>
        <w:rPr>
          <w:sz w:val="20"/>
          <w:szCs w:val="20"/>
          <w:color w:val="auto"/>
        </w:rPr>
      </w:pPr>
    </w:p>
    <w:p>
      <w:pPr>
        <w:ind w:left="4" w:right="120" w:firstLine="440"/>
        <w:spacing w:after="0" w:line="291" w:lineRule="auto"/>
        <w:rPr>
          <w:sz w:val="20"/>
          <w:szCs w:val="20"/>
          <w:color w:val="auto"/>
        </w:rPr>
      </w:pPr>
      <w:r>
        <w:rPr>
          <w:rFonts w:ascii="Arial" w:cs="Arial" w:eastAsia="Arial" w:hAnsi="Arial"/>
          <w:sz w:val="16"/>
          <w:szCs w:val="16"/>
          <w:b w:val="1"/>
          <w:bCs w:val="1"/>
          <w:color w:val="auto"/>
        </w:rPr>
        <w:t>8.2 Commercialization Plan</w:t>
      </w:r>
      <w:r>
        <w:rPr>
          <w:rFonts w:ascii="Arial" w:cs="Arial" w:eastAsia="Arial" w:hAnsi="Arial"/>
          <w:sz w:val="16"/>
          <w:szCs w:val="16"/>
          <w:color w:val="auto"/>
        </w:rPr>
        <w:t>. Promptly after the formation of the JCC, Sanofi shall prepare and provide to the JCC for review and discussion a</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plan for the Commercialization of such Product in the Licensed Territory (the “</w:t>
      </w:r>
      <w:r>
        <w:rPr>
          <w:rFonts w:ascii="Arial" w:cs="Arial" w:eastAsia="Arial" w:hAnsi="Arial"/>
          <w:sz w:val="16"/>
          <w:szCs w:val="16"/>
          <w:b w:val="1"/>
          <w:bCs w:val="1"/>
          <w:color w:val="auto"/>
        </w:rPr>
        <w:t>Commercialization Plan</w:t>
      </w:r>
      <w:r>
        <w:rPr>
          <w:rFonts w:ascii="Arial" w:cs="Arial" w:eastAsia="Arial" w:hAnsi="Arial"/>
          <w:sz w:val="16"/>
          <w:szCs w:val="16"/>
          <w:color w:val="auto"/>
        </w:rPr>
        <w:t>”). Each Commercialization Plan shall include a reasonably detailed description of (a) [***]; (e) non-binding sales and marketing forecasts in the U.S.; (f) non-binding net sales projections in the U.S.; (g) [***]; (h) non-binding sales and marketing forecasts and non-binding net sales projections, in each case, outside of the U.S. (i) [***], and in such case the Parties shall amend the Profit/Loss Share Agreement accordingly. Sanofi shall periodically (at least [***]) prepare updates and amendments to its Commercialization Plan to reflect changes in its plans, including in response to changes in the marketplace, relative success of the Products and other relevant factors influencing such plans and activities. Sanofi shall submit all updates and amendments to each Commercialization Plan to the JCC for review and discussion before adopting such updates and amendments.</w:t>
      </w:r>
    </w:p>
    <w:p>
      <w:pPr>
        <w:spacing w:after="0" w:line="159" w:lineRule="exact"/>
        <w:rPr>
          <w:sz w:val="20"/>
          <w:szCs w:val="20"/>
          <w:color w:val="auto"/>
        </w:rPr>
      </w:pPr>
    </w:p>
    <w:p>
      <w:pPr>
        <w:ind w:left="4" w:right="20" w:firstLine="440"/>
        <w:spacing w:after="0" w:line="294" w:lineRule="auto"/>
        <w:rPr>
          <w:sz w:val="20"/>
          <w:szCs w:val="20"/>
          <w:color w:val="auto"/>
        </w:rPr>
      </w:pPr>
      <w:r>
        <w:rPr>
          <w:rFonts w:ascii="Arial" w:cs="Arial" w:eastAsia="Arial" w:hAnsi="Arial"/>
          <w:sz w:val="16"/>
          <w:szCs w:val="16"/>
          <w:b w:val="1"/>
          <w:bCs w:val="1"/>
          <w:color w:val="auto"/>
        </w:rPr>
        <w:t>8.3 Distributorships</w:t>
      </w:r>
      <w:r>
        <w:rPr>
          <w:rFonts w:ascii="Arial" w:cs="Arial" w:eastAsia="Arial" w:hAnsi="Arial"/>
          <w:sz w:val="16"/>
          <w:szCs w:val="16"/>
          <w:color w:val="auto"/>
        </w:rPr>
        <w:t>. Sanofi shall have the right, in its sole discretion, to appoint its Affiliates, and Sanofi and its Affiliates shall have the right, in</w:t>
      </w:r>
      <w:r>
        <w:rPr>
          <w:rFonts w:ascii="Arial" w:cs="Arial" w:eastAsia="Arial" w:hAnsi="Arial"/>
          <w:sz w:val="16"/>
          <w:szCs w:val="16"/>
          <w:b w:val="1"/>
          <w:bCs w:val="1"/>
          <w:color w:val="auto"/>
        </w:rPr>
        <w:t xml:space="preserve"> </w:t>
      </w:r>
      <w:r>
        <w:rPr>
          <w:rFonts w:ascii="Arial" w:cs="Arial" w:eastAsia="Arial" w:hAnsi="Arial"/>
          <w:sz w:val="16"/>
          <w:szCs w:val="16"/>
          <w:color w:val="auto"/>
        </w:rPr>
        <w:t>its sole discretion, to appoint any other Persons, in the Licensed Territory to distribute, market, and sell the Products (with or without packaging rights), in circumstances where the Person purchases its requirements of Products from Sanofi or its Affiliates but does not otherwise make any royalty or other payment to Sanofi or its Affiliates with respect to its intellectual property or other proprietary rights. Where Sanofi or its Affiliates appoints such a Person and such Person is not an Affiliate of Sanofi, that Person shall be a “</w:t>
      </w:r>
      <w:r>
        <w:rPr>
          <w:rFonts w:ascii="Arial" w:cs="Arial" w:eastAsia="Arial" w:hAnsi="Arial"/>
          <w:sz w:val="16"/>
          <w:szCs w:val="16"/>
          <w:b w:val="1"/>
          <w:bCs w:val="1"/>
          <w:color w:val="auto"/>
        </w:rPr>
        <w:t>Distributor</w:t>
      </w:r>
      <w:r>
        <w:rPr>
          <w:rFonts w:ascii="Arial" w:cs="Arial" w:eastAsia="Arial" w:hAnsi="Arial"/>
          <w:sz w:val="16"/>
          <w:szCs w:val="16"/>
          <w:color w:val="auto"/>
        </w:rPr>
        <w:t>” for purposes of this Agreement. The term “packaging rights” in this Section means the right for the Distributor to package Products supplied in unpackaged bulk form into individual ready-for-sale packs.</w:t>
      </w:r>
    </w:p>
    <w:p>
      <w:pPr>
        <w:spacing w:after="0" w:line="160" w:lineRule="exact"/>
        <w:rPr>
          <w:sz w:val="20"/>
          <w:szCs w:val="20"/>
          <w:color w:val="auto"/>
        </w:rPr>
      </w:pPr>
    </w:p>
    <w:p>
      <w:pPr>
        <w:ind w:left="4" w:firstLine="440"/>
        <w:spacing w:after="0" w:line="266" w:lineRule="auto"/>
        <w:rPr>
          <w:sz w:val="20"/>
          <w:szCs w:val="20"/>
          <w:color w:val="auto"/>
        </w:rPr>
      </w:pPr>
      <w:r>
        <w:rPr>
          <w:rFonts w:ascii="Arial" w:cs="Arial" w:eastAsia="Arial" w:hAnsi="Arial"/>
          <w:sz w:val="18"/>
          <w:szCs w:val="18"/>
          <w:b w:val="1"/>
          <w:bCs w:val="1"/>
          <w:color w:val="auto"/>
        </w:rPr>
        <w:t>8.4 Pricing Approvals</w:t>
      </w:r>
      <w:r>
        <w:rPr>
          <w:rFonts w:ascii="Arial" w:cs="Arial" w:eastAsia="Arial" w:hAnsi="Arial"/>
          <w:sz w:val="18"/>
          <w:szCs w:val="18"/>
          <w:color w:val="auto"/>
        </w:rPr>
        <w:t>. Sanofi shall control all pricing and reimbursement approvals for Products in the Licensed Territory. RevMed shall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Sanofi with reasonable assistance and cooperation with respect to obtaining pricing and reimbursement approvals for the Products, at Sanofi’s request and expense.</w:t>
      </w:r>
    </w:p>
    <w:p>
      <w:pPr>
        <w:spacing w:after="0" w:line="11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4"/>
          </w:cols>
          <w:pgMar w:left="436" w:top="274" w:right="459" w:bottom="1440" w:gutter="0" w:footer="0" w:header="0"/>
        </w:sectPr>
      </w:pPr>
    </w:p>
    <w:bookmarkStart w:id="332" w:name="page333"/>
    <w:bookmarkEnd w:id="332"/>
    <w:p>
      <w:pPr>
        <w:ind w:right="58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8.5 Patent Marking</w:t>
      </w:r>
      <w:r>
        <w:rPr>
          <w:rFonts w:ascii="Arial" w:cs="Arial" w:eastAsia="Arial" w:hAnsi="Arial"/>
          <w:sz w:val="18"/>
          <w:szCs w:val="18"/>
          <w:color w:val="auto"/>
        </w:rPr>
        <w:t>. Each Party shall mark all Products in accordance with the applicable patent marking laws, and shall require all of its</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Sublicensees and Distributors to do the same.</w:t>
      </w:r>
    </w:p>
    <w:p>
      <w:pPr>
        <w:spacing w:after="0" w:line="162" w:lineRule="exact"/>
        <w:rPr>
          <w:sz w:val="20"/>
          <w:szCs w:val="20"/>
          <w:color w:val="auto"/>
        </w:rPr>
      </w:pPr>
    </w:p>
    <w:p>
      <w:pPr>
        <w:ind w:right="80" w:firstLine="440"/>
        <w:spacing w:after="0" w:line="261" w:lineRule="auto"/>
        <w:rPr>
          <w:sz w:val="20"/>
          <w:szCs w:val="20"/>
          <w:color w:val="auto"/>
        </w:rPr>
      </w:pPr>
      <w:r>
        <w:rPr>
          <w:rFonts w:ascii="Arial" w:cs="Arial" w:eastAsia="Arial" w:hAnsi="Arial"/>
          <w:sz w:val="18"/>
          <w:szCs w:val="18"/>
          <w:b w:val="1"/>
          <w:bCs w:val="1"/>
          <w:color w:val="auto"/>
        </w:rPr>
        <w:t>8.6 Reports</w:t>
      </w:r>
      <w:r>
        <w:rPr>
          <w:rFonts w:ascii="Arial" w:cs="Arial" w:eastAsia="Arial" w:hAnsi="Arial"/>
          <w:sz w:val="18"/>
          <w:szCs w:val="18"/>
          <w:color w:val="auto"/>
        </w:rPr>
        <w:t>. Each Party shall update the JCC at each regularly scheduled JCC meeting regarding its Commercialization activities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Products. Each such update shall be in a form to be agreed by the JCC by mutual agreement of its representatives (without application of any final decision-making right of either Party) and shall summarize such Party’s (either by itself or through its Affiliates and its Sublicensees) Commercialization activities with respect to the Products.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8.7 Co-Promotion of Products in the United States</w:t>
      </w:r>
      <w:r>
        <w:rPr>
          <w:rFonts w:ascii="Arial" w:cs="Arial" w:eastAsia="Arial" w:hAnsi="Arial"/>
          <w:sz w:val="18"/>
          <w:szCs w:val="18"/>
          <w:color w:val="auto"/>
        </w:rPr>
        <w:t>.</w:t>
      </w:r>
    </w:p>
    <w:p>
      <w:pPr>
        <w:spacing w:after="0" w:line="121" w:lineRule="exact"/>
        <w:rPr>
          <w:sz w:val="20"/>
          <w:szCs w:val="20"/>
          <w:color w:val="auto"/>
        </w:rPr>
      </w:pPr>
    </w:p>
    <w:p>
      <w:pPr>
        <w:ind w:right="80" w:firstLine="436"/>
        <w:spacing w:after="0" w:line="254" w:lineRule="auto"/>
        <w:tabs>
          <w:tab w:leader="none" w:pos="68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RevMed shall have the one-time exclusive right to elect to assume up to [***]% (but not less than [***]%) of the Detailing effort for all Products in the United States (such geography, the “</w:t>
      </w:r>
      <w:r>
        <w:rPr>
          <w:rFonts w:ascii="Arial" w:cs="Arial" w:eastAsia="Arial" w:hAnsi="Arial"/>
          <w:sz w:val="18"/>
          <w:szCs w:val="18"/>
          <w:b w:val="1"/>
          <w:bCs w:val="1"/>
          <w:color w:val="auto"/>
        </w:rPr>
        <w:t>Co-Promotion Territory</w:t>
      </w:r>
      <w:r>
        <w:rPr>
          <w:rFonts w:ascii="Arial" w:cs="Arial" w:eastAsia="Arial" w:hAnsi="Arial"/>
          <w:sz w:val="18"/>
          <w:szCs w:val="18"/>
          <w:color w:val="auto"/>
        </w:rPr>
        <w:t>”; such right, the “</w:t>
      </w:r>
      <w:r>
        <w:rPr>
          <w:rFonts w:ascii="Arial" w:cs="Arial" w:eastAsia="Arial" w:hAnsi="Arial"/>
          <w:sz w:val="18"/>
          <w:szCs w:val="18"/>
          <w:b w:val="1"/>
          <w:bCs w:val="1"/>
          <w:color w:val="auto"/>
        </w:rPr>
        <w:t>Co-Promotion Option</w:t>
      </w:r>
      <w:r>
        <w:rPr>
          <w:rFonts w:ascii="Arial" w:cs="Arial" w:eastAsia="Arial" w:hAnsi="Arial"/>
          <w:sz w:val="18"/>
          <w:szCs w:val="18"/>
          <w:color w:val="auto"/>
        </w:rPr>
        <w:t>”; such Products that are co-promoted by the Parties, the “</w:t>
      </w:r>
      <w:r>
        <w:rPr>
          <w:rFonts w:ascii="Arial" w:cs="Arial" w:eastAsia="Arial" w:hAnsi="Arial"/>
          <w:sz w:val="18"/>
          <w:szCs w:val="18"/>
          <w:b w:val="1"/>
          <w:bCs w:val="1"/>
          <w:color w:val="auto"/>
        </w:rPr>
        <w:t>Co-Promotion Product</w:t>
      </w:r>
      <w:r>
        <w:rPr>
          <w:rFonts w:ascii="Arial" w:cs="Arial" w:eastAsia="Arial" w:hAnsi="Arial"/>
          <w:sz w:val="18"/>
          <w:szCs w:val="18"/>
          <w:color w:val="auto"/>
        </w:rPr>
        <w:t>”); provided that (i) [***] and (ii) RevMed shall provide to Sanofi, at the time of RevMed’s exercise of the Co-Promotion Option pursuant to Section 8.7(b), a plan demonstrating to Sanofi’s reasonable satisfaction that RevMed has, or will have on a timely basis, the necessary resources in place sufficient to Detail the applicable Co-Promotion Products in a manner consistent with and within the timelines required under the applicable Commercialization Plan. RevMed shall be obligated to perform the activities set forth in such plan within the timelines provided therein.</w:t>
      </w:r>
    </w:p>
    <w:p>
      <w:pPr>
        <w:spacing w:after="0" w:line="194" w:lineRule="exact"/>
        <w:rPr>
          <w:rFonts w:ascii="Arial" w:cs="Arial" w:eastAsia="Arial" w:hAnsi="Arial"/>
          <w:sz w:val="18"/>
          <w:szCs w:val="18"/>
          <w:color w:val="auto"/>
        </w:rPr>
      </w:pPr>
    </w:p>
    <w:p>
      <w:pPr>
        <w:jc w:val="both"/>
        <w:ind w:right="40" w:firstLine="436"/>
        <w:spacing w:after="0" w:line="287" w:lineRule="auto"/>
        <w:tabs>
          <w:tab w:leader="none" w:pos="695" w:val="left"/>
        </w:tabs>
        <w:numPr>
          <w:ilvl w:val="0"/>
          <w:numId w:val="195"/>
        </w:numPr>
        <w:rPr>
          <w:rFonts w:ascii="Arial" w:cs="Arial" w:eastAsia="Arial" w:hAnsi="Arial"/>
          <w:sz w:val="16"/>
          <w:szCs w:val="16"/>
          <w:color w:val="auto"/>
        </w:rPr>
      </w:pPr>
      <w:r>
        <w:rPr>
          <w:rFonts w:ascii="Arial" w:cs="Arial" w:eastAsia="Arial" w:hAnsi="Arial"/>
          <w:sz w:val="16"/>
          <w:szCs w:val="16"/>
          <w:color w:val="auto"/>
        </w:rPr>
        <w:t>Sanofi shall notify RevMed of the anticipated launch date for the first Product in the Co-Promotion Territory at least [***] in advance thereof. If RevMed wishes to exercise its one-time Co-Promotion Option, it shall so notify Sanofi in writing at least [***] prior to the anticipated launch of such Product in the Co-Promotion Territory. If (i) RevMed does not provide the above election notice in compliance with the requirements of this</w:t>
      </w:r>
    </w:p>
    <w:p>
      <w:pPr>
        <w:spacing w:after="0" w:line="2" w:lineRule="exact"/>
        <w:rPr>
          <w:rFonts w:ascii="Arial" w:cs="Arial" w:eastAsia="Arial" w:hAnsi="Arial"/>
          <w:sz w:val="16"/>
          <w:szCs w:val="16"/>
          <w:color w:val="auto"/>
        </w:rPr>
      </w:pPr>
    </w:p>
    <w:p>
      <w:pPr>
        <w:ind w:right="120"/>
        <w:spacing w:after="0" w:line="253" w:lineRule="auto"/>
        <w:rPr>
          <w:rFonts w:ascii="Arial" w:cs="Arial" w:eastAsia="Arial" w:hAnsi="Arial"/>
          <w:sz w:val="16"/>
          <w:szCs w:val="16"/>
          <w:color w:val="auto"/>
        </w:rPr>
      </w:pPr>
      <w:r>
        <w:rPr>
          <w:rFonts w:ascii="Arial" w:cs="Arial" w:eastAsia="Arial" w:hAnsi="Arial"/>
          <w:sz w:val="18"/>
          <w:szCs w:val="18"/>
          <w:color w:val="auto"/>
        </w:rPr>
        <w:t>Section 8.7(b), or (ii) RevMed provides notice to Sanofi that it does not intend to exercise its one-time Co-Promotion Option, then RevMed shall be deemed to have waived such one-time right to co-promote any and all Products in the Co-Promotion Territory. For clarity, once RevMed has exercised its Co-Promotion Option pursuant to this Section 8.7(b), RevMed’s right to co-promote Products shall apply to all other existing and subsequent Products in the Co-Promotion Territory.</w:t>
      </w:r>
    </w:p>
    <w:p>
      <w:pPr>
        <w:spacing w:after="0" w:line="192" w:lineRule="exact"/>
        <w:rPr>
          <w:rFonts w:ascii="Arial" w:cs="Arial" w:eastAsia="Arial" w:hAnsi="Arial"/>
          <w:sz w:val="16"/>
          <w:szCs w:val="16"/>
          <w:color w:val="auto"/>
        </w:rPr>
      </w:pPr>
    </w:p>
    <w:p>
      <w:pPr>
        <w:ind w:firstLine="436"/>
        <w:spacing w:after="0" w:line="255" w:lineRule="auto"/>
        <w:tabs>
          <w:tab w:leader="none" w:pos="68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If RevMed exercises the Co-Promotion Option for the Co-Promotion Territory, the Parties shall negotiate in good faith terms and conditions of a co-promotion agreement pursuant to which they will co-promote Products in the Co-Promotion Territory (the “</w:t>
      </w:r>
      <w:r>
        <w:rPr>
          <w:rFonts w:ascii="Arial" w:cs="Arial" w:eastAsia="Arial" w:hAnsi="Arial"/>
          <w:sz w:val="18"/>
          <w:szCs w:val="18"/>
          <w:b w:val="1"/>
          <w:bCs w:val="1"/>
          <w:color w:val="auto"/>
        </w:rPr>
        <w:t>Co-Promotion Agreement</w:t>
      </w:r>
      <w:r>
        <w:rPr>
          <w:rFonts w:ascii="Arial" w:cs="Arial" w:eastAsia="Arial" w:hAnsi="Arial"/>
          <w:sz w:val="18"/>
          <w:szCs w:val="18"/>
          <w:color w:val="auto"/>
        </w:rPr>
        <w:t xml:space="preserve">”). The Co-Promotion Agreement will contain the terms and conditions set forth in </w:t>
      </w:r>
      <w:r>
        <w:rPr>
          <w:rFonts w:ascii="Arial" w:cs="Arial" w:eastAsia="Arial" w:hAnsi="Arial"/>
          <w:sz w:val="18"/>
          <w:szCs w:val="18"/>
          <w:u w:val="single" w:color="auto"/>
          <w:color w:val="auto"/>
        </w:rPr>
        <w:t>Exhibit L</w:t>
      </w:r>
      <w:r>
        <w:rPr>
          <w:rFonts w:ascii="Arial" w:cs="Arial" w:eastAsia="Arial" w:hAnsi="Arial"/>
          <w:sz w:val="18"/>
          <w:szCs w:val="18"/>
          <w:color w:val="auto"/>
        </w:rPr>
        <w:t xml:space="preserve"> of the Correspondence and other terms and conditions as are reasonable and customary for the co-promotion of similar products in the Co-Promotion Territory. The Parties shall use Commercially Reasonable Efforts to enter into the Co-Promotion Agreement no later than [***] following the date upon which RevMed exercises the Co-Promotion Option, or such later date as the Parties may agree in writing.</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60"/>
          </w:cols>
          <w:pgMar w:left="440" w:top="270" w:right="499" w:bottom="1440" w:gutter="0" w:footer="0" w:header="0"/>
        </w:sectPr>
      </w:pPr>
    </w:p>
    <w:bookmarkStart w:id="333" w:name="page334"/>
    <w:bookmarkEnd w:id="33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IX.</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PROVISIONS</w:t>
      </w:r>
    </w:p>
    <w:p>
      <w:pPr>
        <w:spacing w:after="0" w:line="225" w:lineRule="exact"/>
        <w:rPr>
          <w:sz w:val="20"/>
          <w:szCs w:val="20"/>
          <w:color w:val="auto"/>
        </w:rPr>
      </w:pPr>
    </w:p>
    <w:p>
      <w:pPr>
        <w:ind w:right="400" w:firstLine="440"/>
        <w:spacing w:after="0" w:line="282" w:lineRule="auto"/>
        <w:rPr>
          <w:sz w:val="20"/>
          <w:szCs w:val="20"/>
          <w:color w:val="auto"/>
        </w:rPr>
      </w:pPr>
      <w:r>
        <w:rPr>
          <w:rFonts w:ascii="Arial" w:cs="Arial" w:eastAsia="Arial" w:hAnsi="Arial"/>
          <w:sz w:val="18"/>
          <w:szCs w:val="18"/>
          <w:b w:val="1"/>
          <w:bCs w:val="1"/>
          <w:color w:val="auto"/>
        </w:rPr>
        <w:t>9.1 Upfront Payment</w:t>
      </w:r>
      <w:r>
        <w:rPr>
          <w:rFonts w:ascii="Arial" w:cs="Arial" w:eastAsia="Arial" w:hAnsi="Arial"/>
          <w:sz w:val="18"/>
          <w:szCs w:val="18"/>
          <w:color w:val="auto"/>
        </w:rPr>
        <w:t>. Sanofi shall pay to RevMed a one-time, non-refundable, non-creditable upfront payment of $50,000,000 within [***]</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Days after the Effective Date.</w:t>
      </w:r>
    </w:p>
    <w:p>
      <w:pPr>
        <w:spacing w:after="0" w:line="162"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b w:val="1"/>
          <w:bCs w:val="1"/>
          <w:color w:val="auto"/>
        </w:rPr>
        <w:t>9.2 Milestone Payments</w:t>
      </w:r>
      <w:r>
        <w:rPr>
          <w:rFonts w:ascii="Arial" w:cs="Arial" w:eastAsia="Arial" w:hAnsi="Arial"/>
          <w:sz w:val="17"/>
          <w:szCs w:val="17"/>
          <w:color w:val="auto"/>
        </w:rPr>
        <w:t>. Upon first achievement of a milestone event described below in this Section 9.2 (a “</w:t>
      </w:r>
      <w:r>
        <w:rPr>
          <w:rFonts w:ascii="Arial" w:cs="Arial" w:eastAsia="Arial" w:hAnsi="Arial"/>
          <w:sz w:val="17"/>
          <w:szCs w:val="17"/>
          <w:b w:val="1"/>
          <w:bCs w:val="1"/>
          <w:color w:val="auto"/>
        </w:rPr>
        <w:t>Milestone Event</w:t>
      </w:r>
      <w:r>
        <w:rPr>
          <w:rFonts w:ascii="Arial" w:cs="Arial" w:eastAsia="Arial" w:hAnsi="Arial"/>
          <w:sz w:val="17"/>
          <w:szCs w:val="17"/>
          <w:color w:val="auto"/>
        </w:rPr>
        <w:t>”) by Sanofi or</w:t>
      </w:r>
      <w:r>
        <w:rPr>
          <w:rFonts w:ascii="Arial" w:cs="Arial" w:eastAsia="Arial" w:hAnsi="Arial"/>
          <w:sz w:val="17"/>
          <w:szCs w:val="17"/>
          <w:b w:val="1"/>
          <w:bCs w:val="1"/>
          <w:color w:val="auto"/>
        </w:rPr>
        <w:t xml:space="preserve"> </w:t>
      </w:r>
      <w:r>
        <w:rPr>
          <w:rFonts w:ascii="Arial" w:cs="Arial" w:eastAsia="Arial" w:hAnsi="Arial"/>
          <w:sz w:val="17"/>
          <w:szCs w:val="17"/>
          <w:color w:val="auto"/>
        </w:rPr>
        <w:t>any of its Affiliates or Sublicensees, Sanofi shall notify RevMed of such achievement and RevMed will issue an invoice to Sanofi for the corresponding one-time, non-refundable and non-creditable milestone payment (a “</w:t>
      </w:r>
      <w:r>
        <w:rPr>
          <w:rFonts w:ascii="Arial" w:cs="Arial" w:eastAsia="Arial" w:hAnsi="Arial"/>
          <w:sz w:val="17"/>
          <w:szCs w:val="17"/>
          <w:b w:val="1"/>
          <w:bCs w:val="1"/>
          <w:color w:val="auto"/>
        </w:rPr>
        <w:t>Milestone Payment</w:t>
      </w:r>
      <w:r>
        <w:rPr>
          <w:rFonts w:ascii="Arial" w:cs="Arial" w:eastAsia="Arial" w:hAnsi="Arial"/>
          <w:sz w:val="17"/>
          <w:szCs w:val="17"/>
          <w:color w:val="auto"/>
        </w:rPr>
        <w:t>”). RevMed will also have the right to notify Sanofi in writing if RevMed believes a Milestone Event has been achieved even if Sanofi has not provided such notice to RevMed, and unless Sanofi notifies RevMed within [***] Business Days after receipt of such notice from RevMed that such Milestone Event has not been achieved, RevMed may issue an invoice to Sanofi for the corresponding Milestone Payment. Subject to the terms and conditions of this Agreement, Sanofi will pay to RevMed the following Milestone Payments within [***] after receipt of such invoice therefor as follows:</w:t>
      </w:r>
    </w:p>
    <w:p>
      <w:pPr>
        <w:spacing w:after="0" w:line="182"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1"/>
              </w:rPr>
              <w:t>Milestone Event</w:t>
            </w:r>
          </w:p>
        </w:tc>
        <w:tc>
          <w:tcPr>
            <w:tcW w:w="6380" w:type="dxa"/>
            <w:vAlign w:val="bottom"/>
          </w:tcPr>
          <w:p>
            <w:pPr>
              <w:spacing w:after="0"/>
              <w:rPr>
                <w:sz w:val="14"/>
                <w:szCs w:val="14"/>
                <w:color w:val="auto"/>
              </w:rPr>
            </w:pPr>
          </w:p>
        </w:tc>
        <w:tc>
          <w:tcPr>
            <w:tcW w:w="98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w w:val="89"/>
              </w:rPr>
              <w:t>Milestone</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vMerge w:val="continue"/>
          </w:tcPr>
          <w:p>
            <w:pPr>
              <w:spacing w:after="0"/>
              <w:rPr>
                <w:sz w:val="15"/>
                <w:szCs w:val="15"/>
                <w:color w:val="auto"/>
              </w:rPr>
            </w:pPr>
          </w:p>
        </w:tc>
        <w:tc>
          <w:tcPr>
            <w:tcW w:w="6380" w:type="dxa"/>
            <w:vAlign w:val="bottom"/>
          </w:tcPr>
          <w:p>
            <w:pPr>
              <w:spacing w:after="0"/>
              <w:rPr>
                <w:sz w:val="15"/>
                <w:szCs w:val="15"/>
                <w:color w:val="auto"/>
              </w:rPr>
            </w:pPr>
          </w:p>
        </w:tc>
        <w:tc>
          <w:tcPr>
            <w:tcW w:w="980" w:type="dxa"/>
            <w:vAlign w:val="bottom"/>
            <w:gridSpan w:val="2"/>
          </w:tcPr>
          <w:p>
            <w:pPr>
              <w:jc w:val="right"/>
              <w:ind w:right="310"/>
              <w:spacing w:after="0" w:line="158" w:lineRule="exact"/>
              <w:rPr>
                <w:sz w:val="20"/>
                <w:szCs w:val="20"/>
                <w:color w:val="auto"/>
              </w:rPr>
            </w:pPr>
            <w:r>
              <w:rPr>
                <w:rFonts w:ascii="Arial" w:cs="Arial" w:eastAsia="Arial" w:hAnsi="Arial"/>
                <w:sz w:val="14"/>
                <w:szCs w:val="14"/>
                <w:b w:val="1"/>
                <w:bCs w:val="1"/>
                <w:color w:val="auto"/>
                <w:w w:val="95"/>
              </w:rPr>
              <w:t>Payment</w:t>
            </w:r>
          </w:p>
        </w:tc>
        <w:tc>
          <w:tcPr>
            <w:tcW w:w="0" w:type="dxa"/>
            <w:vAlign w:val="bottom"/>
          </w:tcPr>
          <w:p>
            <w:pPr>
              <w:spacing w:after="0"/>
              <w:rPr>
                <w:sz w:val="1"/>
                <w:szCs w:val="1"/>
                <w:color w:val="auto"/>
              </w:rPr>
            </w:pPr>
          </w:p>
        </w:tc>
      </w:tr>
      <w:tr>
        <w:trPr>
          <w:trHeight w:val="203"/>
        </w:trPr>
        <w:tc>
          <w:tcPr>
            <w:tcW w:w="10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(a) [***]</w:t>
            </w:r>
          </w:p>
        </w:tc>
        <w:tc>
          <w:tcPr>
            <w:tcW w:w="63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(b) [***]</w:t>
            </w:r>
          </w:p>
        </w:tc>
        <w:tc>
          <w:tcPr>
            <w:tcW w:w="7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(c) [***]</w:t>
            </w:r>
          </w:p>
        </w:tc>
        <w:tc>
          <w:tcPr>
            <w:tcW w:w="7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(d) [***]</w:t>
            </w:r>
          </w:p>
        </w:tc>
        <w:tc>
          <w:tcPr>
            <w:tcW w:w="7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(e) [***]</w:t>
            </w:r>
          </w:p>
        </w:tc>
        <w:tc>
          <w:tcPr>
            <w:tcW w:w="7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(f) [***]</w:t>
            </w:r>
          </w:p>
        </w:tc>
        <w:tc>
          <w:tcPr>
            <w:tcW w:w="7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(g) [***]</w:t>
            </w:r>
          </w:p>
        </w:tc>
        <w:tc>
          <w:tcPr>
            <w:tcW w:w="7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(h) [***]</w:t>
            </w:r>
          </w:p>
        </w:tc>
        <w:tc>
          <w:tcPr>
            <w:tcW w:w="7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(i) [***]</w:t>
            </w:r>
          </w:p>
        </w:tc>
        <w:tc>
          <w:tcPr>
            <w:tcW w:w="7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(j) [***]</w:t>
            </w:r>
          </w:p>
        </w:tc>
        <w:tc>
          <w:tcPr>
            <w:tcW w:w="7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(k) [***]</w:t>
            </w:r>
          </w:p>
        </w:tc>
        <w:tc>
          <w:tcPr>
            <w:tcW w:w="7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(l) [***]</w:t>
            </w:r>
          </w:p>
        </w:tc>
        <w:tc>
          <w:tcPr>
            <w:tcW w:w="7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0"/>
        </w:trPr>
        <w:tc>
          <w:tcPr>
            <w:tcW w:w="1000" w:type="dxa"/>
            <w:vAlign w:val="bottom"/>
          </w:tcPr>
          <w:p>
            <w:pPr>
              <w:spacing w:after="0"/>
              <w:rPr>
                <w:sz w:val="24"/>
                <w:szCs w:val="24"/>
                <w:color w:val="auto"/>
              </w:rPr>
            </w:pPr>
          </w:p>
        </w:tc>
        <w:tc>
          <w:tcPr>
            <w:tcW w:w="6380" w:type="dxa"/>
            <w:vAlign w:val="bottom"/>
          </w:tcPr>
          <w:p>
            <w:pPr>
              <w:jc w:val="right"/>
              <w:ind w:right="3010"/>
              <w:spacing w:after="0"/>
              <w:rPr>
                <w:sz w:val="20"/>
                <w:szCs w:val="20"/>
                <w:color w:val="auto"/>
              </w:rPr>
            </w:pPr>
            <w:r>
              <w:rPr>
                <w:rFonts w:ascii="Arial" w:cs="Arial" w:eastAsia="Arial" w:hAnsi="Arial"/>
                <w:sz w:val="18"/>
                <w:szCs w:val="18"/>
                <w:color w:val="auto"/>
              </w:rPr>
              <w:t>44</w:t>
            </w: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74" w:right="459" w:bottom="1440" w:gutter="0" w:footer="0" w:header="0"/>
        </w:sectPr>
      </w:pPr>
    </w:p>
    <w:bookmarkStart w:id="334" w:name="page335"/>
    <w:bookmarkEnd w:id="33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1320" w:type="dxa"/>
        <w:tblCellMar>
          <w:top w:w="0" w:type="dxa"/>
          <w:left w:w="0" w:type="dxa"/>
          <w:bottom w:w="0" w:type="dxa"/>
          <w:right w:w="0" w:type="dxa"/>
        </w:tblCellMar>
      </w:tblPr>
      <w:tr>
        <w:trPr>
          <w:trHeight w:val="161"/>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1"/>
              </w:rPr>
              <w:t>Milestone Event</w:t>
            </w:r>
          </w:p>
        </w:tc>
        <w:tc>
          <w:tcPr>
            <w:tcW w:w="6000" w:type="dxa"/>
            <w:vAlign w:val="bottom"/>
            <w:vMerge w:val="restart"/>
          </w:tcPr>
          <w:p>
            <w:pPr>
              <w:spacing w:after="0"/>
              <w:rPr>
                <w:sz w:val="14"/>
                <w:szCs w:val="14"/>
                <w:color w:val="auto"/>
              </w:rPr>
            </w:pPr>
          </w:p>
        </w:tc>
        <w:tc>
          <w:tcPr>
            <w:tcW w:w="136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92"/>
              </w:rPr>
              <w:t>Milestone</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vMerge w:val="continue"/>
          </w:tcPr>
          <w:p>
            <w:pPr>
              <w:spacing w:after="0"/>
              <w:rPr>
                <w:sz w:val="15"/>
                <w:szCs w:val="15"/>
                <w:color w:val="auto"/>
              </w:rPr>
            </w:pPr>
          </w:p>
        </w:tc>
        <w:tc>
          <w:tcPr>
            <w:tcW w:w="6000" w:type="dxa"/>
            <w:vAlign w:val="bottom"/>
            <w:vMerge w:val="continue"/>
          </w:tcPr>
          <w:p>
            <w:pPr>
              <w:spacing w:after="0"/>
              <w:rPr>
                <w:sz w:val="15"/>
                <w:szCs w:val="15"/>
                <w:color w:val="auto"/>
              </w:rPr>
            </w:pPr>
          </w:p>
        </w:tc>
        <w:tc>
          <w:tcPr>
            <w:tcW w:w="1360" w:type="dxa"/>
            <w:vAlign w:val="bottom"/>
            <w:gridSpan w:val="2"/>
          </w:tcPr>
          <w:p>
            <w:pPr>
              <w:jc w:val="center"/>
              <w:ind w:right="290"/>
              <w:spacing w:after="0" w:line="158" w:lineRule="exact"/>
              <w:rPr>
                <w:sz w:val="20"/>
                <w:szCs w:val="20"/>
                <w:color w:val="auto"/>
              </w:rPr>
            </w:pPr>
            <w:r>
              <w:rPr>
                <w:rFonts w:ascii="Arial" w:cs="Arial" w:eastAsia="Arial" w:hAnsi="Arial"/>
                <w:sz w:val="14"/>
                <w:szCs w:val="14"/>
                <w:b w:val="1"/>
                <w:bCs w:val="1"/>
                <w:color w:val="auto"/>
                <w:w w:val="92"/>
              </w:rPr>
              <w:t>Payment</w:t>
            </w:r>
          </w:p>
        </w:tc>
        <w:tc>
          <w:tcPr>
            <w:tcW w:w="0" w:type="dxa"/>
            <w:vAlign w:val="bottom"/>
          </w:tcPr>
          <w:p>
            <w:pPr>
              <w:spacing w:after="0"/>
              <w:rPr>
                <w:sz w:val="1"/>
                <w:szCs w:val="1"/>
                <w:color w:val="auto"/>
              </w:rPr>
            </w:pPr>
          </w:p>
        </w:tc>
      </w:tr>
      <w:tr>
        <w:trPr>
          <w:trHeight w:val="203"/>
        </w:trPr>
        <w:tc>
          <w:tcPr>
            <w:tcW w:w="70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 [***]</w:t>
            </w:r>
          </w:p>
        </w:tc>
        <w:tc>
          <w:tcPr>
            <w:tcW w:w="10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w:t>
            </w:r>
          </w:p>
        </w:tc>
        <w:tc>
          <w:tcPr>
            <w:tcW w:w="0" w:type="dxa"/>
            <w:vAlign w:val="bottom"/>
          </w:tcPr>
          <w:p>
            <w:pPr>
              <w:spacing w:after="0"/>
              <w:rPr>
                <w:sz w:val="1"/>
                <w:szCs w:val="1"/>
                <w:color w:val="auto"/>
              </w:rPr>
            </w:pP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color w:val="auto"/>
              </w:rPr>
              <w:t>(n)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 [***]</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color w:val="auto"/>
              </w:rPr>
              <w:t>(p)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 no event shall the total Milestone Payments under this Agreement exceed:</w:t>
            </w:r>
          </w:p>
        </w:tc>
        <w:tc>
          <w:tcPr>
            <w:tcW w:w="1360" w:type="dxa"/>
            <w:vAlign w:val="bottom"/>
            <w:gridSpan w:val="2"/>
            <w:shd w:val="clear" w:color="auto" w:fill="CCEEFF"/>
          </w:tcPr>
          <w:p>
            <w:pPr>
              <w:jc w:val="center"/>
              <w:ind w:right="270"/>
              <w:spacing w:after="0"/>
              <w:rPr>
                <w:sz w:val="20"/>
                <w:szCs w:val="20"/>
                <w:color w:val="auto"/>
              </w:rPr>
            </w:pPr>
            <w:r>
              <w:rPr>
                <w:rFonts w:ascii="Arial" w:cs="Arial" w:eastAsia="Arial" w:hAnsi="Arial"/>
                <w:sz w:val="18"/>
                <w:szCs w:val="18"/>
                <w:color w:val="auto"/>
                <w:w w:val="90"/>
              </w:rPr>
              <w:t>$520,000,000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Each Milestone Payment is due only once and will be payable only upon the first Product to achieve the corresponding Milestone Event for the first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 purposes of determining whether a Milestone Event has occurred with respect to the EMA, a Marketing Approval must be obtained [***].</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Milestone Payments shall be payable with respect to Initiation of any RevMed Study only if [***].</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9.3 Royalty Payments for Products</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61" w:lineRule="auto"/>
        <w:tabs>
          <w:tab w:leader="none" w:pos="685" w:val="left"/>
        </w:tabs>
        <w:numPr>
          <w:ilvl w:val="0"/>
          <w:numId w:val="196"/>
        </w:numPr>
        <w:rPr>
          <w:rFonts w:ascii="Arial" w:cs="Arial" w:eastAsia="Arial" w:hAnsi="Arial"/>
          <w:sz w:val="18"/>
          <w:szCs w:val="18"/>
          <w:color w:val="auto"/>
        </w:rPr>
      </w:pPr>
      <w:r>
        <w:rPr>
          <w:rFonts w:ascii="Arial" w:cs="Arial" w:eastAsia="Arial" w:hAnsi="Arial"/>
          <w:sz w:val="18"/>
          <w:szCs w:val="18"/>
          <w:b w:val="1"/>
          <w:bCs w:val="1"/>
          <w:color w:val="auto"/>
        </w:rPr>
        <w:t>Royalty Rates for Royalties Payable by Sanofi on Net Sales outside the United States</w:t>
      </w:r>
      <w:r>
        <w:rPr>
          <w:rFonts w:ascii="Arial" w:cs="Arial" w:eastAsia="Arial" w:hAnsi="Arial"/>
          <w:sz w:val="18"/>
          <w:szCs w:val="18"/>
          <w:color w:val="auto"/>
        </w:rPr>
        <w:t>. Subject to the other terms of this Section 9.3, during</w:t>
      </w:r>
      <w:r>
        <w:rPr>
          <w:rFonts w:ascii="Arial" w:cs="Arial" w:eastAsia="Arial" w:hAnsi="Arial"/>
          <w:sz w:val="18"/>
          <w:szCs w:val="18"/>
          <w:b w:val="1"/>
          <w:bCs w:val="1"/>
          <w:color w:val="auto"/>
        </w:rPr>
        <w:t xml:space="preserve"> </w:t>
      </w:r>
      <w:r>
        <w:rPr>
          <w:rFonts w:ascii="Arial" w:cs="Arial" w:eastAsia="Arial" w:hAnsi="Arial"/>
          <w:sz w:val="18"/>
          <w:szCs w:val="18"/>
          <w:color w:val="auto"/>
        </w:rPr>
        <w:t>the Royalty Term, Sanofi shall make quarterly royalty payments to RevMed on aggregate Net Sales of each Product sold outside the United States during a Calendar Year at the applicable royalty rates as set forth below. For clarity, royalties shall only be payable once on any sale of Product under this Agreement.</w:t>
      </w:r>
    </w:p>
    <w:p>
      <w:pPr>
        <w:spacing w:after="0" w:line="202" w:lineRule="exact"/>
        <w:rPr>
          <w:sz w:val="20"/>
          <w:szCs w:val="20"/>
          <w:color w:val="auto"/>
        </w:rPr>
      </w:pPr>
    </w:p>
    <w:tbl>
      <w:tblPr>
        <w:tblLayout w:type="fixed"/>
        <w:tblInd w:w="1320" w:type="dxa"/>
        <w:tblCellMar>
          <w:top w:w="0" w:type="dxa"/>
          <w:left w:w="0" w:type="dxa"/>
          <w:bottom w:w="0" w:type="dxa"/>
          <w:right w:w="0" w:type="dxa"/>
        </w:tblCellMar>
      </w:tblPr>
      <w:tr>
        <w:trPr>
          <w:trHeight w:val="191"/>
        </w:trPr>
        <w:tc>
          <w:tcPr>
            <w:tcW w:w="5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Aggregate Net Sales of each Product outside the United States during a Calendar Year</w:t>
            </w:r>
          </w:p>
        </w:tc>
        <w:tc>
          <w:tcPr>
            <w:tcW w:w="1740" w:type="dxa"/>
            <w:vAlign w:val="bottom"/>
          </w:tcPr>
          <w:p>
            <w:pPr>
              <w:spacing w:after="0"/>
              <w:rPr>
                <w:sz w:val="16"/>
                <w:szCs w:val="16"/>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1"/>
              </w:rPr>
              <w:t>Royalty Rate</w:t>
            </w:r>
          </w:p>
        </w:tc>
      </w:tr>
      <w:tr>
        <w:trPr>
          <w:trHeight w:val="175"/>
        </w:trPr>
        <w:tc>
          <w:tcPr>
            <w:tcW w:w="704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Portion of aggregate Net Sales of each Product outside the United States during a</w:t>
            </w:r>
          </w:p>
        </w:tc>
        <w:tc>
          <w:tcPr>
            <w:tcW w:w="8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r>
      <w:tr>
        <w:trPr>
          <w:trHeight w:val="230"/>
        </w:trPr>
        <w:tc>
          <w:tcPr>
            <w:tcW w:w="7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Calendar Year less than or equal to $[***]</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02"/>
        </w:trPr>
        <w:tc>
          <w:tcPr>
            <w:tcW w:w="7040" w:type="dxa"/>
            <w:vAlign w:val="bottom"/>
            <w:gridSpan w:val="2"/>
          </w:tcPr>
          <w:p>
            <w:pPr>
              <w:spacing w:after="0" w:line="201" w:lineRule="exact"/>
              <w:rPr>
                <w:sz w:val="20"/>
                <w:szCs w:val="20"/>
                <w:color w:val="auto"/>
              </w:rPr>
            </w:pPr>
            <w:r>
              <w:rPr>
                <w:rFonts w:ascii="Arial" w:cs="Arial" w:eastAsia="Arial" w:hAnsi="Arial"/>
                <w:sz w:val="18"/>
                <w:szCs w:val="18"/>
                <w:color w:val="auto"/>
              </w:rPr>
              <w:t>Portion of aggregate Net Sales of each Product outside the United States during a</w:t>
            </w: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30"/>
        </w:trPr>
        <w:tc>
          <w:tcPr>
            <w:tcW w:w="7040" w:type="dxa"/>
            <w:vAlign w:val="bottom"/>
            <w:gridSpan w:val="2"/>
          </w:tcPr>
          <w:p>
            <w:pPr>
              <w:ind w:left="180"/>
              <w:spacing w:after="0"/>
              <w:rPr>
                <w:sz w:val="20"/>
                <w:szCs w:val="20"/>
                <w:color w:val="auto"/>
              </w:rPr>
            </w:pPr>
            <w:r>
              <w:rPr>
                <w:rFonts w:ascii="Arial" w:cs="Arial" w:eastAsia="Arial" w:hAnsi="Arial"/>
                <w:sz w:val="18"/>
                <w:szCs w:val="18"/>
                <w:color w:val="auto"/>
              </w:rPr>
              <w:t>Calendar Year greater than $[***] and less than or equal to $[***]</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202"/>
        </w:trPr>
        <w:tc>
          <w:tcPr>
            <w:tcW w:w="7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Portion of aggregate Net Sales of each Product outside the United States during a</w:t>
            </w: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30"/>
        </w:trPr>
        <w:tc>
          <w:tcPr>
            <w:tcW w:w="7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Calendar Year greater than $[***] and less than $[***]</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02"/>
        </w:trPr>
        <w:tc>
          <w:tcPr>
            <w:tcW w:w="7040" w:type="dxa"/>
            <w:vAlign w:val="bottom"/>
            <w:gridSpan w:val="2"/>
          </w:tcPr>
          <w:p>
            <w:pPr>
              <w:spacing w:after="0" w:line="201" w:lineRule="exact"/>
              <w:rPr>
                <w:sz w:val="20"/>
                <w:szCs w:val="20"/>
                <w:color w:val="auto"/>
              </w:rPr>
            </w:pPr>
            <w:r>
              <w:rPr>
                <w:rFonts w:ascii="Arial" w:cs="Arial" w:eastAsia="Arial" w:hAnsi="Arial"/>
                <w:sz w:val="18"/>
                <w:szCs w:val="18"/>
                <w:color w:val="auto"/>
              </w:rPr>
              <w:t>Portion of aggregate Net Sales of each Product outside the United States during a</w:t>
            </w: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30"/>
        </w:trPr>
        <w:tc>
          <w:tcPr>
            <w:tcW w:w="7040" w:type="dxa"/>
            <w:vAlign w:val="bottom"/>
            <w:gridSpan w:val="2"/>
          </w:tcPr>
          <w:p>
            <w:pPr>
              <w:ind w:left="180"/>
              <w:spacing w:after="0"/>
              <w:rPr>
                <w:sz w:val="20"/>
                <w:szCs w:val="20"/>
                <w:color w:val="auto"/>
              </w:rPr>
            </w:pPr>
            <w:r>
              <w:rPr>
                <w:rFonts w:ascii="Arial" w:cs="Arial" w:eastAsia="Arial" w:hAnsi="Arial"/>
                <w:sz w:val="18"/>
                <w:szCs w:val="18"/>
                <w:color w:val="auto"/>
              </w:rPr>
              <w:t>Calendar Year greater than $[***]</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364"/>
        </w:trPr>
        <w:tc>
          <w:tcPr>
            <w:tcW w:w="5300" w:type="dxa"/>
            <w:vAlign w:val="bottom"/>
          </w:tcPr>
          <w:p>
            <w:pPr>
              <w:ind w:left="4100"/>
              <w:spacing w:after="0"/>
              <w:rPr>
                <w:sz w:val="20"/>
                <w:szCs w:val="20"/>
                <w:color w:val="auto"/>
              </w:rPr>
            </w:pPr>
            <w:r>
              <w:rPr>
                <w:rFonts w:ascii="Arial" w:cs="Arial" w:eastAsia="Arial" w:hAnsi="Arial"/>
                <w:sz w:val="18"/>
                <w:szCs w:val="18"/>
                <w:color w:val="auto"/>
              </w:rPr>
              <w:t>45</w:t>
            </w:r>
          </w:p>
        </w:tc>
        <w:tc>
          <w:tcPr>
            <w:tcW w:w="1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000"/>
          </w:cols>
          <w:pgMar w:left="440" w:top="253" w:right="459" w:bottom="1440" w:gutter="0" w:footer="0" w:header="0"/>
        </w:sectPr>
      </w:pPr>
    </w:p>
    <w:bookmarkStart w:id="335" w:name="page336"/>
    <w:bookmarkEnd w:id="335"/>
    <w:p>
      <w:pPr>
        <w:ind w:right="20" w:firstLine="436"/>
        <w:spacing w:after="0" w:line="258" w:lineRule="auto"/>
        <w:tabs>
          <w:tab w:leader="none" w:pos="695" w:val="left"/>
        </w:tabs>
        <w:numPr>
          <w:ilvl w:val="0"/>
          <w:numId w:val="19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Royalty Term</w:t>
      </w:r>
      <w:r>
        <w:rPr>
          <w:rFonts w:ascii="Arial" w:cs="Arial" w:eastAsia="Arial" w:hAnsi="Arial"/>
          <w:sz w:val="18"/>
          <w:szCs w:val="18"/>
          <w:color w:val="auto"/>
        </w:rPr>
        <w:t>. Sanofi’s royalty payment obligations under this Section 9.3 with respect to a particular Product and country shall commence</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First Commercial Sale of such Product in such country (by Sanofi or its Affiliates or Sublicensees) and shall continue, on a Product-by-Product and country-by-country basis, until the latest of (i) the date on which there is no Valid Claim that would be infringed by the sale of such Product in such country; (ii) the expiration of any Regulatory Exclusivity granted with respect to such Product in such country[***] (the “</w:t>
      </w:r>
      <w:r>
        <w:rPr>
          <w:rFonts w:ascii="Arial" w:cs="Arial" w:eastAsia="Arial" w:hAnsi="Arial"/>
          <w:sz w:val="18"/>
          <w:szCs w:val="18"/>
          <w:b w:val="1"/>
          <w:bCs w:val="1"/>
          <w:color w:val="auto"/>
        </w:rPr>
        <w:t>Royalty Term</w:t>
      </w:r>
      <w:r>
        <w:rPr>
          <w:rFonts w:ascii="Arial" w:cs="Arial" w:eastAsia="Arial" w:hAnsi="Arial"/>
          <w:sz w:val="18"/>
          <w:szCs w:val="18"/>
          <w:color w:val="auto"/>
        </w:rPr>
        <w:t>” for such Product and country).</w:t>
      </w:r>
    </w:p>
    <w:p>
      <w:pPr>
        <w:spacing w:after="0" w:line="183" w:lineRule="exact"/>
        <w:rPr>
          <w:rFonts w:ascii="Arial" w:cs="Arial" w:eastAsia="Arial" w:hAnsi="Arial"/>
          <w:sz w:val="18"/>
          <w:szCs w:val="18"/>
          <w:color w:val="auto"/>
        </w:rPr>
      </w:pPr>
    </w:p>
    <w:p>
      <w:pPr>
        <w:ind w:left="680" w:hanging="244"/>
        <w:spacing w:after="0"/>
        <w:tabs>
          <w:tab w:leader="none" w:pos="680" w:val="left"/>
        </w:tabs>
        <w:numPr>
          <w:ilvl w:val="0"/>
          <w:numId w:val="197"/>
        </w:numPr>
        <w:rPr>
          <w:rFonts w:ascii="Arial" w:cs="Arial" w:eastAsia="Arial" w:hAnsi="Arial"/>
          <w:sz w:val="18"/>
          <w:szCs w:val="18"/>
          <w:color w:val="auto"/>
        </w:rPr>
      </w:pPr>
      <w:r>
        <w:rPr>
          <w:rFonts w:ascii="Arial" w:cs="Arial" w:eastAsia="Arial" w:hAnsi="Arial"/>
          <w:sz w:val="18"/>
          <w:szCs w:val="18"/>
          <w:b w:val="1"/>
          <w:bCs w:val="1"/>
          <w:color w:val="auto"/>
        </w:rPr>
        <w:t>Royalty Reductions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0" w:right="240" w:firstLine="419"/>
        <w:spacing w:after="0" w:line="263" w:lineRule="auto"/>
        <w:tabs>
          <w:tab w:leader="none" w:pos="1078" w:val="left"/>
        </w:tabs>
        <w:numPr>
          <w:ilvl w:val="1"/>
          <w:numId w:val="197"/>
        </w:numPr>
        <w:rPr>
          <w:rFonts w:ascii="Arial" w:cs="Arial" w:eastAsia="Arial" w:hAnsi="Arial"/>
          <w:sz w:val="18"/>
          <w:szCs w:val="18"/>
          <w:color w:val="auto"/>
        </w:rPr>
      </w:pPr>
      <w:r>
        <w:rPr>
          <w:rFonts w:ascii="Arial" w:cs="Arial" w:eastAsia="Arial" w:hAnsi="Arial"/>
          <w:sz w:val="18"/>
          <w:szCs w:val="18"/>
          <w:color w:val="auto"/>
        </w:rPr>
        <w:t>In any country in which there is no Valid Claim and no Regulatory Exclusivity for such Product, at the time of sale of such Product in such country during the applicable Royalty Term, Sanofi’s obligation to pay royalties under Section 9.3(a) on Net Sales of such Product in such country shall be reduced to [***]% of the rates otherwise payable under such section.</w:t>
      </w:r>
    </w:p>
    <w:p>
      <w:pPr>
        <w:spacing w:after="0" w:line="75" w:lineRule="exact"/>
        <w:rPr>
          <w:rFonts w:ascii="Arial" w:cs="Arial" w:eastAsia="Arial" w:hAnsi="Arial"/>
          <w:sz w:val="18"/>
          <w:szCs w:val="18"/>
          <w:color w:val="auto"/>
        </w:rPr>
      </w:pPr>
    </w:p>
    <w:p>
      <w:pPr>
        <w:ind w:left="440" w:firstLine="419"/>
        <w:spacing w:after="0" w:line="271" w:lineRule="auto"/>
        <w:tabs>
          <w:tab w:leader="none" w:pos="1128" w:val="left"/>
        </w:tabs>
        <w:numPr>
          <w:ilvl w:val="1"/>
          <w:numId w:val="197"/>
        </w:numPr>
        <w:rPr>
          <w:rFonts w:ascii="Arial" w:cs="Arial" w:eastAsia="Arial" w:hAnsi="Arial"/>
          <w:sz w:val="17"/>
          <w:szCs w:val="17"/>
          <w:color w:val="auto"/>
        </w:rPr>
      </w:pPr>
      <w:r>
        <w:rPr>
          <w:rFonts w:ascii="Arial" w:cs="Arial" w:eastAsia="Arial" w:hAnsi="Arial"/>
          <w:sz w:val="17"/>
          <w:szCs w:val="17"/>
          <w:color w:val="auto"/>
        </w:rPr>
        <w:t>If during the Royalty Term for a Product in a country, one or more Generic Products of such Product are sold in such country, and during any Calendar Quarter following the Calendar Quarter in which such Generic Product(s) are first sold in such country (the “</w:t>
      </w:r>
      <w:r>
        <w:rPr>
          <w:rFonts w:ascii="Arial" w:cs="Arial" w:eastAsia="Arial" w:hAnsi="Arial"/>
          <w:sz w:val="17"/>
          <w:szCs w:val="17"/>
          <w:b w:val="1"/>
          <w:bCs w:val="1"/>
          <w:color w:val="auto"/>
        </w:rPr>
        <w:t>Launch Quarter</w:t>
      </w:r>
      <w:r>
        <w:rPr>
          <w:rFonts w:ascii="Arial" w:cs="Arial" w:eastAsia="Arial" w:hAnsi="Arial"/>
          <w:sz w:val="17"/>
          <w:szCs w:val="17"/>
          <w:color w:val="auto"/>
        </w:rPr>
        <w:t>”) Net Sales of such Product in such country during any Calendar Quarter following the Launch Quarter are less than the Designated Percentage (as defined below) of average Net Sales occurring during the [***] immediately preceding the Launch Quarter (such average Net Sales during such Calendar Quarters, the “</w:t>
      </w:r>
      <w:r>
        <w:rPr>
          <w:rFonts w:ascii="Arial" w:cs="Arial" w:eastAsia="Arial" w:hAnsi="Arial"/>
          <w:sz w:val="17"/>
          <w:szCs w:val="17"/>
          <w:b w:val="1"/>
          <w:bCs w:val="1"/>
          <w:color w:val="auto"/>
        </w:rPr>
        <w:t>Base Net Sales</w:t>
      </w:r>
      <w:r>
        <w:rPr>
          <w:rFonts w:ascii="Arial" w:cs="Arial" w:eastAsia="Arial" w:hAnsi="Arial"/>
          <w:sz w:val="17"/>
          <w:szCs w:val="17"/>
          <w:color w:val="auto"/>
        </w:rPr>
        <w:t>”), then the royalty rates provided in Section 9.3(a) for such Product shall be reduced in such country by the “</w:t>
      </w:r>
      <w:r>
        <w:rPr>
          <w:rFonts w:ascii="Arial" w:cs="Arial" w:eastAsia="Arial" w:hAnsi="Arial"/>
          <w:sz w:val="17"/>
          <w:szCs w:val="17"/>
          <w:b w:val="1"/>
          <w:bCs w:val="1"/>
          <w:color w:val="auto"/>
        </w:rPr>
        <w:t>Applicable Reduction Percentage</w:t>
      </w:r>
      <w:r>
        <w:rPr>
          <w:rFonts w:ascii="Arial" w:cs="Arial" w:eastAsia="Arial" w:hAnsi="Arial"/>
          <w:sz w:val="17"/>
          <w:szCs w:val="17"/>
          <w:color w:val="auto"/>
        </w:rPr>
        <w:t>” set forth below for such Calendar Quarter and for all future Calendar Quarters, unless and until the Generic Product is no longer sold or the Net Sales increase above the Base Net Sales in a Calendar Quarter. If Net Sales of the applicable Product in a country in a Calendar Quarter following the Launch Quarter for such country are:</w:t>
      </w:r>
    </w:p>
    <w:p>
      <w:pPr>
        <w:spacing w:after="0" w:line="70" w:lineRule="exact"/>
        <w:rPr>
          <w:rFonts w:ascii="Arial" w:cs="Arial" w:eastAsia="Arial" w:hAnsi="Arial"/>
          <w:sz w:val="17"/>
          <w:szCs w:val="17"/>
          <w:color w:val="auto"/>
        </w:rPr>
      </w:pPr>
    </w:p>
    <w:p>
      <w:pPr>
        <w:ind w:right="500" w:firstLine="1428"/>
        <w:spacing w:after="0" w:line="277" w:lineRule="auto"/>
        <w:tabs>
          <w:tab w:leader="none" w:pos="1652" w:val="left"/>
        </w:tabs>
        <w:numPr>
          <w:ilvl w:val="2"/>
          <w:numId w:val="197"/>
        </w:numPr>
        <w:rPr>
          <w:rFonts w:ascii="Arial" w:cs="Arial" w:eastAsia="Arial" w:hAnsi="Arial"/>
          <w:sz w:val="18"/>
          <w:szCs w:val="18"/>
          <w:color w:val="auto"/>
        </w:rPr>
      </w:pPr>
      <w:r>
        <w:rPr>
          <w:rFonts w:ascii="Arial" w:cs="Arial" w:eastAsia="Arial" w:hAnsi="Arial"/>
          <w:sz w:val="18"/>
          <w:szCs w:val="18"/>
          <w:color w:val="auto"/>
        </w:rPr>
        <w:t>lower than or equal to [***]%, but more than [***]%, of Base Net Sales of the applicable Product in such country, then the Applicable Reduction Percentage shall be [***]%; or</w:t>
      </w:r>
    </w:p>
    <w:p>
      <w:pPr>
        <w:spacing w:after="0" w:line="170" w:lineRule="exact"/>
        <w:rPr>
          <w:rFonts w:ascii="Arial" w:cs="Arial" w:eastAsia="Arial" w:hAnsi="Arial"/>
          <w:sz w:val="18"/>
          <w:szCs w:val="18"/>
          <w:color w:val="auto"/>
        </w:rPr>
      </w:pPr>
    </w:p>
    <w:p>
      <w:pPr>
        <w:ind w:right="600" w:firstLine="1428"/>
        <w:spacing w:after="0" w:line="277" w:lineRule="auto"/>
        <w:tabs>
          <w:tab w:leader="none" w:pos="1642" w:val="left"/>
        </w:tabs>
        <w:numPr>
          <w:ilvl w:val="2"/>
          <w:numId w:val="197"/>
        </w:numPr>
        <w:rPr>
          <w:rFonts w:ascii="Arial" w:cs="Arial" w:eastAsia="Arial" w:hAnsi="Arial"/>
          <w:sz w:val="18"/>
          <w:szCs w:val="18"/>
          <w:color w:val="auto"/>
        </w:rPr>
      </w:pPr>
      <w:r>
        <w:rPr>
          <w:rFonts w:ascii="Arial" w:cs="Arial" w:eastAsia="Arial" w:hAnsi="Arial"/>
          <w:sz w:val="18"/>
          <w:szCs w:val="18"/>
          <w:color w:val="auto"/>
        </w:rPr>
        <w:t>lower than or equal to [***]% of Base Net Sales of the applicable Product in such country, then the Applicable Reduction Percentage shall be [***]%.</w:t>
      </w:r>
    </w:p>
    <w:p>
      <w:pPr>
        <w:spacing w:after="0" w:line="170" w:lineRule="exact"/>
        <w:rPr>
          <w:rFonts w:ascii="Arial" w:cs="Arial" w:eastAsia="Arial" w:hAnsi="Arial"/>
          <w:sz w:val="18"/>
          <w:szCs w:val="18"/>
          <w:color w:val="auto"/>
        </w:rPr>
      </w:pPr>
    </w:p>
    <w:p>
      <w:pPr>
        <w:ind w:left="440" w:firstLine="419"/>
        <w:spacing w:after="0" w:line="271" w:lineRule="auto"/>
        <w:tabs>
          <w:tab w:leader="none" w:pos="1178" w:val="left"/>
        </w:tabs>
        <w:numPr>
          <w:ilvl w:val="1"/>
          <w:numId w:val="197"/>
        </w:numPr>
        <w:rPr>
          <w:rFonts w:ascii="Arial" w:cs="Arial" w:eastAsia="Arial" w:hAnsi="Arial"/>
          <w:sz w:val="17"/>
          <w:szCs w:val="17"/>
          <w:color w:val="auto"/>
        </w:rPr>
      </w:pPr>
      <w:r>
        <w:rPr>
          <w:rFonts w:ascii="Arial" w:cs="Arial" w:eastAsia="Arial" w:hAnsi="Arial"/>
          <w:sz w:val="17"/>
          <w:szCs w:val="17"/>
          <w:color w:val="auto"/>
        </w:rPr>
        <w:t>If Sanofi enters into an agreement with a Third Party in order to obtain a license or other right to a Third Party Right that is reasonably necessary to manufacture, use or sell a Product (or the SHP2 Inhibitor contained therein) in a country pursuant to Section 10.7, Sanofi shall be entitled to deduct from the royalties payable under Section 9.3(a) with respect to such Product in such country in a particular Calendar Quarter [***] paid by Sanofi to such Third Party in respect of such agreement for such Calendar Quarter, in each case to the extent reasonably allocable to such Third Party Right and such Product and country; provided that in no event shall the royalties payable for such Product and country in any Calendar Quarter be reduced to less than [***]% of the amount otherwise due under Section 9.3(a) (the “</w:t>
      </w:r>
      <w:r>
        <w:rPr>
          <w:rFonts w:ascii="Arial" w:cs="Arial" w:eastAsia="Arial" w:hAnsi="Arial"/>
          <w:sz w:val="17"/>
          <w:szCs w:val="17"/>
          <w:b w:val="1"/>
          <w:bCs w:val="1"/>
          <w:color w:val="auto"/>
        </w:rPr>
        <w:t>Royalty Floor</w:t>
      </w:r>
      <w:r>
        <w:rPr>
          <w:rFonts w:ascii="Arial" w:cs="Arial" w:eastAsia="Arial" w:hAnsi="Arial"/>
          <w:sz w:val="17"/>
          <w:szCs w:val="17"/>
          <w:color w:val="auto"/>
        </w:rPr>
        <w:t>”). If any of such amounts cannot be offset against royalties due with respect to a Product for any Calendar Quarter because they would result in royalties payable to RevMed being lower than the Royalty Floor, Sanofi shall have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0" w:right="459" w:bottom="1440" w:gutter="0" w:footer="0" w:header="0"/>
        </w:sectPr>
      </w:pPr>
    </w:p>
    <w:bookmarkStart w:id="336" w:name="page337"/>
    <w:bookmarkEnd w:id="336"/>
    <w:p>
      <w:pPr>
        <w:ind w:left="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right to carry forward and offset such excess amount against royalties or any other payments otherwise due to RevMed in subsequent Calendar Quarters up to a maximum reduction for each Quarter of [***]% of the amounts owed in respect of such subsequent Calendar Quarter. Upon RevMed’s written request Sanofi shall provide a summary to RevMed with respect to the scope of the licensed rights and payments due pursuant to such Third Party license, provided that RevMed may only make such a request one time for each Third Party license.</w:t>
      </w:r>
    </w:p>
    <w:p>
      <w:pPr>
        <w:spacing w:after="0" w:line="153" w:lineRule="exact"/>
        <w:rPr>
          <w:sz w:val="20"/>
          <w:szCs w:val="20"/>
          <w:color w:val="auto"/>
        </w:rPr>
      </w:pPr>
    </w:p>
    <w:p>
      <w:pPr>
        <w:ind w:left="700" w:hanging="264"/>
        <w:spacing w:after="0"/>
        <w:tabs>
          <w:tab w:leader="none" w:pos="700" w:val="left"/>
        </w:tabs>
        <w:numPr>
          <w:ilvl w:val="0"/>
          <w:numId w:val="198"/>
        </w:numPr>
        <w:rPr>
          <w:rFonts w:ascii="Arial" w:cs="Arial" w:eastAsia="Arial" w:hAnsi="Arial"/>
          <w:sz w:val="18"/>
          <w:szCs w:val="18"/>
          <w:color w:val="auto"/>
        </w:rPr>
      </w:pPr>
      <w:r>
        <w:rPr>
          <w:rFonts w:ascii="Arial" w:cs="Arial" w:eastAsia="Arial" w:hAnsi="Arial"/>
          <w:sz w:val="18"/>
          <w:szCs w:val="18"/>
          <w:b w:val="1"/>
          <w:bCs w:val="1"/>
          <w:color w:val="auto"/>
        </w:rPr>
        <w:t>Royalty Reports and Payment</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0" w:right="40" w:firstLine="419"/>
        <w:spacing w:after="0" w:line="293" w:lineRule="auto"/>
        <w:tabs>
          <w:tab w:leader="none" w:pos="1078" w:val="left"/>
        </w:tabs>
        <w:numPr>
          <w:ilvl w:val="1"/>
          <w:numId w:val="198"/>
        </w:numPr>
        <w:rPr>
          <w:rFonts w:ascii="Arial" w:cs="Arial" w:eastAsia="Arial" w:hAnsi="Arial"/>
          <w:sz w:val="16"/>
          <w:szCs w:val="16"/>
          <w:color w:val="auto"/>
        </w:rPr>
      </w:pPr>
      <w:r>
        <w:rPr>
          <w:rFonts w:ascii="Arial" w:cs="Arial" w:eastAsia="Arial" w:hAnsi="Arial"/>
          <w:sz w:val="16"/>
          <w:szCs w:val="16"/>
          <w:color w:val="auto"/>
        </w:rPr>
        <w:t>Within [***] after each Calendar Quarter, commencing with the Calendar Quarter during which the First Commercial Sale of the first Product is made anywhere in the Licensed Territory, Sanofi shall provide RevMed with a report that contains the following information for the applicable Calendar Quarter: (i) on a country-by-country and Product-by-Product basis, the amount of Net Sales of the Products (which may be provided in Dollars or Euros), (ii) on a country-by-country basis and on a Product-by-Product basis, a calculation of the royalty payment due on such sales, and (iii) the exchange rate for such country. Within [***] following delivery of the applicable quarterly report, Sanofi shall pay in Dollars all royalties due to RevMed with respect to Net Sales by Sanofi, its Affiliates and their respective Sublicensees for such Calendar Quarter.</w:t>
      </w:r>
    </w:p>
    <w:p>
      <w:pPr>
        <w:spacing w:after="0" w:line="56" w:lineRule="exact"/>
        <w:rPr>
          <w:rFonts w:ascii="Arial" w:cs="Arial" w:eastAsia="Arial" w:hAnsi="Arial"/>
          <w:sz w:val="16"/>
          <w:szCs w:val="16"/>
          <w:color w:val="auto"/>
        </w:rPr>
      </w:pPr>
    </w:p>
    <w:p>
      <w:pPr>
        <w:ind w:left="440" w:right="60" w:firstLine="419"/>
        <w:spacing w:after="0" w:line="277" w:lineRule="auto"/>
        <w:tabs>
          <w:tab w:leader="none" w:pos="1128" w:val="left"/>
        </w:tabs>
        <w:numPr>
          <w:ilvl w:val="1"/>
          <w:numId w:val="198"/>
        </w:numPr>
        <w:rPr>
          <w:rFonts w:ascii="Arial" w:cs="Arial" w:eastAsia="Arial" w:hAnsi="Arial"/>
          <w:sz w:val="18"/>
          <w:szCs w:val="18"/>
          <w:color w:val="auto"/>
        </w:rPr>
      </w:pPr>
      <w:r>
        <w:rPr>
          <w:rFonts w:ascii="Arial" w:cs="Arial" w:eastAsia="Arial" w:hAnsi="Arial"/>
          <w:sz w:val="18"/>
          <w:szCs w:val="18"/>
          <w:color w:val="auto"/>
        </w:rPr>
        <w:t>Within [***] after each Calendar Year, commencing with the Calendar Year during which the First Commercial Sale of the first Product is made anywhere in the Licensed Territory, Sanofi shall provide RevMed with [***].</w:t>
      </w:r>
    </w:p>
    <w:p>
      <w:pPr>
        <w:spacing w:after="0" w:line="166" w:lineRule="exact"/>
        <w:rPr>
          <w:rFonts w:ascii="Arial" w:cs="Arial" w:eastAsia="Arial" w:hAnsi="Arial"/>
          <w:sz w:val="18"/>
          <w:szCs w:val="18"/>
          <w:color w:val="auto"/>
        </w:rPr>
      </w:pPr>
    </w:p>
    <w:p>
      <w:pPr>
        <w:ind w:right="100" w:firstLine="436"/>
        <w:spacing w:after="0" w:line="261" w:lineRule="auto"/>
        <w:tabs>
          <w:tab w:leader="none" w:pos="685" w:val="left"/>
        </w:tabs>
        <w:numPr>
          <w:ilvl w:val="0"/>
          <w:numId w:val="198"/>
        </w:numPr>
        <w:rPr>
          <w:rFonts w:ascii="Arial" w:cs="Arial" w:eastAsia="Arial" w:hAnsi="Arial"/>
          <w:sz w:val="18"/>
          <w:szCs w:val="18"/>
          <w:color w:val="auto"/>
        </w:rPr>
      </w:pPr>
      <w:r>
        <w:rPr>
          <w:rFonts w:ascii="Arial" w:cs="Arial" w:eastAsia="Arial" w:hAnsi="Arial"/>
          <w:sz w:val="18"/>
          <w:szCs w:val="18"/>
          <w:b w:val="1"/>
          <w:bCs w:val="1"/>
          <w:color w:val="auto"/>
        </w:rPr>
        <w:t>Clarifications</w:t>
      </w:r>
      <w:r>
        <w:rPr>
          <w:rFonts w:ascii="Arial" w:cs="Arial" w:eastAsia="Arial" w:hAnsi="Arial"/>
          <w:sz w:val="18"/>
          <w:szCs w:val="18"/>
          <w:color w:val="auto"/>
        </w:rPr>
        <w:t>. For the purpose of calculating the aggregate Net Sales of a particular Product for an applicable country to determine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royalty rate under Section 9.3, all Products containing the same SHP2 Inhibitor shall be deemed a single Product, regardless of form, formulation, dosage, packaging, other active ingredient or component, label or intended patient population. All royalty payments under this Section 9.3 are non-refundable and non-creditable.</w:t>
      </w:r>
    </w:p>
    <w:p>
      <w:pPr>
        <w:spacing w:after="0" w:line="180"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b w:val="1"/>
          <w:bCs w:val="1"/>
          <w:color w:val="auto"/>
        </w:rPr>
        <w:t>9.4 U.S. Profit/Loss Share</w:t>
      </w:r>
      <w:r>
        <w:rPr>
          <w:rFonts w:ascii="Arial" w:cs="Arial" w:eastAsia="Arial" w:hAnsi="Arial"/>
          <w:sz w:val="17"/>
          <w:szCs w:val="17"/>
          <w:color w:val="auto"/>
        </w:rPr>
        <w:t>. No later than the Initiation of the first Registrational Clinical Trial for the first Product, Sanofi and RevMed shall</w:t>
      </w:r>
      <w:r>
        <w:rPr>
          <w:rFonts w:ascii="Arial" w:cs="Arial" w:eastAsia="Arial" w:hAnsi="Arial"/>
          <w:sz w:val="17"/>
          <w:szCs w:val="17"/>
          <w:b w:val="1"/>
          <w:bCs w:val="1"/>
          <w:color w:val="auto"/>
        </w:rPr>
        <w:t xml:space="preserve"> </w:t>
      </w:r>
      <w:r>
        <w:rPr>
          <w:rFonts w:ascii="Arial" w:cs="Arial" w:eastAsia="Arial" w:hAnsi="Arial"/>
          <w:sz w:val="17"/>
          <w:szCs w:val="17"/>
          <w:color w:val="auto"/>
        </w:rPr>
        <w:t>enter into a profit/loss share agreement (the “</w:t>
      </w:r>
      <w:r>
        <w:rPr>
          <w:rFonts w:ascii="Arial" w:cs="Arial" w:eastAsia="Arial" w:hAnsi="Arial"/>
          <w:sz w:val="17"/>
          <w:szCs w:val="17"/>
          <w:b w:val="1"/>
          <w:bCs w:val="1"/>
          <w:color w:val="auto"/>
        </w:rPr>
        <w:t>Profit/Loss Share Agreement</w:t>
      </w:r>
      <w:r>
        <w:rPr>
          <w:rFonts w:ascii="Arial" w:cs="Arial" w:eastAsia="Arial" w:hAnsi="Arial"/>
          <w:sz w:val="17"/>
          <w:szCs w:val="17"/>
          <w:color w:val="auto"/>
        </w:rPr>
        <w:t xml:space="preserve">”) pursuant to which the Parties shall equally share the Net Profit and Net Loss (as defined in </w:t>
      </w:r>
      <w:r>
        <w:rPr>
          <w:rFonts w:ascii="Arial" w:cs="Arial" w:eastAsia="Arial" w:hAnsi="Arial"/>
          <w:sz w:val="17"/>
          <w:szCs w:val="17"/>
          <w:u w:val="single" w:color="auto"/>
          <w:color w:val="auto"/>
        </w:rPr>
        <w:t>Exhibit M</w:t>
      </w:r>
      <w:r>
        <w:rPr>
          <w:rFonts w:ascii="Arial" w:cs="Arial" w:eastAsia="Arial" w:hAnsi="Arial"/>
          <w:sz w:val="17"/>
          <w:szCs w:val="17"/>
          <w:color w:val="auto"/>
        </w:rPr>
        <w:t xml:space="preserve"> of the Correspondence) applicable with respect to Commercialization of Products (but, for clarity, not any costs of Development) of Products in the U.S. The Profit/Loss Share Agreement for a Product in the U.S. shall continue in effect until the expiration of the Royalty Term for such Product in the U.S. and shall contain the terms and conditions set forth in </w:t>
      </w:r>
      <w:r>
        <w:rPr>
          <w:rFonts w:ascii="Arial" w:cs="Arial" w:eastAsia="Arial" w:hAnsi="Arial"/>
          <w:sz w:val="17"/>
          <w:szCs w:val="17"/>
          <w:u w:val="single" w:color="auto"/>
          <w:color w:val="auto"/>
        </w:rPr>
        <w:t>Exhibit M</w:t>
      </w:r>
      <w:r>
        <w:rPr>
          <w:rFonts w:ascii="Arial" w:cs="Arial" w:eastAsia="Arial" w:hAnsi="Arial"/>
          <w:sz w:val="17"/>
          <w:szCs w:val="17"/>
          <w:color w:val="auto"/>
        </w:rPr>
        <w:t xml:space="preserve"> of the Correspondence and other terms and conditions as are reasonable and customary for the sharing of profits and losses with respect to similar products in the United States (including that each Party shall bear its own income taxes, that each Party is entitled to withhold any tax on behalf of the other Party on payments made to the other Party as required by Applicable Law (taking into account any legally available reduction or elimination of such tax pursuant to an applicable tax treaty or otherwise), and each Party shall indemnify the other Party with respect to any withholding taxes asserted or assessed by any taxing authority on amounts received directly by, or deemed allocable to, such other Party.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80"/>
          </w:cols>
          <w:pgMar w:left="440" w:top="274" w:right="479" w:bottom="1440" w:gutter="0" w:footer="0" w:header="0"/>
        </w:sectPr>
      </w:pPr>
    </w:p>
    <w:bookmarkStart w:id="337" w:name="page338"/>
    <w:bookmarkEnd w:id="337"/>
    <w:p>
      <w:pPr>
        <w:ind w:firstLine="440"/>
        <w:spacing w:after="0" w:line="28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9.5 Payment Terms; Exchange Rate</w:t>
      </w:r>
      <w:r>
        <w:rPr>
          <w:rFonts w:ascii="Arial" w:cs="Arial" w:eastAsia="Arial" w:hAnsi="Arial"/>
          <w:sz w:val="16"/>
          <w:szCs w:val="16"/>
          <w:color w:val="auto"/>
        </w:rPr>
        <w:t>. Notwithstanding any term to the contrary of this Agreement, RevMed shall deliver an invoice to Sanofi for</w:t>
      </w:r>
      <w:r>
        <w:rPr>
          <w:rFonts w:ascii="Arial" w:cs="Arial" w:eastAsia="Arial" w:hAnsi="Arial"/>
          <w:sz w:val="16"/>
          <w:szCs w:val="16"/>
          <w:b w:val="1"/>
          <w:bCs w:val="1"/>
          <w:color w:val="auto"/>
        </w:rPr>
        <w:t xml:space="preserve"> </w:t>
      </w:r>
      <w:r>
        <w:rPr>
          <w:rFonts w:ascii="Arial" w:cs="Arial" w:eastAsia="Arial" w:hAnsi="Arial"/>
          <w:sz w:val="16"/>
          <w:szCs w:val="16"/>
          <w:color w:val="auto"/>
        </w:rPr>
        <w:t>all payments owed by Sanofi to RevMed under this Agreement. Sanofi will make all payments owed to RevMed within [***] after the date on which Sanofi receives an undisputed invoice for such owed amount, except where a different timeframe is expressly provided in another Section of this Agreement (e.g., for the reimbursement of RevMed R&amp;D Costs pursuant to Sections 4.5 and 5.5; the payment of the buy-in payment pursuant to Section 5.6(b)B; the upfront payment set forth in Section 9.1; the royalties payable pursuant to Section 9.3, the payment of VAT pursuant to</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Section 9.7(b); and the payment of unpaid or overpaid amounts pursuant to Section 9.9(b)). All payments to be made by a Party to the other Party under this Agreement shall be made in Dollars by bank wire transfer in immediately available funds to a bank account designated by written notice from the Party that receives the payment. Conversion of Net Sales or reimbursable costs incurred hereunder that are recorded in local currencies to Dollars by a Party, its Affiliates or its or their Sublicensees shall be performed in a manner consistent with its normal practices used to prepare its audited financial statements for internal and external reporting purposes.</w:t>
      </w:r>
    </w:p>
    <w:p>
      <w:pPr>
        <w:spacing w:after="0" w:line="187" w:lineRule="exact"/>
        <w:rPr>
          <w:sz w:val="20"/>
          <w:szCs w:val="20"/>
          <w:color w:val="auto"/>
        </w:rPr>
      </w:pPr>
    </w:p>
    <w:p>
      <w:pPr>
        <w:ind w:right="20" w:firstLine="440"/>
        <w:spacing w:after="0" w:line="298" w:lineRule="auto"/>
        <w:rPr>
          <w:sz w:val="20"/>
          <w:szCs w:val="20"/>
          <w:color w:val="auto"/>
        </w:rPr>
      </w:pPr>
      <w:r>
        <w:rPr>
          <w:rFonts w:ascii="Arial" w:cs="Arial" w:eastAsia="Arial" w:hAnsi="Arial"/>
          <w:sz w:val="16"/>
          <w:szCs w:val="16"/>
          <w:b w:val="1"/>
          <w:bCs w:val="1"/>
          <w:color w:val="auto"/>
        </w:rPr>
        <w:t>9.6 Late Payments</w:t>
      </w:r>
      <w:r>
        <w:rPr>
          <w:rFonts w:ascii="Arial" w:cs="Arial" w:eastAsia="Arial" w:hAnsi="Arial"/>
          <w:sz w:val="16"/>
          <w:szCs w:val="16"/>
          <w:color w:val="auto"/>
        </w:rPr>
        <w:t>. If a Party does not receive payment of any undisputed sum due to it on or before the due date therefor, then it shall notify the</w:t>
      </w:r>
      <w:r>
        <w:rPr>
          <w:rFonts w:ascii="Arial" w:cs="Arial" w:eastAsia="Arial" w:hAnsi="Arial"/>
          <w:sz w:val="16"/>
          <w:szCs w:val="16"/>
          <w:b w:val="1"/>
          <w:bCs w:val="1"/>
          <w:color w:val="auto"/>
        </w:rPr>
        <w:t xml:space="preserve"> </w:t>
      </w:r>
      <w:r>
        <w:rPr>
          <w:rFonts w:ascii="Arial" w:cs="Arial" w:eastAsia="Arial" w:hAnsi="Arial"/>
          <w:sz w:val="16"/>
          <w:szCs w:val="16"/>
          <w:color w:val="auto"/>
        </w:rPr>
        <w:t>paying Party. The paying Party shall pay interest on any undisputed late payments (before and after any judgment) at an annual rate (but with interest accruing on a daily basis) of the lesser of (a) [***] percent above the London Interbank Offered Rate for deposits in Dollars having a maturity of one month published by the British Bankers’ Association, as adjusted from time to time on the [***] of each month, such interest to run from the date on which payment of such sum became due until payment thereof in full together with such interest or (b) the maximum rate permitted by Applicable Law.</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9.7 Taxes</w:t>
      </w:r>
      <w:r>
        <w:rPr>
          <w:rFonts w:ascii="Arial" w:cs="Arial" w:eastAsia="Arial" w:hAnsi="Arial"/>
          <w:sz w:val="18"/>
          <w:szCs w:val="18"/>
          <w:color w:val="auto"/>
        </w:rPr>
        <w:t>.</w:t>
      </w:r>
    </w:p>
    <w:p>
      <w:pPr>
        <w:spacing w:after="0" w:line="117" w:lineRule="exact"/>
        <w:rPr>
          <w:sz w:val="20"/>
          <w:szCs w:val="20"/>
          <w:color w:val="auto"/>
        </w:rPr>
      </w:pPr>
    </w:p>
    <w:p>
      <w:pPr>
        <w:ind w:right="60" w:firstLine="436"/>
        <w:spacing w:after="0" w:line="289" w:lineRule="auto"/>
        <w:tabs>
          <w:tab w:leader="none" w:pos="685" w:val="left"/>
        </w:tabs>
        <w:numPr>
          <w:ilvl w:val="0"/>
          <w:numId w:val="199"/>
        </w:numPr>
        <w:rPr>
          <w:rFonts w:ascii="Arial" w:cs="Arial" w:eastAsia="Arial" w:hAnsi="Arial"/>
          <w:sz w:val="16"/>
          <w:szCs w:val="16"/>
          <w:color w:val="auto"/>
        </w:rPr>
      </w:pPr>
      <w:r>
        <w:rPr>
          <w:rFonts w:ascii="Arial" w:cs="Arial" w:eastAsia="Arial" w:hAnsi="Arial"/>
          <w:sz w:val="16"/>
          <w:szCs w:val="16"/>
          <w:b w:val="1"/>
          <w:bCs w:val="1"/>
          <w:color w:val="auto"/>
        </w:rPr>
        <w:t>General</w:t>
      </w:r>
      <w:r>
        <w:rPr>
          <w:rFonts w:ascii="Arial" w:cs="Arial" w:eastAsia="Arial" w:hAnsi="Arial"/>
          <w:sz w:val="16"/>
          <w:szCs w:val="16"/>
          <w:color w:val="auto"/>
        </w:rPr>
        <w:t>. Each Party shall be solely responsible for the payment of all income taxes imposed on its share of income arising directly or</w:t>
      </w:r>
      <w:r>
        <w:rPr>
          <w:rFonts w:ascii="Arial" w:cs="Arial" w:eastAsia="Arial" w:hAnsi="Arial"/>
          <w:sz w:val="16"/>
          <w:szCs w:val="16"/>
          <w:b w:val="1"/>
          <w:bCs w:val="1"/>
          <w:color w:val="auto"/>
        </w:rPr>
        <w:t xml:space="preserve"> </w:t>
      </w:r>
      <w:r>
        <w:rPr>
          <w:rFonts w:ascii="Arial" w:cs="Arial" w:eastAsia="Arial" w:hAnsi="Arial"/>
          <w:sz w:val="16"/>
          <w:szCs w:val="16"/>
          <w:color w:val="auto"/>
        </w:rPr>
        <w:t>indirectly from the activities of the Parties under this Agreement. In the event that Sanofi is required, under Applicable Law, to withhold any deduction or tax from any payment due to RevMed under this Agreement (taking into account any legally available reduction or elimination of such tax pursuant to an applicable tax treaty or otherwise), such amount will be deducted from the payment to be made by Sanofi, paid to the proper taxing authority, and Sanofi will notify RevMed and upon RevMed’s request promptly provide RevMed with copies of any tax certificate or other documentation evidencing such withholding, provided, however, that in the event that any such withholding tax arises as a result of Sanofi’s re-domiciliation, assignment of its rights or obligations hereunder to an Affiliate, or use of any Third Party subcontractor, payments to RevMed hereunder shall be made on a grossed-up basis to ensure that RevMed receives the same amount it would have in the absence of such withholding. Each Party agrees to cooperate with the other Party in claiming exemptions from such deductions or withholdings under any agreement or treaty from time to time in effect.</w:t>
      </w:r>
    </w:p>
    <w:p>
      <w:pPr>
        <w:spacing w:after="0" w:line="166" w:lineRule="exact"/>
        <w:rPr>
          <w:rFonts w:ascii="Arial" w:cs="Arial" w:eastAsia="Arial" w:hAnsi="Arial"/>
          <w:sz w:val="16"/>
          <w:szCs w:val="16"/>
          <w:color w:val="auto"/>
        </w:rPr>
      </w:pPr>
    </w:p>
    <w:p>
      <w:pPr>
        <w:ind w:right="100" w:firstLine="436"/>
        <w:spacing w:after="0" w:line="298" w:lineRule="auto"/>
        <w:tabs>
          <w:tab w:leader="none" w:pos="695" w:val="left"/>
        </w:tabs>
        <w:numPr>
          <w:ilvl w:val="0"/>
          <w:numId w:val="199"/>
        </w:numPr>
        <w:rPr>
          <w:rFonts w:ascii="Arial" w:cs="Arial" w:eastAsia="Arial" w:hAnsi="Arial"/>
          <w:sz w:val="16"/>
          <w:szCs w:val="16"/>
          <w:color w:val="auto"/>
        </w:rPr>
      </w:pPr>
      <w:r>
        <w:rPr>
          <w:rFonts w:ascii="Arial" w:cs="Arial" w:eastAsia="Arial" w:hAnsi="Arial"/>
          <w:sz w:val="16"/>
          <w:szCs w:val="16"/>
          <w:b w:val="1"/>
          <w:bCs w:val="1"/>
          <w:color w:val="auto"/>
        </w:rPr>
        <w:t xml:space="preserve">Value Added Tax. </w:t>
      </w:r>
      <w:r>
        <w:rPr>
          <w:rFonts w:ascii="Arial" w:cs="Arial" w:eastAsia="Arial" w:hAnsi="Arial"/>
          <w:sz w:val="16"/>
          <w:szCs w:val="16"/>
          <w:color w:val="auto"/>
        </w:rPr>
        <w:t>Notwithstanding anything contained in Section 9.7(a), this Section 9.7(b) will apply with respect to value added tax (or</w:t>
      </w:r>
      <w:r>
        <w:rPr>
          <w:rFonts w:ascii="Arial" w:cs="Arial" w:eastAsia="Arial" w:hAnsi="Arial"/>
          <w:sz w:val="16"/>
          <w:szCs w:val="16"/>
          <w:b w:val="1"/>
          <w:bCs w:val="1"/>
          <w:color w:val="auto"/>
        </w:rPr>
        <w:t xml:space="preserve"> </w:t>
      </w:r>
      <w:r>
        <w:rPr>
          <w:rFonts w:ascii="Arial" w:cs="Arial" w:eastAsia="Arial" w:hAnsi="Arial"/>
          <w:sz w:val="16"/>
          <w:szCs w:val="16"/>
          <w:color w:val="auto"/>
        </w:rPr>
        <w:t>sales, use or indirect tax) (“VAT”). All payments to be made by Sanofi hereunder are exclusive of VAT. If any VAT is chargeable in respect of any such payments, Sanofi will notify RevMed and pay VAT at the applicable rate in respect of any such payments following the receipt of a VAT invoice in the appropriate form issued by RevMed in respect of those payments or Sanofi shall self-assess and pay such VAT, such VAT to be payable on the later of the due date of the payment to which such VAT relates and [***] after the receipt by Sanofi of the applicable invoice relating to that VAT payment.</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60"/>
          </w:cols>
          <w:pgMar w:left="440" w:top="270" w:right="499" w:bottom="1440" w:gutter="0" w:footer="0" w:header="0"/>
        </w:sectPr>
      </w:pPr>
    </w:p>
    <w:bookmarkStart w:id="338" w:name="page339"/>
    <w:bookmarkEnd w:id="338"/>
    <w:p>
      <w:pPr>
        <w:ind w:right="100" w:firstLine="44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9.8 Records</w:t>
      </w:r>
      <w:r>
        <w:rPr>
          <w:rFonts w:ascii="Arial" w:cs="Arial" w:eastAsia="Arial" w:hAnsi="Arial"/>
          <w:sz w:val="18"/>
          <w:szCs w:val="18"/>
          <w:color w:val="auto"/>
        </w:rPr>
        <w:t>. Each Party shall, and shall cause its Affiliates and its and their Sublicensees to, maintain complete and accurate financial books and</w:t>
      </w:r>
      <w:r>
        <w:rPr>
          <w:rFonts w:ascii="Arial" w:cs="Arial" w:eastAsia="Arial" w:hAnsi="Arial"/>
          <w:sz w:val="18"/>
          <w:szCs w:val="18"/>
          <w:b w:val="1"/>
          <w:bCs w:val="1"/>
          <w:color w:val="auto"/>
        </w:rPr>
        <w:t xml:space="preserve"> </w:t>
      </w:r>
      <w:r>
        <w:rPr>
          <w:rFonts w:ascii="Arial" w:cs="Arial" w:eastAsia="Arial" w:hAnsi="Arial"/>
          <w:sz w:val="18"/>
          <w:szCs w:val="18"/>
          <w:color w:val="auto"/>
        </w:rPr>
        <w:t>records in sufficient detail to permit the other Party to confirm the accuracy of the amount of amounts payable under this Agreement. Each Party shall, and shall cause its Affiliates and its and their Sublicensees to, retain such books and records until the later of (a) [***] after the end of the period to which such books and records pertain and (b) the expiration of the applicable tax statute of limitations (or any extensions thereof) or for such longer period as may be required by Applicable Law.</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9.9 Audit Procedures</w:t>
      </w:r>
      <w:r>
        <w:rPr>
          <w:rFonts w:ascii="Arial" w:cs="Arial" w:eastAsia="Arial" w:hAnsi="Arial"/>
          <w:sz w:val="18"/>
          <w:szCs w:val="18"/>
          <w:color w:val="auto"/>
        </w:rPr>
        <w:t>.</w:t>
      </w:r>
    </w:p>
    <w:p>
      <w:pPr>
        <w:spacing w:after="0" w:line="229" w:lineRule="exact"/>
        <w:rPr>
          <w:sz w:val="20"/>
          <w:szCs w:val="20"/>
          <w:color w:val="auto"/>
        </w:rPr>
      </w:pPr>
    </w:p>
    <w:p>
      <w:pPr>
        <w:ind w:right="20" w:firstLine="436"/>
        <w:spacing w:after="0" w:line="290" w:lineRule="auto"/>
        <w:tabs>
          <w:tab w:leader="none" w:pos="685" w:val="left"/>
        </w:tabs>
        <w:numPr>
          <w:ilvl w:val="0"/>
          <w:numId w:val="200"/>
        </w:numPr>
        <w:rPr>
          <w:rFonts w:ascii="Arial" w:cs="Arial" w:eastAsia="Arial" w:hAnsi="Arial"/>
          <w:sz w:val="16"/>
          <w:szCs w:val="16"/>
          <w:color w:val="auto"/>
        </w:rPr>
      </w:pPr>
      <w:r>
        <w:rPr>
          <w:rFonts w:ascii="Arial" w:cs="Arial" w:eastAsia="Arial" w:hAnsi="Arial"/>
          <w:sz w:val="16"/>
          <w:szCs w:val="16"/>
          <w:color w:val="auto"/>
        </w:rPr>
        <w:t>Upon reasonable prior notice of the other Party, but in any event at least [***] prior notice, each Party shall and shall cause its Affiliates and its and their Sublicensees to permit an independent auditor of international prominence, selected by the auditing Party and reasonably acceptable to the audited Party, to audit the books and records maintained pursuant to Section 9.8 for the sole purpose of verifying for the auditing Party the accuracy of the financial reports furnished by the audited Party pursuant to this Agreement or of any payments made, or required to be made, by or to the audited Party pursuant to this Agreement or any Ancillary Agreement. Such audit shall not occur more than [***] in a given Calendar Year, unless for cause, and shall not concern books and records relating to a period more than [***] preceding the current Calendar Year. Any failure by a Party to exercise its rights under this Section 9.9 with respect to a Calendar Year within such [***] period shall constitute a waiver by such Party of its right to later object to any payments made by the other Party under this Agreement during such Calendar Year.</w:t>
      </w:r>
    </w:p>
    <w:p>
      <w:pPr>
        <w:spacing w:after="0" w:line="165" w:lineRule="exact"/>
        <w:rPr>
          <w:rFonts w:ascii="Arial" w:cs="Arial" w:eastAsia="Arial" w:hAnsi="Arial"/>
          <w:sz w:val="16"/>
          <w:szCs w:val="16"/>
          <w:color w:val="auto"/>
        </w:rPr>
      </w:pPr>
    </w:p>
    <w:p>
      <w:pPr>
        <w:ind w:firstLine="436"/>
        <w:spacing w:after="0" w:line="254" w:lineRule="auto"/>
        <w:tabs>
          <w:tab w:leader="none" w:pos="69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Upon completion of the audit, the auditor shall provide a report to both Parties, which report shall be limited to a description of any failure to comply with the terms of this Agreement and the amount of the financial discrepancy. Such auditor shall not disclose the audited Party’s Confidential Information to the auditing Party, except to the extent such disclosure is necessary to verify the accuracy of the financial reports furnished by the audited Party or the amount of payments to or by the audited Party under this Agreement. Any amounts shown to be owed but unpaid, or overpaid and in need of reimbursement, shall be paid or refunded (as the case may be) within [***] after the auditor’s report, plus interest (as set forth in Section 9.6) from the original due date (unless challenged in good faith by the audited Party in which case any dispute with respect thereto shall be resolved in accordance with Section 15.6).</w:t>
      </w:r>
    </w:p>
    <w:p>
      <w:pPr>
        <w:spacing w:after="0" w:line="194" w:lineRule="exact"/>
        <w:rPr>
          <w:rFonts w:ascii="Arial" w:cs="Arial" w:eastAsia="Arial" w:hAnsi="Arial"/>
          <w:sz w:val="18"/>
          <w:szCs w:val="18"/>
          <w:color w:val="auto"/>
        </w:rPr>
      </w:pPr>
    </w:p>
    <w:p>
      <w:pPr>
        <w:ind w:right="20" w:firstLine="436"/>
        <w:spacing w:after="0" w:line="286" w:lineRule="auto"/>
        <w:tabs>
          <w:tab w:leader="none" w:pos="682" w:val="left"/>
        </w:tabs>
        <w:numPr>
          <w:ilvl w:val="0"/>
          <w:numId w:val="200"/>
        </w:numPr>
        <w:rPr>
          <w:rFonts w:ascii="Arial" w:cs="Arial" w:eastAsia="Arial" w:hAnsi="Arial"/>
          <w:sz w:val="17"/>
          <w:szCs w:val="17"/>
          <w:color w:val="auto"/>
        </w:rPr>
      </w:pPr>
      <w:r>
        <w:rPr>
          <w:rFonts w:ascii="Arial" w:cs="Arial" w:eastAsia="Arial" w:hAnsi="Arial"/>
          <w:sz w:val="17"/>
          <w:szCs w:val="17"/>
          <w:color w:val="auto"/>
        </w:rPr>
        <w:t>The auditing Party shall bear the full cost of such audit unless such audit reveals an underpayment by the audited Party that resulted from a discrepancy in the financial report provided by the audited Party for the audited period, which underpayment was more than [***] percent of the amount set forth in such report, in which case the audited Party shall reimburse the auditing Party for the costs for such audit.</w:t>
      </w:r>
    </w:p>
    <w:p>
      <w:pPr>
        <w:spacing w:after="0" w:line="165" w:lineRule="exact"/>
        <w:rPr>
          <w:rFonts w:ascii="Arial" w:cs="Arial" w:eastAsia="Arial" w:hAnsi="Arial"/>
          <w:sz w:val="17"/>
          <w:szCs w:val="17"/>
          <w:color w:val="auto"/>
        </w:rPr>
      </w:pPr>
    </w:p>
    <w:p>
      <w:pPr>
        <w:ind w:right="180" w:firstLine="436"/>
        <w:spacing w:after="0" w:line="263" w:lineRule="auto"/>
        <w:tabs>
          <w:tab w:leader="none" w:pos="69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auditing Party shall treat all information subject to review under this Section 9.9 in accordance with the confidentiality provisions of Article XI and the Parties shall cause the auditor to enter into a reasonably acceptable confidentiality agreement with the audited Party obligating such auditor to retain all such financial information in confidence pursuant to such confidentiality agreement.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70" w:right="459" w:bottom="1440" w:gutter="0" w:footer="0" w:header="0"/>
        </w:sectPr>
      </w:pPr>
    </w:p>
    <w:bookmarkStart w:id="339" w:name="page340"/>
    <w:bookmarkEnd w:id="33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 RIGHTS</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10.1 Ownership</w:t>
      </w:r>
      <w:r>
        <w:rPr>
          <w:rFonts w:ascii="Arial" w:cs="Arial" w:eastAsia="Arial" w:hAnsi="Arial"/>
          <w:sz w:val="18"/>
          <w:szCs w:val="18"/>
          <w:color w:val="auto"/>
        </w:rPr>
        <w:t>.</w:t>
      </w:r>
    </w:p>
    <w:p>
      <w:pPr>
        <w:spacing w:after="0" w:line="121" w:lineRule="exact"/>
        <w:rPr>
          <w:sz w:val="20"/>
          <w:szCs w:val="20"/>
          <w:color w:val="auto"/>
        </w:rPr>
      </w:pPr>
    </w:p>
    <w:p>
      <w:pPr>
        <w:jc w:val="both"/>
        <w:ind w:left="-40" w:right="220" w:firstLine="436"/>
        <w:spacing w:after="0" w:line="259" w:lineRule="auto"/>
        <w:tabs>
          <w:tab w:leader="none" w:pos="64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Each Party shall ensure that every Third Party performing activities on behalf of such Party in connection with the Collaboration executes a binding and enforceable invention assignment agreement assigning all of such Third Party’s right, title and interest in and to Program Inventions to such Party, provided that [***], provided that for those Permitted Contractors or Researchers for whom [***], [***], or [***], provided that [***].</w:t>
      </w:r>
    </w:p>
    <w:p>
      <w:pPr>
        <w:spacing w:after="0" w:line="186" w:lineRule="exact"/>
        <w:rPr>
          <w:rFonts w:ascii="Arial" w:cs="Arial" w:eastAsia="Arial" w:hAnsi="Arial"/>
          <w:sz w:val="18"/>
          <w:szCs w:val="18"/>
          <w:color w:val="auto"/>
        </w:rPr>
      </w:pPr>
    </w:p>
    <w:p>
      <w:pPr>
        <w:ind w:left="-40" w:right="120" w:firstLine="436"/>
        <w:spacing w:after="0" w:line="254" w:lineRule="auto"/>
        <w:tabs>
          <w:tab w:leader="none" w:pos="65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Subject to the other terms and conditions of this Agreement (including the licenses and other rights granted under this Agreement or any Ancillary Agreement), each Party shall have the right to exploit, including license, the Joint Program Technology, without a duty of accounting or any obligation to seek consent from the other Party to exploit such Joint Program Technology. To the extent necessary to effect the foregoing in a country other than the United States, each Party grants to the other Party a nonexclusive, irrevocable, perpetual, fully-paid, worldwide license, with the right to grant sublicenses, under the granting Party’s interest in Joint Program Technology, for any and all purposes, provided that RevMed’s interest therein shall be subject to the other terms and conditions of this Agreement, including the exclusive licenses granted herein (during the Term) and all payment obligations.</w:t>
      </w:r>
    </w:p>
    <w:p>
      <w:pPr>
        <w:spacing w:after="0" w:line="194" w:lineRule="exact"/>
        <w:rPr>
          <w:rFonts w:ascii="Arial" w:cs="Arial" w:eastAsia="Arial" w:hAnsi="Arial"/>
          <w:sz w:val="18"/>
          <w:szCs w:val="18"/>
          <w:color w:val="auto"/>
        </w:rPr>
      </w:pPr>
    </w:p>
    <w:p>
      <w:pPr>
        <w:ind w:left="-40" w:right="80" w:firstLine="436"/>
        <w:spacing w:after="0" w:line="279" w:lineRule="auto"/>
        <w:tabs>
          <w:tab w:leader="none" w:pos="645" w:val="left"/>
        </w:tabs>
        <w:numPr>
          <w:ilvl w:val="0"/>
          <w:numId w:val="201"/>
        </w:numPr>
        <w:rPr>
          <w:rFonts w:ascii="Arial" w:cs="Arial" w:eastAsia="Arial" w:hAnsi="Arial"/>
          <w:sz w:val="17"/>
          <w:szCs w:val="17"/>
          <w:color w:val="auto"/>
        </w:rPr>
      </w:pPr>
      <w:r>
        <w:rPr>
          <w:rFonts w:ascii="Arial" w:cs="Arial" w:eastAsia="Arial" w:hAnsi="Arial"/>
          <w:sz w:val="17"/>
          <w:szCs w:val="17"/>
          <w:color w:val="auto"/>
        </w:rPr>
        <w:t>Each Party shall promptly disclose to the other Party in writing and shall cause its Affiliates, and its and their Sublicensees to so disclose, any Joint Program Know-How and any other Program Inventions. Each Party shall also respond promptly to reasonable requests from the other Party for additional information relating to such Joint Program Know-How and other Program Inventions as reasonably necessary to exercise such Party’s rights and perform its obligations, hereunder and under any Ancillary Agreement, with respect thereto.</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10.2 Patent Prosecution</w:t>
      </w:r>
      <w:r>
        <w:rPr>
          <w:rFonts w:ascii="Arial" w:cs="Arial" w:eastAsia="Arial" w:hAnsi="Arial"/>
          <w:sz w:val="18"/>
          <w:szCs w:val="18"/>
          <w:color w:val="auto"/>
        </w:rPr>
        <w:t>.</w:t>
      </w:r>
    </w:p>
    <w:p>
      <w:pPr>
        <w:spacing w:after="0" w:line="117" w:lineRule="exact"/>
        <w:rPr>
          <w:sz w:val="20"/>
          <w:szCs w:val="20"/>
          <w:color w:val="auto"/>
        </w:rPr>
      </w:pPr>
    </w:p>
    <w:p>
      <w:pPr>
        <w:ind w:left="-40" w:firstLine="436"/>
        <w:spacing w:after="0" w:line="272" w:lineRule="auto"/>
        <w:tabs>
          <w:tab w:leader="none" w:pos="645" w:val="left"/>
        </w:tabs>
        <w:numPr>
          <w:ilvl w:val="0"/>
          <w:numId w:val="202"/>
        </w:numPr>
        <w:rPr>
          <w:rFonts w:ascii="Arial" w:cs="Arial" w:eastAsia="Arial" w:hAnsi="Arial"/>
          <w:sz w:val="17"/>
          <w:szCs w:val="17"/>
          <w:color w:val="auto"/>
        </w:rPr>
      </w:pPr>
      <w:r>
        <w:rPr>
          <w:rFonts w:ascii="Arial" w:cs="Arial" w:eastAsia="Arial" w:hAnsi="Arial"/>
          <w:sz w:val="17"/>
          <w:szCs w:val="17"/>
          <w:b w:val="1"/>
          <w:bCs w:val="1"/>
          <w:color w:val="auto"/>
        </w:rPr>
        <w:t xml:space="preserve">Sanofi Prosecuted Patents. </w:t>
      </w:r>
      <w:r>
        <w:rPr>
          <w:rFonts w:ascii="Arial" w:cs="Arial" w:eastAsia="Arial" w:hAnsi="Arial"/>
          <w:sz w:val="17"/>
          <w:szCs w:val="17"/>
          <w:color w:val="auto"/>
        </w:rPr>
        <w:t>Sanofi shall have the sole and exclusive right [***] to file, prosecute and maintain the RevMed Licensed Patents</w:t>
      </w:r>
      <w:r>
        <w:rPr>
          <w:rFonts w:ascii="Arial" w:cs="Arial" w:eastAsia="Arial" w:hAnsi="Arial"/>
          <w:sz w:val="17"/>
          <w:szCs w:val="17"/>
          <w:b w:val="1"/>
          <w:bCs w:val="1"/>
          <w:color w:val="auto"/>
        </w:rPr>
        <w:t xml:space="preserve"> </w:t>
      </w:r>
      <w:r>
        <w:rPr>
          <w:rFonts w:ascii="Arial" w:cs="Arial" w:eastAsia="Arial" w:hAnsi="Arial"/>
          <w:sz w:val="17"/>
          <w:szCs w:val="17"/>
          <w:color w:val="auto"/>
        </w:rPr>
        <w:t>and [***] (the “</w:t>
      </w:r>
      <w:r>
        <w:rPr>
          <w:rFonts w:ascii="Arial" w:cs="Arial" w:eastAsia="Arial" w:hAnsi="Arial"/>
          <w:sz w:val="17"/>
          <w:szCs w:val="17"/>
          <w:b w:val="1"/>
          <w:bCs w:val="1"/>
          <w:color w:val="auto"/>
        </w:rPr>
        <w:t>Sanofi Prosecuted Patents</w:t>
      </w:r>
      <w:r>
        <w:rPr>
          <w:rFonts w:ascii="Arial" w:cs="Arial" w:eastAsia="Arial" w:hAnsi="Arial"/>
          <w:sz w:val="17"/>
          <w:szCs w:val="17"/>
          <w:color w:val="auto"/>
        </w:rPr>
        <w:t>”), [***]. Such right shall be subject to [***], provided that [***]. RevMed shall transfer the applicable prosecution files for the RevMed Licensed Patents to Sanofi within [***] after the Effective Date. Sanofi shall, through the JPC, consult with RevMed and keep RevMed reasonably informed of the status of the Sanofi Prosecuted Patents and shall promptly provide RevMed with all correspondence received from any patent authorities in connection therewith, including with respect to Sanofi’s proposed timelines for submission of comments to patent authorities (to the extent not shared via the JPC). In addition, Sanofi shall promptly provide RevMed, through the JPC, with drafts of all proposed material filings and correspondence to any patent authorities with respect to the Sanofi Prosecuted Patents for RevMed’s review and comment reasonably in advance of the intended submission of such proposed filings and correspondence. Sanofi shall, through the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20"/>
          </w:cols>
          <w:pgMar w:left="480" w:top="274" w:right="499" w:bottom="1440" w:gutter="0" w:footer="0" w:header="0"/>
        </w:sectPr>
      </w:pPr>
    </w:p>
    <w:bookmarkStart w:id="340" w:name="page341"/>
    <w:bookmarkEnd w:id="340"/>
    <w:p>
      <w:pPr>
        <w:ind w:left="4"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JPC, confer with RevMed and take into consideration RevMed’s comments prior to submitting such proposed filings and correspondence. If RevMed does not provide such comments at least [***] prior to the proposed submission date, then RevMed shall be deemed to have no comment to such proposed filings or correspondence. In case of disagreement between the Parties with respect to the filing, prosecution and maintenance of such Sanofi Prosecuted Patents, the final decision shall be made pursuant to Section 2.10.</w:t>
      </w:r>
    </w:p>
    <w:p>
      <w:pPr>
        <w:spacing w:after="0" w:line="183" w:lineRule="exact"/>
        <w:rPr>
          <w:sz w:val="20"/>
          <w:szCs w:val="20"/>
          <w:color w:val="auto"/>
        </w:rPr>
      </w:pPr>
    </w:p>
    <w:p>
      <w:pPr>
        <w:jc w:val="both"/>
        <w:ind w:left="4" w:firstLine="436"/>
        <w:spacing w:after="0" w:line="266" w:lineRule="auto"/>
        <w:tabs>
          <w:tab w:leader="none" w:pos="699" w:val="left"/>
        </w:tabs>
        <w:numPr>
          <w:ilvl w:val="0"/>
          <w:numId w:val="203"/>
        </w:numPr>
        <w:rPr>
          <w:rFonts w:ascii="Arial" w:cs="Arial" w:eastAsia="Arial" w:hAnsi="Arial"/>
          <w:sz w:val="18"/>
          <w:szCs w:val="18"/>
          <w:color w:val="auto"/>
        </w:rPr>
      </w:pPr>
      <w:r>
        <w:rPr>
          <w:rFonts w:ascii="Arial" w:cs="Arial" w:eastAsia="Arial" w:hAnsi="Arial"/>
          <w:sz w:val="18"/>
          <w:szCs w:val="18"/>
          <w:b w:val="1"/>
          <w:bCs w:val="1"/>
          <w:color w:val="auto"/>
        </w:rPr>
        <w:t>Collaboration</w:t>
      </w:r>
      <w:r>
        <w:rPr>
          <w:rFonts w:ascii="Arial" w:cs="Arial" w:eastAsia="Arial" w:hAnsi="Arial"/>
          <w:sz w:val="18"/>
          <w:szCs w:val="18"/>
          <w:color w:val="auto"/>
        </w:rPr>
        <w:t>. RevMed shall provide Sanofi all reasonable assistance and cooperation in the patent prosecution and maintenance efforts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Section 10.2, including providing any necessary powers of attorney and executing any other required documents or instruments for such prosecution or maintenance.</w:t>
      </w:r>
    </w:p>
    <w:p>
      <w:pPr>
        <w:spacing w:after="0" w:line="175" w:lineRule="exact"/>
        <w:rPr>
          <w:rFonts w:ascii="Arial" w:cs="Arial" w:eastAsia="Arial" w:hAnsi="Arial"/>
          <w:sz w:val="18"/>
          <w:szCs w:val="18"/>
          <w:color w:val="auto"/>
        </w:rPr>
      </w:pPr>
    </w:p>
    <w:p>
      <w:pPr>
        <w:ind w:left="684" w:hanging="244"/>
        <w:spacing w:after="0"/>
        <w:tabs>
          <w:tab w:leader="none" w:pos="684" w:val="left"/>
        </w:tabs>
        <w:numPr>
          <w:ilvl w:val="0"/>
          <w:numId w:val="203"/>
        </w:numPr>
        <w:rPr>
          <w:rFonts w:ascii="Arial" w:cs="Arial" w:eastAsia="Arial" w:hAnsi="Arial"/>
          <w:sz w:val="18"/>
          <w:szCs w:val="18"/>
          <w:color w:val="auto"/>
        </w:rPr>
      </w:pPr>
      <w:r>
        <w:rPr>
          <w:rFonts w:ascii="Arial" w:cs="Arial" w:eastAsia="Arial" w:hAnsi="Arial"/>
          <w:sz w:val="18"/>
          <w:szCs w:val="18"/>
          <w:b w:val="1"/>
          <w:bCs w:val="1"/>
          <w:color w:val="auto"/>
        </w:rPr>
        <w:t xml:space="preserve">Patent Listings. </w:t>
      </w:r>
      <w:r>
        <w:rPr>
          <w:rFonts w:ascii="Arial" w:cs="Arial" w:eastAsia="Arial" w:hAnsi="Arial"/>
          <w:sz w:val="18"/>
          <w:szCs w:val="18"/>
          <w:color w:val="auto"/>
        </w:rPr>
        <w:t>As between the Parties, [***].</w:t>
      </w:r>
    </w:p>
    <w:p>
      <w:pPr>
        <w:spacing w:after="0" w:line="225" w:lineRule="exact"/>
        <w:rPr>
          <w:sz w:val="20"/>
          <w:szCs w:val="20"/>
          <w:color w:val="auto"/>
        </w:rPr>
      </w:pPr>
    </w:p>
    <w:p>
      <w:pPr>
        <w:ind w:left="4" w:right="20" w:firstLine="440"/>
        <w:spacing w:after="0" w:line="256" w:lineRule="auto"/>
        <w:rPr>
          <w:sz w:val="20"/>
          <w:szCs w:val="20"/>
          <w:color w:val="auto"/>
        </w:rPr>
      </w:pPr>
      <w:r>
        <w:rPr>
          <w:rFonts w:ascii="Arial" w:cs="Arial" w:eastAsia="Arial" w:hAnsi="Arial"/>
          <w:sz w:val="18"/>
          <w:szCs w:val="18"/>
          <w:b w:val="1"/>
          <w:bCs w:val="1"/>
          <w:color w:val="auto"/>
        </w:rPr>
        <w:t>10.3 CREATE Act</w:t>
      </w:r>
      <w:r>
        <w:rPr>
          <w:rFonts w:ascii="Arial" w:cs="Arial" w:eastAsia="Arial" w:hAnsi="Arial"/>
          <w:sz w:val="18"/>
          <w:szCs w:val="18"/>
          <w:color w:val="auto"/>
        </w:rPr>
        <w:t>. Notwithstanding anything to the contrary in this Article X, each Party shall have the right to invoke the Cooperative Research</w:t>
      </w:r>
      <w:r>
        <w:rPr>
          <w:rFonts w:ascii="Arial" w:cs="Arial" w:eastAsia="Arial" w:hAnsi="Arial"/>
          <w:sz w:val="18"/>
          <w:szCs w:val="18"/>
          <w:b w:val="1"/>
          <w:bCs w:val="1"/>
          <w:color w:val="auto"/>
        </w:rPr>
        <w:t xml:space="preserve"> </w:t>
      </w:r>
      <w:r>
        <w:rPr>
          <w:rFonts w:ascii="Arial" w:cs="Arial" w:eastAsia="Arial" w:hAnsi="Arial"/>
          <w:sz w:val="18"/>
          <w:szCs w:val="18"/>
          <w:color w:val="auto"/>
        </w:rPr>
        <w:t>and Technology Enhancement Act of 2005, 35 U.S.C. §102(c) (the “</w:t>
      </w:r>
      <w:r>
        <w:rPr>
          <w:rFonts w:ascii="Arial" w:cs="Arial" w:eastAsia="Arial" w:hAnsi="Arial"/>
          <w:sz w:val="18"/>
          <w:szCs w:val="18"/>
          <w:b w:val="1"/>
          <w:bCs w:val="1"/>
          <w:color w:val="auto"/>
        </w:rPr>
        <w:t>CREATE Act</w:t>
      </w:r>
      <w:r>
        <w:rPr>
          <w:rFonts w:ascii="Arial" w:cs="Arial" w:eastAsia="Arial" w:hAnsi="Arial"/>
          <w:sz w:val="18"/>
          <w:szCs w:val="18"/>
          <w:color w:val="auto"/>
        </w:rPr>
        <w:t>”) when exercising its rights under this Article X without the prior written consent of the other Party. Where such Party intends to invoke the CREATE Act, as permitted by the preceding sentence, it shall notify the other Party and the other Party shall cooperate and coordinate its activities with the Party invoking the CREATE Act with respect to any submissions, filings or other activities in support thereof. The Parties acknowledge and agree that this Agreement is a “joint research agreement” as defined in 35 U.S.C. § 100(h).</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10.4 Patent Enforcement and Defense</w:t>
      </w:r>
      <w:r>
        <w:rPr>
          <w:rFonts w:ascii="Arial" w:cs="Arial" w:eastAsia="Arial" w:hAnsi="Arial"/>
          <w:sz w:val="18"/>
          <w:szCs w:val="18"/>
          <w:color w:val="auto"/>
        </w:rPr>
        <w:t>.</w:t>
      </w:r>
    </w:p>
    <w:p>
      <w:pPr>
        <w:spacing w:after="0" w:line="229" w:lineRule="exact"/>
        <w:rPr>
          <w:sz w:val="20"/>
          <w:szCs w:val="20"/>
          <w:color w:val="auto"/>
        </w:rPr>
      </w:pPr>
    </w:p>
    <w:p>
      <w:pPr>
        <w:ind w:left="4" w:right="120" w:firstLine="436"/>
        <w:spacing w:after="0" w:line="286" w:lineRule="auto"/>
        <w:tabs>
          <w:tab w:leader="none" w:pos="689" w:val="left"/>
        </w:tabs>
        <w:numPr>
          <w:ilvl w:val="1"/>
          <w:numId w:val="204"/>
        </w:numPr>
        <w:rPr>
          <w:rFonts w:ascii="Arial" w:cs="Arial" w:eastAsia="Arial" w:hAnsi="Arial"/>
          <w:sz w:val="16"/>
          <w:szCs w:val="16"/>
          <w:color w:val="auto"/>
        </w:rPr>
      </w:pPr>
      <w:r>
        <w:rPr>
          <w:rFonts w:ascii="Arial" w:cs="Arial" w:eastAsia="Arial" w:hAnsi="Arial"/>
          <w:sz w:val="16"/>
          <w:szCs w:val="16"/>
          <w:color w:val="auto"/>
        </w:rPr>
        <w:t>Each Party shall promptly notify the other Party (but in any case no later than [***] after becoming aware) of any alleged or threatened infringement by a Third Party of any of the RevMed Licensed Patents or Joint Program Patents, and RevMed shall promptly notify Sanofi (but in any case no later than [***] after becoming aware) of any alleged or threatened infringement by a Third Party of any of the Sanofi Sole Program Patents, in each case including (i) any such alleged or threatened infringement on account of a Third Party’s manufacture, use or sale of a Product in the Field or</w:t>
      </w:r>
    </w:p>
    <w:p>
      <w:pPr>
        <w:spacing w:after="0" w:line="1" w:lineRule="exact"/>
        <w:rPr>
          <w:rFonts w:ascii="Arial" w:cs="Arial" w:eastAsia="Arial" w:hAnsi="Arial"/>
          <w:sz w:val="16"/>
          <w:szCs w:val="16"/>
          <w:color w:val="auto"/>
        </w:rPr>
      </w:pPr>
    </w:p>
    <w:p>
      <w:pPr>
        <w:ind w:left="4" w:right="40" w:hanging="4"/>
        <w:spacing w:after="0" w:line="292" w:lineRule="auto"/>
        <w:tabs>
          <w:tab w:leader="none" w:pos="269" w:val="left"/>
        </w:tabs>
        <w:numPr>
          <w:ilvl w:val="0"/>
          <w:numId w:val="205"/>
        </w:numPr>
        <w:rPr>
          <w:rFonts w:ascii="Arial" w:cs="Arial" w:eastAsia="Arial" w:hAnsi="Arial"/>
          <w:sz w:val="16"/>
          <w:szCs w:val="16"/>
          <w:color w:val="auto"/>
        </w:rPr>
      </w:pPr>
      <w:r>
        <w:rPr>
          <w:rFonts w:ascii="Arial" w:cs="Arial" w:eastAsia="Arial" w:hAnsi="Arial"/>
          <w:sz w:val="16"/>
          <w:szCs w:val="16"/>
          <w:color w:val="auto"/>
        </w:rPr>
        <w:t>any “patent certification” filed in the United States under 21 U.S.C. §355(b)(2) or 21 U.S.C. §355(j)(2) or similar provisions in other jurisdictions in connection with an ANDA (an Abbreviated New Drug Application in the United States or a comparable application for Regulatory Approval under Applicable Law in any country other than the United States) or other MAA for a Product in the Field and (iii) any declaratory judgment action filed by a Third Party that is developing, manufacturing or commercializing a Product in the Field alleging the invalidity, unenforceability or non-infringement of any of the RevMed Licensed Patents, Joint Program Patents or Sanofi Sole Program Patents ((i)-(iii), collectively, “</w:t>
      </w:r>
      <w:r>
        <w:rPr>
          <w:rFonts w:ascii="Arial" w:cs="Arial" w:eastAsia="Arial" w:hAnsi="Arial"/>
          <w:sz w:val="16"/>
          <w:szCs w:val="16"/>
          <w:b w:val="1"/>
          <w:bCs w:val="1"/>
          <w:color w:val="auto"/>
        </w:rPr>
        <w:t>Product Infringement</w:t>
      </w:r>
      <w:r>
        <w:rPr>
          <w:rFonts w:ascii="Arial" w:cs="Arial" w:eastAsia="Arial" w:hAnsi="Arial"/>
          <w:sz w:val="16"/>
          <w:szCs w:val="16"/>
          <w:color w:val="auto"/>
        </w:rPr>
        <w:t>”).</w:t>
      </w:r>
    </w:p>
    <w:p>
      <w:pPr>
        <w:spacing w:after="0" w:line="162" w:lineRule="exact"/>
        <w:rPr>
          <w:rFonts w:ascii="Arial" w:cs="Arial" w:eastAsia="Arial" w:hAnsi="Arial"/>
          <w:sz w:val="16"/>
          <w:szCs w:val="16"/>
          <w:color w:val="auto"/>
        </w:rPr>
      </w:pPr>
    </w:p>
    <w:p>
      <w:pPr>
        <w:ind w:left="4" w:right="300" w:firstLine="436"/>
        <w:spacing w:after="0" w:line="277" w:lineRule="auto"/>
        <w:tabs>
          <w:tab w:leader="none" w:pos="699" w:val="left"/>
        </w:tabs>
        <w:numPr>
          <w:ilvl w:val="1"/>
          <w:numId w:val="205"/>
        </w:numPr>
        <w:rPr>
          <w:rFonts w:ascii="Arial" w:cs="Arial" w:eastAsia="Arial" w:hAnsi="Arial"/>
          <w:sz w:val="18"/>
          <w:szCs w:val="18"/>
          <w:color w:val="auto"/>
        </w:rPr>
      </w:pPr>
      <w:r>
        <w:rPr>
          <w:rFonts w:ascii="Arial" w:cs="Arial" w:eastAsia="Arial" w:hAnsi="Arial"/>
          <w:sz w:val="18"/>
          <w:szCs w:val="18"/>
          <w:color w:val="auto"/>
        </w:rPr>
        <w:t>Sanofi, at its sole cost and expense, shall have the sole and exclusive right, but not the obligation, to bring (or defend) and control any legal action in connection with any Product Infringement at its own expense, as it reasonably determines appropriate.</w:t>
      </w:r>
    </w:p>
    <w:p>
      <w:pPr>
        <w:spacing w:after="0" w:line="170" w:lineRule="exact"/>
        <w:rPr>
          <w:rFonts w:ascii="Arial" w:cs="Arial" w:eastAsia="Arial" w:hAnsi="Arial"/>
          <w:sz w:val="18"/>
          <w:szCs w:val="18"/>
          <w:color w:val="auto"/>
        </w:rPr>
      </w:pPr>
    </w:p>
    <w:p>
      <w:pPr>
        <w:ind w:left="4" w:right="40" w:firstLine="436"/>
        <w:spacing w:after="0" w:line="279" w:lineRule="auto"/>
        <w:tabs>
          <w:tab w:leader="none" w:pos="689" w:val="left"/>
        </w:tabs>
        <w:numPr>
          <w:ilvl w:val="1"/>
          <w:numId w:val="205"/>
        </w:numPr>
        <w:rPr>
          <w:rFonts w:ascii="Arial" w:cs="Arial" w:eastAsia="Arial" w:hAnsi="Arial"/>
          <w:sz w:val="17"/>
          <w:szCs w:val="17"/>
          <w:color w:val="auto"/>
        </w:rPr>
      </w:pPr>
      <w:r>
        <w:rPr>
          <w:rFonts w:ascii="Arial" w:cs="Arial" w:eastAsia="Arial" w:hAnsi="Arial"/>
          <w:sz w:val="17"/>
          <w:szCs w:val="17"/>
          <w:color w:val="auto"/>
        </w:rPr>
        <w:t>RevMed, at its sole cost and expense, shall have the sole and exclusive right to enforce the RevMed Licensed Patents for any infringement that is not a Product Infringement at its own expense as it reasonably determines appropriate. Each Party shall have the right to enforce the Joint Program Patents for any infringement that is not a Product Infringement at its own expense as it reasonably determines appropriate. Sanofi shall have the sole and exclusive right to enforce the Sanofi Sole Program Patents at its sole cost and expense.</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24"/>
          </w:cols>
          <w:pgMar w:left="436" w:top="274" w:right="439" w:bottom="1440" w:gutter="0" w:footer="0" w:header="0"/>
        </w:sectPr>
      </w:pPr>
    </w:p>
    <w:bookmarkStart w:id="341" w:name="page342"/>
    <w:bookmarkEnd w:id="341"/>
    <w:p>
      <w:pPr>
        <w:ind w:left="700" w:hanging="264"/>
        <w:spacing w:after="0"/>
        <w:tabs>
          <w:tab w:leader="none" w:pos="7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p>
    <w:p>
      <w:pPr>
        <w:spacing w:after="0" w:line="225" w:lineRule="exact"/>
        <w:rPr>
          <w:rFonts w:ascii="Arial" w:cs="Arial" w:eastAsia="Arial" w:hAnsi="Arial"/>
          <w:sz w:val="18"/>
          <w:szCs w:val="18"/>
          <w:color w:val="auto"/>
        </w:rPr>
      </w:pPr>
    </w:p>
    <w:p>
      <w:pPr>
        <w:ind w:right="100" w:firstLine="436"/>
        <w:spacing w:after="0" w:line="301" w:lineRule="auto"/>
        <w:tabs>
          <w:tab w:leader="none" w:pos="685" w:val="left"/>
        </w:tabs>
        <w:numPr>
          <w:ilvl w:val="0"/>
          <w:numId w:val="206"/>
        </w:numPr>
        <w:rPr>
          <w:rFonts w:ascii="Arial" w:cs="Arial" w:eastAsia="Arial" w:hAnsi="Arial"/>
          <w:sz w:val="16"/>
          <w:szCs w:val="16"/>
          <w:color w:val="auto"/>
        </w:rPr>
      </w:pPr>
      <w:r>
        <w:rPr>
          <w:rFonts w:ascii="Arial" w:cs="Arial" w:eastAsia="Arial" w:hAnsi="Arial"/>
          <w:sz w:val="16"/>
          <w:szCs w:val="16"/>
          <w:color w:val="auto"/>
        </w:rPr>
        <w:t>At the request of Sanofi, RevMed shall provide reasonable assistance in connection with any such suit or action, including by executing reasonably appropriate documents, cooperating in discovery and joining as a party to the action if required (at Sanofi’s expense). In connection with a proceeding with respect to a Product Infringement covered by this Section 10.4, Sanofi shall not enter into any settlement admitting the invalidity of, or otherwise impairing RevMed’s rights in, the RevMed Licensed Patents or Joint Program Patents without the prior written consent of RevMed.</w:t>
      </w:r>
    </w:p>
    <w:p>
      <w:pPr>
        <w:spacing w:after="0" w:line="157" w:lineRule="exact"/>
        <w:rPr>
          <w:rFonts w:ascii="Arial" w:cs="Arial" w:eastAsia="Arial" w:hAnsi="Arial"/>
          <w:sz w:val="16"/>
          <w:szCs w:val="16"/>
          <w:color w:val="auto"/>
        </w:rPr>
      </w:pPr>
    </w:p>
    <w:p>
      <w:pPr>
        <w:jc w:val="both"/>
        <w:ind w:right="80" w:firstLine="436"/>
        <w:spacing w:after="0" w:line="263" w:lineRule="auto"/>
        <w:tabs>
          <w:tab w:leader="none" w:pos="665"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recoveries resulting from an enforcement action relating to a claim of Product Infringement shall be first applied against payment of each Party’s costs and expenses in connection therewith. Any such recoveries in excess of such costs and expenses (the “</w:t>
      </w:r>
      <w:r>
        <w:rPr>
          <w:rFonts w:ascii="Arial" w:cs="Arial" w:eastAsia="Arial" w:hAnsi="Arial"/>
          <w:sz w:val="18"/>
          <w:szCs w:val="18"/>
          <w:b w:val="1"/>
          <w:bCs w:val="1"/>
          <w:color w:val="auto"/>
        </w:rPr>
        <w:t>Remainder</w:t>
      </w:r>
      <w:r>
        <w:rPr>
          <w:rFonts w:ascii="Arial" w:cs="Arial" w:eastAsia="Arial" w:hAnsi="Arial"/>
          <w:sz w:val="18"/>
          <w:szCs w:val="18"/>
          <w:color w:val="auto"/>
        </w:rPr>
        <w:t>”) shall be shared by the Parties as follows. The Remainder shall, [***].</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10.5 Trademarks</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55" w:lineRule="auto"/>
        <w:tabs>
          <w:tab w:leader="none" w:pos="685" w:val="left"/>
        </w:tabs>
        <w:numPr>
          <w:ilvl w:val="0"/>
          <w:numId w:val="207"/>
        </w:numPr>
        <w:rPr>
          <w:rFonts w:ascii="Arial" w:cs="Arial" w:eastAsia="Arial" w:hAnsi="Arial"/>
          <w:sz w:val="18"/>
          <w:szCs w:val="18"/>
          <w:color w:val="auto"/>
        </w:rPr>
      </w:pPr>
      <w:r>
        <w:rPr>
          <w:rFonts w:ascii="Arial" w:cs="Arial" w:eastAsia="Arial" w:hAnsi="Arial"/>
          <w:sz w:val="18"/>
          <w:szCs w:val="18"/>
          <w:b w:val="1"/>
          <w:bCs w:val="1"/>
          <w:color w:val="auto"/>
        </w:rPr>
        <w:t>Product Marks</w:t>
      </w:r>
      <w:r>
        <w:rPr>
          <w:rFonts w:ascii="Arial" w:cs="Arial" w:eastAsia="Arial" w:hAnsi="Arial"/>
          <w:sz w:val="18"/>
          <w:szCs w:val="18"/>
          <w:color w:val="auto"/>
        </w:rPr>
        <w:t>. Sanofi shall have the right to Commercialize the Products in the Licensed Territory, in accordance with Applicable Law,</w:t>
      </w:r>
      <w:r>
        <w:rPr>
          <w:rFonts w:ascii="Arial" w:cs="Arial" w:eastAsia="Arial" w:hAnsi="Arial"/>
          <w:sz w:val="18"/>
          <w:szCs w:val="18"/>
          <w:b w:val="1"/>
          <w:bCs w:val="1"/>
          <w:color w:val="auto"/>
        </w:rPr>
        <w:t xml:space="preserve"> </w:t>
      </w:r>
      <w:r>
        <w:rPr>
          <w:rFonts w:ascii="Arial" w:cs="Arial" w:eastAsia="Arial" w:hAnsi="Arial"/>
          <w:sz w:val="18"/>
          <w:szCs w:val="18"/>
          <w:color w:val="auto"/>
        </w:rPr>
        <w:t>using (i) the corporate Trademarks of Sanofi and its Affiliates, Sublicensees and Distributors and (ii) subject to Section 11.5(a)(ii), any other Trademarks it determines appropriate for such Products in such countries (such Trademarks in clause (ii), the “</w:t>
      </w:r>
      <w:r>
        <w:rPr>
          <w:rFonts w:ascii="Arial" w:cs="Arial" w:eastAsia="Arial" w:hAnsi="Arial"/>
          <w:sz w:val="18"/>
          <w:szCs w:val="18"/>
          <w:b w:val="1"/>
          <w:bCs w:val="1"/>
          <w:color w:val="auto"/>
        </w:rPr>
        <w:t>Product Marks</w:t>
      </w:r>
      <w:r>
        <w:rPr>
          <w:rFonts w:ascii="Arial" w:cs="Arial" w:eastAsia="Arial" w:hAnsi="Arial"/>
          <w:sz w:val="18"/>
          <w:szCs w:val="18"/>
          <w:color w:val="auto"/>
        </w:rPr>
        <w:t>”), which may vary by country or within a country, provided that the Parties shall coordinate in good faith a global branding strategy with respect to the Products through the JCC pursuant to Section 2.4(a). Sanofi shall own all rights in the Product Marks and shall have the sole right to register, prosecute and maintain the Product Marks using counsel of its own choice in the countries and regions in the Licensed Territory that it determines reasonably necessary, at Sanofi’s cost and expense.</w:t>
      </w:r>
    </w:p>
    <w:p>
      <w:pPr>
        <w:spacing w:after="0" w:line="188" w:lineRule="exact"/>
        <w:rPr>
          <w:rFonts w:ascii="Arial" w:cs="Arial" w:eastAsia="Arial" w:hAnsi="Arial"/>
          <w:sz w:val="18"/>
          <w:szCs w:val="18"/>
          <w:color w:val="auto"/>
        </w:rPr>
      </w:pPr>
    </w:p>
    <w:p>
      <w:pPr>
        <w:ind w:firstLine="436"/>
        <w:spacing w:after="0" w:line="256" w:lineRule="auto"/>
        <w:tabs>
          <w:tab w:leader="none" w:pos="695" w:val="left"/>
        </w:tabs>
        <w:numPr>
          <w:ilvl w:val="0"/>
          <w:numId w:val="207"/>
        </w:numPr>
        <w:rPr>
          <w:rFonts w:ascii="Arial" w:cs="Arial" w:eastAsia="Arial" w:hAnsi="Arial"/>
          <w:sz w:val="18"/>
          <w:szCs w:val="18"/>
          <w:color w:val="auto"/>
        </w:rPr>
      </w:pPr>
      <w:r>
        <w:rPr>
          <w:rFonts w:ascii="Arial" w:cs="Arial" w:eastAsia="Arial" w:hAnsi="Arial"/>
          <w:sz w:val="18"/>
          <w:szCs w:val="18"/>
          <w:b w:val="1"/>
          <w:bCs w:val="1"/>
          <w:color w:val="auto"/>
        </w:rPr>
        <w:t>Trademark Infringement</w:t>
      </w:r>
      <w:r>
        <w:rPr>
          <w:rFonts w:ascii="Arial" w:cs="Arial" w:eastAsia="Arial" w:hAnsi="Arial"/>
          <w:sz w:val="18"/>
          <w:szCs w:val="18"/>
          <w:color w:val="auto"/>
        </w:rPr>
        <w:t>. RevMed shall provide to Sanofi prompt written notice of any actual or threatened infringement of the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Marks and of any actual or threatened claim that the use of such Product Marks violates the rights of any Third Party, in each case, of which RevMed becomes aware. Sanofi shall have the sole right to take such action as Sanofi deems necessary against a Third Party based on any alleged, threatened or actual infringement, dilution, misappropriation or other violation of or unfair trade practices or any other like offense relating to, the Product Trademarks by a Third Party at its sole cost and expense, subject to Section 9.4, and using counsel of its own choice. Sanofi shall retain any damages or other amounts collected in connection therewith.</w:t>
      </w:r>
    </w:p>
    <w:p>
      <w:pPr>
        <w:spacing w:after="0" w:line="187" w:lineRule="exact"/>
        <w:rPr>
          <w:rFonts w:ascii="Arial" w:cs="Arial" w:eastAsia="Arial" w:hAnsi="Arial"/>
          <w:sz w:val="18"/>
          <w:szCs w:val="18"/>
          <w:color w:val="auto"/>
        </w:rPr>
      </w:pPr>
    </w:p>
    <w:p>
      <w:pPr>
        <w:ind w:right="20" w:firstLine="436"/>
        <w:spacing w:after="0" w:line="266" w:lineRule="auto"/>
        <w:tabs>
          <w:tab w:leader="none" w:pos="685" w:val="left"/>
        </w:tabs>
        <w:numPr>
          <w:ilvl w:val="0"/>
          <w:numId w:val="207"/>
        </w:numPr>
        <w:rPr>
          <w:rFonts w:ascii="Arial" w:cs="Arial" w:eastAsia="Arial" w:hAnsi="Arial"/>
          <w:sz w:val="18"/>
          <w:szCs w:val="18"/>
          <w:color w:val="auto"/>
        </w:rPr>
      </w:pPr>
      <w:r>
        <w:rPr>
          <w:rFonts w:ascii="Arial" w:cs="Arial" w:eastAsia="Arial" w:hAnsi="Arial"/>
          <w:sz w:val="18"/>
          <w:szCs w:val="18"/>
          <w:b w:val="1"/>
          <w:bCs w:val="1"/>
          <w:color w:val="auto"/>
        </w:rPr>
        <w:t>Domain Names</w:t>
      </w:r>
      <w:r>
        <w:rPr>
          <w:rFonts w:ascii="Arial" w:cs="Arial" w:eastAsia="Arial" w:hAnsi="Arial"/>
          <w:sz w:val="18"/>
          <w:szCs w:val="18"/>
          <w:color w:val="auto"/>
        </w:rPr>
        <w:t>. Sanofi shall have the sole right to register and shall own and control any domain names for the Product Marks that it registers</w:t>
      </w:r>
      <w:r>
        <w:rPr>
          <w:rFonts w:ascii="Arial" w:cs="Arial" w:eastAsia="Arial" w:hAnsi="Arial"/>
          <w:sz w:val="18"/>
          <w:szCs w:val="18"/>
          <w:b w:val="1"/>
          <w:bCs w:val="1"/>
          <w:color w:val="auto"/>
        </w:rPr>
        <w:t xml:space="preserve"> </w:t>
      </w:r>
      <w:r>
        <w:rPr>
          <w:rFonts w:ascii="Arial" w:cs="Arial" w:eastAsia="Arial" w:hAnsi="Arial"/>
          <w:sz w:val="18"/>
          <w:szCs w:val="18"/>
          <w:color w:val="auto"/>
        </w:rPr>
        <w:t>in any generic Top Level Domain (e.g., .com, .info, .net or .org) or in any country code Top Level Domain for any country in the Licensed Territory (e.g., .us for the United States and .ca for Canada).</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0"/>
          </w:cols>
          <w:pgMar w:left="440" w:top="274" w:right="459" w:bottom="1440" w:gutter="0" w:footer="0" w:header="0"/>
        </w:sectPr>
      </w:pPr>
    </w:p>
    <w:bookmarkStart w:id="342" w:name="page343"/>
    <w:bookmarkEnd w:id="342"/>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10.6 Patent Extensions</w:t>
      </w:r>
      <w:r>
        <w:rPr>
          <w:rFonts w:ascii="Arial" w:cs="Arial" w:eastAsia="Arial" w:hAnsi="Arial"/>
          <w:sz w:val="18"/>
          <w:szCs w:val="18"/>
          <w:color w:val="auto"/>
        </w:rPr>
        <w:t>.</w:t>
      </w:r>
    </w:p>
    <w:p>
      <w:pPr>
        <w:spacing w:after="0" w:line="229" w:lineRule="exact"/>
        <w:rPr>
          <w:sz w:val="20"/>
          <w:szCs w:val="20"/>
          <w:color w:val="auto"/>
        </w:rPr>
      </w:pPr>
    </w:p>
    <w:p>
      <w:pPr>
        <w:jc w:val="both"/>
        <w:ind w:right="360" w:firstLine="436"/>
        <w:spacing w:after="0" w:line="263" w:lineRule="auto"/>
        <w:tabs>
          <w:tab w:leader="none" w:pos="685"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Parties shall cooperate in obtaining patent term restoration (under but not limited to the U.S. Drug Price Competition and Patent Term Restoration Act and its foreign equivalents), supplemental protection certificates or their equivalents, and patent term extensions with respect to the RevMed Licensed Patents and Joint Program Patents in any country or region where applicable.</w:t>
      </w:r>
    </w:p>
    <w:p>
      <w:pPr>
        <w:spacing w:after="0" w:line="183" w:lineRule="exact"/>
        <w:rPr>
          <w:rFonts w:ascii="Arial" w:cs="Arial" w:eastAsia="Arial" w:hAnsi="Arial"/>
          <w:sz w:val="18"/>
          <w:szCs w:val="18"/>
          <w:color w:val="auto"/>
        </w:rPr>
      </w:pPr>
    </w:p>
    <w:p>
      <w:pPr>
        <w:ind w:right="280" w:firstLine="436"/>
        <w:spacing w:after="0" w:line="263" w:lineRule="auto"/>
        <w:tabs>
          <w:tab w:leader="none" w:pos="695" w:val="left"/>
        </w:tabs>
        <w:numPr>
          <w:ilvl w:val="0"/>
          <w:numId w:val="208"/>
        </w:numPr>
        <w:rPr>
          <w:rFonts w:ascii="Arial" w:cs="Arial" w:eastAsia="Arial" w:hAnsi="Arial"/>
          <w:sz w:val="18"/>
          <w:szCs w:val="18"/>
          <w:color w:val="auto"/>
        </w:rPr>
      </w:pPr>
      <w:r>
        <w:rPr>
          <w:rFonts w:ascii="Arial" w:cs="Arial" w:eastAsia="Arial" w:hAnsi="Arial"/>
          <w:sz w:val="18"/>
          <w:szCs w:val="18"/>
          <w:color w:val="auto"/>
        </w:rPr>
        <w:t>Sanofi shall determine the RevMed Licensed Patents and Joint Program Patents for which it shall apply to extend in any country and notify RevMed of such determination and any such extensions that are granted. Each Party shall provide all reasonable assistance to the other Party in connection with such filings and each Party shall bear its own costs with respect to such assistance.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10.7 Third Party Rights</w:t>
      </w:r>
      <w:r>
        <w:rPr>
          <w:rFonts w:ascii="Arial" w:cs="Arial" w:eastAsia="Arial" w:hAnsi="Arial"/>
          <w:sz w:val="18"/>
          <w:szCs w:val="18"/>
          <w:color w:val="auto"/>
        </w:rPr>
        <w:t>.</w:t>
      </w:r>
    </w:p>
    <w:p>
      <w:pPr>
        <w:spacing w:after="0" w:line="229" w:lineRule="exact"/>
        <w:rPr>
          <w:sz w:val="20"/>
          <w:szCs w:val="20"/>
          <w:color w:val="auto"/>
        </w:rPr>
      </w:pPr>
    </w:p>
    <w:p>
      <w:pPr>
        <w:ind w:firstLine="436"/>
        <w:spacing w:after="0" w:line="275" w:lineRule="auto"/>
        <w:tabs>
          <w:tab w:leader="none" w:pos="685" w:val="left"/>
        </w:tabs>
        <w:numPr>
          <w:ilvl w:val="0"/>
          <w:numId w:val="209"/>
        </w:numPr>
        <w:rPr>
          <w:rFonts w:ascii="Arial" w:cs="Arial" w:eastAsia="Arial" w:hAnsi="Arial"/>
          <w:sz w:val="17"/>
          <w:szCs w:val="17"/>
          <w:color w:val="auto"/>
        </w:rPr>
      </w:pPr>
      <w:r>
        <w:rPr>
          <w:rFonts w:ascii="Arial" w:cs="Arial" w:eastAsia="Arial" w:hAnsi="Arial"/>
          <w:sz w:val="17"/>
          <w:szCs w:val="17"/>
          <w:color w:val="auto"/>
        </w:rPr>
        <w:t>If either Party reasonably determines, in consultation with the JRDC, that (i) the Research, Development, Manufacture, or Commercialization of [***] infringes or misappropriates any Patent Right or other intellectual property right of a Third Party, such that such Party or its respective Affiliates or Sublicensees cannot [***] without infringing or misappropriating the Patent Right or other intellectual property right of such Third Party (a “</w:t>
      </w:r>
      <w:r>
        <w:rPr>
          <w:rFonts w:ascii="Arial" w:cs="Arial" w:eastAsia="Arial" w:hAnsi="Arial"/>
          <w:sz w:val="17"/>
          <w:szCs w:val="17"/>
          <w:b w:val="1"/>
          <w:bCs w:val="1"/>
          <w:color w:val="auto"/>
        </w:rPr>
        <w:t>Third</w:t>
      </w:r>
      <w:r>
        <w:rPr>
          <w:rFonts w:ascii="Arial" w:cs="Arial" w:eastAsia="Arial" w:hAnsi="Arial"/>
          <w:sz w:val="17"/>
          <w:szCs w:val="17"/>
          <w:color w:val="auto"/>
        </w:rPr>
        <w:t xml:space="preserve"> </w:t>
      </w:r>
      <w:r>
        <w:rPr>
          <w:rFonts w:ascii="Arial" w:cs="Arial" w:eastAsia="Arial" w:hAnsi="Arial"/>
          <w:sz w:val="17"/>
          <w:szCs w:val="17"/>
          <w:b w:val="1"/>
          <w:bCs w:val="1"/>
          <w:color w:val="auto"/>
        </w:rPr>
        <w:t>Party Right</w:t>
      </w:r>
      <w:r>
        <w:rPr>
          <w:rFonts w:ascii="Arial" w:cs="Arial" w:eastAsia="Arial" w:hAnsi="Arial"/>
          <w:sz w:val="17"/>
          <w:szCs w:val="17"/>
          <w:color w:val="auto"/>
        </w:rPr>
        <w:t>”) or (ii) [***], such Party shall notify the other Party (such notification, the “</w:t>
      </w:r>
      <w:r>
        <w:rPr>
          <w:rFonts w:ascii="Arial" w:cs="Arial" w:eastAsia="Arial" w:hAnsi="Arial"/>
          <w:sz w:val="17"/>
          <w:szCs w:val="17"/>
          <w:b w:val="1"/>
          <w:bCs w:val="1"/>
          <w:color w:val="auto"/>
        </w:rPr>
        <w:t>Third Party Right Notification</w:t>
      </w:r>
      <w:r>
        <w:rPr>
          <w:rFonts w:ascii="Arial" w:cs="Arial" w:eastAsia="Arial" w:hAnsi="Arial"/>
          <w:sz w:val="17"/>
          <w:szCs w:val="17"/>
          <w:color w:val="auto"/>
        </w:rPr>
        <w:t>”), and promptly thereafter</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shall discuss obtaining a license to the applicable intellectual property right.</w:t>
      </w:r>
    </w:p>
    <w:p>
      <w:pPr>
        <w:spacing w:after="0" w:line="176" w:lineRule="exact"/>
        <w:rPr>
          <w:rFonts w:ascii="Arial" w:cs="Arial" w:eastAsia="Arial" w:hAnsi="Arial"/>
          <w:sz w:val="17"/>
          <w:szCs w:val="17"/>
          <w:color w:val="auto"/>
        </w:rPr>
      </w:pPr>
    </w:p>
    <w:p>
      <w:pPr>
        <w:ind w:right="20" w:firstLine="436"/>
        <w:spacing w:after="0" w:line="272" w:lineRule="auto"/>
        <w:tabs>
          <w:tab w:leader="none" w:pos="695" w:val="left"/>
        </w:tabs>
        <w:numPr>
          <w:ilvl w:val="0"/>
          <w:numId w:val="209"/>
        </w:numPr>
        <w:rPr>
          <w:rFonts w:ascii="Arial" w:cs="Arial" w:eastAsia="Arial" w:hAnsi="Arial"/>
          <w:sz w:val="17"/>
          <w:szCs w:val="17"/>
          <w:color w:val="auto"/>
        </w:rPr>
      </w:pPr>
      <w:r>
        <w:rPr>
          <w:rFonts w:ascii="Arial" w:cs="Arial" w:eastAsia="Arial" w:hAnsi="Arial"/>
          <w:sz w:val="17"/>
          <w:szCs w:val="17"/>
          <w:color w:val="auto"/>
        </w:rPr>
        <w:t>Sanofi shall have the first right, but not the obligation, through counsel of its choosing, to negotiate and obtain a license with respect to such Third Party intellectual property right and shall provide RevMed with a copy of such license if it obtains such a license (to the extent permitted by the terms of such license, provided that Sanofi shall use Commercially Reasonable Efforts to obtain such permission to provide such copy). If Sanofi elects not to obtain such license, or fails to obtain such license within [***] after the Third Party Right Notification, then RevMed shall have the right to obtain such license, with the right to grant the corresponding sublicense to Sanofi pursuant to Section 10.7(c). The Party negotiating a license shall keep the other Party reasonably informed of the material terms for such prospective license applicable to the Products and shall consider in good faith the comments of such other Party with respect to such Third Party license.</w:t>
      </w:r>
    </w:p>
    <w:p>
      <w:pPr>
        <w:spacing w:after="0" w:line="177" w:lineRule="exact"/>
        <w:rPr>
          <w:rFonts w:ascii="Arial" w:cs="Arial" w:eastAsia="Arial" w:hAnsi="Arial"/>
          <w:sz w:val="17"/>
          <w:szCs w:val="17"/>
          <w:color w:val="auto"/>
        </w:rPr>
      </w:pPr>
    </w:p>
    <w:p>
      <w:pPr>
        <w:ind w:right="140" w:firstLine="436"/>
        <w:spacing w:after="0" w:line="259" w:lineRule="auto"/>
        <w:tabs>
          <w:tab w:leader="none" w:pos="685"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If RevMed obtains such license, then notwithstanding anything to the contrary in this Agreement, the Patent Rights and Know-How licensed thereunder will be included in the RevMed Background Technology only if Sanofi provides RevMed with written notice within [***] following its receipt from RevMed of the substantive terms of the license agreement, in which [***]. Sanofi shall [***] no later than [***] before the applicable due date therefor.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270" w:right="459" w:bottom="1440" w:gutter="0" w:footer="0" w:header="0"/>
        </w:sectPr>
      </w:pPr>
    </w:p>
    <w:bookmarkStart w:id="343" w:name="page344"/>
    <w:bookmarkEnd w:id="34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XI.</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 PUBLICATION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11.1 Duty of Confidence</w:t>
      </w:r>
      <w:r>
        <w:rPr>
          <w:rFonts w:ascii="Arial" w:cs="Arial" w:eastAsia="Arial" w:hAnsi="Arial"/>
          <w:sz w:val="18"/>
          <w:szCs w:val="18"/>
          <w:color w:val="auto"/>
        </w:rPr>
        <w:t>. At all times during the Term and for a period of [***] thereafter, subject to the other provisions of this Article XI:</w:t>
      </w:r>
    </w:p>
    <w:p>
      <w:pPr>
        <w:spacing w:after="0" w:line="117" w:lineRule="exact"/>
        <w:rPr>
          <w:sz w:val="20"/>
          <w:szCs w:val="20"/>
          <w:color w:val="auto"/>
        </w:rPr>
      </w:pPr>
    </w:p>
    <w:p>
      <w:pPr>
        <w:ind w:right="160" w:firstLine="436"/>
        <w:spacing w:after="0" w:line="266" w:lineRule="auto"/>
        <w:tabs>
          <w:tab w:leader="none" w:pos="68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all Confidential Information of a Party (the “</w:t>
      </w:r>
      <w:r>
        <w:rPr>
          <w:rFonts w:ascii="Arial" w:cs="Arial" w:eastAsia="Arial" w:hAnsi="Arial"/>
          <w:sz w:val="18"/>
          <w:szCs w:val="18"/>
          <w:b w:val="1"/>
          <w:bCs w:val="1"/>
          <w:color w:val="auto"/>
        </w:rPr>
        <w:t>Disclosing Party</w:t>
      </w:r>
      <w:r>
        <w:rPr>
          <w:rFonts w:ascii="Arial" w:cs="Arial" w:eastAsia="Arial" w:hAnsi="Arial"/>
          <w:sz w:val="18"/>
          <w:szCs w:val="18"/>
          <w:color w:val="auto"/>
        </w:rPr>
        <w:t>”) shall be maintained in confidence and otherwise safeguarded by the other Party (the “</w:t>
      </w:r>
      <w:r>
        <w:rPr>
          <w:rFonts w:ascii="Arial" w:cs="Arial" w:eastAsia="Arial" w:hAnsi="Arial"/>
          <w:sz w:val="18"/>
          <w:szCs w:val="18"/>
          <w:b w:val="1"/>
          <w:bCs w:val="1"/>
          <w:color w:val="auto"/>
        </w:rPr>
        <w:t>Receiving Party</w:t>
      </w:r>
      <w:r>
        <w:rPr>
          <w:rFonts w:ascii="Arial" w:cs="Arial" w:eastAsia="Arial" w:hAnsi="Arial"/>
          <w:sz w:val="18"/>
          <w:szCs w:val="18"/>
          <w:color w:val="auto"/>
        </w:rPr>
        <w:t>”) and its Affiliates, using commercially reasonable efforts, but in any event no less than in the same manner and the same protections with which the Receiving Party maintains its own confidential information; and</w:t>
      </w:r>
    </w:p>
    <w:p>
      <w:pPr>
        <w:spacing w:after="0" w:line="179" w:lineRule="exact"/>
        <w:rPr>
          <w:rFonts w:ascii="Arial" w:cs="Arial" w:eastAsia="Arial" w:hAnsi="Arial"/>
          <w:sz w:val="18"/>
          <w:szCs w:val="18"/>
          <w:color w:val="auto"/>
        </w:rPr>
      </w:pPr>
    </w:p>
    <w:p>
      <w:pPr>
        <w:ind w:right="400" w:firstLine="436"/>
        <w:spacing w:after="0" w:line="277" w:lineRule="auto"/>
        <w:tabs>
          <w:tab w:leader="none" w:pos="69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Receiving Party may only use any such Confidential Information for the purposes of performing its obligations or exercising its rights under this Agreement or any Ancillary Agreement.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11.2 Exceptions</w:t>
      </w:r>
      <w:r>
        <w:rPr>
          <w:rFonts w:ascii="Arial" w:cs="Arial" w:eastAsia="Arial" w:hAnsi="Arial"/>
          <w:sz w:val="17"/>
          <w:szCs w:val="17"/>
          <w:color w:val="auto"/>
        </w:rPr>
        <w:t>. The foregoing obligations shall not apply to the extent that the Receiving Party can demonstrate that any information:</w:t>
      </w:r>
    </w:p>
    <w:p>
      <w:pPr>
        <w:spacing w:after="0" w:line="133" w:lineRule="exact"/>
        <w:rPr>
          <w:sz w:val="20"/>
          <w:szCs w:val="20"/>
          <w:color w:val="auto"/>
        </w:rPr>
      </w:pPr>
    </w:p>
    <w:p>
      <w:pPr>
        <w:ind w:right="360" w:firstLine="436"/>
        <w:spacing w:after="0" w:line="277" w:lineRule="auto"/>
        <w:tabs>
          <w:tab w:leader="none" w:pos="68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is known by the Receiving Party at the time of its receipt without an obligation of confidentiality with respect to such information, and not through a prior disclosure by the Disclosing Party;</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is in the public domain before its receipt from the Disclosing Party, or thereafter enters the public domain through no fault of the Receiving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Party;</w:t>
      </w:r>
    </w:p>
    <w:p>
      <w:pPr>
        <w:spacing w:after="0" w:line="210" w:lineRule="exact"/>
        <w:rPr>
          <w:rFonts w:ascii="Arial" w:cs="Arial" w:eastAsia="Arial" w:hAnsi="Arial"/>
          <w:sz w:val="16"/>
          <w:szCs w:val="16"/>
          <w:color w:val="auto"/>
        </w:rPr>
      </w:pPr>
    </w:p>
    <w:p>
      <w:pPr>
        <w:ind w:right="180" w:firstLine="436"/>
        <w:spacing w:after="0" w:line="277" w:lineRule="auto"/>
        <w:tabs>
          <w:tab w:leader="none" w:pos="68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is subsequently disclosed to the Receiving Party by a Third Party who may lawfully do so and is not under an obligation of confidentiality to the Disclosing Party with respect to such information; or</w:t>
      </w:r>
    </w:p>
    <w:p>
      <w:pPr>
        <w:spacing w:after="0" w:line="170" w:lineRule="exact"/>
        <w:rPr>
          <w:rFonts w:ascii="Arial" w:cs="Arial" w:eastAsia="Arial" w:hAnsi="Arial"/>
          <w:sz w:val="18"/>
          <w:szCs w:val="18"/>
          <w:color w:val="auto"/>
        </w:rPr>
      </w:pPr>
    </w:p>
    <w:p>
      <w:pPr>
        <w:ind w:right="720" w:firstLine="436"/>
        <w:spacing w:after="0" w:line="277" w:lineRule="auto"/>
        <w:tabs>
          <w:tab w:leader="none" w:pos="69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is developed by the Receiving Party independently and without use of or reference to any Confidential Information received from the Disclosing Party.</w:t>
      </w:r>
    </w:p>
    <w:p>
      <w:pPr>
        <w:spacing w:after="0" w:line="17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Any combination of features or disclosures shall not be deemed to fall within the foregoing exclusions merely because individual features are published or available to the general public or in the rightful possession of the Receiving Party unless the combination itself and principle of operation are published or available to the general public or in the rightful possession of the Receiving Party.</w:t>
      </w:r>
    </w:p>
    <w:p>
      <w:pPr>
        <w:spacing w:after="0" w:line="180" w:lineRule="exact"/>
        <w:rPr>
          <w:sz w:val="20"/>
          <w:szCs w:val="20"/>
          <w:color w:val="auto"/>
        </w:rPr>
      </w:pPr>
    </w:p>
    <w:p>
      <w:pPr>
        <w:ind w:right="740" w:firstLine="440"/>
        <w:spacing w:after="0" w:line="282" w:lineRule="auto"/>
        <w:rPr>
          <w:sz w:val="20"/>
          <w:szCs w:val="20"/>
          <w:color w:val="auto"/>
        </w:rPr>
      </w:pPr>
      <w:r>
        <w:rPr>
          <w:rFonts w:ascii="Arial" w:cs="Arial" w:eastAsia="Arial" w:hAnsi="Arial"/>
          <w:sz w:val="18"/>
          <w:szCs w:val="18"/>
          <w:b w:val="1"/>
          <w:bCs w:val="1"/>
          <w:color w:val="auto"/>
        </w:rPr>
        <w:t>11.3 Authorized Disclosures</w:t>
      </w:r>
      <w:r>
        <w:rPr>
          <w:rFonts w:ascii="Arial" w:cs="Arial" w:eastAsia="Arial" w:hAnsi="Arial"/>
          <w:sz w:val="18"/>
          <w:szCs w:val="18"/>
          <w:color w:val="auto"/>
        </w:rPr>
        <w:t>. Notwithstanding the obligations set forth in Sections 11.1 and 11.5, a Party may disclose the other Party’s</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 Information (including this Agreement and the terms herein) to the extent:</w:t>
      </w:r>
    </w:p>
    <w:p>
      <w:pPr>
        <w:spacing w:after="0" w:line="58" w:lineRule="exact"/>
        <w:rPr>
          <w:sz w:val="20"/>
          <w:szCs w:val="20"/>
          <w:color w:val="auto"/>
        </w:rPr>
      </w:pPr>
    </w:p>
    <w:p>
      <w:pPr>
        <w:ind w:left="680" w:hanging="244"/>
        <w:spacing w:after="0"/>
        <w:tabs>
          <w:tab w:leader="none" w:pos="68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such disclosure: (i) is reasonably necessary for the filing or prosecuting Patent Rights as contemplated by Article X; (ii) is reasonably</w:t>
      </w:r>
    </w:p>
    <w:p>
      <w:pPr>
        <w:spacing w:after="0" w:line="34" w:lineRule="exact"/>
        <w:rPr>
          <w:rFonts w:ascii="Arial" w:cs="Arial" w:eastAsia="Arial" w:hAnsi="Arial"/>
          <w:sz w:val="17"/>
          <w:szCs w:val="17"/>
          <w:color w:val="auto"/>
        </w:rPr>
      </w:pPr>
    </w:p>
    <w:p>
      <w:pPr>
        <w:ind w:right="60"/>
        <w:spacing w:after="0" w:line="277" w:lineRule="auto"/>
        <w:rPr>
          <w:rFonts w:ascii="Arial" w:cs="Arial" w:eastAsia="Arial" w:hAnsi="Arial"/>
          <w:sz w:val="17"/>
          <w:szCs w:val="17"/>
          <w:color w:val="auto"/>
        </w:rPr>
      </w:pPr>
      <w:r>
        <w:rPr>
          <w:rFonts w:ascii="Arial" w:cs="Arial" w:eastAsia="Arial" w:hAnsi="Arial"/>
          <w:sz w:val="17"/>
          <w:szCs w:val="17"/>
          <w:color w:val="auto"/>
        </w:rPr>
        <w:t>necessary in connection with regulatory filings for the Products in the Field consistent with this Agreement; or (iii) is made to any Third Party bound by written obligations of confidentiality and non-use similar to those set forth under this Article XI, to the extent otherwise necessary or appropriate in connection with the exercise of its rights or the performance of its obligations hereunder or under any Ancillary Agreement;</w:t>
      </w:r>
    </w:p>
    <w:p>
      <w:pPr>
        <w:spacing w:after="0" w:line="172" w:lineRule="exact"/>
        <w:rPr>
          <w:rFonts w:ascii="Arial" w:cs="Arial" w:eastAsia="Arial" w:hAnsi="Arial"/>
          <w:sz w:val="17"/>
          <w:szCs w:val="17"/>
          <w:color w:val="auto"/>
        </w:rPr>
      </w:pPr>
    </w:p>
    <w:p>
      <w:pPr>
        <w:ind w:firstLine="436"/>
        <w:spacing w:after="0" w:line="263" w:lineRule="auto"/>
        <w:tabs>
          <w:tab w:leader="none" w:pos="695" w:val="left"/>
        </w:tabs>
        <w:numPr>
          <w:ilvl w:val="0"/>
          <w:numId w:val="212"/>
        </w:numPr>
        <w:rPr>
          <w:rFonts w:ascii="Arial" w:cs="Arial" w:eastAsia="Arial" w:hAnsi="Arial"/>
          <w:sz w:val="18"/>
          <w:szCs w:val="18"/>
          <w:color w:val="auto"/>
        </w:rPr>
      </w:pPr>
      <w:r>
        <w:rPr>
          <w:rFonts w:ascii="Arial" w:cs="Arial" w:eastAsia="Arial" w:hAnsi="Arial"/>
          <w:sz w:val="18"/>
          <w:szCs w:val="18"/>
          <w:color w:val="auto"/>
        </w:rPr>
        <w:t>such disclosure is reasonably necessary: (i) to its and its Affiliates’, Sublicensees’ and Distributors’ employees and subcontractors in connection with the exercise of its rights or the performance of its obligations hereunder or under any Ancillary Agreement; (ii) to such Party’s directors, attorneys, independent accountants or financial advisors for the sole purpose of enabling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0"/>
          </w:cols>
          <w:pgMar w:left="440" w:top="274" w:right="459" w:bottom="1440" w:gutter="0" w:footer="0" w:header="0"/>
        </w:sectPr>
      </w:pPr>
    </w:p>
    <w:bookmarkStart w:id="344" w:name="page345"/>
    <w:bookmarkEnd w:id="344"/>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directors, attorneys, independent accountants or financial advisors to provide advice to such Party relating to this Agreement; or (iii) to actual or potential investors or Acquirers of such Party solely for the purpose of evaluating or carrying out a bona fide investment in or acquisition of such Party; provided that in each case, (i), (ii) and (iii), such party(ies) to whom disclosure is made under this Section 11.3(b) shall be bound by confidentiality and non-use obligations substantially consistent with those contained in the Agreement; or</w:t>
      </w:r>
    </w:p>
    <w:p>
      <w:pPr>
        <w:spacing w:after="0" w:line="187" w:lineRule="exact"/>
        <w:rPr>
          <w:sz w:val="20"/>
          <w:szCs w:val="20"/>
          <w:color w:val="auto"/>
        </w:rPr>
      </w:pPr>
    </w:p>
    <w:p>
      <w:pPr>
        <w:ind w:right="60" w:firstLine="436"/>
        <w:spacing w:after="0" w:line="271" w:lineRule="auto"/>
        <w:tabs>
          <w:tab w:leader="none" w:pos="685" w:val="left"/>
        </w:tabs>
        <w:numPr>
          <w:ilvl w:val="0"/>
          <w:numId w:val="213"/>
        </w:numPr>
        <w:rPr>
          <w:rFonts w:ascii="Arial" w:cs="Arial" w:eastAsia="Arial" w:hAnsi="Arial"/>
          <w:sz w:val="17"/>
          <w:szCs w:val="17"/>
          <w:color w:val="auto"/>
        </w:rPr>
      </w:pPr>
      <w:r>
        <w:rPr>
          <w:rFonts w:ascii="Arial" w:cs="Arial" w:eastAsia="Arial" w:hAnsi="Arial"/>
          <w:sz w:val="17"/>
          <w:szCs w:val="17"/>
          <w:color w:val="auto"/>
        </w:rPr>
        <w:t>such disclosure is required by Applicable Law, rules of a securities exchange or judicial or administrative process or is reasonably necessary for prosecuting or defending litigation under Article X or Article XIV; provided that in such event such Party (to the extent legally permissible) shall promptly inform the other Party of such required disclosure and use reasonable efforts to provide the other Party an opportunity to challenge or limit the disclosure obligations; provided, further that Confidential Information disclosed shall be limited to that information which is required under the relevant Applicable Law, rule, judicial or administrative process or court or governmental order. Confidential Information that is so disclosed shall remain otherwise subject to the confidentiality and non-use provisions of this Article XI, provided that the Party disclosing Confidential Information in such situation shall use reasonable efforts, including seeking confidential treatment or a protective order, to seek and obtain continued confidential treatment of such Confidential Information.</w:t>
      </w:r>
    </w:p>
    <w:p>
      <w:pPr>
        <w:spacing w:after="0" w:line="174"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b w:val="1"/>
          <w:bCs w:val="1"/>
          <w:color w:val="auto"/>
        </w:rPr>
        <w:t>11.4 Publications</w:t>
      </w:r>
      <w:r>
        <w:rPr>
          <w:rFonts w:ascii="Arial" w:cs="Arial" w:eastAsia="Arial" w:hAnsi="Arial"/>
          <w:sz w:val="17"/>
          <w:szCs w:val="17"/>
          <w:color w:val="auto"/>
        </w:rPr>
        <w:t>. The JRDC shall, directly or through a subcommittee (a) discuss and approve a publication strategy and plan with respect to</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activities hereunder (including details of the Parties’ participation in appropriate conferences and scientific or medical publications relating to Products and processes for review of proposed Publications by each Party) and (b) review and comment on and approve any Publication relating to the scientific or medical aspects of the Products in accordance with such strategy, and if applicable coordinate such review and comment process with the JCC. The Parties acknowledge RevMed’s interest in publishing the results of the Research and Development activities under this Agreement in order to obtain recognition within the scientific, medical or other applicable community, to advance the state of knowledge in the field, and RevMed’s need to fulfill its obligations to principal investigators and researchers with respect to publications under its relevant agreements; the need to protect Confidential Information; and the Parties’ mutual interest in obtaining valid patent protection and protecting reasonable business interests and trade secret information. Consequently, each Party and their Affiliates, employee(s) and consultant(s) shall deliver to the JRDC or the applicable subcommittee, and if applicable to the JCC, for review and comment a copy of any proposed Publication that pertains to SHP2 inhibition or any SHP2 Inhibitor or Product using Commercially Reasonable Efforts to provide such copy at least [***] (but in no event less than [***] unless otherwise agreed by the Parties) prior to its intended submission or publication, and in accordance with the applicable strategy determined by the JRDC and the ICMJE guidelines or other similar guidelines. The non-publishing Party shall have the right to require reasonable modifications of the Publication: (a) to protect the non-publishing Party’s Confidential Information or trade secrets; or (b) to delay such submission for a reasonable time period (not to exceed [***]) as may be reasonably necessary to seek patent protection for the information disclosed in such proposed submission to the extent consistent with Article 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00"/>
          </w:cols>
          <w:pgMar w:left="440" w:top="274" w:right="459" w:bottom="1440" w:gutter="0" w:footer="0" w:header="0"/>
        </w:sectPr>
      </w:pPr>
    </w:p>
    <w:bookmarkStart w:id="345" w:name="page346"/>
    <w:bookmarkEnd w:id="345"/>
    <w:p>
      <w:pPr>
        <w:ind w:left="4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11.5 Publicity; Use of Names</w:t>
      </w:r>
      <w:r>
        <w:rPr>
          <w:rFonts w:ascii="Arial" w:cs="Arial" w:eastAsia="Arial" w:hAnsi="Arial"/>
          <w:sz w:val="18"/>
          <w:szCs w:val="18"/>
          <w:color w:val="auto"/>
        </w:rPr>
        <w:t>.</w:t>
      </w:r>
    </w:p>
    <w:p>
      <w:pPr>
        <w:spacing w:after="0" w:line="229" w:lineRule="exact"/>
        <w:rPr>
          <w:sz w:val="20"/>
          <w:szCs w:val="20"/>
          <w:color w:val="auto"/>
        </w:rPr>
      </w:pPr>
    </w:p>
    <w:p>
      <w:pPr>
        <w:ind w:left="4" w:right="40" w:firstLine="436"/>
        <w:spacing w:after="0" w:line="272" w:lineRule="auto"/>
        <w:tabs>
          <w:tab w:leader="none" w:pos="689" w:val="left"/>
        </w:tabs>
        <w:numPr>
          <w:ilvl w:val="1"/>
          <w:numId w:val="214"/>
        </w:numPr>
        <w:rPr>
          <w:rFonts w:ascii="Arial" w:cs="Arial" w:eastAsia="Arial" w:hAnsi="Arial"/>
          <w:sz w:val="17"/>
          <w:szCs w:val="17"/>
          <w:color w:val="auto"/>
        </w:rPr>
      </w:pPr>
      <w:r>
        <w:rPr>
          <w:rFonts w:ascii="Arial" w:cs="Arial" w:eastAsia="Arial" w:hAnsi="Arial"/>
          <w:sz w:val="17"/>
          <w:szCs w:val="17"/>
          <w:color w:val="auto"/>
        </w:rPr>
        <w:t>The Parties have agreed to issue a joint press release or separate press releases announcing this Agreement, subject to mutual agreement by the Parties with respect to the content thereof and issued at a mutually agreed date and time. Subject to Sections 11.3 and 11.4 above and the remainder of this Section 11.5, (i) no other disclosure of the existence or the terms of this Agreement or otherwise relating to this Agreement or the activities hereunder may be made by either Party or its Affiliates, and (ii) no Party shall use the name, trademark, trade name or logo of the other Party, its Affiliates or their respective employees in any publicity, promotion, news release or disclosure relating to this Agreement or its subject matter, except in each case (i) and (ii) as provided in this Section 11.5 or as otherwise provided in this Agreement or any Ancillary Agreement or with the prior express written permission of the other Party, except as may be required by Applicable Law.</w:t>
      </w:r>
    </w:p>
    <w:p>
      <w:pPr>
        <w:spacing w:after="0" w:line="177" w:lineRule="exact"/>
        <w:rPr>
          <w:rFonts w:ascii="Arial" w:cs="Arial" w:eastAsia="Arial" w:hAnsi="Arial"/>
          <w:sz w:val="17"/>
          <w:szCs w:val="17"/>
          <w:color w:val="auto"/>
        </w:rPr>
      </w:pPr>
    </w:p>
    <w:p>
      <w:pPr>
        <w:ind w:left="4" w:firstLine="436"/>
        <w:spacing w:after="0" w:line="284" w:lineRule="auto"/>
        <w:tabs>
          <w:tab w:leader="none" w:pos="699" w:val="left"/>
        </w:tabs>
        <w:numPr>
          <w:ilvl w:val="1"/>
          <w:numId w:val="214"/>
        </w:numPr>
        <w:rPr>
          <w:rFonts w:ascii="Arial" w:cs="Arial" w:eastAsia="Arial" w:hAnsi="Arial"/>
          <w:sz w:val="16"/>
          <w:szCs w:val="16"/>
          <w:color w:val="auto"/>
        </w:rPr>
      </w:pPr>
      <w:r>
        <w:rPr>
          <w:rFonts w:ascii="Arial" w:cs="Arial" w:eastAsia="Arial" w:hAnsi="Arial"/>
          <w:sz w:val="16"/>
          <w:szCs w:val="16"/>
          <w:color w:val="auto"/>
        </w:rPr>
        <w:t>If a Party is required by Applicable Law, rule or regulation to make a securities filing relating to the signing or effectiveness of this Agreement, or to the terms of this Agreement, with the appropriate Governmental Authorities (including the U.S. Securities and Exchange Commission, and any securities exchange on which securities of such Party are listed), then the Party under such requirement will prepare a draft of such securities filing for review and comment by the other Party. If such securities filing includes the disclosure of this Agreement and its terms, the Party under such disclosure obligation will submit a confidential treatment request and a proposed redacted version of this Agreement as part of such draft. Such draft securities filing will, where possible, be provided to the other Party reasonably in advance of the deadline for such securities filing, and the other Party agrees to promptly (and in any event, no less than [***] (or such shorter time to meet any filing deadline where it was not possible to provide the other Party with</w:t>
      </w:r>
    </w:p>
    <w:p>
      <w:pPr>
        <w:spacing w:after="0" w:line="2" w:lineRule="exact"/>
        <w:rPr>
          <w:rFonts w:ascii="Arial" w:cs="Arial" w:eastAsia="Arial" w:hAnsi="Arial"/>
          <w:sz w:val="16"/>
          <w:szCs w:val="16"/>
          <w:color w:val="auto"/>
        </w:rPr>
      </w:pPr>
    </w:p>
    <w:p>
      <w:pPr>
        <w:ind w:left="4" w:right="80" w:hanging="4"/>
        <w:spacing w:after="0" w:line="252" w:lineRule="auto"/>
        <w:tabs>
          <w:tab w:leader="none" w:pos="439" w:val="left"/>
        </w:tabs>
        <w:numPr>
          <w:ilvl w:val="0"/>
          <w:numId w:val="214"/>
        </w:numPr>
        <w:rPr>
          <w:rFonts w:ascii="Arial" w:cs="Arial" w:eastAsia="Arial" w:hAnsi="Arial"/>
          <w:sz w:val="18"/>
          <w:szCs w:val="18"/>
          <w:color w:val="auto"/>
        </w:rPr>
      </w:pPr>
      <w:r>
        <w:rPr>
          <w:rFonts w:ascii="Arial" w:cs="Arial" w:eastAsia="Arial" w:hAnsi="Arial"/>
          <w:sz w:val="18"/>
          <w:szCs w:val="18"/>
          <w:color w:val="auto"/>
        </w:rPr>
        <w:t>notice) after receipt of such confidential treatment request and proposed redactions) give its input in a reasonable manner in order to allow the Party seeking disclosure to file its request within the timelines proscribed by the regulations of applicable Governmental Authorities or securities exchange. The Party seeking such disclosure will use reasonable efforts to obtain confidential treatment of this Agreement from the applicable Governmental Authority or securities exchange as represented by the redacted version reviewed by the other Party, provided that the Party seeking such disclosure shall, notwithstanding the foregoing, at all times have the right to submit such disclosure in accordance with such requirement prior to or on the relevant deadline therefor.</w:t>
      </w:r>
    </w:p>
    <w:p>
      <w:pPr>
        <w:spacing w:after="0" w:line="193" w:lineRule="exact"/>
        <w:rPr>
          <w:rFonts w:ascii="Arial" w:cs="Arial" w:eastAsia="Arial" w:hAnsi="Arial"/>
          <w:sz w:val="18"/>
          <w:szCs w:val="18"/>
          <w:color w:val="auto"/>
        </w:rPr>
      </w:pPr>
    </w:p>
    <w:p>
      <w:pPr>
        <w:ind w:left="4" w:right="20" w:firstLine="436"/>
        <w:spacing w:after="0" w:line="288" w:lineRule="auto"/>
        <w:tabs>
          <w:tab w:leader="none" w:pos="689" w:val="left"/>
        </w:tabs>
        <w:numPr>
          <w:ilvl w:val="1"/>
          <w:numId w:val="215"/>
        </w:numPr>
        <w:rPr>
          <w:rFonts w:ascii="Arial" w:cs="Arial" w:eastAsia="Arial" w:hAnsi="Arial"/>
          <w:sz w:val="16"/>
          <w:szCs w:val="16"/>
          <w:color w:val="auto"/>
        </w:rPr>
      </w:pPr>
      <w:r>
        <w:rPr>
          <w:rFonts w:ascii="Arial" w:cs="Arial" w:eastAsia="Arial" w:hAnsi="Arial"/>
          <w:sz w:val="16"/>
          <w:szCs w:val="16"/>
          <w:color w:val="auto"/>
        </w:rPr>
        <w:t>At any time after the release of the initial press release(s) described in Section 11.5(a), each Party shall notify the other Party if it desires to disclose publicly (including on its website) any of the following: [***]. For clarity, this Section 11.5 does not apply to scientific or medical Publications, which are governed by Section 11.4. If the other Party also desires to make such a public disclosure, the Parties will coordinate and agree upon the form, content and timing of such disclosure. If the other Party does not desire to make such a public disclosure, the requesting Party may nonetheless make such disclosure so long as it provides the other Party with a draft of such disclosure at least [***] prior to its intended release for such other Party’s review and comment. The non-disclosing Party shall have the right to require reasonable modifications of the disclosure: (a) to protect the non-publishing Party’s Confidential Information or trade secrets; or (b) to delay such disclosure for a reasonable time period (not to exceed [***]) as may be reasonably necessary to seek patent protection for the information disclosed in such proposed submission to the extent consistent with Article X. If either Party requests to make any other disclosure with respect to this Agreement or the Collaboration (including any public statement or press release) that is not otherwise permitted under this Agreement, the other Party shall reasonably consider such request.</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4"/>
          </w:cols>
          <w:pgMar w:left="436" w:top="270" w:right="459" w:bottom="1440" w:gutter="0" w:footer="0" w:header="0"/>
        </w:sectPr>
      </w:pPr>
    </w:p>
    <w:bookmarkStart w:id="346" w:name="page347"/>
    <w:bookmarkEnd w:id="346"/>
    <w:p>
      <w:pPr>
        <w:ind w:right="40" w:firstLine="440"/>
        <w:spacing w:after="0" w:line="26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11.6 Return of Confidential Information</w:t>
      </w:r>
      <w:r>
        <w:rPr>
          <w:rFonts w:ascii="Arial" w:cs="Arial" w:eastAsia="Arial" w:hAnsi="Arial"/>
          <w:sz w:val="17"/>
          <w:szCs w:val="17"/>
          <w:color w:val="auto"/>
        </w:rPr>
        <w:t>. Upon the effective date of the termination of this Agreement for any reason in its entirety, or with</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to a Product, either Party may request in writing and the non-requesting Party shall (at the non-requesting Party’s election), with respect to Confidential Information to which such non-requesting Party does not retain rights under the surviving provisions of this Agreement (if applicable, with respect to the terminated Region or terminated Product) promptly destroy all copies of such Confidential Information in the possession or control of the non-requesting Party and confirm such destruction in writing to the requesting Party. Notwithstanding the foregoing, the non-requesting Party shall be permitted to retain such Confidential Information (i) to the extent necessary or useful for purposes of performing any continuing obligations or exercising any ongoing rights hereunder and, in any event, a single copy of such Confidential Information for archival purposes and (ii) any computer records or files containing such Confidential Information that have been created solely by such non-requesting Party’s automatic archiving and back-up procedures, to the extent created and retained in a manner consistent with such non-requesting Party’s standard archiving and back-up procedures, but not for any other uses or purposes. All Confidential Information shall continue to be subject to the terms of this Agreement for the period set forth in Section 11.1.</w:t>
      </w:r>
    </w:p>
    <w:p>
      <w:pPr>
        <w:spacing w:after="0" w:line="182"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b w:val="1"/>
          <w:bCs w:val="1"/>
          <w:color w:val="auto"/>
        </w:rPr>
        <w:t>11.7 Attorney-Client Privilege</w:t>
      </w:r>
      <w:r>
        <w:rPr>
          <w:rFonts w:ascii="Arial" w:cs="Arial" w:eastAsia="Arial" w:hAnsi="Arial"/>
          <w:sz w:val="16"/>
          <w:szCs w:val="16"/>
          <w:color w:val="auto"/>
        </w:rPr>
        <w:t>. As to any Third Party, neither Party is waiving, nor shall be deemed to have waived or diminished, any attorney</w:t>
      </w:r>
      <w:r>
        <w:rPr>
          <w:rFonts w:ascii="Arial" w:cs="Arial" w:eastAsia="Arial" w:hAnsi="Arial"/>
          <w:sz w:val="16"/>
          <w:szCs w:val="16"/>
          <w:b w:val="1"/>
          <w:bCs w:val="1"/>
          <w:color w:val="auto"/>
        </w:rPr>
        <w:t xml:space="preserve"> </w:t>
      </w:r>
      <w:r>
        <w:rPr>
          <w:rFonts w:ascii="Arial" w:cs="Arial" w:eastAsia="Arial" w:hAnsi="Arial"/>
          <w:sz w:val="16"/>
          <w:szCs w:val="16"/>
          <w:color w:val="auto"/>
        </w:rPr>
        <w:t>work product protection or attorney-client privilege as a result of disclosing information pursuant to this Agreement, or any Confidential Information (including Confidential Information related to pending or threatened litigation) to the Receiving Party, regardless of whether the Disclosing Party has asserted, or is or may be entitled to assert, such privileges and protections. The Parties: (a) share a common legal and commercial interest in such information to the extent available under Applicable Law that is subject to such privileges and protections; (b) are or may become joint defendants in proceedings to which the information covered by such protections and privileges relates; (c) intend that such privileges and protections remain intact should either Party become subject to any actual or threatened proceeding initiated by or against a Third Party to which the Disclosing Party’s Confidential Information covered by such protections and privileges relates; and (d) intend that after the Effective Date both the Receiving Party and the Disclosing Party shall have the right to assert such protections and privileges as against a Third Party to the extent available under Applicable Law. In the event of any litigation (or potential litigation) with a Third Party related to this Agreement or the subject matter hereof, the Parties shall, upon either Party’s request, enter into a reasonable and customary joint defense agreement. Each Party shall consult in a timely manner with the other Party before producing information or documents in connection with litigation or other proceedings brought by or initiated against a Third Party that would likely implicate privileges maintained by the other Party. Notwithstanding anything contained in this Section 11.7, nothing in this Agreement shall prejudice a Party’s ability to take discovery of the other Party in disputes between them relating to the Agreement and no information otherwise admissible or discoverable by a Party shall become inadmissible or immune from discovery, including without limitation based on an assertion of attorney work product protection or attorney-client privilege, solely by this Section 11.7.</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80"/>
          </w:cols>
          <w:pgMar w:left="440" w:top="270" w:right="479" w:bottom="1440" w:gutter="0" w:footer="0" w:header="0"/>
        </w:sectPr>
      </w:pPr>
    </w:p>
    <w:bookmarkStart w:id="347" w:name="page348"/>
    <w:bookmarkEnd w:id="347"/>
    <w:p>
      <w:pPr>
        <w:ind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11.8 Permitted Disclosure for CREATE Act</w:t>
      </w:r>
      <w:r>
        <w:rPr>
          <w:rFonts w:ascii="Arial" w:cs="Arial" w:eastAsia="Arial" w:hAnsi="Arial"/>
          <w:sz w:val="18"/>
          <w:szCs w:val="18"/>
          <w:color w:val="auto"/>
        </w:rPr>
        <w:t>. In order for a Party to exercise its rights under Section 10.3, such Party shall be allowed to disclose</w:t>
      </w:r>
      <w:r>
        <w:rPr>
          <w:rFonts w:ascii="Arial" w:cs="Arial" w:eastAsia="Arial" w:hAnsi="Arial"/>
          <w:sz w:val="18"/>
          <w:szCs w:val="18"/>
          <w:b w:val="1"/>
          <w:bCs w:val="1"/>
          <w:color w:val="auto"/>
        </w:rPr>
        <w:t xml:space="preserve"> </w:t>
      </w:r>
      <w:r>
        <w:rPr>
          <w:rFonts w:ascii="Arial" w:cs="Arial" w:eastAsia="Arial" w:hAnsi="Arial"/>
          <w:sz w:val="18"/>
          <w:szCs w:val="18"/>
          <w:color w:val="auto"/>
        </w:rPr>
        <w:t>in a patent application it prepares and files pursuant to this Agreement the names of the Parties to this Agreement, or amends a pending application it is prosecuting pursuant to this Agreement to state the names of the Parties to this Agreement.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XII.</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 AND TERMINATION</w:t>
      </w:r>
    </w:p>
    <w:p>
      <w:pPr>
        <w:spacing w:after="0" w:line="225" w:lineRule="exact"/>
        <w:rPr>
          <w:sz w:val="20"/>
          <w:szCs w:val="20"/>
          <w:color w:val="auto"/>
        </w:rPr>
      </w:pPr>
    </w:p>
    <w:p>
      <w:pPr>
        <w:jc w:val="both"/>
        <w:ind w:right="140" w:firstLine="440"/>
        <w:spacing w:after="0" w:line="266" w:lineRule="auto"/>
        <w:rPr>
          <w:sz w:val="20"/>
          <w:szCs w:val="20"/>
          <w:color w:val="auto"/>
        </w:rPr>
      </w:pPr>
      <w:r>
        <w:rPr>
          <w:rFonts w:ascii="Arial" w:cs="Arial" w:eastAsia="Arial" w:hAnsi="Arial"/>
          <w:sz w:val="18"/>
          <w:szCs w:val="18"/>
          <w:b w:val="1"/>
          <w:bCs w:val="1"/>
          <w:color w:val="auto"/>
        </w:rPr>
        <w:t>12.1 Term</w:t>
      </w:r>
      <w:r>
        <w:rPr>
          <w:rFonts w:ascii="Arial" w:cs="Arial" w:eastAsia="Arial" w:hAnsi="Arial"/>
          <w:sz w:val="18"/>
          <w:szCs w:val="18"/>
          <w:color w:val="auto"/>
        </w:rPr>
        <w:t>. The term of this Agreement shall commence upon the Effective Date and, unless earlier terminated pursuant to this Article XII,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 in full force and effect until the expiration of Sanofi’s payment obligations under Article IX or the Profit/Loss Share Agreement, whichever is later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12.2 Termination</w:t>
      </w:r>
      <w:r>
        <w:rPr>
          <w:rFonts w:ascii="Arial" w:cs="Arial" w:eastAsia="Arial" w:hAnsi="Arial"/>
          <w:sz w:val="18"/>
          <w:szCs w:val="18"/>
          <w:color w:val="auto"/>
        </w:rPr>
        <w:t>.</w:t>
      </w:r>
    </w:p>
    <w:p>
      <w:pPr>
        <w:spacing w:after="0" w:line="225" w:lineRule="exact"/>
        <w:rPr>
          <w:sz w:val="20"/>
          <w:szCs w:val="20"/>
          <w:color w:val="auto"/>
        </w:rPr>
      </w:pPr>
    </w:p>
    <w:p>
      <w:pPr>
        <w:ind w:left="680" w:hanging="244"/>
        <w:spacing w:after="0"/>
        <w:tabs>
          <w:tab w:leader="none" w:pos="680" w:val="left"/>
        </w:tabs>
        <w:numPr>
          <w:ilvl w:val="0"/>
          <w:numId w:val="216"/>
        </w:numPr>
        <w:rPr>
          <w:rFonts w:ascii="Arial" w:cs="Arial" w:eastAsia="Arial" w:hAnsi="Arial"/>
          <w:sz w:val="18"/>
          <w:szCs w:val="18"/>
          <w:color w:val="auto"/>
        </w:rPr>
      </w:pPr>
      <w:r>
        <w:rPr>
          <w:rFonts w:ascii="Arial" w:cs="Arial" w:eastAsia="Arial" w:hAnsi="Arial"/>
          <w:sz w:val="18"/>
          <w:szCs w:val="18"/>
          <w:b w:val="1"/>
          <w:bCs w:val="1"/>
          <w:color w:val="auto"/>
        </w:rPr>
        <w:t>Terminations by Sanofi</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40" w:right="140" w:firstLine="419"/>
        <w:spacing w:after="0" w:line="261" w:lineRule="auto"/>
        <w:tabs>
          <w:tab w:leader="none" w:pos="1078" w:val="left"/>
        </w:tabs>
        <w:numPr>
          <w:ilvl w:val="1"/>
          <w:numId w:val="216"/>
        </w:numPr>
        <w:rPr>
          <w:rFonts w:ascii="Arial" w:cs="Arial" w:eastAsia="Arial" w:hAnsi="Arial"/>
          <w:sz w:val="18"/>
          <w:szCs w:val="18"/>
          <w:color w:val="auto"/>
        </w:rPr>
      </w:pPr>
      <w:r>
        <w:rPr>
          <w:rFonts w:ascii="Arial" w:cs="Arial" w:eastAsia="Arial" w:hAnsi="Arial"/>
          <w:sz w:val="18"/>
          <w:szCs w:val="18"/>
          <w:b w:val="1"/>
          <w:bCs w:val="1"/>
          <w:color w:val="auto"/>
        </w:rPr>
        <w:t>Termination by Sanofi for Convenience</w:t>
      </w:r>
      <w:r>
        <w:rPr>
          <w:rFonts w:ascii="Arial" w:cs="Arial" w:eastAsia="Arial" w:hAnsi="Arial"/>
          <w:sz w:val="18"/>
          <w:szCs w:val="18"/>
          <w:color w:val="auto"/>
        </w:rPr>
        <w:t>. Sanofi may terminate this Agreement (A) in its entirety by providing [***] written notice of</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to RevMed or (B) on a country-by-country or Product-by-Product basis by providing [***] written notice of termination to RevMed; provided that if Sanofi desires to terminate this Agreement under this Section 12.2(a)(i)B only with respect to the U.S. (for all Products or one or more Products), Sanofi shall provide [***] written notice of termination to RevMed.</w:t>
      </w:r>
    </w:p>
    <w:p>
      <w:pPr>
        <w:spacing w:after="0" w:line="71" w:lineRule="exact"/>
        <w:rPr>
          <w:rFonts w:ascii="Arial" w:cs="Arial" w:eastAsia="Arial" w:hAnsi="Arial"/>
          <w:sz w:val="18"/>
          <w:szCs w:val="18"/>
          <w:color w:val="auto"/>
        </w:rPr>
      </w:pPr>
    </w:p>
    <w:p>
      <w:pPr>
        <w:ind w:left="440" w:right="60" w:firstLine="419"/>
        <w:spacing w:after="0" w:line="281" w:lineRule="auto"/>
        <w:tabs>
          <w:tab w:leader="none" w:pos="1128" w:val="left"/>
        </w:tabs>
        <w:numPr>
          <w:ilvl w:val="1"/>
          <w:numId w:val="216"/>
        </w:numPr>
        <w:rPr>
          <w:rFonts w:ascii="Arial" w:cs="Arial" w:eastAsia="Arial" w:hAnsi="Arial"/>
          <w:sz w:val="17"/>
          <w:szCs w:val="17"/>
          <w:color w:val="auto"/>
        </w:rPr>
      </w:pPr>
      <w:r>
        <w:rPr>
          <w:rFonts w:ascii="Arial" w:cs="Arial" w:eastAsia="Arial" w:hAnsi="Arial"/>
          <w:sz w:val="17"/>
          <w:szCs w:val="17"/>
          <w:b w:val="1"/>
          <w:bCs w:val="1"/>
          <w:color w:val="auto"/>
        </w:rPr>
        <w:t>For a Change of Control of RevMed</w:t>
      </w:r>
      <w:r>
        <w:rPr>
          <w:rFonts w:ascii="Arial" w:cs="Arial" w:eastAsia="Arial" w:hAnsi="Arial"/>
          <w:sz w:val="17"/>
          <w:szCs w:val="17"/>
          <w:color w:val="auto"/>
        </w:rPr>
        <w:t>. RevMed will notify Sanofi in writing as soon as possible after RevMed announces publicly any</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regarding any proposed Change of Control of RevMed (or if the Change of Control will not be publicly announced, then no later than [***] after the signing of the Change of Control). Sanofi will have the option to either (A) terminate this Agreement in its entirety upon written notice to RevMed provided to RevMed within [***] of the effective date of such Change of Control; or (B) [***].</w:t>
      </w:r>
    </w:p>
    <w:p>
      <w:pPr>
        <w:spacing w:after="0" w:line="56" w:lineRule="exact"/>
        <w:rPr>
          <w:rFonts w:ascii="Arial" w:cs="Arial" w:eastAsia="Arial" w:hAnsi="Arial"/>
          <w:sz w:val="17"/>
          <w:szCs w:val="17"/>
          <w:color w:val="auto"/>
        </w:rPr>
      </w:pPr>
    </w:p>
    <w:p>
      <w:pPr>
        <w:ind w:left="440" w:right="120" w:firstLine="419"/>
        <w:spacing w:after="0" w:line="274" w:lineRule="auto"/>
        <w:tabs>
          <w:tab w:leader="none" w:pos="1178" w:val="left"/>
        </w:tabs>
        <w:numPr>
          <w:ilvl w:val="1"/>
          <w:numId w:val="216"/>
        </w:numPr>
        <w:rPr>
          <w:rFonts w:ascii="Arial" w:cs="Arial" w:eastAsia="Arial" w:hAnsi="Arial"/>
          <w:sz w:val="17"/>
          <w:szCs w:val="17"/>
          <w:color w:val="auto"/>
        </w:rPr>
      </w:pPr>
      <w:r>
        <w:rPr>
          <w:rFonts w:ascii="Arial" w:cs="Arial" w:eastAsia="Arial" w:hAnsi="Arial"/>
          <w:sz w:val="17"/>
          <w:szCs w:val="17"/>
          <w:b w:val="1"/>
          <w:bCs w:val="1"/>
          <w:color w:val="auto"/>
        </w:rPr>
        <w:t>For Safety</w:t>
      </w:r>
      <w:r>
        <w:rPr>
          <w:rFonts w:ascii="Arial" w:cs="Arial" w:eastAsia="Arial" w:hAnsi="Arial"/>
          <w:sz w:val="17"/>
          <w:szCs w:val="17"/>
          <w:color w:val="auto"/>
        </w:rPr>
        <w:t>. Sanofi will have the right to terminate this Agreement in its entirety or on a country-by-country or Product-by-Product</w:t>
      </w:r>
      <w:r>
        <w:rPr>
          <w:rFonts w:ascii="Arial" w:cs="Arial" w:eastAsia="Arial" w:hAnsi="Arial"/>
          <w:sz w:val="17"/>
          <w:szCs w:val="17"/>
          <w:b w:val="1"/>
          <w:bCs w:val="1"/>
          <w:color w:val="auto"/>
        </w:rPr>
        <w:t xml:space="preserve"> </w:t>
      </w:r>
      <w:r>
        <w:rPr>
          <w:rFonts w:ascii="Arial" w:cs="Arial" w:eastAsia="Arial" w:hAnsi="Arial"/>
          <w:sz w:val="17"/>
          <w:szCs w:val="17"/>
          <w:color w:val="auto"/>
        </w:rPr>
        <w:t>basis, upon [***] prior written notice to RevMed, due to safety concerns raised by a Regulatory Authority, an Institutional Review Board for a Clinical Trial or by Sanofi’s internal regulatory decision makers acting in accordance with Sanofi’s standard internal policies (any such entity or group, a “</w:t>
      </w:r>
      <w:r>
        <w:rPr>
          <w:rFonts w:ascii="Arial" w:cs="Arial" w:eastAsia="Arial" w:hAnsi="Arial"/>
          <w:sz w:val="17"/>
          <w:szCs w:val="17"/>
          <w:b w:val="1"/>
          <w:bCs w:val="1"/>
          <w:color w:val="auto"/>
        </w:rPr>
        <w:t>Safety Reviewer</w:t>
      </w:r>
      <w:r>
        <w:rPr>
          <w:rFonts w:ascii="Arial" w:cs="Arial" w:eastAsia="Arial" w:hAnsi="Arial"/>
          <w:sz w:val="17"/>
          <w:szCs w:val="17"/>
          <w:color w:val="auto"/>
        </w:rPr>
        <w:t>”), where such Safety Reviewer recommends cessation of Development or Commercialization of such SHP2 Inhibitor or Product with respect to any SHP2 Inhibitor or Product (and a summary of such concerns will be stated in the notice of termination). During such [***] notice period, each Party will continue to perform all of its obligations under this Agreement then in effect.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0"/>
          </w:cols>
          <w:pgMar w:left="440" w:top="270" w:right="459" w:bottom="1440" w:gutter="0" w:footer="0" w:header="0"/>
        </w:sectPr>
      </w:pPr>
    </w:p>
    <w:bookmarkStart w:id="348" w:name="page349"/>
    <w:bookmarkEnd w:id="348"/>
    <w:p>
      <w:pPr>
        <w:ind w:left="4" w:right="40" w:firstLine="436"/>
        <w:spacing w:after="0" w:line="270" w:lineRule="auto"/>
        <w:tabs>
          <w:tab w:leader="none" w:pos="699" w:val="left"/>
        </w:tabs>
        <w:numPr>
          <w:ilvl w:val="1"/>
          <w:numId w:val="217"/>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 for Material Breach</w:t>
      </w:r>
      <w:r>
        <w:rPr>
          <w:rFonts w:ascii="Arial" w:cs="Arial" w:eastAsia="Arial" w:hAnsi="Arial"/>
          <w:sz w:val="17"/>
          <w:szCs w:val="17"/>
          <w:color w:val="auto"/>
        </w:rPr>
        <w:t>. If either Party believes that the other is in material breach of this Agreement, then the non-breaching Party</w:t>
      </w:r>
      <w:r>
        <w:rPr>
          <w:rFonts w:ascii="Arial" w:cs="Arial" w:eastAsia="Arial" w:hAnsi="Arial"/>
          <w:sz w:val="17"/>
          <w:szCs w:val="17"/>
          <w:b w:val="1"/>
          <w:bCs w:val="1"/>
          <w:color w:val="auto"/>
        </w:rPr>
        <w:t xml:space="preserve"> </w:t>
      </w:r>
      <w:r>
        <w:rPr>
          <w:rFonts w:ascii="Arial" w:cs="Arial" w:eastAsia="Arial" w:hAnsi="Arial"/>
          <w:sz w:val="17"/>
          <w:szCs w:val="17"/>
          <w:color w:val="auto"/>
        </w:rPr>
        <w:t>may deliver notice of such breach to the other Party. For all material breaches other than a failure to make a payment as set forth in this Agreement, the allegedly breaching Party shall have [***] from such notice to dispute or cure such breach. For any material breach arising from a failure to make a payment set forth in this Agreement, the allegedly breaching Party shall have [***] from the receipt of the notice to dispute or cure such breach. If the Party receiving notice of material breach under this Agreement fails to cure, or fails to dispute, such breach within the applicable time period set forth above, then the Party originally delivering the notice of material breach may terminate this Agreement effective on written notice of termination to the other Party. If the allegedly breaching Party in good faith disputes such material breach or disputes the failure to cure or remedy such material breach and provides written notice of that dispute to the other Party within the applicable period set forth above, the matter shall be addressed under the dispute resolution provisions in Section 15.6. During the pendency of any such dispute, all of the terms and conditions of this Agreement will remain in effect and the Parties will continue to perform all of their respective obligations hereunder.</w:t>
      </w:r>
    </w:p>
    <w:p>
      <w:pPr>
        <w:spacing w:after="0" w:line="176" w:lineRule="exact"/>
        <w:rPr>
          <w:rFonts w:ascii="Arial" w:cs="Arial" w:eastAsia="Arial" w:hAnsi="Arial"/>
          <w:sz w:val="17"/>
          <w:szCs w:val="17"/>
          <w:color w:val="auto"/>
        </w:rPr>
      </w:pPr>
    </w:p>
    <w:p>
      <w:pPr>
        <w:ind w:left="4" w:right="180" w:firstLine="436"/>
        <w:spacing w:after="0" w:line="287" w:lineRule="auto"/>
        <w:tabs>
          <w:tab w:leader="none" w:pos="689" w:val="left"/>
        </w:tabs>
        <w:numPr>
          <w:ilvl w:val="1"/>
          <w:numId w:val="217"/>
        </w:numPr>
        <w:rPr>
          <w:rFonts w:ascii="Arial" w:cs="Arial" w:eastAsia="Arial" w:hAnsi="Arial"/>
          <w:sz w:val="16"/>
          <w:szCs w:val="16"/>
          <w:color w:val="auto"/>
        </w:rPr>
      </w:pPr>
      <w:r>
        <w:rPr>
          <w:rFonts w:ascii="Arial" w:cs="Arial" w:eastAsia="Arial" w:hAnsi="Arial"/>
          <w:sz w:val="16"/>
          <w:szCs w:val="16"/>
          <w:b w:val="1"/>
          <w:bCs w:val="1"/>
          <w:color w:val="auto"/>
        </w:rPr>
        <w:t>Termination for Insolvency</w:t>
      </w:r>
      <w:r>
        <w:rPr>
          <w:rFonts w:ascii="Arial" w:cs="Arial" w:eastAsia="Arial" w:hAnsi="Arial"/>
          <w:sz w:val="16"/>
          <w:szCs w:val="16"/>
          <w:color w:val="auto"/>
        </w:rPr>
        <w:t>. In the event that either Party (i) files for protection under bankruptcy or insolvency laws, (ii) makes an</w:t>
      </w:r>
      <w:r>
        <w:rPr>
          <w:rFonts w:ascii="Arial" w:cs="Arial" w:eastAsia="Arial" w:hAnsi="Arial"/>
          <w:sz w:val="16"/>
          <w:szCs w:val="16"/>
          <w:b w:val="1"/>
          <w:bCs w:val="1"/>
          <w:color w:val="auto"/>
        </w:rPr>
        <w:t xml:space="preserve"> </w:t>
      </w:r>
      <w:r>
        <w:rPr>
          <w:rFonts w:ascii="Arial" w:cs="Arial" w:eastAsia="Arial" w:hAnsi="Arial"/>
          <w:sz w:val="16"/>
          <w:szCs w:val="16"/>
          <w:color w:val="auto"/>
        </w:rPr>
        <w:t>assignment for the benefit of creditors, (iii) appoints or suffers appointment of a receiver or trustee over substantially all of its property that is not discharged within [***] after such filing, (iv) proposes a written agreement of composition or extension of its debts, (v) proposes or is a party to any dissolution or liquidation, (vi) files a petition under any bankruptcy or insolvency act or has any such petition filed against it that is not charged within</w:t>
      </w:r>
    </w:p>
    <w:p>
      <w:pPr>
        <w:spacing w:after="0" w:line="2" w:lineRule="exact"/>
        <w:rPr>
          <w:rFonts w:ascii="Arial" w:cs="Arial" w:eastAsia="Arial" w:hAnsi="Arial"/>
          <w:sz w:val="16"/>
          <w:szCs w:val="16"/>
          <w:color w:val="auto"/>
        </w:rPr>
      </w:pPr>
    </w:p>
    <w:p>
      <w:pPr>
        <w:ind w:left="4" w:right="380" w:hanging="4"/>
        <w:spacing w:after="0" w:line="260" w:lineRule="auto"/>
        <w:tabs>
          <w:tab w:leader="none" w:pos="439" w:val="left"/>
        </w:tabs>
        <w:numPr>
          <w:ilvl w:val="0"/>
          <w:numId w:val="217"/>
        </w:numPr>
        <w:rPr>
          <w:rFonts w:ascii="Arial" w:cs="Arial" w:eastAsia="Arial" w:hAnsi="Arial"/>
          <w:sz w:val="18"/>
          <w:szCs w:val="18"/>
          <w:color w:val="auto"/>
        </w:rPr>
      </w:pPr>
      <w:r>
        <w:rPr>
          <w:rFonts w:ascii="Arial" w:cs="Arial" w:eastAsia="Arial" w:hAnsi="Arial"/>
          <w:sz w:val="18"/>
          <w:szCs w:val="18"/>
          <w:color w:val="auto"/>
        </w:rPr>
        <w:t>of the filing thereof or (vii) admits in writing its inability generally to meet its obligations as they fall due in the general course, then the other Party may terminate this Agreement in its entirety effective immediately upon writing notice to such Party.</w:t>
      </w:r>
    </w:p>
    <w:p>
      <w:pPr>
        <w:spacing w:after="0" w:line="181" w:lineRule="exact"/>
        <w:rPr>
          <w:rFonts w:ascii="Arial" w:cs="Arial" w:eastAsia="Arial" w:hAnsi="Arial"/>
          <w:sz w:val="18"/>
          <w:szCs w:val="18"/>
          <w:color w:val="auto"/>
        </w:rPr>
      </w:pPr>
    </w:p>
    <w:p>
      <w:pPr>
        <w:ind w:left="4" w:right="100" w:firstLine="436"/>
        <w:spacing w:after="0" w:line="281" w:lineRule="auto"/>
        <w:tabs>
          <w:tab w:leader="none" w:pos="699" w:val="left"/>
        </w:tabs>
        <w:numPr>
          <w:ilvl w:val="1"/>
          <w:numId w:val="218"/>
        </w:numPr>
        <w:rPr>
          <w:rFonts w:ascii="Arial" w:cs="Arial" w:eastAsia="Arial" w:hAnsi="Arial"/>
          <w:sz w:val="17"/>
          <w:szCs w:val="17"/>
          <w:color w:val="auto"/>
        </w:rPr>
      </w:pPr>
      <w:r>
        <w:rPr>
          <w:rFonts w:ascii="Arial" w:cs="Arial" w:eastAsia="Arial" w:hAnsi="Arial"/>
          <w:sz w:val="17"/>
          <w:szCs w:val="17"/>
          <w:b w:val="1"/>
          <w:bCs w:val="1"/>
          <w:color w:val="auto"/>
        </w:rPr>
        <w:t>Termination for Competing Product of Sanofi</w:t>
      </w:r>
      <w:r>
        <w:rPr>
          <w:rFonts w:ascii="Arial" w:cs="Arial" w:eastAsia="Arial" w:hAnsi="Arial"/>
          <w:sz w:val="17"/>
          <w:szCs w:val="17"/>
          <w:color w:val="auto"/>
        </w:rPr>
        <w:t>. If after [***]: (i) Sanofi or its Affiliates, alone or with or through a Third Party, develop,</w:t>
      </w:r>
      <w:r>
        <w:rPr>
          <w:rFonts w:ascii="Arial" w:cs="Arial" w:eastAsia="Arial" w:hAnsi="Arial"/>
          <w:sz w:val="17"/>
          <w:szCs w:val="17"/>
          <w:b w:val="1"/>
          <w:bCs w:val="1"/>
          <w:color w:val="auto"/>
        </w:rPr>
        <w:t xml:space="preserve"> </w:t>
      </w:r>
      <w:r>
        <w:rPr>
          <w:rFonts w:ascii="Arial" w:cs="Arial" w:eastAsia="Arial" w:hAnsi="Arial"/>
          <w:sz w:val="17"/>
          <w:szCs w:val="17"/>
          <w:color w:val="auto"/>
        </w:rPr>
        <w:t>manufacture or commercialize a Competing Product and (ii) Sanofi or its Affiliates have not commenced a Registrational Clinical Trial for a Product prior to commencing the activities in Section 12.2(d)(i), RevMed may terminate this Agreement effective [***] after it delivers written notice to Sanofi that it is exercising its rights under this Section 12.2(d) unless Sanofi elects in writing within such [***] period to [***].</w:t>
      </w:r>
    </w:p>
    <w:p>
      <w:pPr>
        <w:spacing w:after="0" w:line="164" w:lineRule="exact"/>
        <w:rPr>
          <w:rFonts w:ascii="Arial" w:cs="Arial" w:eastAsia="Arial" w:hAnsi="Arial"/>
          <w:sz w:val="17"/>
          <w:szCs w:val="17"/>
          <w:color w:val="auto"/>
        </w:rPr>
      </w:pPr>
    </w:p>
    <w:p>
      <w:pPr>
        <w:ind w:left="684" w:hanging="244"/>
        <w:spacing w:after="0"/>
        <w:tabs>
          <w:tab w:leader="none" w:pos="684" w:val="left"/>
        </w:tabs>
        <w:numPr>
          <w:ilvl w:val="1"/>
          <w:numId w:val="218"/>
        </w:numPr>
        <w:rPr>
          <w:rFonts w:ascii="Arial" w:cs="Arial" w:eastAsia="Arial" w:hAnsi="Arial"/>
          <w:sz w:val="18"/>
          <w:szCs w:val="18"/>
          <w:color w:val="auto"/>
        </w:rPr>
      </w:pPr>
      <w:r>
        <w:rPr>
          <w:rFonts w:ascii="Arial" w:cs="Arial" w:eastAsia="Arial" w:hAnsi="Arial"/>
          <w:sz w:val="18"/>
          <w:szCs w:val="18"/>
          <w:b w:val="1"/>
          <w:bCs w:val="1"/>
          <w:color w:val="auto"/>
        </w:rPr>
        <w:t>Termination for Sanofi’s Decision to Cease [***] of Product.</w:t>
      </w:r>
    </w:p>
    <w:p>
      <w:pPr>
        <w:spacing w:after="0" w:line="121" w:lineRule="exact"/>
        <w:rPr>
          <w:rFonts w:ascii="Arial" w:cs="Arial" w:eastAsia="Arial" w:hAnsi="Arial"/>
          <w:sz w:val="18"/>
          <w:szCs w:val="18"/>
          <w:color w:val="auto"/>
        </w:rPr>
      </w:pPr>
    </w:p>
    <w:p>
      <w:pPr>
        <w:ind w:left="444" w:firstLine="419"/>
        <w:spacing w:after="0" w:line="271" w:lineRule="auto"/>
        <w:tabs>
          <w:tab w:leader="none" w:pos="1082" w:val="left"/>
        </w:tabs>
        <w:numPr>
          <w:ilvl w:val="2"/>
          <w:numId w:val="218"/>
        </w:numPr>
        <w:rPr>
          <w:rFonts w:ascii="Arial" w:cs="Arial" w:eastAsia="Arial" w:hAnsi="Arial"/>
          <w:sz w:val="17"/>
          <w:szCs w:val="17"/>
          <w:color w:val="auto"/>
        </w:rPr>
      </w:pPr>
      <w:r>
        <w:rPr>
          <w:rFonts w:ascii="Arial" w:cs="Arial" w:eastAsia="Arial" w:hAnsi="Arial"/>
          <w:sz w:val="17"/>
          <w:szCs w:val="17"/>
          <w:color w:val="auto"/>
        </w:rPr>
        <w:t>If at any time during the period commencing on the Effective Date, there is a consecutive [***] period during which Sanofi [***] and such [***] is not (A) by written agreement of the Parties, (B) a result of [***], (C) as a result of [***], (D) a result of [***], or (E) a direct result, in whole or in part, of [***], then RevMed shall promptly notify Sanofi in writing upon becoming aware of such [***]. Alternatively, RevMed, no more often than [***], may request for Sanofi to notify RevMed whether there has been any [***] and Sanofi shall respond to such request within [***], providing reasonable support for any assertion that [***]. Within another [***] following either receipt of notice from RevMed or receipt of any such response from Sanofi confirming [***], as applicable, the Parties shall meet (which may be by teleconference) to discuss the nature and circumstances surrounding such [***]. Sanofi shall have [***] from such meeting date to cure such [***]. If Sanofi fails to cure such [***] within such [***] period, RevMed may terminate this Agreement upon written notice to Sanofi.</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4"/>
          </w:cols>
          <w:pgMar w:left="436" w:top="270" w:right="459" w:bottom="1440" w:gutter="0" w:footer="0" w:header="0"/>
        </w:sectPr>
      </w:pPr>
    </w:p>
    <w:bookmarkStart w:id="349" w:name="page350"/>
    <w:bookmarkEnd w:id="349"/>
    <w:p>
      <w:pPr>
        <w:ind w:left="440" w:right="200" w:firstLine="419"/>
        <w:spacing w:after="0" w:line="263" w:lineRule="auto"/>
        <w:tabs>
          <w:tab w:leader="none" w:pos="1128" w:val="left"/>
        </w:tabs>
        <w:numPr>
          <w:ilvl w:val="0"/>
          <w:numId w:val="2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RevMed reasonably believes a [***] is likely to occur but it has not yet been [***], RevMed may, no more than [***] per Calendar Year, request for the Parties to discuss such potential [***] and Sanofi’s intended plans with respect to [***], provided that, for clarity, such discussion shall not be deemed to accelerate the timeframes specified above in Section 12.2(a).</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12.3 Effects of Expiration or Termination</w:t>
      </w:r>
      <w:r>
        <w:rPr>
          <w:rFonts w:ascii="Arial" w:cs="Arial" w:eastAsia="Arial" w:hAnsi="Arial"/>
          <w:sz w:val="18"/>
          <w:szCs w:val="18"/>
          <w:color w:val="auto"/>
        </w:rPr>
        <w:t>.</w:t>
      </w:r>
    </w:p>
    <w:p>
      <w:pPr>
        <w:spacing w:after="0" w:line="225" w:lineRule="exact"/>
        <w:rPr>
          <w:sz w:val="20"/>
          <w:szCs w:val="20"/>
          <w:color w:val="auto"/>
        </w:rPr>
      </w:pPr>
    </w:p>
    <w:p>
      <w:pPr>
        <w:ind w:right="100" w:firstLine="436"/>
        <w:spacing w:after="0" w:line="261" w:lineRule="auto"/>
        <w:tabs>
          <w:tab w:leader="none" w:pos="685" w:val="left"/>
        </w:tabs>
        <w:numPr>
          <w:ilvl w:val="0"/>
          <w:numId w:val="220"/>
        </w:numPr>
        <w:rPr>
          <w:rFonts w:ascii="Arial" w:cs="Arial" w:eastAsia="Arial" w:hAnsi="Arial"/>
          <w:sz w:val="18"/>
          <w:szCs w:val="18"/>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 Upon termination or expiration of this Agreement with respect to any particular Product or country, all rights and obligations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under this Agreement with respect to such Product or country shall cease except as otherwise set forth in this Section 12.3 or elsewhere in this Agreement, but, for clarity, such termination or expiration shall not affect the Parties’ rights and obligations under this Agreement with respect to the other Products or countries.</w:t>
      </w:r>
    </w:p>
    <w:p>
      <w:pPr>
        <w:spacing w:after="0" w:line="179" w:lineRule="exact"/>
        <w:rPr>
          <w:rFonts w:ascii="Arial" w:cs="Arial" w:eastAsia="Arial" w:hAnsi="Arial"/>
          <w:sz w:val="18"/>
          <w:szCs w:val="18"/>
          <w:color w:val="auto"/>
        </w:rPr>
      </w:pPr>
    </w:p>
    <w:p>
      <w:pPr>
        <w:ind w:right="100" w:firstLine="436"/>
        <w:spacing w:after="0" w:line="282" w:lineRule="auto"/>
        <w:tabs>
          <w:tab w:leader="none" w:pos="695" w:val="left"/>
        </w:tabs>
        <w:numPr>
          <w:ilvl w:val="0"/>
          <w:numId w:val="220"/>
        </w:numPr>
        <w:rPr>
          <w:rFonts w:ascii="Arial" w:cs="Arial" w:eastAsia="Arial" w:hAnsi="Arial"/>
          <w:sz w:val="18"/>
          <w:szCs w:val="18"/>
          <w:color w:val="auto"/>
        </w:rPr>
      </w:pPr>
      <w:r>
        <w:rPr>
          <w:rFonts w:ascii="Arial" w:cs="Arial" w:eastAsia="Arial" w:hAnsi="Arial"/>
          <w:sz w:val="18"/>
          <w:szCs w:val="18"/>
          <w:b w:val="1"/>
          <w:bCs w:val="1"/>
          <w:color w:val="auto"/>
        </w:rPr>
        <w:t>Effect of Expiration</w:t>
      </w:r>
      <w:r>
        <w:rPr>
          <w:rFonts w:ascii="Arial" w:cs="Arial" w:eastAsia="Arial" w:hAnsi="Arial"/>
          <w:sz w:val="18"/>
          <w:szCs w:val="18"/>
          <w:color w:val="auto"/>
        </w:rPr>
        <w:t>. Upon expiration of this Agreement, the licenses granted to Sanofi under Section 3.1 will become fully paid up, royalty</w:t>
      </w:r>
      <w:r>
        <w:rPr>
          <w:rFonts w:ascii="Arial" w:cs="Arial" w:eastAsia="Arial" w:hAnsi="Arial"/>
          <w:sz w:val="18"/>
          <w:szCs w:val="18"/>
          <w:b w:val="1"/>
          <w:bCs w:val="1"/>
          <w:color w:val="auto"/>
        </w:rPr>
        <w:t xml:space="preserve"> </w:t>
      </w:r>
      <w:r>
        <w:rPr>
          <w:rFonts w:ascii="Arial" w:cs="Arial" w:eastAsia="Arial" w:hAnsi="Arial"/>
          <w:sz w:val="18"/>
          <w:szCs w:val="18"/>
          <w:color w:val="auto"/>
        </w:rPr>
        <w:t>free, perpetual and irrevocable.</w:t>
      </w:r>
    </w:p>
    <w:p>
      <w:pPr>
        <w:spacing w:after="0" w:line="161" w:lineRule="exact"/>
        <w:rPr>
          <w:rFonts w:ascii="Arial" w:cs="Arial" w:eastAsia="Arial" w:hAnsi="Arial"/>
          <w:sz w:val="18"/>
          <w:szCs w:val="18"/>
          <w:color w:val="auto"/>
        </w:rPr>
      </w:pPr>
    </w:p>
    <w:p>
      <w:pPr>
        <w:ind w:firstLine="436"/>
        <w:spacing w:after="0" w:line="289" w:lineRule="auto"/>
        <w:tabs>
          <w:tab w:leader="none" w:pos="685" w:val="left"/>
        </w:tabs>
        <w:numPr>
          <w:ilvl w:val="0"/>
          <w:numId w:val="220"/>
        </w:numPr>
        <w:rPr>
          <w:rFonts w:ascii="Arial" w:cs="Arial" w:eastAsia="Arial" w:hAnsi="Arial"/>
          <w:sz w:val="16"/>
          <w:szCs w:val="16"/>
          <w:color w:val="auto"/>
        </w:rPr>
      </w:pPr>
      <w:r>
        <w:rPr>
          <w:rFonts w:ascii="Arial" w:cs="Arial" w:eastAsia="Arial" w:hAnsi="Arial"/>
          <w:sz w:val="16"/>
          <w:szCs w:val="16"/>
          <w:b w:val="1"/>
          <w:bCs w:val="1"/>
          <w:color w:val="auto"/>
        </w:rPr>
        <w:t xml:space="preserve">Effect of Termination by Sanofi for Convenience, Change of Control or Termination by RevMed for Sanofi’s Material Breach, Insolvency, Competing Product, or Cessation of [***]. </w:t>
      </w:r>
      <w:r>
        <w:rPr>
          <w:rFonts w:ascii="Arial" w:cs="Arial" w:eastAsia="Arial" w:hAnsi="Arial"/>
          <w:sz w:val="16"/>
          <w:szCs w:val="16"/>
          <w:color w:val="auto"/>
        </w:rPr>
        <w:t>Upon the termination of this Agreement by Sanofi pursuant to Section 12.2(a)(i) (Termination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by Sanofi for Convenience) or Section 12.2(a)(ii)A (Termination by Sanofi for Change of Control of RevMed) or by RevMed pursuant to</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Section 12.2(b) (Termination for Material Breach), 12.2(c) (Termination for Insolvency), 12.2(d) (Termination for Competing Product of Sanofi) or</w:t>
      </w:r>
    </w:p>
    <w:p>
      <w:pPr>
        <w:spacing w:after="0" w:line="2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12.2(e) (Termination for Sanofi’s Decision to Cease [***] of Product), the following provisions shall apply:</w:t>
      </w:r>
    </w:p>
    <w:p>
      <w:pPr>
        <w:spacing w:after="0" w:line="98" w:lineRule="exact"/>
        <w:rPr>
          <w:rFonts w:ascii="Arial" w:cs="Arial" w:eastAsia="Arial" w:hAnsi="Arial"/>
          <w:sz w:val="16"/>
          <w:szCs w:val="16"/>
          <w:color w:val="auto"/>
        </w:rPr>
      </w:pPr>
    </w:p>
    <w:p>
      <w:pPr>
        <w:ind w:left="440" w:right="320" w:firstLine="419"/>
        <w:spacing w:after="0" w:line="347" w:lineRule="auto"/>
        <w:tabs>
          <w:tab w:leader="none" w:pos="1078" w:val="left"/>
        </w:tabs>
        <w:numPr>
          <w:ilvl w:val="1"/>
          <w:numId w:val="220"/>
        </w:numPr>
        <w:rPr>
          <w:rFonts w:ascii="Arial" w:cs="Arial" w:eastAsia="Arial" w:hAnsi="Arial"/>
          <w:sz w:val="16"/>
          <w:szCs w:val="16"/>
          <w:color w:val="auto"/>
        </w:rPr>
      </w:pPr>
      <w:r>
        <w:rPr>
          <w:rFonts w:ascii="Arial" w:cs="Arial" w:eastAsia="Arial" w:hAnsi="Arial"/>
          <w:sz w:val="16"/>
          <w:szCs w:val="16"/>
          <w:b w:val="1"/>
          <w:bCs w:val="1"/>
          <w:color w:val="auto"/>
        </w:rPr>
        <w:t>License to Sanofi</w:t>
      </w:r>
      <w:r>
        <w:rPr>
          <w:rFonts w:ascii="Arial" w:cs="Arial" w:eastAsia="Arial" w:hAnsi="Arial"/>
          <w:sz w:val="16"/>
          <w:szCs w:val="16"/>
          <w:color w:val="auto"/>
        </w:rPr>
        <w:t>. All licenses and other rights granted to Sanofi under the RevMed Licensed Technology shall terminate (except as</w:t>
      </w:r>
      <w:r>
        <w:rPr>
          <w:rFonts w:ascii="Arial" w:cs="Arial" w:eastAsia="Arial" w:hAnsi="Arial"/>
          <w:sz w:val="16"/>
          <w:szCs w:val="16"/>
          <w:b w:val="1"/>
          <w:bCs w:val="1"/>
          <w:color w:val="auto"/>
        </w:rPr>
        <w:t xml:space="preserve"> </w:t>
      </w:r>
      <w:r>
        <w:rPr>
          <w:rFonts w:ascii="Arial" w:cs="Arial" w:eastAsia="Arial" w:hAnsi="Arial"/>
          <w:sz w:val="16"/>
          <w:szCs w:val="16"/>
          <w:color w:val="auto"/>
        </w:rPr>
        <w:t>necessary to permit Sanofi to perform its surviving obligations under this Article XII) and all rights thereunder shall revert to RevMed.</w:t>
      </w:r>
    </w:p>
    <w:p>
      <w:pPr>
        <w:spacing w:after="0" w:line="7" w:lineRule="exact"/>
        <w:rPr>
          <w:rFonts w:ascii="Arial" w:cs="Arial" w:eastAsia="Arial" w:hAnsi="Arial"/>
          <w:sz w:val="16"/>
          <w:szCs w:val="16"/>
          <w:color w:val="auto"/>
        </w:rPr>
      </w:pPr>
    </w:p>
    <w:p>
      <w:pPr>
        <w:ind w:left="1120" w:hanging="261"/>
        <w:spacing w:after="0"/>
        <w:tabs>
          <w:tab w:leader="none" w:pos="1120" w:val="left"/>
        </w:tabs>
        <w:numPr>
          <w:ilvl w:val="1"/>
          <w:numId w:val="220"/>
        </w:numPr>
        <w:rPr>
          <w:rFonts w:ascii="Arial" w:cs="Arial" w:eastAsia="Arial" w:hAnsi="Arial"/>
          <w:sz w:val="18"/>
          <w:szCs w:val="18"/>
          <w:color w:val="auto"/>
        </w:rPr>
      </w:pPr>
      <w:r>
        <w:rPr>
          <w:rFonts w:ascii="Arial" w:cs="Arial" w:eastAsia="Arial" w:hAnsi="Arial"/>
          <w:sz w:val="18"/>
          <w:szCs w:val="18"/>
          <w:b w:val="1"/>
          <w:bCs w:val="1"/>
          <w:color w:val="auto"/>
        </w:rPr>
        <w:t>Licenses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License Grants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420" w:right="40" w:firstLine="391"/>
        <w:spacing w:after="0" w:line="266" w:lineRule="auto"/>
        <w:tabs>
          <w:tab w:leader="none" w:pos="1983" w:val="left"/>
        </w:tabs>
        <w:numPr>
          <w:ilvl w:val="3"/>
          <w:numId w:val="220"/>
        </w:numPr>
        <w:rPr>
          <w:rFonts w:ascii="Arial" w:cs="Arial" w:eastAsia="Arial" w:hAnsi="Arial"/>
          <w:sz w:val="18"/>
          <w:szCs w:val="18"/>
          <w:color w:val="auto"/>
        </w:rPr>
      </w:pPr>
      <w:r>
        <w:rPr>
          <w:rFonts w:ascii="Arial" w:cs="Arial" w:eastAsia="Arial" w:hAnsi="Arial"/>
          <w:sz w:val="18"/>
          <w:szCs w:val="18"/>
          <w:b w:val="1"/>
          <w:bCs w:val="1"/>
          <w:color w:val="auto"/>
        </w:rPr>
        <w:t>RevMed License to SHP2 Inhibitors</w:t>
      </w:r>
      <w:r>
        <w:rPr>
          <w:rFonts w:ascii="Arial" w:cs="Arial" w:eastAsia="Arial" w:hAnsi="Arial"/>
          <w:sz w:val="18"/>
          <w:szCs w:val="18"/>
          <w:color w:val="auto"/>
        </w:rPr>
        <w:t>. Sanofi shall, effective upon any such termination of this Agreement, and hereby</w:t>
      </w:r>
      <w:r>
        <w:rPr>
          <w:rFonts w:ascii="Arial" w:cs="Arial" w:eastAsia="Arial" w:hAnsi="Arial"/>
          <w:sz w:val="18"/>
          <w:szCs w:val="18"/>
          <w:b w:val="1"/>
          <w:bCs w:val="1"/>
          <w:color w:val="auto"/>
        </w:rPr>
        <w:t xml:space="preserve"> </w:t>
      </w:r>
      <w:r>
        <w:rPr>
          <w:rFonts w:ascii="Arial" w:cs="Arial" w:eastAsia="Arial" w:hAnsi="Arial"/>
          <w:sz w:val="18"/>
          <w:szCs w:val="18"/>
          <w:color w:val="auto"/>
        </w:rPr>
        <w:t>does, grant to RevMed [***], under all [***], and [***], to [***]. Notwithstanding the foregoing, [***] shall not include [***], and [***] shall include [***] (to the extent [***]).</w:t>
      </w:r>
    </w:p>
    <w:p>
      <w:pPr>
        <w:spacing w:after="0" w:line="67" w:lineRule="exact"/>
        <w:rPr>
          <w:rFonts w:ascii="Arial" w:cs="Arial" w:eastAsia="Arial" w:hAnsi="Arial"/>
          <w:sz w:val="18"/>
          <w:szCs w:val="18"/>
          <w:color w:val="auto"/>
        </w:rPr>
      </w:pPr>
    </w:p>
    <w:p>
      <w:pPr>
        <w:ind w:left="1420" w:right="40" w:firstLine="391"/>
        <w:spacing w:after="0" w:line="266" w:lineRule="auto"/>
        <w:tabs>
          <w:tab w:leader="none" w:pos="1983" w:val="left"/>
        </w:tabs>
        <w:numPr>
          <w:ilvl w:val="3"/>
          <w:numId w:val="220"/>
        </w:numPr>
        <w:rPr>
          <w:rFonts w:ascii="Arial" w:cs="Arial" w:eastAsia="Arial" w:hAnsi="Arial"/>
          <w:sz w:val="18"/>
          <w:szCs w:val="18"/>
          <w:color w:val="auto"/>
        </w:rPr>
      </w:pPr>
      <w:r>
        <w:rPr>
          <w:rFonts w:ascii="Arial" w:cs="Arial" w:eastAsia="Arial" w:hAnsi="Arial"/>
          <w:sz w:val="18"/>
          <w:szCs w:val="18"/>
          <w:b w:val="1"/>
          <w:bCs w:val="1"/>
          <w:color w:val="auto"/>
        </w:rPr>
        <w:t>RevMed License to Practice Certain Combinations</w:t>
      </w:r>
      <w:r>
        <w:rPr>
          <w:rFonts w:ascii="Arial" w:cs="Arial" w:eastAsia="Arial" w:hAnsi="Arial"/>
          <w:sz w:val="18"/>
          <w:szCs w:val="18"/>
          <w:color w:val="auto"/>
        </w:rPr>
        <w:t>. Sanofi shall, effective upon any such termination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hereby does, grant to RevMed [***], under [***], and [***] (but excluding [***]). For the avoidance of doubt, [***] licensed under this Section 12.3(c)(ii)(A)(2) do not [***].</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40"/>
          </w:cols>
          <w:pgMar w:left="440" w:top="274" w:right="519" w:bottom="1440" w:gutter="0" w:footer="0" w:header="0"/>
        </w:sectPr>
      </w:pPr>
    </w:p>
    <w:bookmarkStart w:id="350" w:name="page351"/>
    <w:bookmarkEnd w:id="350"/>
    <w:p>
      <w:pPr>
        <w:ind w:left="1420" w:right="300" w:firstLine="391"/>
        <w:spacing w:after="0" w:line="289" w:lineRule="auto"/>
        <w:tabs>
          <w:tab w:leader="none" w:pos="1983" w:val="left"/>
        </w:tabs>
        <w:numPr>
          <w:ilvl w:val="1"/>
          <w:numId w:val="221"/>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Sanofi License to Practice Certain Combinations</w:t>
      </w:r>
      <w:r>
        <w:rPr>
          <w:rFonts w:ascii="Arial" w:cs="Arial" w:eastAsia="Arial" w:hAnsi="Arial"/>
          <w:sz w:val="17"/>
          <w:szCs w:val="17"/>
          <w:color w:val="auto"/>
        </w:rPr>
        <w:t>. [***] RevMed shall, effective upon any such termination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 hereby does, grant to Sanofi [***], under [***], and [***]. For the avoidance of doubt, [***] licensed under this Section 12.3(c)(ii)(A)(3) do not [***]. If Sanofi [***], Sanofi shall so notify RevMed in writing, and [***].</w:t>
      </w:r>
    </w:p>
    <w:p>
      <w:pPr>
        <w:spacing w:after="0" w:line="157" w:lineRule="exact"/>
        <w:rPr>
          <w:rFonts w:ascii="Arial" w:cs="Arial" w:eastAsia="Arial" w:hAnsi="Arial"/>
          <w:sz w:val="17"/>
          <w:szCs w:val="17"/>
          <w:color w:val="auto"/>
        </w:rPr>
      </w:pPr>
    </w:p>
    <w:p>
      <w:pPr>
        <w:ind w:right="100" w:firstLine="1428"/>
        <w:spacing w:after="0" w:line="258" w:lineRule="auto"/>
        <w:tabs>
          <w:tab w:leader="none" w:pos="1642" w:val="left"/>
        </w:tabs>
        <w:numPr>
          <w:ilvl w:val="0"/>
          <w:numId w:val="222"/>
        </w:numPr>
        <w:rPr>
          <w:rFonts w:ascii="Arial" w:cs="Arial" w:eastAsia="Arial" w:hAnsi="Arial"/>
          <w:sz w:val="18"/>
          <w:szCs w:val="18"/>
          <w:color w:val="auto"/>
        </w:rPr>
      </w:pPr>
      <w:r>
        <w:rPr>
          <w:rFonts w:ascii="Arial" w:cs="Arial" w:eastAsia="Arial" w:hAnsi="Arial"/>
          <w:sz w:val="18"/>
          <w:szCs w:val="18"/>
          <w:b w:val="1"/>
          <w:bCs w:val="1"/>
          <w:color w:val="auto"/>
        </w:rPr>
        <w:t>Third Party Restrictions</w:t>
      </w:r>
      <w:r>
        <w:rPr>
          <w:rFonts w:ascii="Arial" w:cs="Arial" w:eastAsia="Arial" w:hAnsi="Arial"/>
          <w:sz w:val="18"/>
          <w:szCs w:val="18"/>
          <w:color w:val="auto"/>
        </w:rPr>
        <w:t>. If the rights licensed to RevMed pursuant to subsection A are sublicensed to RevMed under 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between Sanofi and a Third Party, then Sanofi shall so notify RevMed within [***] after the effective date of termination of this Agreement, and the foregoing licenses shall be subject to the applicable provisions of such Third Party agreement (including any applicable payment obligations to the extent arising from the exercise of RevMed’s practice of its license under subsection A). RevMed shall have the right to terminate all or any portion of the rights granted to it under subsection A, upon written notice to Sanofi.</w:t>
      </w:r>
    </w:p>
    <w:p>
      <w:pPr>
        <w:spacing w:after="0" w:line="183" w:lineRule="exact"/>
        <w:rPr>
          <w:rFonts w:ascii="Arial" w:cs="Arial" w:eastAsia="Arial" w:hAnsi="Arial"/>
          <w:sz w:val="18"/>
          <w:szCs w:val="18"/>
          <w:color w:val="auto"/>
        </w:rPr>
      </w:pPr>
    </w:p>
    <w:p>
      <w:pPr>
        <w:ind w:firstLine="1428"/>
        <w:spacing w:after="0" w:line="268" w:lineRule="auto"/>
        <w:tabs>
          <w:tab w:leader="none" w:pos="1642" w:val="left"/>
        </w:tabs>
        <w:numPr>
          <w:ilvl w:val="0"/>
          <w:numId w:val="222"/>
        </w:numPr>
        <w:rPr>
          <w:rFonts w:ascii="Arial" w:cs="Arial" w:eastAsia="Arial" w:hAnsi="Arial"/>
          <w:sz w:val="17"/>
          <w:szCs w:val="17"/>
          <w:color w:val="auto"/>
        </w:rPr>
      </w:pPr>
      <w:r>
        <w:rPr>
          <w:rFonts w:ascii="Arial" w:cs="Arial" w:eastAsia="Arial" w:hAnsi="Arial"/>
          <w:sz w:val="17"/>
          <w:szCs w:val="17"/>
          <w:b w:val="1"/>
          <w:bCs w:val="1"/>
          <w:color w:val="auto"/>
        </w:rPr>
        <w:t>Royalties</w:t>
      </w:r>
      <w:r>
        <w:rPr>
          <w:rFonts w:ascii="Arial" w:cs="Arial" w:eastAsia="Arial" w:hAnsi="Arial"/>
          <w:sz w:val="17"/>
          <w:szCs w:val="17"/>
          <w:color w:val="auto"/>
        </w:rPr>
        <w:t>. If this Agreement is terminated in its entirety or with respect to one or more Products, other than by RevMed pursuant</w:t>
      </w:r>
      <w:r>
        <w:rPr>
          <w:rFonts w:ascii="Arial" w:cs="Arial" w:eastAsia="Arial" w:hAnsi="Arial"/>
          <w:sz w:val="17"/>
          <w:szCs w:val="17"/>
          <w:b w:val="1"/>
          <w:bCs w:val="1"/>
          <w:color w:val="auto"/>
        </w:rPr>
        <w:t xml:space="preserve"> </w:t>
      </w:r>
      <w:r>
        <w:rPr>
          <w:rFonts w:ascii="Arial" w:cs="Arial" w:eastAsia="Arial" w:hAnsi="Arial"/>
          <w:sz w:val="17"/>
          <w:szCs w:val="17"/>
          <w:color w:val="auto"/>
        </w:rPr>
        <w:t>to Section 12.2(b) (Termination for Material Breach) or 12.2(c) (Termination for Insolvency), RevMed shall pay to Sanofi on a Product-by-Product basis royalties on sales of terminated Products (such Products, which for the purpose of clarity shall not include any Non-SHP2 Product, hereinafter referred to as “</w:t>
      </w:r>
      <w:r>
        <w:rPr>
          <w:rFonts w:ascii="Arial" w:cs="Arial" w:eastAsia="Arial" w:hAnsi="Arial"/>
          <w:sz w:val="17"/>
          <w:szCs w:val="17"/>
          <w:b w:val="1"/>
          <w:bCs w:val="1"/>
          <w:color w:val="auto"/>
        </w:rPr>
        <w:t>Termination Products</w:t>
      </w:r>
      <w:r>
        <w:rPr>
          <w:rFonts w:ascii="Arial" w:cs="Arial" w:eastAsia="Arial" w:hAnsi="Arial"/>
          <w:sz w:val="17"/>
          <w:szCs w:val="17"/>
          <w:color w:val="auto"/>
        </w:rPr>
        <w:t xml:space="preserve">”), calculated based on worldwide Net Sales (as such term is applied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to RevMed and including sales in the U.S.) by RevMed and its Affiliates and Sublicensees of such Termination Products as follows: [***]. RevMed shall pay Sanofi such royalties until the earlier of (x) expiration of the Post-Termination Royalty Term therefor and (y) a Change of Control of Sanofi. Upon any termination of this Agreement, RevMed shall pay to Sanofi any amounts owed to Third Parties under license agreements to which Sanofi is a party that grant Sanofi a license under such Third Party’s Patent Rights or Know-How that is sublicensed to RevMed pursuant to Section 12.3(c)(ii)A, unless RevMed declines in writing to obtain such sublicense. “</w:t>
      </w:r>
      <w:r>
        <w:rPr>
          <w:rFonts w:ascii="Arial" w:cs="Arial" w:eastAsia="Arial" w:hAnsi="Arial"/>
          <w:sz w:val="17"/>
          <w:szCs w:val="17"/>
          <w:b w:val="1"/>
          <w:bCs w:val="1"/>
          <w:color w:val="auto"/>
        </w:rPr>
        <w:t>Post-Termination Royalty Term</w:t>
      </w:r>
      <w:r>
        <w:rPr>
          <w:rFonts w:ascii="Arial" w:cs="Arial" w:eastAsia="Arial" w:hAnsi="Arial"/>
          <w:sz w:val="17"/>
          <w:szCs w:val="17"/>
          <w:color w:val="auto"/>
        </w:rPr>
        <w:t xml:space="preserve">” means: (I) with respect to a particular country and a particular Termination Product that is the subject of the royalty obligations under Section 12.3(c)(ii)B(1), the period of time commencing upon the First Commercial Sale of such Termination Product in such country (by RevMed or its Affiliates or sublicensees) and ending upon the latest of (a) the date on which there is no Valid Claim (as such term is applied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to Sanofi Sole Program Patents) of a Sanofi Sole Program Patent that would be infringed by the sale of such Termination Product in such country; (b) the expiration of any Regulatory Exclusivity granted with respect to such Termination Product in such country[***] and (II) with respect to a particular country and a particular Termination Product that is subject of the royalty obligations under Section 12.3(c)(ii)B(2) or Section 12.3(c)(ii)B(3), the period of time commencing upon the First Commercial Sale of such Termination Product in such country (by RevMed or its Affiliates or sublicensees) and ending upon the latest of (a) the expiration of any Regulatory Exclusivity granted with respect to such Termination Product in such country; and (b) [***].</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0"/>
          </w:cols>
          <w:pgMar w:left="440" w:top="270" w:right="459" w:bottom="1440" w:gutter="0" w:footer="0" w:header="0"/>
        </w:sectPr>
      </w:pPr>
    </w:p>
    <w:bookmarkStart w:id="351" w:name="page352"/>
    <w:bookmarkEnd w:id="351"/>
    <w:p>
      <w:pPr>
        <w:ind w:right="40" w:firstLine="419"/>
        <w:spacing w:after="0" w:line="254" w:lineRule="auto"/>
        <w:tabs>
          <w:tab w:leader="none" w:pos="738" w:val="left"/>
        </w:tabs>
        <w:numPr>
          <w:ilvl w:val="0"/>
          <w:numId w:val="22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Inventory Sell-Off Period</w:t>
      </w:r>
      <w:r>
        <w:rPr>
          <w:rFonts w:ascii="Arial" w:cs="Arial" w:eastAsia="Arial" w:hAnsi="Arial"/>
          <w:sz w:val="18"/>
          <w:szCs w:val="18"/>
          <w:color w:val="auto"/>
        </w:rPr>
        <w:t>. In the case of a termination of this Agreement, Sanofi (with respect to the Termination Products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Territory), shall be entitled, for a period of [***] after termination, to (i) complete Manufacture of work-in-progress, and (ii) continue conducting Commercialization activities being conducted by Sanofi hereunder as of such termination (if applicable, with respect to the terminated country(ies)), to the extent related to such Termination Product in Sanofi’s inventory as of such termination (or added to such inventory as a result of the completion described in clause (i)), provided that Sanofi fulfills its payment obligations under this Agreement in connection with such inventory sell-off, provided further that the sharing of Net Profits and Net Losses under the Profit/Loss Share Agreement shall continue to apply during the sell-off period. For clarity, from and after the expiration of such [***] period all rights and licenses granted to Sanofi hereunder (if applicable, with respect to the terminated country(ies)) shall terminate (except as necessary to permit Sanofi to perform its obligations under this Article XII).</w:t>
      </w:r>
    </w:p>
    <w:p>
      <w:pPr>
        <w:spacing w:after="0" w:line="80" w:lineRule="exact"/>
        <w:rPr>
          <w:rFonts w:ascii="Arial" w:cs="Arial" w:eastAsia="Arial" w:hAnsi="Arial"/>
          <w:sz w:val="18"/>
          <w:szCs w:val="18"/>
          <w:color w:val="auto"/>
        </w:rPr>
      </w:pPr>
    </w:p>
    <w:p>
      <w:pPr>
        <w:ind w:firstLine="419"/>
        <w:spacing w:after="0" w:line="268" w:lineRule="auto"/>
        <w:tabs>
          <w:tab w:leader="none" w:pos="728" w:val="left"/>
        </w:tabs>
        <w:numPr>
          <w:ilvl w:val="0"/>
          <w:numId w:val="223"/>
        </w:numPr>
        <w:rPr>
          <w:rFonts w:ascii="Arial" w:cs="Arial" w:eastAsia="Arial" w:hAnsi="Arial"/>
          <w:sz w:val="17"/>
          <w:szCs w:val="17"/>
          <w:color w:val="auto"/>
        </w:rPr>
      </w:pPr>
      <w:r>
        <w:rPr>
          <w:rFonts w:ascii="Arial" w:cs="Arial" w:eastAsia="Arial" w:hAnsi="Arial"/>
          <w:sz w:val="17"/>
          <w:szCs w:val="17"/>
          <w:b w:val="1"/>
          <w:bCs w:val="1"/>
          <w:color w:val="auto"/>
        </w:rPr>
        <w:t>Regulatory Materials; Data</w:t>
      </w:r>
      <w:r>
        <w:rPr>
          <w:rFonts w:ascii="Arial" w:cs="Arial" w:eastAsia="Arial" w:hAnsi="Arial"/>
          <w:sz w:val="17"/>
          <w:szCs w:val="17"/>
          <w:color w:val="auto"/>
        </w:rPr>
        <w:t>. Within [***] after the effective date of such termination for Termination Products for which Regulatory</w:t>
      </w:r>
      <w:r>
        <w:rPr>
          <w:rFonts w:ascii="Arial" w:cs="Arial" w:eastAsia="Arial" w:hAnsi="Arial"/>
          <w:sz w:val="17"/>
          <w:szCs w:val="17"/>
          <w:b w:val="1"/>
          <w:bCs w:val="1"/>
          <w:color w:val="auto"/>
        </w:rPr>
        <w:t xml:space="preserve"> </w:t>
      </w:r>
      <w:r>
        <w:rPr>
          <w:rFonts w:ascii="Arial" w:cs="Arial" w:eastAsia="Arial" w:hAnsi="Arial"/>
          <w:sz w:val="17"/>
          <w:szCs w:val="17"/>
          <w:color w:val="auto"/>
        </w:rPr>
        <w:t>Approval has been obtained prior to the effective date of such termination or [***] for other Termination Products (or as promptly as practical thereafter, if such period is not practical under Applicable Law), Sanofi shall transfer and assign to RevMed all Regulatory Approvals relating to such Termination Products, and, to the extent not previously provided to RevMed, transfer other Regulatory Materials including data from preclinical, non-clinical and clinical studies conducted by or on behalf of Sanofi, its Affiliates or Sublicensees on such Termination Products and all pharmacovigilance data (including all adverse event databases) on such Termination Products. In addition, subject to any applicable provisions of any Third Party contract manufacturing agreement, Sanofi shall, or cause its Affiliate or Third Party contract manufacturer to, grant RevMed and any of its Affiliates and Third Party contract manufacturer the right to reference any and all drug master files pertaining to Termination Products within the foregoing time period for the relevant Termination Products. At RevMed’s reasonable request, for a period not to exceed [***] following the effective date of termination, Sanofi shall provide RevMed with assistance up to a total of [***] with any inquiries and correspondence with Regulatory Authorities relating to any such Termination Product. [***] The foregoing shall not apply to the extent containing proprietary information or technology of any Third Party relating to proprietary active ingredients contained in Combination Products or any Non-SHP2 Products, provided that Sanofi shall, for any Combination Products, upon written request by RevMed and to the extent permitted by the terms of its Third Party agreements, provide reasonable assistance to RevMed to enable RevMed to access such information or technology by, for example, facilitating introductions to and discussions with the relevant Third Party with respect to such information or technology, provided that such assistance shall count toward the [***] total set forth in the preceding sentence.</w:t>
      </w:r>
    </w:p>
    <w:p>
      <w:pPr>
        <w:spacing w:after="0" w:line="71" w:lineRule="exact"/>
        <w:rPr>
          <w:rFonts w:ascii="Arial" w:cs="Arial" w:eastAsia="Arial" w:hAnsi="Arial"/>
          <w:sz w:val="17"/>
          <w:szCs w:val="17"/>
          <w:color w:val="auto"/>
        </w:rPr>
      </w:pPr>
    </w:p>
    <w:p>
      <w:pPr>
        <w:ind w:right="20" w:firstLine="419"/>
        <w:spacing w:after="0" w:line="277" w:lineRule="auto"/>
        <w:tabs>
          <w:tab w:leader="none" w:pos="678" w:val="left"/>
        </w:tabs>
        <w:numPr>
          <w:ilvl w:val="0"/>
          <w:numId w:val="223"/>
        </w:numPr>
        <w:rPr>
          <w:rFonts w:ascii="Arial" w:cs="Arial" w:eastAsia="Arial" w:hAnsi="Arial"/>
          <w:sz w:val="17"/>
          <w:szCs w:val="17"/>
          <w:color w:val="auto"/>
        </w:rPr>
      </w:pPr>
      <w:r>
        <w:rPr>
          <w:rFonts w:ascii="Arial" w:cs="Arial" w:eastAsia="Arial" w:hAnsi="Arial"/>
          <w:sz w:val="17"/>
          <w:szCs w:val="17"/>
          <w:b w:val="1"/>
          <w:bCs w:val="1"/>
          <w:color w:val="auto"/>
        </w:rPr>
        <w:t>Trademarks</w:t>
      </w:r>
      <w:r>
        <w:rPr>
          <w:rFonts w:ascii="Arial" w:cs="Arial" w:eastAsia="Arial" w:hAnsi="Arial"/>
          <w:sz w:val="17"/>
          <w:szCs w:val="17"/>
          <w:color w:val="auto"/>
        </w:rPr>
        <w:t>. Sanofi shall transfer and assign, and shall ensure that its Affiliates transfer and assign, to RevMed, at no cost to RevMed,</w:t>
      </w:r>
      <w:r>
        <w:rPr>
          <w:rFonts w:ascii="Arial" w:cs="Arial" w:eastAsia="Arial" w:hAnsi="Arial"/>
          <w:sz w:val="17"/>
          <w:szCs w:val="17"/>
          <w:b w:val="1"/>
          <w:bCs w:val="1"/>
          <w:color w:val="auto"/>
        </w:rPr>
        <w:t xml:space="preserve"> </w:t>
      </w:r>
      <w:r>
        <w:rPr>
          <w:rFonts w:ascii="Arial" w:cs="Arial" w:eastAsia="Arial" w:hAnsi="Arial"/>
          <w:sz w:val="17"/>
          <w:szCs w:val="17"/>
          <w:color w:val="auto"/>
        </w:rPr>
        <w:t>all Product Marks exclusively relating to any Termination Product, provided that such Product Marks do not contain the business entity names of Sanofi or its Affiliates or variations thereof, except as may otherwise be required by Applicable Law during a transition period to avoid any interruptions in supply of Termination Product to patients. In such case if requested by Sanofi, RevMed shall sign a non-royalty bearing trademark license agreement in the form mutually agreed by the Parties, as requested by Sanofi.</w:t>
      </w:r>
    </w:p>
    <w:p>
      <w:pPr>
        <w:spacing w:after="0" w:line="10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560"/>
          </w:cols>
          <w:pgMar w:left="880" w:top="270" w:right="459" w:bottom="1440" w:gutter="0" w:footer="0" w:header="0"/>
        </w:sectPr>
      </w:pPr>
    </w:p>
    <w:bookmarkStart w:id="352" w:name="page353"/>
    <w:bookmarkEnd w:id="352"/>
    <w:p>
      <w:pPr>
        <w:ind w:left="420" w:right="160" w:firstLine="419"/>
        <w:spacing w:after="0" w:line="282" w:lineRule="auto"/>
        <w:tabs>
          <w:tab w:leader="none" w:pos="1148" w:val="left"/>
        </w:tabs>
        <w:numPr>
          <w:ilvl w:val="0"/>
          <w:numId w:val="22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Transition Assistance</w:t>
      </w:r>
      <w:r>
        <w:rPr>
          <w:rFonts w:ascii="Arial" w:cs="Arial" w:eastAsia="Arial" w:hAnsi="Arial"/>
          <w:sz w:val="18"/>
          <w:szCs w:val="18"/>
          <w:color w:val="auto"/>
        </w:rPr>
        <w:t>. With regard to Termination Products in countries for which the licenses to Sanofi are terminating, Sanofi shall</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the following transitional assistance, with costs allocated as set forth below:</w:t>
      </w:r>
    </w:p>
    <w:p>
      <w:pPr>
        <w:spacing w:after="0" w:line="57" w:lineRule="exact"/>
        <w:rPr>
          <w:rFonts w:ascii="Arial" w:cs="Arial" w:eastAsia="Arial" w:hAnsi="Arial"/>
          <w:sz w:val="18"/>
          <w:szCs w:val="18"/>
          <w:color w:val="auto"/>
        </w:rPr>
      </w:pPr>
    </w:p>
    <w:p>
      <w:pPr>
        <w:ind w:left="1620" w:hanging="212"/>
        <w:spacing w:after="0"/>
        <w:tabs>
          <w:tab w:leader="none" w:pos="162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Each Party shall comply with Section 11.6 with regard to each Party’s Confidential Information.</w:t>
      </w:r>
    </w:p>
    <w:p>
      <w:pPr>
        <w:spacing w:after="0" w:line="225" w:lineRule="exact"/>
        <w:rPr>
          <w:rFonts w:ascii="Arial" w:cs="Arial" w:eastAsia="Arial" w:hAnsi="Arial"/>
          <w:sz w:val="18"/>
          <w:szCs w:val="18"/>
          <w:color w:val="auto"/>
        </w:rPr>
      </w:pPr>
    </w:p>
    <w:p>
      <w:pPr>
        <w:ind w:left="-20" w:right="100" w:firstLine="1428"/>
        <w:spacing w:after="0" w:line="254" w:lineRule="auto"/>
        <w:tabs>
          <w:tab w:leader="none" w:pos="1622" w:val="left"/>
        </w:tabs>
        <w:numPr>
          <w:ilvl w:val="1"/>
          <w:numId w:val="224"/>
        </w:numPr>
        <w:rPr>
          <w:rFonts w:ascii="Arial" w:cs="Arial" w:eastAsia="Arial" w:hAnsi="Arial"/>
          <w:sz w:val="18"/>
          <w:szCs w:val="18"/>
          <w:color w:val="auto"/>
        </w:rPr>
      </w:pPr>
      <w:r>
        <w:rPr>
          <w:rFonts w:ascii="Arial" w:cs="Arial" w:eastAsia="Arial" w:hAnsi="Arial"/>
          <w:sz w:val="18"/>
          <w:szCs w:val="18"/>
          <w:color w:val="auto"/>
        </w:rPr>
        <w:t>To the extent Sanofi has the right to do so, Sanofi shall promptly provide RevMed with a copy (which may be redacted in Sanofi’s discretion if required to protect confidential information of Sanofi or a Third Party) of each license agreement, collaboration agreement or vendor agreement then effective between Sanofi (or its Affiliates) and a Third Party that exclusively relates to any Termination Product, or the Development, Manufacture and Commercialization thereof, and, upon RevMed’s request, to the extent Sanofi has the right to do so, Sanofi shall assign or sublicense, and shall ensure that its Affiliates assign or sublicense, to RevMed any such agreement(s). If Sanofi does not have the right to do so, Sanofi will provide RevMed with contact information for such Third Party so that RevMed may pursue an agreement directly with such licensor, collaborator or vendor with respect to Termination Products.</w:t>
      </w:r>
    </w:p>
    <w:p>
      <w:pPr>
        <w:spacing w:after="0" w:line="194" w:lineRule="exact"/>
        <w:rPr>
          <w:rFonts w:ascii="Arial" w:cs="Arial" w:eastAsia="Arial" w:hAnsi="Arial"/>
          <w:sz w:val="18"/>
          <w:szCs w:val="18"/>
          <w:color w:val="auto"/>
        </w:rPr>
      </w:pPr>
    </w:p>
    <w:p>
      <w:pPr>
        <w:ind w:left="-20" w:firstLine="1428"/>
        <w:spacing w:after="0" w:line="271" w:lineRule="auto"/>
        <w:tabs>
          <w:tab w:leader="none" w:pos="1622" w:val="left"/>
        </w:tabs>
        <w:numPr>
          <w:ilvl w:val="1"/>
          <w:numId w:val="224"/>
        </w:numPr>
        <w:rPr>
          <w:rFonts w:ascii="Arial" w:cs="Arial" w:eastAsia="Arial" w:hAnsi="Arial"/>
          <w:sz w:val="17"/>
          <w:szCs w:val="17"/>
          <w:color w:val="auto"/>
        </w:rPr>
      </w:pPr>
      <w:r>
        <w:rPr>
          <w:rFonts w:ascii="Arial" w:cs="Arial" w:eastAsia="Arial" w:hAnsi="Arial"/>
          <w:sz w:val="17"/>
          <w:szCs w:val="17"/>
          <w:color w:val="auto"/>
        </w:rPr>
        <w:t>Sanofi shall, at RevMed’s request, for a period not to exceed [***] following the effective date of termination, provide reasonable technical assistance up to a total of [***] and, to the extent not already provided to RevMed, transfer copies of (including when available, in electronic format) all Sanofi Sole Program Know-How to RevMed or its designee, including without limitation: [***], in each case to the extent such materials are exclusively related to the Termination Product. All such Know-How so provided to RevMed shall be deemed Confidential Information of Sanofi. Furthermore, Sanofi shall within [***] after the effective date of such termination, transfer to RevMed all files and documents relating to the prosecution, defense or enforcement of the RevMed Licensed Patents or Joint Program Patents and provide reasonable assistance for a period not to exceed [***] following the effective date of termination, up to a total of [***], in the transfer of the prosecution, defense and enforcement responsibilities to RevMed, including by executing any documents reasonable necessary therefor.</w:t>
      </w:r>
    </w:p>
    <w:p>
      <w:pPr>
        <w:spacing w:after="0" w:line="178" w:lineRule="exact"/>
        <w:rPr>
          <w:rFonts w:ascii="Arial" w:cs="Arial" w:eastAsia="Arial" w:hAnsi="Arial"/>
          <w:sz w:val="17"/>
          <w:szCs w:val="17"/>
          <w:color w:val="auto"/>
        </w:rPr>
      </w:pPr>
    </w:p>
    <w:p>
      <w:pPr>
        <w:ind w:left="-20" w:right="140" w:firstLine="1428"/>
        <w:spacing w:after="0" w:line="255" w:lineRule="auto"/>
        <w:tabs>
          <w:tab w:leader="none" w:pos="1632" w:val="left"/>
        </w:tabs>
        <w:numPr>
          <w:ilvl w:val="1"/>
          <w:numId w:val="224"/>
        </w:numPr>
        <w:rPr>
          <w:rFonts w:ascii="Arial" w:cs="Arial" w:eastAsia="Arial" w:hAnsi="Arial"/>
          <w:sz w:val="18"/>
          <w:szCs w:val="18"/>
          <w:color w:val="auto"/>
        </w:rPr>
      </w:pPr>
      <w:r>
        <w:rPr>
          <w:rFonts w:ascii="Arial" w:cs="Arial" w:eastAsia="Arial" w:hAnsi="Arial"/>
          <w:sz w:val="18"/>
          <w:szCs w:val="18"/>
          <w:color w:val="auto"/>
        </w:rPr>
        <w:t>At the end of the sell-off period set forth in Section 12.3(c)(iii), Sanofi shall transfer to RevMed any and all inventory of SHP2 Inhibitors and Termination Products (including all research materials, final product, bulk drug substance, intermediates, work-in-process, formulation materials, reference standards, drug product clinical reserve samples, packaged retention samples, and the like) then in the possession of Sanofi, its Affiliates or Sublicensees, and continue or have continued any ongoing stability studies pertaining to any materials so transferred to RevMed for a reasonable period of time until RevMed can assume responsibility for such activities. Notwithstanding the allocation of costs described below, all such inventory shall be purchased by RevMed at a price equal to [***].</w:t>
      </w:r>
    </w:p>
    <w:p>
      <w:pPr>
        <w:spacing w:after="0" w:line="192" w:lineRule="exact"/>
        <w:rPr>
          <w:rFonts w:ascii="Arial" w:cs="Arial" w:eastAsia="Arial" w:hAnsi="Arial"/>
          <w:sz w:val="18"/>
          <w:szCs w:val="18"/>
          <w:color w:val="auto"/>
        </w:rPr>
      </w:pPr>
    </w:p>
    <w:p>
      <w:pPr>
        <w:ind w:left="-20" w:right="80" w:firstLine="1428"/>
        <w:spacing w:after="0" w:line="279" w:lineRule="auto"/>
        <w:tabs>
          <w:tab w:leader="none" w:pos="1612" w:val="left"/>
        </w:tabs>
        <w:numPr>
          <w:ilvl w:val="1"/>
          <w:numId w:val="224"/>
        </w:numPr>
        <w:rPr>
          <w:rFonts w:ascii="Arial" w:cs="Arial" w:eastAsia="Arial" w:hAnsi="Arial"/>
          <w:sz w:val="17"/>
          <w:szCs w:val="17"/>
          <w:color w:val="auto"/>
        </w:rPr>
      </w:pPr>
      <w:r>
        <w:rPr>
          <w:rFonts w:ascii="Arial" w:cs="Arial" w:eastAsia="Arial" w:hAnsi="Arial"/>
          <w:sz w:val="17"/>
          <w:szCs w:val="17"/>
          <w:color w:val="auto"/>
        </w:rPr>
        <w:t>If at the time of such termination, RevMed or its Affiliates are not Manufacturing a particular Termination Product, then, at RevMed’s request, Sanofi shall: (1) [***], provided that Sanofi shall in no case be obligated to [***], and provided further that such [***]; and (2) if it has the right to do so, assign or transfer to RevMed any Manufacturing agreement between Sanofi and a Third Party contract manufacturer with respect to such Termination Product; or (3) conduct a technology transfer analogous to that described in Section 7.2.</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60"/>
          </w:cols>
          <w:pgMar w:left="460" w:top="270" w:right="479" w:bottom="1440" w:gutter="0" w:footer="0" w:header="0"/>
        </w:sectPr>
      </w:pPr>
    </w:p>
    <w:bookmarkStart w:id="353" w:name="page354"/>
    <w:bookmarkEnd w:id="353"/>
    <w:p>
      <w:pPr>
        <w:ind w:firstLine="1432"/>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 If at the time of such termination, Sanofi or its Affiliates are conducting any Clinical Trials (including Registrational Clinical Trials) of a Termination Product, then, at RevMed’s election on a trial-by-trial basis, Sanofi shall cooperate, and shall ensure that its Affiliates cooperate, with RevMed to transfer the conduct of all such Clinical Trials to RevMed within [***] after the effective date of such transfer (to the extent practical in light of applicable regulatory and patient safety concerns) and RevMed shall assume any and all liability, and is liable, for such Clinical Trials conducted after the effective date of such termination (except to the extent Sanofi has an obligation of indemnification under Article XIV existing for a claim that arose prior to the effective date of such termination).</w:t>
      </w:r>
    </w:p>
    <w:p>
      <w:pPr>
        <w:spacing w:after="0" w:line="192" w:lineRule="exact"/>
        <w:rPr>
          <w:sz w:val="20"/>
          <w:szCs w:val="20"/>
          <w:color w:val="auto"/>
        </w:rPr>
      </w:pPr>
    </w:p>
    <w:p>
      <w:pPr>
        <w:ind w:right="40" w:firstLine="1432"/>
        <w:spacing w:after="0" w:line="275" w:lineRule="auto"/>
        <w:rPr>
          <w:sz w:val="20"/>
          <w:szCs w:val="20"/>
          <w:color w:val="auto"/>
        </w:rPr>
      </w:pPr>
      <w:r>
        <w:rPr>
          <w:rFonts w:ascii="Arial" w:cs="Arial" w:eastAsia="Arial" w:hAnsi="Arial"/>
          <w:sz w:val="17"/>
          <w:szCs w:val="17"/>
          <w:color w:val="auto"/>
        </w:rPr>
        <w:t>G. If at the time of such termination, Sanofi or its Affiliates are Commercializing a particular Termination Product, then, at RevMed’s request, the Parties shall negotiate in good faith a transition services agreement to cover detailing and promotion of such Termination Product (in the same manner and no more extensive than the then-current detailing and promotional efforts of Sanofi) by Sanofi or its Affiliate or contract sales force pursuant to a transition plan agreed by the Parties for a period not to exceed [***], and RevMed shall pay Sanofi a commercially reasonable amount to conduct such activities (which amount would include a commercially reasonable per-detail rate).</w:t>
      </w:r>
    </w:p>
    <w:p>
      <w:pPr>
        <w:spacing w:after="0" w:line="176" w:lineRule="exact"/>
        <w:rPr>
          <w:sz w:val="20"/>
          <w:szCs w:val="20"/>
          <w:color w:val="auto"/>
        </w:rPr>
      </w:pPr>
    </w:p>
    <w:p>
      <w:pPr>
        <w:ind w:right="560" w:firstLine="1432"/>
        <w:spacing w:after="0" w:line="263" w:lineRule="auto"/>
        <w:rPr>
          <w:sz w:val="20"/>
          <w:szCs w:val="20"/>
          <w:color w:val="auto"/>
        </w:rPr>
      </w:pPr>
      <w:r>
        <w:rPr>
          <w:rFonts w:ascii="Arial" w:cs="Arial" w:eastAsia="Arial" w:hAnsi="Arial"/>
          <w:sz w:val="18"/>
          <w:szCs w:val="18"/>
          <w:color w:val="auto"/>
        </w:rPr>
        <w:t>H. In addition to the foregoing, Sanofi shall use reasonable efforts with respect to those activities for which it is responsible hereunder to cooperate with RevMed to achieve an orderly transition of the Development, Manufacturing and Commercialization of Termination Products from Sanofi or its applicable Affiliate to RevMed.</w:t>
      </w:r>
    </w:p>
    <w:p>
      <w:pPr>
        <w:spacing w:after="0" w:line="184"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I. Except as provided in Sections 12.3(c)(vi)D-E, Sanofi’s activities under this Section 12.3(c)(vi) shall be conducted [***].</w:t>
      </w:r>
    </w:p>
    <w:p>
      <w:pPr>
        <w:spacing w:after="0" w:line="221" w:lineRule="exact"/>
        <w:rPr>
          <w:sz w:val="20"/>
          <w:szCs w:val="20"/>
          <w:color w:val="auto"/>
        </w:rPr>
      </w:pPr>
    </w:p>
    <w:p>
      <w:pPr>
        <w:ind w:right="40" w:firstLine="436"/>
        <w:spacing w:after="0" w:line="266" w:lineRule="auto"/>
        <w:tabs>
          <w:tab w:leader="none" w:pos="695" w:val="left"/>
        </w:tabs>
        <w:numPr>
          <w:ilvl w:val="0"/>
          <w:numId w:val="225"/>
        </w:numPr>
        <w:rPr>
          <w:rFonts w:ascii="Arial" w:cs="Arial" w:eastAsia="Arial" w:hAnsi="Arial"/>
          <w:sz w:val="18"/>
          <w:szCs w:val="18"/>
          <w:color w:val="auto"/>
        </w:rPr>
      </w:pPr>
      <w:r>
        <w:rPr>
          <w:rFonts w:ascii="Arial" w:cs="Arial" w:eastAsia="Arial" w:hAnsi="Arial"/>
          <w:sz w:val="18"/>
          <w:szCs w:val="18"/>
          <w:b w:val="1"/>
          <w:bCs w:val="1"/>
          <w:color w:val="auto"/>
        </w:rPr>
        <w:t>Effect of Termination by Sanofi for Safety or for RevMed’s Material Breach or Insolvency</w:t>
      </w:r>
      <w:r>
        <w:rPr>
          <w:rFonts w:ascii="Arial" w:cs="Arial" w:eastAsia="Arial" w:hAnsi="Arial"/>
          <w:sz w:val="18"/>
          <w:szCs w:val="18"/>
          <w:color w:val="auto"/>
        </w:rPr>
        <w:t>. Upon termination of this Agreement by</w:t>
      </w:r>
      <w:r>
        <w:rPr>
          <w:rFonts w:ascii="Arial" w:cs="Arial" w:eastAsia="Arial" w:hAnsi="Arial"/>
          <w:sz w:val="18"/>
          <w:szCs w:val="18"/>
          <w:b w:val="1"/>
          <w:bCs w:val="1"/>
          <w:color w:val="auto"/>
        </w:rPr>
        <w:t xml:space="preserve"> </w:t>
      </w:r>
      <w:r>
        <w:rPr>
          <w:rFonts w:ascii="Arial" w:cs="Arial" w:eastAsia="Arial" w:hAnsi="Arial"/>
          <w:sz w:val="18"/>
          <w:szCs w:val="18"/>
          <w:color w:val="auto"/>
        </w:rPr>
        <w:t>Sanofi pursuant to Section 12.2(a)(iii) (Termination by Sanofi for Safety), Section 12.2(b) (Termination for Material Breach) or 12.2(c) (Termination for Insolvency), the following provisions shall apply:</w:t>
      </w:r>
    </w:p>
    <w:p>
      <w:pPr>
        <w:spacing w:after="0" w:line="67" w:lineRule="exact"/>
        <w:rPr>
          <w:rFonts w:ascii="Arial" w:cs="Arial" w:eastAsia="Arial" w:hAnsi="Arial"/>
          <w:sz w:val="18"/>
          <w:szCs w:val="18"/>
          <w:color w:val="auto"/>
        </w:rPr>
      </w:pPr>
    </w:p>
    <w:p>
      <w:pPr>
        <w:ind w:left="440" w:firstLine="419"/>
        <w:spacing w:after="0" w:line="256" w:lineRule="auto"/>
        <w:tabs>
          <w:tab w:leader="none" w:pos="1078" w:val="left"/>
        </w:tabs>
        <w:numPr>
          <w:ilvl w:val="1"/>
          <w:numId w:val="225"/>
        </w:numPr>
        <w:rPr>
          <w:rFonts w:ascii="Arial" w:cs="Arial" w:eastAsia="Arial" w:hAnsi="Arial"/>
          <w:sz w:val="18"/>
          <w:szCs w:val="18"/>
          <w:color w:val="auto"/>
        </w:rPr>
      </w:pPr>
      <w:r>
        <w:rPr>
          <w:rFonts w:ascii="Arial" w:cs="Arial" w:eastAsia="Arial" w:hAnsi="Arial"/>
          <w:sz w:val="18"/>
          <w:szCs w:val="18"/>
          <w:b w:val="1"/>
          <w:bCs w:val="1"/>
          <w:color w:val="auto"/>
        </w:rPr>
        <w:t>License to Sanofi</w:t>
      </w:r>
      <w:r>
        <w:rPr>
          <w:rFonts w:ascii="Arial" w:cs="Arial" w:eastAsia="Arial" w:hAnsi="Arial"/>
          <w:sz w:val="18"/>
          <w:szCs w:val="18"/>
          <w:color w:val="auto"/>
        </w:rPr>
        <w:t>. All licenses and other rights granted to Sanofi under the RevMed Licensed Technology under this Agreement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 (except as necessary to permit Sanofi to perform its surviving obligations under this Article XII) and all rights thereunder shall revert to RevMed; provided, however, RevMed shall, effective upon any such termination of this Agreement, and hereby does, grant to Sanofi a non-exclusive, worldwide license, with the right to grant sublicenses to contractors and otherwise only with RevMed’s prior written consent, under each (1) RevMed Program Invention and (2) [***]. For the avoidance of doubt, the Patent Rights licensed under this Section 12.3(d)(i) do not include any [***].</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00"/>
          </w:cols>
          <w:pgMar w:left="440" w:top="274" w:right="459" w:bottom="1440" w:gutter="0" w:footer="0" w:header="0"/>
        </w:sectPr>
      </w:pPr>
    </w:p>
    <w:bookmarkStart w:id="354" w:name="page355"/>
    <w:bookmarkEnd w:id="354"/>
    <w:p>
      <w:pPr>
        <w:ind w:left="440" w:right="40" w:firstLine="419"/>
        <w:spacing w:after="0" w:line="271" w:lineRule="auto"/>
        <w:tabs>
          <w:tab w:leader="none" w:pos="1128" w:val="left"/>
        </w:tabs>
        <w:numPr>
          <w:ilvl w:val="0"/>
          <w:numId w:val="226"/>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Inventory Sell-Off Period</w:t>
      </w:r>
      <w:r>
        <w:rPr>
          <w:rFonts w:ascii="Arial" w:cs="Arial" w:eastAsia="Arial" w:hAnsi="Arial"/>
          <w:sz w:val="17"/>
          <w:szCs w:val="17"/>
          <w:color w:val="auto"/>
        </w:rPr>
        <w:t>. In the case of a termination of this Agreement, Sanofi (with respect to the Termination Products in the</w:t>
      </w:r>
      <w:r>
        <w:rPr>
          <w:rFonts w:ascii="Arial" w:cs="Arial" w:eastAsia="Arial" w:hAnsi="Arial"/>
          <w:sz w:val="17"/>
          <w:szCs w:val="17"/>
          <w:b w:val="1"/>
          <w:bCs w:val="1"/>
          <w:color w:val="auto"/>
        </w:rPr>
        <w:t xml:space="preserve"> </w:t>
      </w:r>
      <w:r>
        <w:rPr>
          <w:rFonts w:ascii="Arial" w:cs="Arial" w:eastAsia="Arial" w:hAnsi="Arial"/>
          <w:sz w:val="17"/>
          <w:szCs w:val="17"/>
          <w:color w:val="auto"/>
        </w:rPr>
        <w:t>Licensed Territory), shall be entitled, for a period of [***] after termination, to (i) complete Manufacture of work-in-progress, and (ii) continue conducting Commercialization activities being conducted by Sanofi hereunder as of such termination (if applicable, with respect to the terminated country(ies)), to the extent related to Termination Product in Sanofi’s inventory as of such termination (or added to such inventory as a result of the completion described in clause (i)), provided that Sanofi fulfills its payment obligations under this Agreement in connection with such inventory sell-off, provided further that the payment of royalties to RevMed and the sharing of Net Profits and Net Losses under the Profit/Loss Share Agreement shall continue to apply during the sell-off period. For clarity, from and after the expiration of such [***] period all rights and licenses granted to Sanofi hereunder (if applicable, with respect to the terminated country(ies)) shall terminate (except as necessary to permit Sanofi to perform its obligations under this Article XII).</w:t>
      </w:r>
    </w:p>
    <w:p>
      <w:pPr>
        <w:spacing w:after="0" w:line="65" w:lineRule="exact"/>
        <w:rPr>
          <w:rFonts w:ascii="Arial" w:cs="Arial" w:eastAsia="Arial" w:hAnsi="Arial"/>
          <w:sz w:val="17"/>
          <w:szCs w:val="17"/>
          <w:color w:val="auto"/>
        </w:rPr>
      </w:pPr>
    </w:p>
    <w:p>
      <w:pPr>
        <w:ind w:left="440" w:right="60" w:firstLine="419"/>
        <w:spacing w:after="0" w:line="258" w:lineRule="auto"/>
        <w:tabs>
          <w:tab w:leader="none" w:pos="1178" w:val="left"/>
        </w:tabs>
        <w:numPr>
          <w:ilvl w:val="0"/>
          <w:numId w:val="226"/>
        </w:numPr>
        <w:rPr>
          <w:rFonts w:ascii="Arial" w:cs="Arial" w:eastAsia="Arial" w:hAnsi="Arial"/>
          <w:sz w:val="18"/>
          <w:szCs w:val="18"/>
          <w:color w:val="auto"/>
        </w:rPr>
      </w:pPr>
      <w:r>
        <w:rPr>
          <w:rFonts w:ascii="Arial" w:cs="Arial" w:eastAsia="Arial" w:hAnsi="Arial"/>
          <w:sz w:val="18"/>
          <w:szCs w:val="18"/>
          <w:b w:val="1"/>
          <w:bCs w:val="1"/>
          <w:color w:val="auto"/>
        </w:rPr>
        <w:t>Regulatory Materials; Data</w:t>
      </w:r>
      <w:r>
        <w:rPr>
          <w:rFonts w:ascii="Arial" w:cs="Arial" w:eastAsia="Arial" w:hAnsi="Arial"/>
          <w:sz w:val="18"/>
          <w:szCs w:val="18"/>
          <w:color w:val="auto"/>
        </w:rPr>
        <w:t>. Within [***] of the effective date of such termination (or as promptly as practical thereafter, if such</w:t>
      </w:r>
      <w:r>
        <w:rPr>
          <w:rFonts w:ascii="Arial" w:cs="Arial" w:eastAsia="Arial" w:hAnsi="Arial"/>
          <w:sz w:val="18"/>
          <w:szCs w:val="18"/>
          <w:b w:val="1"/>
          <w:bCs w:val="1"/>
          <w:color w:val="auto"/>
        </w:rPr>
        <w:t xml:space="preserve"> </w:t>
      </w:r>
      <w:r>
        <w:rPr>
          <w:rFonts w:ascii="Arial" w:cs="Arial" w:eastAsia="Arial" w:hAnsi="Arial"/>
          <w:sz w:val="18"/>
          <w:szCs w:val="18"/>
          <w:color w:val="auto"/>
        </w:rPr>
        <w:t>period is not practical under Applicable Law), [***], Sanofi shall transfer and assign to RevMed all Regulatory Approvals relating to Termination Products, and, to the extent not previously provided to RevMed, transfer other Regulatory Materials including data from preclinical, non-clinical and clinical studies conducted by or on behalf of Sanofi, its Affiliates or Sublicensees on any Termination Products and all pharmacovigilance data (including all adverse event databases) on any Termination Products.</w:t>
      </w:r>
    </w:p>
    <w:p>
      <w:pPr>
        <w:spacing w:after="0" w:line="75" w:lineRule="exact"/>
        <w:rPr>
          <w:rFonts w:ascii="Arial" w:cs="Arial" w:eastAsia="Arial" w:hAnsi="Arial"/>
          <w:sz w:val="18"/>
          <w:szCs w:val="18"/>
          <w:color w:val="auto"/>
        </w:rPr>
      </w:pPr>
    </w:p>
    <w:p>
      <w:pPr>
        <w:ind w:left="440" w:right="340" w:firstLine="419"/>
        <w:spacing w:after="0" w:line="266" w:lineRule="auto"/>
        <w:tabs>
          <w:tab w:leader="none" w:pos="1168" w:val="left"/>
        </w:tabs>
        <w:numPr>
          <w:ilvl w:val="0"/>
          <w:numId w:val="226"/>
        </w:numPr>
        <w:rPr>
          <w:rFonts w:ascii="Arial" w:cs="Arial" w:eastAsia="Arial" w:hAnsi="Arial"/>
          <w:sz w:val="18"/>
          <w:szCs w:val="18"/>
          <w:color w:val="auto"/>
        </w:rPr>
      </w:pPr>
      <w:r>
        <w:rPr>
          <w:rFonts w:ascii="Arial" w:cs="Arial" w:eastAsia="Arial" w:hAnsi="Arial"/>
          <w:sz w:val="18"/>
          <w:szCs w:val="18"/>
          <w:b w:val="1"/>
          <w:bCs w:val="1"/>
          <w:color w:val="auto"/>
        </w:rPr>
        <w:t>Trademarks</w:t>
      </w:r>
      <w:r>
        <w:rPr>
          <w:rFonts w:ascii="Arial" w:cs="Arial" w:eastAsia="Arial" w:hAnsi="Arial"/>
          <w:sz w:val="18"/>
          <w:szCs w:val="18"/>
          <w:color w:val="auto"/>
        </w:rPr>
        <w:t>. [***], Sanofi shall transfer and assign, and shall ensure that its Affiliates transfer and assign, to RevMed, [***], all</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Marks exclusively relating to any Termination Product, provided that such Product Marks do not contain the business entity names of Sanofi or its Affiliates or variations thereof.</w:t>
      </w:r>
    </w:p>
    <w:p>
      <w:pPr>
        <w:spacing w:after="0" w:line="176" w:lineRule="exact"/>
        <w:rPr>
          <w:sz w:val="20"/>
          <w:szCs w:val="20"/>
          <w:color w:val="auto"/>
        </w:rPr>
      </w:pPr>
    </w:p>
    <w:p>
      <w:pPr>
        <w:ind w:left="680" w:hanging="244"/>
        <w:spacing w:after="0"/>
        <w:tabs>
          <w:tab w:leader="none" w:pos="680" w:val="left"/>
        </w:tabs>
        <w:numPr>
          <w:ilvl w:val="0"/>
          <w:numId w:val="227"/>
        </w:numPr>
        <w:rPr>
          <w:rFonts w:ascii="Arial" w:cs="Arial" w:eastAsia="Arial" w:hAnsi="Arial"/>
          <w:sz w:val="18"/>
          <w:szCs w:val="18"/>
          <w:color w:val="auto"/>
        </w:rPr>
      </w:pPr>
      <w:r>
        <w:rPr>
          <w:rFonts w:ascii="Arial" w:cs="Arial" w:eastAsia="Arial" w:hAnsi="Arial"/>
          <w:sz w:val="18"/>
          <w:szCs w:val="18"/>
          <w:b w:val="1"/>
          <w:bCs w:val="1"/>
          <w:color w:val="auto"/>
        </w:rPr>
        <w:t>Effect of Termination by Sanofi of [***] for Change of Control of RevMed</w:t>
      </w:r>
      <w:r>
        <w:rPr>
          <w:rFonts w:ascii="Arial" w:cs="Arial" w:eastAsia="Arial" w:hAnsi="Arial"/>
          <w:sz w:val="18"/>
          <w:szCs w:val="18"/>
          <w:color w:val="auto"/>
        </w:rPr>
        <w:t>. Upon termination of [***] by Sanofi pursuant to</w:t>
      </w:r>
    </w:p>
    <w:p>
      <w:pPr>
        <w:spacing w:after="0" w:line="27"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Section 12.2(a)(ii)B (Termination by Sanofi for Change of Control) in the case of an Acquiror of RevMed that is a Major Biopharmaceutical Company, RevMed, [***], will (1) make available to Sanofi copies of [***], (2) provide Sanofi with copies of [***], (3) provide Sanofi with all [***], and (4) otherwise provide Sanofi all reasonable assistance in [***]. Furthermore, in such case, except for [***], all Committees shall [***].</w:t>
      </w:r>
    </w:p>
    <w:p>
      <w:pPr>
        <w:spacing w:after="0" w:line="169" w:lineRule="exact"/>
        <w:rPr>
          <w:sz w:val="20"/>
          <w:szCs w:val="20"/>
          <w:color w:val="auto"/>
        </w:rPr>
      </w:pPr>
    </w:p>
    <w:p>
      <w:pPr>
        <w:ind w:right="160" w:firstLine="440"/>
        <w:spacing w:after="0" w:line="287" w:lineRule="auto"/>
        <w:rPr>
          <w:sz w:val="20"/>
          <w:szCs w:val="20"/>
          <w:color w:val="auto"/>
        </w:rPr>
      </w:pPr>
      <w:r>
        <w:rPr>
          <w:rFonts w:ascii="Arial" w:cs="Arial" w:eastAsia="Arial" w:hAnsi="Arial"/>
          <w:sz w:val="16"/>
          <w:szCs w:val="16"/>
          <w:b w:val="1"/>
          <w:bCs w:val="1"/>
          <w:color w:val="auto"/>
        </w:rPr>
        <w:t>12.4 Survival</w:t>
      </w:r>
      <w:r>
        <w:rPr>
          <w:rFonts w:ascii="Arial" w:cs="Arial" w:eastAsia="Arial" w:hAnsi="Arial"/>
          <w:sz w:val="16"/>
          <w:szCs w:val="16"/>
          <w:color w:val="auto"/>
        </w:rPr>
        <w:t>. The following Sections and Articles shall survive the termination or expiration of this Agreement: Articles I (Definitions)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extent necessary to give effect to the other Sections and Articles that survive under this Section 12.4) and XV (General Provisions) and Sections 5.8 (Development Records) (for the period stated therein), 9.8 (Records) (for the period stated therein), 11.1 (Duty of Confidence), 11.2 (Exceptions), 11.3 (Authorized Disclosures), 11.5(a) and 11.5(b) (Publicity; Use of Names), 11.6 (Return of Confidential Information), 11.7 (Attorney-Client Privilege),</w:t>
      </w:r>
    </w:p>
    <w:p>
      <w:pPr>
        <w:spacing w:after="0" w:line="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11.8 (Permitted Disclosures for CREATE Act), 12.3 (Effects of Expiration or Termination), 12.4 (Survival), 12.5 (Accrued Rights and Obligations), 12.6 (Termination Not Sole Remedy), 14.1 (Indemnification by RevMed) (as to activities conducted during the Term), 14.2 (Indemnification by Sanofi) (as to activities conducted during the Term), 14.3 (Indemnification Procedure), 14.4 (Mitigation of Loss), and 14.5 (Limitation of Liability).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0"/>
          </w:cols>
          <w:pgMar w:left="440" w:top="270" w:right="459" w:bottom="1440" w:gutter="0" w:footer="0" w:header="0"/>
        </w:sectPr>
      </w:pPr>
    </w:p>
    <w:bookmarkStart w:id="355" w:name="page356"/>
    <w:bookmarkEnd w:id="355"/>
    <w:p>
      <w:pPr>
        <w:jc w:val="both"/>
        <w:ind w:right="4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12.5 Accrued Rights and Obligations</w:t>
      </w:r>
      <w:r>
        <w:rPr>
          <w:rFonts w:ascii="Arial" w:cs="Arial" w:eastAsia="Arial" w:hAnsi="Arial"/>
          <w:sz w:val="18"/>
          <w:szCs w:val="18"/>
          <w:color w:val="auto"/>
        </w:rPr>
        <w:t>. Expiration or termination of this Agreement shall not diminish either Party’s rights, or relieve either Party</w:t>
      </w:r>
      <w:r>
        <w:rPr>
          <w:rFonts w:ascii="Arial" w:cs="Arial" w:eastAsia="Arial" w:hAnsi="Arial"/>
          <w:sz w:val="18"/>
          <w:szCs w:val="18"/>
          <w:b w:val="1"/>
          <w:bCs w:val="1"/>
          <w:color w:val="auto"/>
        </w:rPr>
        <w:t xml:space="preserve"> </w:t>
      </w:r>
      <w:r>
        <w:rPr>
          <w:rFonts w:ascii="Arial" w:cs="Arial" w:eastAsia="Arial" w:hAnsi="Arial"/>
          <w:sz w:val="18"/>
          <w:szCs w:val="18"/>
          <w:color w:val="auto"/>
        </w:rPr>
        <w:t>of any of its obligations, in each case that have been accrued prior to the effective date of such expiration or termination.</w:t>
      </w:r>
    </w:p>
    <w:p>
      <w:pPr>
        <w:spacing w:after="0" w:line="162" w:lineRule="exact"/>
        <w:rPr>
          <w:sz w:val="20"/>
          <w:szCs w:val="20"/>
          <w:color w:val="auto"/>
        </w:rPr>
      </w:pPr>
    </w:p>
    <w:p>
      <w:pPr>
        <w:jc w:val="both"/>
        <w:ind w:right="60" w:firstLine="440"/>
        <w:spacing w:after="0" w:line="266" w:lineRule="auto"/>
        <w:rPr>
          <w:sz w:val="20"/>
          <w:szCs w:val="20"/>
          <w:color w:val="auto"/>
        </w:rPr>
      </w:pPr>
      <w:r>
        <w:rPr>
          <w:rFonts w:ascii="Arial" w:cs="Arial" w:eastAsia="Arial" w:hAnsi="Arial"/>
          <w:sz w:val="18"/>
          <w:szCs w:val="18"/>
          <w:b w:val="1"/>
          <w:bCs w:val="1"/>
          <w:color w:val="auto"/>
        </w:rPr>
        <w:t>12.6 Termination Not Sole Remedy</w:t>
      </w:r>
      <w:r>
        <w:rPr>
          <w:rFonts w:ascii="Arial" w:cs="Arial" w:eastAsia="Arial" w:hAnsi="Arial"/>
          <w:sz w:val="18"/>
          <w:szCs w:val="18"/>
          <w:color w:val="auto"/>
        </w:rPr>
        <w:t>. Except as set forth in Section 5.7, termination is not the sole remedy under this Agreement and, whether or</w:t>
      </w:r>
      <w:r>
        <w:rPr>
          <w:rFonts w:ascii="Arial" w:cs="Arial" w:eastAsia="Arial" w:hAnsi="Arial"/>
          <w:sz w:val="18"/>
          <w:szCs w:val="18"/>
          <w:b w:val="1"/>
          <w:bCs w:val="1"/>
          <w:color w:val="auto"/>
        </w:rPr>
        <w:t xml:space="preserve"> </w:t>
      </w:r>
      <w:r>
        <w:rPr>
          <w:rFonts w:ascii="Arial" w:cs="Arial" w:eastAsia="Arial" w:hAnsi="Arial"/>
          <w:sz w:val="18"/>
          <w:szCs w:val="18"/>
          <w:color w:val="auto"/>
        </w:rPr>
        <w:t>not termination is effected and notwithstanding anything contained in this Agreement to the contrary, all other remedies shall remain available except as agreed to otherwise herein.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XIII.</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WARRANTIES AND COVENANTS; CLOSING CONDITIONS</w:t>
      </w:r>
    </w:p>
    <w:p>
      <w:pPr>
        <w:spacing w:after="0" w:line="225" w:lineRule="exact"/>
        <w:rPr>
          <w:sz w:val="20"/>
          <w:szCs w:val="20"/>
          <w:color w:val="auto"/>
        </w:rPr>
      </w:pPr>
    </w:p>
    <w:p>
      <w:pPr>
        <w:ind w:right="620" w:firstLine="440"/>
        <w:spacing w:after="0" w:line="282" w:lineRule="auto"/>
        <w:rPr>
          <w:sz w:val="20"/>
          <w:szCs w:val="20"/>
          <w:color w:val="auto"/>
        </w:rPr>
      </w:pPr>
      <w:r>
        <w:rPr>
          <w:rFonts w:ascii="Arial" w:cs="Arial" w:eastAsia="Arial" w:hAnsi="Arial"/>
          <w:sz w:val="18"/>
          <w:szCs w:val="18"/>
          <w:b w:val="1"/>
          <w:bCs w:val="1"/>
          <w:color w:val="auto"/>
        </w:rPr>
        <w:t>13.1 Representations and Warranties of Each Party</w:t>
      </w:r>
      <w:r>
        <w:rPr>
          <w:rFonts w:ascii="Arial" w:cs="Arial" w:eastAsia="Arial" w:hAnsi="Arial"/>
          <w:sz w:val="18"/>
          <w:szCs w:val="18"/>
          <w:color w:val="auto"/>
        </w:rPr>
        <w:t>. Each Party hereby represents and warrants, as of the Execution, and covenants (as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to the other Party as follows:</w:t>
      </w:r>
    </w:p>
    <w:p>
      <w:pPr>
        <w:spacing w:after="0" w:line="58" w:lineRule="exact"/>
        <w:rPr>
          <w:sz w:val="20"/>
          <w:szCs w:val="20"/>
          <w:color w:val="auto"/>
        </w:rPr>
      </w:pPr>
    </w:p>
    <w:p>
      <w:pPr>
        <w:ind w:right="840" w:firstLine="436"/>
        <w:spacing w:after="0" w:line="308" w:lineRule="auto"/>
        <w:tabs>
          <w:tab w:leader="none" w:pos="685" w:val="left"/>
        </w:tabs>
        <w:numPr>
          <w:ilvl w:val="0"/>
          <w:numId w:val="228"/>
        </w:numPr>
        <w:rPr>
          <w:rFonts w:ascii="Arial" w:cs="Arial" w:eastAsia="Arial" w:hAnsi="Arial"/>
          <w:sz w:val="17"/>
          <w:szCs w:val="17"/>
          <w:color w:val="auto"/>
        </w:rPr>
      </w:pPr>
      <w:r>
        <w:rPr>
          <w:rFonts w:ascii="Arial" w:cs="Arial" w:eastAsia="Arial" w:hAnsi="Arial"/>
          <w:sz w:val="17"/>
          <w:szCs w:val="17"/>
          <w:color w:val="auto"/>
        </w:rPr>
        <w:t>It is a company or corporation duly organized, validly existing, and in good standing under the laws of the jurisdiction in which it is incorporated, and has the full right, power and authority to enter into this Agreement, to perform its obligations hereunder.</w:t>
      </w:r>
    </w:p>
    <w:p>
      <w:pPr>
        <w:spacing w:after="0" w:line="146" w:lineRule="exact"/>
        <w:rPr>
          <w:rFonts w:ascii="Arial" w:cs="Arial" w:eastAsia="Arial" w:hAnsi="Arial"/>
          <w:sz w:val="17"/>
          <w:szCs w:val="17"/>
          <w:color w:val="auto"/>
        </w:rPr>
      </w:pPr>
    </w:p>
    <w:p>
      <w:pPr>
        <w:ind w:right="20" w:firstLine="436"/>
        <w:spacing w:after="0" w:line="301" w:lineRule="auto"/>
        <w:tabs>
          <w:tab w:leader="none" w:pos="695" w:val="left"/>
        </w:tabs>
        <w:numPr>
          <w:ilvl w:val="0"/>
          <w:numId w:val="228"/>
        </w:numPr>
        <w:rPr>
          <w:rFonts w:ascii="Arial" w:cs="Arial" w:eastAsia="Arial" w:hAnsi="Arial"/>
          <w:sz w:val="16"/>
          <w:szCs w:val="16"/>
          <w:color w:val="auto"/>
        </w:rPr>
      </w:pPr>
      <w:r>
        <w:rPr>
          <w:rFonts w:ascii="Arial" w:cs="Arial" w:eastAsia="Arial" w:hAnsi="Arial"/>
          <w:sz w:val="16"/>
          <w:szCs w:val="16"/>
          <w:color w:val="auto"/>
        </w:rPr>
        <w:t>(i) This Agreement has been duly executed by it and is legally binding upon it, enforceable in accordance with its terms, (ii) it has taken all necessary corporate action on its part required to authorize the execution and delivery of this Agreement and, (iii) this Agreement, and the performance of its obligations hereunder, do not conflict with any agreement, instrument or understanding, oral or written, to which it is a party or by which it may be bound, nor violate any material law or regulation of any court, governmental body or administrative or other agency having jurisdiction over it.</w:t>
      </w:r>
    </w:p>
    <w:p>
      <w:pPr>
        <w:spacing w:after="0" w:line="157" w:lineRule="exact"/>
        <w:rPr>
          <w:rFonts w:ascii="Arial" w:cs="Arial" w:eastAsia="Arial" w:hAnsi="Arial"/>
          <w:sz w:val="16"/>
          <w:szCs w:val="16"/>
          <w:color w:val="auto"/>
        </w:rPr>
      </w:pPr>
    </w:p>
    <w:p>
      <w:pPr>
        <w:ind w:firstLine="436"/>
        <w:spacing w:after="0" w:line="301" w:lineRule="auto"/>
        <w:tabs>
          <w:tab w:leader="none" w:pos="685" w:val="left"/>
        </w:tabs>
        <w:numPr>
          <w:ilvl w:val="0"/>
          <w:numId w:val="228"/>
        </w:numPr>
        <w:rPr>
          <w:rFonts w:ascii="Arial" w:cs="Arial" w:eastAsia="Arial" w:hAnsi="Arial"/>
          <w:sz w:val="16"/>
          <w:szCs w:val="16"/>
          <w:color w:val="auto"/>
        </w:rPr>
      </w:pPr>
      <w:r>
        <w:rPr>
          <w:rFonts w:ascii="Arial" w:cs="Arial" w:eastAsia="Arial" w:hAnsi="Arial"/>
          <w:sz w:val="16"/>
          <w:szCs w:val="16"/>
          <w:color w:val="auto"/>
        </w:rPr>
        <w:t>(i) It is familiar with the provisions and restrictions contained in the FCPA and has adopted and maintains an FCPA policy; (ii) it shall comply with the FCPA in connection with its activities under this Agreement; (iii) it shall not, in the course of its activities under this Agreement, offer, promise, give, demand, seek or accept, directly or indirectly, any gift or payment, consideration or benefit in kind that would or could be construed as an illegal or corrupt practice; and (iv) it is not a government official (as the term is defined in the FCPA) or affiliated with any government official.</w:t>
      </w:r>
    </w:p>
    <w:p>
      <w:pPr>
        <w:spacing w:after="0" w:line="157" w:lineRule="exact"/>
        <w:rPr>
          <w:rFonts w:ascii="Arial" w:cs="Arial" w:eastAsia="Arial" w:hAnsi="Arial"/>
          <w:sz w:val="16"/>
          <w:szCs w:val="16"/>
          <w:color w:val="auto"/>
        </w:rPr>
      </w:pPr>
    </w:p>
    <w:p>
      <w:pPr>
        <w:ind w:right="80" w:firstLine="436"/>
        <w:spacing w:after="0" w:line="275" w:lineRule="auto"/>
        <w:tabs>
          <w:tab w:leader="none" w:pos="695" w:val="left"/>
        </w:tabs>
        <w:numPr>
          <w:ilvl w:val="0"/>
          <w:numId w:val="228"/>
        </w:numPr>
        <w:rPr>
          <w:rFonts w:ascii="Arial" w:cs="Arial" w:eastAsia="Arial" w:hAnsi="Arial"/>
          <w:sz w:val="17"/>
          <w:szCs w:val="17"/>
          <w:color w:val="auto"/>
        </w:rPr>
      </w:pPr>
      <w:r>
        <w:rPr>
          <w:rFonts w:ascii="Arial" w:cs="Arial" w:eastAsia="Arial" w:hAnsi="Arial"/>
          <w:sz w:val="17"/>
          <w:szCs w:val="17"/>
          <w:color w:val="auto"/>
        </w:rPr>
        <w:t>(i) Neither it nor any of its Affiliates has been debarred or is subject to debarment pursuant to Section 306 of the FFDCA or analogous provisions of Applicable Law outside the United States or listed on any Excluded List and (ii) neither it nor any of its Affiliates has, to its knowledge, used in any capacity, in connection with the activities to be performed under this Agreement, any individual or entity that has been debarred pursuant to Section 306 of the FFDCA or analogous provisions of Applicable Law outside the United States, or that is the subject of a conviction described in such Section or analogous provisions of Applicable Law outside the United States, or listed on any Excluded List.</w:t>
      </w:r>
    </w:p>
    <w:p>
      <w:pPr>
        <w:spacing w:after="0" w:line="176" w:lineRule="exact"/>
        <w:rPr>
          <w:rFonts w:ascii="Arial" w:cs="Arial" w:eastAsia="Arial" w:hAnsi="Arial"/>
          <w:sz w:val="17"/>
          <w:szCs w:val="17"/>
          <w:color w:val="auto"/>
        </w:rPr>
      </w:pPr>
    </w:p>
    <w:p>
      <w:pPr>
        <w:ind w:right="40" w:firstLine="436"/>
        <w:spacing w:after="0" w:line="263" w:lineRule="auto"/>
        <w:tabs>
          <w:tab w:leader="none" w:pos="685"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It will maintain throughout the Term all permits, licenses, registrations and other forms of authorizations and approvals from any Governmental Authority, necessary or required to be obtained or maintained by such Party in order for such Party to execute and deliver this Agreement and to perform its obligations hereunder in a manner which complies with all Applicable Law.</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00"/>
          </w:cols>
          <w:pgMar w:left="440" w:top="270" w:right="459" w:bottom="1440" w:gutter="0" w:footer="0" w:header="0"/>
        </w:sectPr>
      </w:pPr>
    </w:p>
    <w:bookmarkStart w:id="356" w:name="page357"/>
    <w:bookmarkEnd w:id="356"/>
    <w:p>
      <w:pPr>
        <w:ind w:left="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13.2 Representations and Warranties by RevMed</w:t>
      </w:r>
      <w:r>
        <w:rPr>
          <w:rFonts w:ascii="Arial" w:cs="Arial" w:eastAsia="Arial" w:hAnsi="Arial"/>
          <w:sz w:val="17"/>
          <w:szCs w:val="17"/>
          <w:color w:val="auto"/>
        </w:rPr>
        <w:t>. Except as disclosed in the Disclosure Schedule to this Agreement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N</w:t>
      </w:r>
      <w:r>
        <w:rPr>
          <w:rFonts w:ascii="Arial" w:cs="Arial" w:eastAsia="Arial" w:hAnsi="Arial"/>
          <w:sz w:val="17"/>
          <w:szCs w:val="17"/>
          <w:b w:val="1"/>
          <w:bCs w:val="1"/>
          <w:color w:val="auto"/>
        </w:rPr>
        <w:t xml:space="preserve"> </w:t>
      </w:r>
      <w:r>
        <w:rPr>
          <w:rFonts w:ascii="Arial" w:cs="Arial" w:eastAsia="Arial" w:hAnsi="Arial"/>
          <w:sz w:val="17"/>
          <w:szCs w:val="17"/>
          <w:color w:val="auto"/>
        </w:rPr>
        <w:t>of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Correspondence, RevMed represents and warrants to Sanofi as of the Execution Date that:</w:t>
      </w:r>
    </w:p>
    <w:p>
      <w:pPr>
        <w:spacing w:after="0" w:line="103" w:lineRule="exact"/>
        <w:rPr>
          <w:sz w:val="20"/>
          <w:szCs w:val="20"/>
          <w:color w:val="auto"/>
        </w:rPr>
      </w:pPr>
    </w:p>
    <w:p>
      <w:pPr>
        <w:ind w:left="680" w:hanging="244"/>
        <w:spacing w:after="0"/>
        <w:tabs>
          <w:tab w:leader="none" w:pos="6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RevMed has not had any Affiliates prior to the Execution Date and does not have any Affiliates as of the Execution Date;</w:t>
      </w:r>
    </w:p>
    <w:p>
      <w:pPr>
        <w:spacing w:after="0" w:line="225" w:lineRule="exact"/>
        <w:rPr>
          <w:rFonts w:ascii="Arial" w:cs="Arial" w:eastAsia="Arial" w:hAnsi="Arial"/>
          <w:sz w:val="18"/>
          <w:szCs w:val="18"/>
          <w:color w:val="auto"/>
        </w:rPr>
      </w:pPr>
    </w:p>
    <w:p>
      <w:pPr>
        <w:ind w:right="240" w:firstLine="436"/>
        <w:spacing w:after="0" w:line="342" w:lineRule="auto"/>
        <w:tabs>
          <w:tab w:leader="none" w:pos="695" w:val="left"/>
        </w:tabs>
        <w:numPr>
          <w:ilvl w:val="0"/>
          <w:numId w:val="229"/>
        </w:numPr>
        <w:rPr>
          <w:rFonts w:ascii="Arial" w:cs="Arial" w:eastAsia="Arial" w:hAnsi="Arial"/>
          <w:sz w:val="16"/>
          <w:szCs w:val="16"/>
          <w:color w:val="auto"/>
        </w:rPr>
      </w:pPr>
      <w:r>
        <w:rPr>
          <w:rFonts w:ascii="Arial" w:cs="Arial" w:eastAsia="Arial" w:hAnsi="Arial"/>
          <w:sz w:val="16"/>
          <w:szCs w:val="16"/>
          <w:color w:val="auto"/>
        </w:rPr>
        <w:t>RevMed is the sole and exclusive owner of all of the RevMed Background Technology, free and clear or all liens and encumbrances, and no Third Party owns or possesses any right, title or interest in or to any of the RevMed Licensed Technology existing as of the Execution Date;</w:t>
      </w:r>
    </w:p>
    <w:p>
      <w:pPr>
        <w:spacing w:after="0" w:line="123" w:lineRule="exact"/>
        <w:rPr>
          <w:rFonts w:ascii="Arial" w:cs="Arial" w:eastAsia="Arial" w:hAnsi="Arial"/>
          <w:sz w:val="16"/>
          <w:szCs w:val="16"/>
          <w:color w:val="auto"/>
        </w:rPr>
      </w:pPr>
    </w:p>
    <w:p>
      <w:pPr>
        <w:ind w:right="140" w:firstLine="436"/>
        <w:spacing w:after="0" w:line="277" w:lineRule="auto"/>
        <w:tabs>
          <w:tab w:leader="none" w:pos="68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RevMed has not previously agreed to or otherwise committed to assign, transfer or convey or otherwise encumber its rights, title and interests in and to RevMed Licensed Technology existing as of the Execution Date;</w:t>
      </w:r>
    </w:p>
    <w:p>
      <w:pPr>
        <w:spacing w:after="0" w:line="170" w:lineRule="exact"/>
        <w:rPr>
          <w:rFonts w:ascii="Arial" w:cs="Arial" w:eastAsia="Arial" w:hAnsi="Arial"/>
          <w:sz w:val="18"/>
          <w:szCs w:val="18"/>
          <w:color w:val="auto"/>
        </w:rPr>
      </w:pPr>
    </w:p>
    <w:p>
      <w:pPr>
        <w:ind w:right="40" w:firstLine="436"/>
        <w:spacing w:after="0" w:line="257" w:lineRule="auto"/>
        <w:tabs>
          <w:tab w:leader="none" w:pos="69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To the Knowledge of RevMed, all Patent Rights owned or Controlled by RevMed, existing as of the Execution Date, and reasonably necessary or useful for conducting the Collaboration or otherwise necessary or useful for Researching, Developing, Manufacturing, Commercializing or otherwise exploiting Product in the Field, including the Development or Manufacture of the Products as contemplated in the initial Research Plan and Development Plan attached to this Agreement as of the Execution Date and Commercialization of the Products, as provided hereunder are listed in </w:t>
      </w:r>
      <w:r>
        <w:rPr>
          <w:rFonts w:ascii="Arial" w:cs="Arial" w:eastAsia="Arial" w:hAnsi="Arial"/>
          <w:sz w:val="18"/>
          <w:szCs w:val="18"/>
          <w:u w:val="single" w:color="auto"/>
          <w:color w:val="auto"/>
        </w:rPr>
        <w:t>Exhibit O</w:t>
      </w:r>
      <w:r>
        <w:rPr>
          <w:rFonts w:ascii="Arial" w:cs="Arial" w:eastAsia="Arial" w:hAnsi="Arial"/>
          <w:sz w:val="18"/>
          <w:szCs w:val="18"/>
          <w:color w:val="auto"/>
        </w:rPr>
        <w:t xml:space="preserve"> of the Correspondence;</w:t>
      </w:r>
    </w:p>
    <w:p>
      <w:pPr>
        <w:spacing w:after="0" w:line="187" w:lineRule="exact"/>
        <w:rPr>
          <w:rFonts w:ascii="Arial" w:cs="Arial" w:eastAsia="Arial" w:hAnsi="Arial"/>
          <w:sz w:val="18"/>
          <w:szCs w:val="18"/>
          <w:color w:val="auto"/>
        </w:rPr>
      </w:pPr>
    </w:p>
    <w:p>
      <w:pPr>
        <w:ind w:firstLine="436"/>
        <w:spacing w:after="0" w:line="263" w:lineRule="auto"/>
        <w:tabs>
          <w:tab w:leader="none" w:pos="68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RevMed has the right to grant the licenses and other rights expressly granted herein to Sanofi, and it has not granted any license, right or interest in, to or under the RevMed Licensed Technology to any Third Party (or agreed to make any such grant) to exploit SHP2 Inhibitors or Products in the Field;</w:t>
      </w:r>
    </w:p>
    <w:p>
      <w:pPr>
        <w:spacing w:after="0" w:line="183" w:lineRule="exact"/>
        <w:rPr>
          <w:rFonts w:ascii="Arial" w:cs="Arial" w:eastAsia="Arial" w:hAnsi="Arial"/>
          <w:sz w:val="18"/>
          <w:szCs w:val="18"/>
          <w:color w:val="auto"/>
        </w:rPr>
      </w:pPr>
    </w:p>
    <w:p>
      <w:pPr>
        <w:ind w:right="580" w:firstLine="436"/>
        <w:spacing w:after="0" w:line="308" w:lineRule="auto"/>
        <w:tabs>
          <w:tab w:leader="none" w:pos="665" w:val="left"/>
        </w:tabs>
        <w:numPr>
          <w:ilvl w:val="0"/>
          <w:numId w:val="229"/>
        </w:numPr>
        <w:rPr>
          <w:rFonts w:ascii="Arial" w:cs="Arial" w:eastAsia="Arial" w:hAnsi="Arial"/>
          <w:sz w:val="17"/>
          <w:szCs w:val="17"/>
          <w:color w:val="auto"/>
        </w:rPr>
      </w:pPr>
      <w:r>
        <w:rPr>
          <w:rFonts w:ascii="Arial" w:cs="Arial" w:eastAsia="Arial" w:hAnsi="Arial"/>
          <w:sz w:val="17"/>
          <w:szCs w:val="17"/>
          <w:color w:val="auto"/>
        </w:rPr>
        <w:t>To RevMed’s Knowledge, the research and development of the Development Candidate and use of RevMed Background Know-How in connection therewith does not infringe the claims of any issued Patent or published patent application of any Third Party;</w:t>
      </w:r>
    </w:p>
    <w:p>
      <w:pPr>
        <w:spacing w:after="0" w:line="146" w:lineRule="exact"/>
        <w:rPr>
          <w:rFonts w:ascii="Arial" w:cs="Arial" w:eastAsia="Arial" w:hAnsi="Arial"/>
          <w:sz w:val="17"/>
          <w:szCs w:val="17"/>
          <w:color w:val="auto"/>
        </w:rPr>
      </w:pPr>
    </w:p>
    <w:p>
      <w:pPr>
        <w:ind w:right="800" w:firstLine="436"/>
        <w:spacing w:after="0" w:line="277" w:lineRule="auto"/>
        <w:tabs>
          <w:tab w:leader="none" w:pos="69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research and development of the SHP2 Inhibitors and use of RevMed Background Know-How in connection therewith does not misappropriate the Know-How of any Third Party;</w:t>
      </w:r>
    </w:p>
    <w:p>
      <w:pPr>
        <w:spacing w:after="0" w:line="170" w:lineRule="exact"/>
        <w:rPr>
          <w:rFonts w:ascii="Arial" w:cs="Arial" w:eastAsia="Arial" w:hAnsi="Arial"/>
          <w:sz w:val="18"/>
          <w:szCs w:val="18"/>
          <w:color w:val="auto"/>
        </w:rPr>
      </w:pPr>
    </w:p>
    <w:p>
      <w:pPr>
        <w:ind w:right="740" w:firstLine="436"/>
        <w:spacing w:after="0" w:line="277" w:lineRule="auto"/>
        <w:tabs>
          <w:tab w:leader="none" w:pos="69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research and development of SHP2 Inhibitors (including pursuant to the activities set forth in the initial Research Plan and initial Development Plan) does not breach any obligation of confidentiality or non-use owed by RevMed to a Third Party;</w:t>
      </w:r>
    </w:p>
    <w:p>
      <w:pPr>
        <w:spacing w:after="0" w:line="170" w:lineRule="exact"/>
        <w:rPr>
          <w:rFonts w:ascii="Arial" w:cs="Arial" w:eastAsia="Arial" w:hAnsi="Arial"/>
          <w:sz w:val="18"/>
          <w:szCs w:val="18"/>
          <w:color w:val="auto"/>
        </w:rPr>
      </w:pPr>
    </w:p>
    <w:p>
      <w:pPr>
        <w:ind w:right="420" w:firstLine="436"/>
        <w:spacing w:after="0" w:line="277" w:lineRule="auto"/>
        <w:tabs>
          <w:tab w:leader="none" w:pos="65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To RevMed’s Knowledge, no Third Parties are misappropriating the RevMed Background Know-How and there are no activities by Third Parties that are infringing the RevMed Background Patents;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20"/>
          </w:cols>
          <w:pgMar w:left="440" w:top="270" w:right="439" w:bottom="1440" w:gutter="0" w:footer="0" w:header="0"/>
        </w:sectPr>
      </w:pPr>
    </w:p>
    <w:bookmarkStart w:id="357" w:name="page358"/>
    <w:bookmarkEnd w:id="357"/>
    <w:p>
      <w:pPr>
        <w:ind w:right="140" w:firstLine="436"/>
        <w:spacing w:after="0" w:line="342" w:lineRule="auto"/>
        <w:tabs>
          <w:tab w:leader="none" w:pos="655" w:val="left"/>
        </w:tabs>
        <w:numPr>
          <w:ilvl w:val="0"/>
          <w:numId w:val="2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are no judgments or settlements against or owed by RevMed, and to RevMed’s Knowledge, there are no pending claims or litigation or written threats of possible claims or litigation, in each case relating to the SHP2 Inhibitors or otherwise to RevMed Background Technology;</w:t>
      </w:r>
    </w:p>
    <w:p>
      <w:pPr>
        <w:spacing w:after="0" w:line="123" w:lineRule="exact"/>
        <w:rPr>
          <w:rFonts w:ascii="Arial" w:cs="Arial" w:eastAsia="Arial" w:hAnsi="Arial"/>
          <w:sz w:val="16"/>
          <w:szCs w:val="16"/>
          <w:color w:val="auto"/>
        </w:rPr>
      </w:pPr>
    </w:p>
    <w:p>
      <w:pPr>
        <w:ind w:right="20" w:firstLine="436"/>
        <w:spacing w:after="0" w:line="259" w:lineRule="auto"/>
        <w:tabs>
          <w:tab w:leader="none" w:pos="695"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issued RevMed Background Patents are valid, enforceable and subsisting, and the pending applications included in the RevMed Background Patents are being prosecuted in accordance with Applicable Law in all material respects, and RevMed has presented all relevant references, documents and information of which it and the inventors are aware to the relevant patent examiners and patent offices that are required to be so submitted under Applicable Law;</w:t>
      </w:r>
    </w:p>
    <w:p>
      <w:pPr>
        <w:spacing w:after="0" w:line="186" w:lineRule="exact"/>
        <w:rPr>
          <w:rFonts w:ascii="Arial" w:cs="Arial" w:eastAsia="Arial" w:hAnsi="Arial"/>
          <w:sz w:val="18"/>
          <w:szCs w:val="18"/>
          <w:color w:val="auto"/>
        </w:rPr>
      </w:pPr>
    </w:p>
    <w:p>
      <w:pPr>
        <w:ind w:firstLine="436"/>
        <w:spacing w:after="0" w:line="277" w:lineRule="auto"/>
        <w:tabs>
          <w:tab w:leader="none" w:pos="655"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RevMed Background Patents have been filed and maintained properly and correctly and all applicable fees have been paid on or before the due date for payment in all material respects;</w:t>
      </w:r>
    </w:p>
    <w:p>
      <w:pPr>
        <w:spacing w:after="0" w:line="170" w:lineRule="exact"/>
        <w:rPr>
          <w:rFonts w:ascii="Arial" w:cs="Arial" w:eastAsia="Arial" w:hAnsi="Arial"/>
          <w:sz w:val="18"/>
          <w:szCs w:val="18"/>
          <w:color w:val="auto"/>
        </w:rPr>
      </w:pPr>
    </w:p>
    <w:p>
      <w:pPr>
        <w:ind w:right="20" w:firstLine="436"/>
        <w:spacing w:after="0" w:line="277" w:lineRule="auto"/>
        <w:tabs>
          <w:tab w:leader="none" w:pos="745" w:val="left"/>
        </w:tabs>
        <w:numPr>
          <w:ilvl w:val="0"/>
          <w:numId w:val="230"/>
        </w:numPr>
        <w:rPr>
          <w:rFonts w:ascii="Arial" w:cs="Arial" w:eastAsia="Arial" w:hAnsi="Arial"/>
          <w:sz w:val="18"/>
          <w:szCs w:val="18"/>
          <w:color w:val="auto"/>
        </w:rPr>
      </w:pPr>
      <w:r>
        <w:rPr>
          <w:rFonts w:ascii="Arial" w:cs="Arial" w:eastAsia="Arial" w:hAnsi="Arial"/>
          <w:sz w:val="18"/>
          <w:szCs w:val="18"/>
          <w:color w:val="auto"/>
        </w:rPr>
        <w:t>RevMed has not received any written notice alleging that the RevMed Background Patents, existing as of the Execution Date, are or would be invalid or unenforceable or that the applications included in such RevMed Background Patents will not proceed to grant;</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There (i) are no actual, pending or, to RevMed’s Knowledge, alleged or threatened, adverse actions, suits, claims, interferences,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re-examinations, oppositions, inventorship challenges or formal governmental investigations involving the RevMed Background Technology that are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before any Governmental Authority, and (ii) are no actual, pending or, to RevMed’s Knowledge, alleged or threatened, adverse actions, suits, claims,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interferences, re-examinations, oppositions, inventorship challenges or formal governmental investigations involving the RevMed Licensed Technology;</w:t>
      </w:r>
    </w:p>
    <w:p>
      <w:pPr>
        <w:spacing w:after="0" w:line="234" w:lineRule="exact"/>
        <w:rPr>
          <w:sz w:val="20"/>
          <w:szCs w:val="20"/>
          <w:color w:val="auto"/>
        </w:rPr>
      </w:pPr>
    </w:p>
    <w:p>
      <w:pPr>
        <w:ind w:right="140" w:firstLine="436"/>
        <w:spacing w:after="0" w:line="291" w:lineRule="auto"/>
        <w:tabs>
          <w:tab w:leader="none" w:pos="695"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The inventions claimed or covered by the RevMed Licensed Technology (i) were not conceived, discovered, developed or otherwise made in connection with any research activities funded, in whole or in part, by the federal government of the United States or any agency thereof, (ii) are not a “subject invention” as that term is described in 35 U.S.C. § 201(e), (iii) are not otherwise subject to the provisions of the Patent and Trademark Law Amendments Act of 1980, as amended, codified at 35 U.S.C. §§ 200-212, as amended, as well as any regulations promulgated pursuant thereto, including in 37 C.F.R. part 401, and (iv) are not the subject of any licenses, options or other rights of any other Governmental Authority, within or outside the United States, due to such Governmental Authority’s funding of research and development or otherwise (other than the right to receive payments or any law of general application that applies to personal property generally, e.g., takings laws);</w:t>
      </w:r>
    </w:p>
    <w:p>
      <w:pPr>
        <w:spacing w:after="0" w:line="166" w:lineRule="exact"/>
        <w:rPr>
          <w:rFonts w:ascii="Arial" w:cs="Arial" w:eastAsia="Arial" w:hAnsi="Arial"/>
          <w:sz w:val="16"/>
          <w:szCs w:val="16"/>
          <w:color w:val="auto"/>
        </w:rPr>
      </w:pPr>
    </w:p>
    <w:p>
      <w:pPr>
        <w:ind w:left="700" w:hanging="264"/>
        <w:spacing w:after="0"/>
        <w:tabs>
          <w:tab w:leader="none" w:pos="7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None of the RevMed Background Patents are licensed to RevMed from a Third Party;</w:t>
      </w:r>
    </w:p>
    <w:p>
      <w:pPr>
        <w:spacing w:after="0" w:line="225" w:lineRule="exact"/>
        <w:rPr>
          <w:rFonts w:ascii="Arial" w:cs="Arial" w:eastAsia="Arial" w:hAnsi="Arial"/>
          <w:sz w:val="18"/>
          <w:szCs w:val="18"/>
          <w:color w:val="auto"/>
        </w:rPr>
      </w:pPr>
    </w:p>
    <w:p>
      <w:pPr>
        <w:ind w:right="380" w:firstLine="436"/>
        <w:spacing w:after="0" w:line="342" w:lineRule="auto"/>
        <w:tabs>
          <w:tab w:leader="none" w:pos="695"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There are no exclusivity provisions or any other restrictions in any agreement between RevMed or its Affiliates, on the one hand, and any Third Party, on the other hand, of any SHP2 Inhibitor or Product, that would limit Sanofi’s ability to exercise its rights under this Agreement;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80"/>
          </w:cols>
          <w:pgMar w:left="440" w:top="274" w:right="479" w:bottom="1440" w:gutter="0" w:footer="0" w:header="0"/>
        </w:sectPr>
      </w:pPr>
    </w:p>
    <w:bookmarkStart w:id="358" w:name="page359"/>
    <w:bookmarkEnd w:id="358"/>
    <w:p>
      <w:pPr>
        <w:ind w:left="-60" w:right="60" w:firstLine="436"/>
        <w:spacing w:after="0" w:line="279" w:lineRule="auto"/>
        <w:tabs>
          <w:tab w:leader="none" w:pos="605" w:val="left"/>
        </w:tabs>
        <w:numPr>
          <w:ilvl w:val="0"/>
          <w:numId w:val="23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current and former officers, employees, and consultants of RevMed who are inventors of or have otherwise contributed in a material manner to the creation or development of any RevMed Background Technology have executed and delivered to RevMed an assignment or other agreement regarding the protection of proprietary information and the assignment to RevMed of inventions or work product created or generated in the course of employment by or providing services for RevMed, the current forms of which has been made available for review by Sanofi;</w:t>
      </w:r>
    </w:p>
    <w:p>
      <w:pPr>
        <w:spacing w:after="0" w:line="171" w:lineRule="exact"/>
        <w:rPr>
          <w:rFonts w:ascii="Arial" w:cs="Arial" w:eastAsia="Arial" w:hAnsi="Arial"/>
          <w:sz w:val="17"/>
          <w:szCs w:val="17"/>
          <w:color w:val="auto"/>
        </w:rPr>
      </w:pPr>
    </w:p>
    <w:p>
      <w:pPr>
        <w:jc w:val="both"/>
        <w:ind w:left="-60" w:right="60" w:firstLine="436"/>
        <w:spacing w:after="0" w:line="259" w:lineRule="auto"/>
        <w:tabs>
          <w:tab w:leader="none" w:pos="61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portions of RevMed Background Know-How that are proprietary to RevMed and unpublished as of the Execution Date and material to Research, Development, Manufacture or Commercialization of SHP2 Inhibitors or Products in the Field have been kept confidential by RevMed and have only been disclosed to Third Parties under obligations of confidentiality, and to the Knowledge of RevMed, no such Third Party has breached any such confidentiality obligation to RevMed;</w:t>
      </w:r>
    </w:p>
    <w:p>
      <w:pPr>
        <w:spacing w:after="0" w:line="186" w:lineRule="exact"/>
        <w:rPr>
          <w:rFonts w:ascii="Arial" w:cs="Arial" w:eastAsia="Arial" w:hAnsi="Arial"/>
          <w:sz w:val="18"/>
          <w:szCs w:val="18"/>
          <w:color w:val="auto"/>
        </w:rPr>
      </w:pPr>
    </w:p>
    <w:p>
      <w:pPr>
        <w:ind w:left="-60" w:right="140" w:firstLine="436"/>
        <w:spacing w:after="0" w:line="259" w:lineRule="auto"/>
        <w:tabs>
          <w:tab w:leader="none" w:pos="59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RevMed has included in the electronic dataroom for this Agreement all information in its possession that is material to the Research, Development, Manufacture or Commercialization of the Development Candidate as of the Execution Date, and such information does not contain any untrue statement(s) of fact, or omit to state any fact(s), in either case that are collectively material to the Research, Development, Manufacture or Commercialization of the Development Candidate; and</w:t>
      </w:r>
    </w:p>
    <w:p>
      <w:pPr>
        <w:spacing w:after="0" w:line="186" w:lineRule="exact"/>
        <w:rPr>
          <w:rFonts w:ascii="Arial" w:cs="Arial" w:eastAsia="Arial" w:hAnsi="Arial"/>
          <w:sz w:val="18"/>
          <w:szCs w:val="18"/>
          <w:color w:val="auto"/>
        </w:rPr>
      </w:pPr>
    </w:p>
    <w:p>
      <w:pPr>
        <w:ind w:left="-60" w:right="180" w:firstLine="436"/>
        <w:spacing w:after="0" w:line="277" w:lineRule="auto"/>
        <w:tabs>
          <w:tab w:leader="none" w:pos="63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To RevMed’s Knowledge, RevMed and its contractors and consultants have conducted all research and development of the SHP2 Inhibitors and Products in material compliance with all Applicable Laws.</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13.3 Covenants by RevMed</w:t>
      </w:r>
      <w:r>
        <w:rPr>
          <w:rFonts w:ascii="Arial" w:cs="Arial" w:eastAsia="Arial" w:hAnsi="Arial"/>
          <w:sz w:val="18"/>
          <w:szCs w:val="18"/>
          <w:color w:val="auto"/>
        </w:rPr>
        <w:t>. RevMed covenants to Sanofi that:</w:t>
      </w:r>
    </w:p>
    <w:p>
      <w:pPr>
        <w:spacing w:after="0" w:line="121" w:lineRule="exact"/>
        <w:rPr>
          <w:sz w:val="20"/>
          <w:szCs w:val="20"/>
          <w:color w:val="auto"/>
        </w:rPr>
      </w:pPr>
    </w:p>
    <w:p>
      <w:pPr>
        <w:ind w:left="-60" w:firstLine="436"/>
        <w:spacing w:after="0" w:line="263" w:lineRule="auto"/>
        <w:tabs>
          <w:tab w:leader="none" w:pos="625" w:val="left"/>
        </w:tabs>
        <w:numPr>
          <w:ilvl w:val="0"/>
          <w:numId w:val="233"/>
        </w:numPr>
        <w:rPr>
          <w:rFonts w:ascii="Arial" w:cs="Arial" w:eastAsia="Arial" w:hAnsi="Arial"/>
          <w:sz w:val="18"/>
          <w:szCs w:val="18"/>
          <w:color w:val="auto"/>
        </w:rPr>
      </w:pPr>
      <w:r>
        <w:rPr>
          <w:rFonts w:ascii="Arial" w:cs="Arial" w:eastAsia="Arial" w:hAnsi="Arial"/>
          <w:sz w:val="18"/>
          <w:szCs w:val="18"/>
          <w:color w:val="auto"/>
        </w:rPr>
        <w:t>RevMed will not, and will cause its Affiliates not to, grant a lien on the RevMed Licensed Technology to any Third Party or knowingly permit a lien to be imposed on the RevMed Licensed Technology other than those disclosed to Sanofi by RevMed and that do not conflict with the rights granted Sanofi hereunder.</w:t>
      </w:r>
    </w:p>
    <w:p>
      <w:pPr>
        <w:spacing w:after="0" w:line="183" w:lineRule="exact"/>
        <w:rPr>
          <w:rFonts w:ascii="Arial" w:cs="Arial" w:eastAsia="Arial" w:hAnsi="Arial"/>
          <w:sz w:val="18"/>
          <w:szCs w:val="18"/>
          <w:color w:val="auto"/>
        </w:rPr>
      </w:pPr>
    </w:p>
    <w:p>
      <w:pPr>
        <w:ind w:left="-60" w:right="400" w:firstLine="436"/>
        <w:spacing w:after="0" w:line="263" w:lineRule="auto"/>
        <w:tabs>
          <w:tab w:leader="none" w:pos="635" w:val="left"/>
        </w:tabs>
        <w:numPr>
          <w:ilvl w:val="0"/>
          <w:numId w:val="233"/>
        </w:numPr>
        <w:rPr>
          <w:rFonts w:ascii="Arial" w:cs="Arial" w:eastAsia="Arial" w:hAnsi="Arial"/>
          <w:sz w:val="18"/>
          <w:szCs w:val="18"/>
          <w:color w:val="auto"/>
        </w:rPr>
      </w:pPr>
      <w:r>
        <w:rPr>
          <w:rFonts w:ascii="Arial" w:cs="Arial" w:eastAsia="Arial" w:hAnsi="Arial"/>
          <w:sz w:val="18"/>
          <w:szCs w:val="18"/>
          <w:color w:val="auto"/>
        </w:rPr>
        <w:t>RevMed will not, and will cause its Affiliates and (sub)contractors not to, use any government or not-for-profit organization funding that would encumber the RevMed Licensed Technology without the prior written consent of Sanofi, which consent may be withheld in Sanofi’s sole discretion. For clarity, this Section 13.3(b) does not apply to Permitted Contractors and Researchers.</w:t>
      </w:r>
    </w:p>
    <w:p>
      <w:pPr>
        <w:spacing w:after="0" w:line="183" w:lineRule="exact"/>
        <w:rPr>
          <w:rFonts w:ascii="Arial" w:cs="Arial" w:eastAsia="Arial" w:hAnsi="Arial"/>
          <w:sz w:val="18"/>
          <w:szCs w:val="18"/>
          <w:color w:val="auto"/>
        </w:rPr>
      </w:pPr>
    </w:p>
    <w:p>
      <w:pPr>
        <w:ind w:left="-60" w:right="40" w:firstLine="436"/>
        <w:spacing w:after="0" w:line="259" w:lineRule="auto"/>
        <w:tabs>
          <w:tab w:leader="none" w:pos="625"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At any time upon written request from Sanofi, if the Parties mutually agree that an agreement between RevMed and a Permitted Contractor or Researcher should be amended to optimize language regarding assignment of inventions or intellectual property to ensure conformance with the principles relating thereto set forth in this Agreement, RevMed will use Commercially Reasonable Efforts to cause such Permitted Contractors or Researchers to sign written agreements substantially in the form agreed upon by the Parties.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880"/>
          </w:cols>
          <w:pgMar w:left="500" w:top="274" w:right="519" w:bottom="1440" w:gutter="0" w:footer="0" w:header="0"/>
        </w:sectPr>
      </w:pPr>
    </w:p>
    <w:bookmarkStart w:id="359" w:name="page360"/>
    <w:bookmarkEnd w:id="359"/>
    <w:p>
      <w:pPr>
        <w:ind w:right="40" w:firstLine="436"/>
        <w:spacing w:after="0" w:line="272" w:lineRule="auto"/>
        <w:tabs>
          <w:tab w:leader="none" w:pos="695" w:val="left"/>
        </w:tabs>
        <w:numPr>
          <w:ilvl w:val="0"/>
          <w:numId w:val="23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respect to the sponsored research agreements of RevMed in effect as of the Effective Date, if after the Effective Date, there is a material amendment or modification to any such sponsored research agreement or work plan thereunder, and if Sanofi in good faith desires to assume and perform the subject research in-house and if Sanofi reasonably possesses the relevant expertise, capacity and applicable materials necessary for such research at such time (the “</w:t>
      </w:r>
      <w:r>
        <w:rPr>
          <w:rFonts w:ascii="Arial" w:cs="Arial" w:eastAsia="Arial" w:hAnsi="Arial"/>
          <w:sz w:val="17"/>
          <w:szCs w:val="17"/>
          <w:b w:val="1"/>
          <w:bCs w:val="1"/>
          <w:color w:val="auto"/>
        </w:rPr>
        <w:t>Capabilities</w:t>
      </w:r>
      <w:r>
        <w:rPr>
          <w:rFonts w:ascii="Arial" w:cs="Arial" w:eastAsia="Arial" w:hAnsi="Arial"/>
          <w:sz w:val="17"/>
          <w:szCs w:val="17"/>
          <w:color w:val="auto"/>
        </w:rPr>
        <w:t>”), then Sanofi shall notify RevMed and if RevMed does not give notice to terminate such sponsored research agreement to the applicable Third Party under such agreement within [***] after Sanofi reasonably demonstrates that it has the Capabilities for such research activities, then RevMed shall obtain a license to the intellectual property rights in any inventions arising out of such sponsored research such that they are “Controlled” by RevMed for purposes of this Agreement and RevMed shall [***].</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13.4 Mutual Covenants</w:t>
      </w:r>
      <w:r>
        <w:rPr>
          <w:rFonts w:ascii="Arial" w:cs="Arial" w:eastAsia="Arial" w:hAnsi="Arial"/>
          <w:sz w:val="18"/>
          <w:szCs w:val="18"/>
          <w:color w:val="auto"/>
        </w:rPr>
        <w:t>.</w:t>
      </w:r>
    </w:p>
    <w:p>
      <w:pPr>
        <w:spacing w:after="0" w:line="225" w:lineRule="exact"/>
        <w:rPr>
          <w:sz w:val="20"/>
          <w:szCs w:val="20"/>
          <w:color w:val="auto"/>
        </w:rPr>
      </w:pPr>
    </w:p>
    <w:p>
      <w:pPr>
        <w:ind w:right="60" w:firstLine="436"/>
        <w:spacing w:after="0" w:line="258" w:lineRule="auto"/>
        <w:tabs>
          <w:tab w:leader="none" w:pos="685" w:val="left"/>
        </w:tabs>
        <w:numPr>
          <w:ilvl w:val="0"/>
          <w:numId w:val="235"/>
        </w:numPr>
        <w:rPr>
          <w:rFonts w:ascii="Arial" w:cs="Arial" w:eastAsia="Arial" w:hAnsi="Arial"/>
          <w:sz w:val="18"/>
          <w:szCs w:val="18"/>
          <w:color w:val="auto"/>
        </w:rPr>
      </w:pPr>
      <w:r>
        <w:rPr>
          <w:rFonts w:ascii="Arial" w:cs="Arial" w:eastAsia="Arial" w:hAnsi="Arial"/>
          <w:sz w:val="18"/>
          <w:szCs w:val="18"/>
          <w:b w:val="1"/>
          <w:bCs w:val="1"/>
          <w:color w:val="auto"/>
        </w:rPr>
        <w:t>No Debarment</w:t>
      </w:r>
      <w:r>
        <w:rPr>
          <w:rFonts w:ascii="Arial" w:cs="Arial" w:eastAsia="Arial" w:hAnsi="Arial"/>
          <w:sz w:val="18"/>
          <w:szCs w:val="18"/>
          <w:color w:val="auto"/>
        </w:rPr>
        <w:t>. In the course of the Research, Development, Manufacture and Commercialization of the Products, neither Party nor its</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shall use any employee or consultant who has been debarred by any Regulatory Authority or, to such Party’s or its Affiliates’ Knowledge, is the subject of debarment proceedings by a Regulatory Authority. Each Party shall notify the other Party promptly upon becoming aware (in the case of Sanofi, by its compliance department) that any of its or its Affiliates’ employees or consultants has been debarred or is the subject of debarment proceedings by any Regulatory Authority.</w:t>
      </w:r>
    </w:p>
    <w:p>
      <w:pPr>
        <w:spacing w:after="0" w:line="183" w:lineRule="exact"/>
        <w:rPr>
          <w:rFonts w:ascii="Arial" w:cs="Arial" w:eastAsia="Arial" w:hAnsi="Arial"/>
          <w:sz w:val="18"/>
          <w:szCs w:val="18"/>
          <w:color w:val="auto"/>
        </w:rPr>
      </w:pPr>
    </w:p>
    <w:p>
      <w:pPr>
        <w:ind w:firstLine="436"/>
        <w:spacing w:after="0" w:line="266" w:lineRule="auto"/>
        <w:tabs>
          <w:tab w:leader="none" w:pos="695" w:val="left"/>
        </w:tabs>
        <w:numPr>
          <w:ilvl w:val="0"/>
          <w:numId w:val="235"/>
        </w:numPr>
        <w:rPr>
          <w:rFonts w:ascii="Arial" w:cs="Arial" w:eastAsia="Arial" w:hAnsi="Arial"/>
          <w:sz w:val="18"/>
          <w:szCs w:val="18"/>
          <w:color w:val="auto"/>
        </w:rPr>
      </w:pPr>
      <w:r>
        <w:rPr>
          <w:rFonts w:ascii="Arial" w:cs="Arial" w:eastAsia="Arial" w:hAnsi="Arial"/>
          <w:sz w:val="18"/>
          <w:szCs w:val="18"/>
          <w:b w:val="1"/>
          <w:bCs w:val="1"/>
          <w:color w:val="auto"/>
        </w:rPr>
        <w:t>Compliance</w:t>
      </w:r>
      <w:r>
        <w:rPr>
          <w:rFonts w:ascii="Arial" w:cs="Arial" w:eastAsia="Arial" w:hAnsi="Arial"/>
          <w:sz w:val="18"/>
          <w:szCs w:val="18"/>
          <w:color w:val="auto"/>
        </w:rPr>
        <w:t>. Each Party and its Affiliates shall comply in all material respects with all Applicable Law (including all anti-bribery laws and</w:t>
      </w:r>
      <w:r>
        <w:rPr>
          <w:rFonts w:ascii="Arial" w:cs="Arial" w:eastAsia="Arial" w:hAnsi="Arial"/>
          <w:sz w:val="18"/>
          <w:szCs w:val="18"/>
          <w:b w:val="1"/>
          <w:bCs w:val="1"/>
          <w:color w:val="auto"/>
        </w:rPr>
        <w:t xml:space="preserve"> </w:t>
      </w:r>
      <w:r>
        <w:rPr>
          <w:rFonts w:ascii="Arial" w:cs="Arial" w:eastAsia="Arial" w:hAnsi="Arial"/>
          <w:sz w:val="18"/>
          <w:szCs w:val="18"/>
          <w:color w:val="auto"/>
        </w:rPr>
        <w:t>laws applicable to the manufacture of human pharmaceuticals) in the Research, Development, Manufacture and Commercialization of the Products and performance of its obligations under this Agreement and the Ancillary Agreements.</w:t>
      </w:r>
    </w:p>
    <w:p>
      <w:pPr>
        <w:spacing w:after="0" w:line="175" w:lineRule="exact"/>
        <w:rPr>
          <w:rFonts w:ascii="Arial" w:cs="Arial" w:eastAsia="Arial" w:hAnsi="Arial"/>
          <w:sz w:val="18"/>
          <w:szCs w:val="18"/>
          <w:color w:val="auto"/>
        </w:rPr>
      </w:pPr>
    </w:p>
    <w:p>
      <w:pPr>
        <w:ind w:right="80" w:firstLine="436"/>
        <w:spacing w:after="0" w:line="289" w:lineRule="auto"/>
        <w:tabs>
          <w:tab w:leader="none" w:pos="685" w:val="left"/>
        </w:tabs>
        <w:numPr>
          <w:ilvl w:val="0"/>
          <w:numId w:val="235"/>
        </w:numPr>
        <w:rPr>
          <w:rFonts w:ascii="Arial" w:cs="Arial" w:eastAsia="Arial" w:hAnsi="Arial"/>
          <w:sz w:val="16"/>
          <w:szCs w:val="16"/>
          <w:color w:val="auto"/>
        </w:rPr>
      </w:pPr>
      <w:r>
        <w:rPr>
          <w:rFonts w:ascii="Arial" w:cs="Arial" w:eastAsia="Arial" w:hAnsi="Arial"/>
          <w:sz w:val="16"/>
          <w:szCs w:val="16"/>
          <w:b w:val="1"/>
          <w:bCs w:val="1"/>
          <w:color w:val="auto"/>
        </w:rPr>
        <w:t xml:space="preserve">Information. </w:t>
      </w:r>
      <w:r>
        <w:rPr>
          <w:rFonts w:ascii="Arial" w:cs="Arial" w:eastAsia="Arial" w:hAnsi="Arial"/>
          <w:sz w:val="16"/>
          <w:szCs w:val="16"/>
          <w:color w:val="auto"/>
        </w:rPr>
        <w:t>In addition to the requirements of Section 6.5, each Party will provide the other Party with all information in its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reasonably necessary or desirable for such other Party to comply with its pharmacovigilance responsibilities in all countries in the Territory, including, as applicable, any adverse drug experiences (including those events or experiences that are required to be reported to the FDA under 21 C.F.R. §§</w:t>
      </w:r>
    </w:p>
    <w:p>
      <w:pPr>
        <w:spacing w:after="0" w:line="1" w:lineRule="exact"/>
        <w:rPr>
          <w:rFonts w:ascii="Arial" w:cs="Arial" w:eastAsia="Arial" w:hAnsi="Arial"/>
          <w:sz w:val="16"/>
          <w:szCs w:val="16"/>
          <w:color w:val="auto"/>
        </w:rPr>
      </w:pPr>
    </w:p>
    <w:p>
      <w:pPr>
        <w:ind w:right="100"/>
        <w:spacing w:after="0" w:line="323" w:lineRule="auto"/>
        <w:rPr>
          <w:rFonts w:ascii="Arial" w:cs="Arial" w:eastAsia="Arial" w:hAnsi="Arial"/>
          <w:sz w:val="16"/>
          <w:szCs w:val="16"/>
          <w:color w:val="auto"/>
        </w:rPr>
      </w:pPr>
      <w:r>
        <w:rPr>
          <w:rFonts w:ascii="Arial" w:cs="Arial" w:eastAsia="Arial" w:hAnsi="Arial"/>
          <w:sz w:val="16"/>
          <w:szCs w:val="16"/>
          <w:color w:val="auto"/>
        </w:rPr>
        <w:t>312.32 or 314.80 or to foreign Regulatory Authorities under corresponding Applicable Law outside the United States of America) from pre-clinical or clinical laboratory, animal toxicology, pharmacology studies and clinical studies, in each case in the form reasonably requested by such other Party.</w:t>
      </w:r>
    </w:p>
    <w:p>
      <w:pPr>
        <w:spacing w:after="0" w:line="134" w:lineRule="exact"/>
        <w:rPr>
          <w:sz w:val="20"/>
          <w:szCs w:val="20"/>
          <w:color w:val="auto"/>
        </w:rPr>
      </w:pPr>
    </w:p>
    <w:p>
      <w:pPr>
        <w:jc w:val="both"/>
        <w:ind w:right="200" w:firstLine="440"/>
        <w:spacing w:after="0" w:line="281" w:lineRule="auto"/>
        <w:rPr>
          <w:sz w:val="20"/>
          <w:szCs w:val="20"/>
          <w:color w:val="auto"/>
        </w:rPr>
      </w:pPr>
      <w:r>
        <w:rPr>
          <w:rFonts w:ascii="Arial" w:cs="Arial" w:eastAsia="Arial" w:hAnsi="Arial"/>
          <w:sz w:val="17"/>
          <w:szCs w:val="17"/>
          <w:b w:val="1"/>
          <w:bCs w:val="1"/>
          <w:color w:val="auto"/>
        </w:rPr>
        <w:t>13.5 No Other Warranties</w:t>
      </w:r>
      <w:r>
        <w:rPr>
          <w:rFonts w:ascii="Arial" w:cs="Arial" w:eastAsia="Arial" w:hAnsi="Arial"/>
          <w:sz w:val="17"/>
          <w:szCs w:val="17"/>
          <w:color w:val="auto"/>
        </w:rPr>
        <w:t>. EXCEPT AS EXPRESSLY STATED IN THIS ARTICLE XIII, (A) NO REPRESENTATION, CONDITION OR</w:t>
      </w:r>
      <w:r>
        <w:rPr>
          <w:rFonts w:ascii="Arial" w:cs="Arial" w:eastAsia="Arial" w:hAnsi="Arial"/>
          <w:sz w:val="17"/>
          <w:szCs w:val="17"/>
          <w:b w:val="1"/>
          <w:bCs w:val="1"/>
          <w:color w:val="auto"/>
        </w:rPr>
        <w:t xml:space="preserve"> </w:t>
      </w:r>
      <w:r>
        <w:rPr>
          <w:rFonts w:ascii="Arial" w:cs="Arial" w:eastAsia="Arial" w:hAnsi="Arial"/>
          <w:sz w:val="17"/>
          <w:szCs w:val="17"/>
          <w:color w:val="auto"/>
        </w:rPr>
        <w:t>WARRANTY WHATSOEVER IS MADE OR GIVEN BY OR ON BEHALF OF SANOFI OR REVMED; AND (B) ALL OTHER CONDITIONS AND WARRANTIES WHETHER WRITTEN OR ORAL OR EXPRESS OR IMPLIED ARE HEREBY EXPRESSLY EXCLUDED, INCLUDING ANY CONDITIONS AND WARRANTIES OF MERCHANTABILITY, FITNESS FOR A PARTICULAR PURPOSE OR NON-INFRINGEMENT.</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900"/>
          </w:cols>
          <w:pgMar w:left="440" w:top="274" w:right="559" w:bottom="1440" w:gutter="0" w:footer="0" w:header="0"/>
        </w:sectPr>
      </w:pPr>
    </w:p>
    <w:bookmarkStart w:id="360" w:name="page361"/>
    <w:bookmarkEnd w:id="360"/>
    <w:p>
      <w:pPr>
        <w:ind w:right="240"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13.6 Closing Conditions. </w:t>
      </w:r>
      <w:r>
        <w:rPr>
          <w:rFonts w:ascii="Arial" w:cs="Arial" w:eastAsia="Arial" w:hAnsi="Arial"/>
          <w:sz w:val="18"/>
          <w:szCs w:val="18"/>
          <w:color w:val="auto"/>
        </w:rPr>
        <w:t>The obligations of each Party to consummate the transactions contemplated by this Agreement and the Ancillary</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(the “</w:t>
      </w:r>
      <w:r>
        <w:rPr>
          <w:rFonts w:ascii="Arial" w:cs="Arial" w:eastAsia="Arial" w:hAnsi="Arial"/>
          <w:sz w:val="18"/>
          <w:szCs w:val="18"/>
          <w:b w:val="1"/>
          <w:bCs w:val="1"/>
          <w:color w:val="auto"/>
        </w:rPr>
        <w:t>Contemplated Transactions</w:t>
      </w:r>
      <w:r>
        <w:rPr>
          <w:rFonts w:ascii="Arial" w:cs="Arial" w:eastAsia="Arial" w:hAnsi="Arial"/>
          <w:sz w:val="18"/>
          <w:szCs w:val="18"/>
          <w:color w:val="auto"/>
        </w:rPr>
        <w:t>”) is subject to the fulfillment, or, to the extent permitted by Applicable Law, waiver by such Party, of each of the following conditions (collectively, the “</w:t>
      </w:r>
      <w:r>
        <w:rPr>
          <w:rFonts w:ascii="Arial" w:cs="Arial" w:eastAsia="Arial" w:hAnsi="Arial"/>
          <w:sz w:val="18"/>
          <w:szCs w:val="18"/>
          <w:b w:val="1"/>
          <w:bCs w:val="1"/>
          <w:color w:val="auto"/>
        </w:rPr>
        <w:t>Closing Conditions</w:t>
      </w:r>
      <w:r>
        <w:rPr>
          <w:rFonts w:ascii="Arial" w:cs="Arial" w:eastAsia="Arial" w:hAnsi="Arial"/>
          <w:sz w:val="18"/>
          <w:szCs w:val="18"/>
          <w:color w:val="auto"/>
        </w:rPr>
        <w:t>”):</w:t>
      </w:r>
    </w:p>
    <w:p>
      <w:pPr>
        <w:spacing w:after="0" w:line="72" w:lineRule="exact"/>
        <w:rPr>
          <w:sz w:val="20"/>
          <w:szCs w:val="20"/>
          <w:color w:val="auto"/>
        </w:rPr>
      </w:pPr>
    </w:p>
    <w:p>
      <w:pPr>
        <w:ind w:right="40" w:firstLine="436"/>
        <w:spacing w:after="0" w:line="255" w:lineRule="auto"/>
        <w:tabs>
          <w:tab w:leader="none" w:pos="685"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representations and warranties of the other Party contained in this Agreement (i) that are not qualified by materiality, material adverse effect, substantial compliance or similar materiality qualifier will be true and correct in all material respects both when made and at the closing with the same force and effect as if made on the Effective Date and (ii) that are qualified by materiality, material adverse effect, substantial compliance or similar materiality qualifier will be true and correct in all respects both when made and at the closing with the same force and effect as if made on the Effective Date, except, in each of (i) and (ii) as would not reasonably be expected, individually or in the aggregate, to have a material impact on the transaction contemplated by this Agreement.</w:t>
      </w:r>
    </w:p>
    <w:p>
      <w:pPr>
        <w:spacing w:after="0" w:line="192" w:lineRule="exact"/>
        <w:rPr>
          <w:rFonts w:ascii="Arial" w:cs="Arial" w:eastAsia="Arial" w:hAnsi="Arial"/>
          <w:sz w:val="18"/>
          <w:szCs w:val="18"/>
          <w:color w:val="auto"/>
        </w:rPr>
      </w:pPr>
    </w:p>
    <w:p>
      <w:pPr>
        <w:jc w:val="both"/>
        <w:ind w:right="660" w:firstLine="436"/>
        <w:spacing w:after="0" w:line="259" w:lineRule="auto"/>
        <w:tabs>
          <w:tab w:leader="none" w:pos="695"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All actions by (including any authorization, consent or approval) in respect of (including notice to), or filings with, any Governmental Authority or other Person that are required to be obtained pursuant to Section 3.8 to consummate the Contemplated Transactions (including any HSR/Antitrust Filing) will have been obtained or made, in a manner reasonably satisfactory in form and substance to such Party, and no such authorization, consent or approval will have been revoked.</w:t>
      </w:r>
    </w:p>
    <w:p>
      <w:pPr>
        <w:spacing w:after="0" w:line="186" w:lineRule="exact"/>
        <w:rPr>
          <w:rFonts w:ascii="Arial" w:cs="Arial" w:eastAsia="Arial" w:hAnsi="Arial"/>
          <w:sz w:val="18"/>
          <w:szCs w:val="18"/>
          <w:color w:val="auto"/>
        </w:rPr>
      </w:pPr>
    </w:p>
    <w:p>
      <w:pPr>
        <w:ind w:left="680" w:hanging="244"/>
        <w:spacing w:after="0"/>
        <w:tabs>
          <w:tab w:leader="none" w:pos="6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No Material Adverse Event shall have occurred or arisen since the Execution Date.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XIV.</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 LIABILITY; INSURANCE</w:t>
      </w:r>
    </w:p>
    <w:p>
      <w:pPr>
        <w:spacing w:after="0" w:line="225" w:lineRule="exact"/>
        <w:rPr>
          <w:sz w:val="20"/>
          <w:szCs w:val="20"/>
          <w:color w:val="auto"/>
        </w:rPr>
      </w:pPr>
    </w:p>
    <w:p>
      <w:pPr>
        <w:ind w:right="120" w:firstLine="440"/>
        <w:spacing w:after="0" w:line="266" w:lineRule="auto"/>
        <w:rPr>
          <w:sz w:val="20"/>
          <w:szCs w:val="20"/>
          <w:color w:val="auto"/>
        </w:rPr>
      </w:pPr>
      <w:r>
        <w:rPr>
          <w:rFonts w:ascii="Arial" w:cs="Arial" w:eastAsia="Arial" w:hAnsi="Arial"/>
          <w:sz w:val="18"/>
          <w:szCs w:val="18"/>
          <w:b w:val="1"/>
          <w:bCs w:val="1"/>
          <w:color w:val="auto"/>
        </w:rPr>
        <w:t>14.1 Indemnification by RevMed</w:t>
      </w:r>
      <w:r>
        <w:rPr>
          <w:rFonts w:ascii="Arial" w:cs="Arial" w:eastAsia="Arial" w:hAnsi="Arial"/>
          <w:sz w:val="18"/>
          <w:szCs w:val="18"/>
          <w:color w:val="auto"/>
        </w:rPr>
        <w:t>. RevMed shall indemnify, defend and hold harmless Sanofi, its Affiliates and their respective officers,</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agents and employees (“</w:t>
      </w:r>
      <w:r>
        <w:rPr>
          <w:rFonts w:ascii="Arial" w:cs="Arial" w:eastAsia="Arial" w:hAnsi="Arial"/>
          <w:sz w:val="18"/>
          <w:szCs w:val="18"/>
          <w:b w:val="1"/>
          <w:bCs w:val="1"/>
          <w:color w:val="auto"/>
        </w:rPr>
        <w:t>Sanofi Indemnitees</w:t>
      </w:r>
      <w:r>
        <w:rPr>
          <w:rFonts w:ascii="Arial" w:cs="Arial" w:eastAsia="Arial" w:hAnsi="Arial"/>
          <w:sz w:val="18"/>
          <w:szCs w:val="18"/>
          <w:color w:val="auto"/>
        </w:rPr>
        <w:t>”) from and against any Third Party Claims and Losses arising therefrom under or related to this Agreement against any of them to the extent arising or resulting from:</w:t>
      </w:r>
    </w:p>
    <w:p>
      <w:pPr>
        <w:spacing w:after="0" w:line="72" w:lineRule="exact"/>
        <w:rPr>
          <w:sz w:val="20"/>
          <w:szCs w:val="20"/>
          <w:color w:val="auto"/>
        </w:rPr>
      </w:pPr>
    </w:p>
    <w:p>
      <w:pPr>
        <w:ind w:left="680" w:hanging="244"/>
        <w:spacing w:after="0"/>
        <w:tabs>
          <w:tab w:leader="none" w:pos="6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negligence, recklessness or willful misconduct of any of the RevMed Indemnitees; or</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the material breach of any of the warranties or representations made by RevMed to Sanofi under this Agreement or any Ancillary Agreement;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 the material breach by RevMed of any of its obligations pursuant to this Agreement or any Ancillary Agreement;</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except in each case ((a) through (c)), to the extent the applicable Third Party Claim and Losses arising therefrom arise or result from (i) the negligence, recklessness or willful misconduct of any Sanofi Indemnitee; (ii) the breach of any of the warranties or representations made by Sanofi to RevMed under this Agreement or any Ancillary Agreement; or (iii) any breach by Sanofi of its obligations pursuant to this Agreement or any Ancillary Agreement.</w:t>
      </w:r>
    </w:p>
    <w:p>
      <w:pPr>
        <w:spacing w:after="0" w:line="183"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b w:val="1"/>
          <w:bCs w:val="1"/>
          <w:color w:val="auto"/>
        </w:rPr>
        <w:t>14.2 Indemnification by Sanofi</w:t>
      </w:r>
      <w:r>
        <w:rPr>
          <w:rFonts w:ascii="Arial" w:cs="Arial" w:eastAsia="Arial" w:hAnsi="Arial"/>
          <w:sz w:val="18"/>
          <w:szCs w:val="18"/>
          <w:color w:val="auto"/>
        </w:rPr>
        <w:t>. Sanofi shall indemnify, defend and hold harmless RevMed, its Affiliates, and their respective officers,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agents and employees (“</w:t>
      </w:r>
      <w:r>
        <w:rPr>
          <w:rFonts w:ascii="Arial" w:cs="Arial" w:eastAsia="Arial" w:hAnsi="Arial"/>
          <w:sz w:val="18"/>
          <w:szCs w:val="18"/>
          <w:b w:val="1"/>
          <w:bCs w:val="1"/>
          <w:color w:val="auto"/>
        </w:rPr>
        <w:t>RevMed Indemnitees</w:t>
      </w:r>
      <w:r>
        <w:rPr>
          <w:rFonts w:ascii="Arial" w:cs="Arial" w:eastAsia="Arial" w:hAnsi="Arial"/>
          <w:sz w:val="18"/>
          <w:szCs w:val="18"/>
          <w:color w:val="auto"/>
        </w:rPr>
        <w:t>”) from and against any Third Party Claims and Losses arising therefrom under or related to this Agreement against any of them to the extent arising or resulting from:</w:t>
      </w:r>
    </w:p>
    <w:p>
      <w:pPr>
        <w:spacing w:after="0" w:line="72" w:lineRule="exact"/>
        <w:rPr>
          <w:sz w:val="20"/>
          <w:szCs w:val="20"/>
          <w:color w:val="auto"/>
        </w:rPr>
      </w:pPr>
    </w:p>
    <w:p>
      <w:pPr>
        <w:ind w:right="240" w:firstLine="436"/>
        <w:spacing w:after="0" w:line="277" w:lineRule="auto"/>
        <w:tabs>
          <w:tab w:leader="none" w:pos="68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 the Research, Development or Manufacture of any Products by or on behalf of Sanofi or any of its Affiliates, Sublicensees or contractors (other than by RevMed or its Affiliates), or (ii) the Commercialization of Products by or on behalf of Sanofi;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00"/>
          </w:cols>
          <w:pgMar w:left="440" w:top="270" w:right="459" w:bottom="1440" w:gutter="0" w:footer="0" w:header="0"/>
        </w:sectPr>
      </w:pPr>
    </w:p>
    <w:bookmarkStart w:id="361" w:name="page362"/>
    <w:bookmarkEnd w:id="361"/>
    <w:p>
      <w:pPr>
        <w:ind w:left="700" w:hanging="264"/>
        <w:spacing w:after="0"/>
        <w:tabs>
          <w:tab w:leader="none" w:pos="7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negligence, recklessness or willful misconduct of any of the Sanofi Indemnitees; or</w:t>
      </w:r>
    </w:p>
    <w:p>
      <w:pPr>
        <w:spacing w:after="0" w:line="225" w:lineRule="exact"/>
        <w:rPr>
          <w:rFonts w:ascii="Arial" w:cs="Arial" w:eastAsia="Arial" w:hAnsi="Arial"/>
          <w:sz w:val="18"/>
          <w:szCs w:val="18"/>
          <w:color w:val="auto"/>
        </w:rPr>
      </w:pPr>
    </w:p>
    <w:p>
      <w:pPr>
        <w:ind w:left="680" w:hanging="244"/>
        <w:spacing w:after="0"/>
        <w:tabs>
          <w:tab w:leader="none" w:pos="68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the material breach of any of the warranties or representations made by Sanofi to RevMed under this Agreement or any Ancillary Agreement;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 the material breach by Sanofi of any of its obligations pursuant to this Agreement or any Ancillary Agreement;</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except in each case ((a) through (d)), to the extent the applicable Third Party Claim and Losses arising therefrom arise or result from (i) the negligence, recklessness or willful misconduct of any RevMed Indemnitee; (ii) the breach of any of the warranties or representations made by RevMed to Sanofi under this Agreement or any Ancillary Agreement; or (iii) any breach by RevMed of its obligations pursuant to this Agreement or any Ancillary Agreement.</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14.3 Indemnification Procedure</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71" w:lineRule="auto"/>
        <w:tabs>
          <w:tab w:leader="none" w:pos="685" w:val="left"/>
        </w:tabs>
        <w:numPr>
          <w:ilvl w:val="0"/>
          <w:numId w:val="240"/>
        </w:numPr>
        <w:rPr>
          <w:rFonts w:ascii="Arial" w:cs="Arial" w:eastAsia="Arial" w:hAnsi="Arial"/>
          <w:sz w:val="17"/>
          <w:szCs w:val="17"/>
          <w:color w:val="auto"/>
        </w:rPr>
      </w:pPr>
      <w:r>
        <w:rPr>
          <w:rFonts w:ascii="Arial" w:cs="Arial" w:eastAsia="Arial" w:hAnsi="Arial"/>
          <w:sz w:val="17"/>
          <w:szCs w:val="17"/>
          <w:b w:val="1"/>
          <w:bCs w:val="1"/>
          <w:color w:val="auto"/>
        </w:rPr>
        <w:t>Notice of Claim</w:t>
      </w:r>
      <w:r>
        <w:rPr>
          <w:rFonts w:ascii="Arial" w:cs="Arial" w:eastAsia="Arial" w:hAnsi="Arial"/>
          <w:sz w:val="17"/>
          <w:szCs w:val="17"/>
          <w:color w:val="auto"/>
        </w:rPr>
        <w:t>. All indemnification claims in respect of any Sanofi Indemnitee or RevMed Indemnitee seeking indemnity under Section 14.1</w:t>
      </w:r>
      <w:r>
        <w:rPr>
          <w:rFonts w:ascii="Arial" w:cs="Arial" w:eastAsia="Arial" w:hAnsi="Arial"/>
          <w:sz w:val="17"/>
          <w:szCs w:val="17"/>
          <w:b w:val="1"/>
          <w:bCs w:val="1"/>
          <w:color w:val="auto"/>
        </w:rPr>
        <w:t xml:space="preserve"> </w:t>
      </w:r>
      <w:r>
        <w:rPr>
          <w:rFonts w:ascii="Arial" w:cs="Arial" w:eastAsia="Arial" w:hAnsi="Arial"/>
          <w:sz w:val="17"/>
          <w:szCs w:val="17"/>
          <w:color w:val="auto"/>
        </w:rPr>
        <w:t>or Section 14.2 (collectively, the “</w:t>
      </w:r>
      <w:r>
        <w:rPr>
          <w:rFonts w:ascii="Arial" w:cs="Arial" w:eastAsia="Arial" w:hAnsi="Arial"/>
          <w:sz w:val="17"/>
          <w:szCs w:val="17"/>
          <w:b w:val="1"/>
          <w:bCs w:val="1"/>
          <w:color w:val="auto"/>
        </w:rPr>
        <w:t>Indemnitees</w:t>
      </w:r>
      <w:r>
        <w:rPr>
          <w:rFonts w:ascii="Arial" w:cs="Arial" w:eastAsia="Arial" w:hAnsi="Arial"/>
          <w:sz w:val="17"/>
          <w:szCs w:val="17"/>
          <w:color w:val="auto"/>
        </w:rPr>
        <w:t>” and each an “</w:t>
      </w:r>
      <w:r>
        <w:rPr>
          <w:rFonts w:ascii="Arial" w:cs="Arial" w:eastAsia="Arial" w:hAnsi="Arial"/>
          <w:sz w:val="17"/>
          <w:szCs w:val="17"/>
          <w:b w:val="1"/>
          <w:bCs w:val="1"/>
          <w:color w:val="auto"/>
        </w:rPr>
        <w:t>Indemnitee</w:t>
      </w:r>
      <w:r>
        <w:rPr>
          <w:rFonts w:ascii="Arial" w:cs="Arial" w:eastAsia="Arial" w:hAnsi="Arial"/>
          <w:sz w:val="17"/>
          <w:szCs w:val="17"/>
          <w:color w:val="auto"/>
        </w:rPr>
        <w:t>”) will be made solely by the corresponding Party (the “</w:t>
      </w:r>
      <w:r>
        <w:rPr>
          <w:rFonts w:ascii="Arial" w:cs="Arial" w:eastAsia="Arial" w:hAnsi="Arial"/>
          <w:sz w:val="17"/>
          <w:szCs w:val="17"/>
          <w:b w:val="1"/>
          <w:bCs w:val="1"/>
          <w:color w:val="auto"/>
        </w:rPr>
        <w:t>Indemnified Party</w:t>
      </w:r>
      <w:r>
        <w:rPr>
          <w:rFonts w:ascii="Arial" w:cs="Arial" w:eastAsia="Arial" w:hAnsi="Arial"/>
          <w:sz w:val="17"/>
          <w:szCs w:val="17"/>
          <w:color w:val="auto"/>
        </w:rPr>
        <w:t>”). The Indemnified Party will give the indemnifying Party (the “</w:t>
      </w:r>
      <w:r>
        <w:rPr>
          <w:rFonts w:ascii="Arial" w:cs="Arial" w:eastAsia="Arial" w:hAnsi="Arial"/>
          <w:sz w:val="17"/>
          <w:szCs w:val="17"/>
          <w:b w:val="1"/>
          <w:bCs w:val="1"/>
          <w:color w:val="auto"/>
        </w:rPr>
        <w:t>Indemnifying Party</w:t>
      </w:r>
      <w:r>
        <w:rPr>
          <w:rFonts w:ascii="Arial" w:cs="Arial" w:eastAsia="Arial" w:hAnsi="Arial"/>
          <w:sz w:val="17"/>
          <w:szCs w:val="17"/>
          <w:color w:val="auto"/>
        </w:rPr>
        <w:t>”) prompt written notice (an “</w:t>
      </w:r>
      <w:r>
        <w:rPr>
          <w:rFonts w:ascii="Arial" w:cs="Arial" w:eastAsia="Arial" w:hAnsi="Arial"/>
          <w:sz w:val="17"/>
          <w:szCs w:val="17"/>
          <w:b w:val="1"/>
          <w:bCs w:val="1"/>
          <w:color w:val="auto"/>
        </w:rPr>
        <w:t>Indemnification Claim Notice</w:t>
      </w:r>
      <w:r>
        <w:rPr>
          <w:rFonts w:ascii="Arial" w:cs="Arial" w:eastAsia="Arial" w:hAnsi="Arial"/>
          <w:sz w:val="17"/>
          <w:szCs w:val="17"/>
          <w:color w:val="auto"/>
        </w:rPr>
        <w:t>”) of any Losses or discovery of fact upon which such Indemnified Party intends to base a request for indemnification under Section 14.1 or Section 14.2, but failure to provide prompt notice will not relieve the Indemnifying Party from its obligation to indemnify the Indemnitee hereunder except to the extent any Losses result from such delay in providing such notice. Each Indemnification Claim Notice must contain a description of the claim and the nature and amount of such Loss (to the extent that the nature and amount of such Loss are known at such time). Together with the Indemnification Claim Notice, the Indemnified Party will furnish promptly to the Indemnifying Party copies of all notices and documents (including court papers) received by any Indemnitee in connection with the Third Party Claim.</w:t>
      </w:r>
    </w:p>
    <w:p>
      <w:pPr>
        <w:spacing w:after="0" w:line="173" w:lineRule="exact"/>
        <w:rPr>
          <w:rFonts w:ascii="Arial" w:cs="Arial" w:eastAsia="Arial" w:hAnsi="Arial"/>
          <w:sz w:val="17"/>
          <w:szCs w:val="17"/>
          <w:color w:val="auto"/>
        </w:rPr>
      </w:pPr>
    </w:p>
    <w:p>
      <w:pPr>
        <w:ind w:right="40" w:firstLine="436"/>
        <w:spacing w:after="0" w:line="274" w:lineRule="auto"/>
        <w:tabs>
          <w:tab w:leader="none" w:pos="695" w:val="left"/>
        </w:tabs>
        <w:numPr>
          <w:ilvl w:val="0"/>
          <w:numId w:val="240"/>
        </w:numPr>
        <w:rPr>
          <w:rFonts w:ascii="Arial" w:cs="Arial" w:eastAsia="Arial" w:hAnsi="Arial"/>
          <w:sz w:val="17"/>
          <w:szCs w:val="17"/>
          <w:color w:val="auto"/>
        </w:rPr>
      </w:pPr>
      <w:r>
        <w:rPr>
          <w:rFonts w:ascii="Arial" w:cs="Arial" w:eastAsia="Arial" w:hAnsi="Arial"/>
          <w:sz w:val="17"/>
          <w:szCs w:val="17"/>
          <w:b w:val="1"/>
          <w:bCs w:val="1"/>
          <w:color w:val="auto"/>
        </w:rPr>
        <w:t>Control of Defense</w:t>
      </w:r>
      <w:r>
        <w:rPr>
          <w:rFonts w:ascii="Arial" w:cs="Arial" w:eastAsia="Arial" w:hAnsi="Arial"/>
          <w:sz w:val="17"/>
          <w:szCs w:val="17"/>
          <w:color w:val="auto"/>
        </w:rPr>
        <w:t>. At its option, the Indemnifying Party may assume the defense of any Third Party Claim subject to indemnification as</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for in Section 14.1 or Section 14.2 by giving written notice to the Indemnified Party within [***] after the Indemnifying Party’s receipt of an Indemnification Claim Notice. Upon assuming the defense of a Third Party Claim, the Indemnifying Party may select and appoint the lead legal counsel for the defense of the Third Party Claim. Should the Indemnifying Party assume the defense of a Third Party Claim, the Indemnifying Party will not be liable to the Indemnified Party or any other Indemnitee for any legal expenses subsequently incurred by such Indemnified Party or other Indemnitee in connection with the analysis, defense or settlement of the Third Party Claim.</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00"/>
          </w:cols>
          <w:pgMar w:left="440" w:top="274" w:right="459" w:bottom="1440" w:gutter="0" w:footer="0" w:header="0"/>
        </w:sectPr>
      </w:pPr>
    </w:p>
    <w:bookmarkStart w:id="362" w:name="page363"/>
    <w:bookmarkEnd w:id="362"/>
    <w:p>
      <w:pPr>
        <w:ind w:left="-40" w:right="140" w:firstLine="436"/>
        <w:spacing w:after="0" w:line="258" w:lineRule="auto"/>
        <w:tabs>
          <w:tab w:leader="none" w:pos="645" w:val="left"/>
        </w:tabs>
        <w:numPr>
          <w:ilvl w:val="0"/>
          <w:numId w:val="24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Right to Participate in Defense</w:t>
      </w:r>
      <w:r>
        <w:rPr>
          <w:rFonts w:ascii="Arial" w:cs="Arial" w:eastAsia="Arial" w:hAnsi="Arial"/>
          <w:sz w:val="18"/>
          <w:szCs w:val="18"/>
          <w:color w:val="auto"/>
        </w:rPr>
        <w:t>. Without limiting Section 14.3(b), any Indemnitee will be entitled to participate in, but not control, the</w:t>
      </w:r>
      <w:r>
        <w:rPr>
          <w:rFonts w:ascii="Arial" w:cs="Arial" w:eastAsia="Arial" w:hAnsi="Arial"/>
          <w:sz w:val="18"/>
          <w:szCs w:val="18"/>
          <w:b w:val="1"/>
          <w:bCs w:val="1"/>
          <w:color w:val="auto"/>
        </w:rPr>
        <w:t xml:space="preserve"> </w:t>
      </w:r>
      <w:r>
        <w:rPr>
          <w:rFonts w:ascii="Arial" w:cs="Arial" w:eastAsia="Arial" w:hAnsi="Arial"/>
          <w:sz w:val="18"/>
          <w:szCs w:val="18"/>
          <w:color w:val="auto"/>
        </w:rPr>
        <w:t>defense of such Third Party Claim and to employ counsel of its choice for such purpose; provided, however, that such employment will be at the Indemnitee’s own expense unless (a) the employment thereof has been specifically authorized by the Indemnifying Party in writing, or (b) the Indemnifying Party has failed to assume the defense and employ counsel in accordance with Section 14.3(b) (in which case the Indemnified Party will control the defense).</w:t>
      </w:r>
    </w:p>
    <w:p>
      <w:pPr>
        <w:spacing w:after="0" w:line="183" w:lineRule="exact"/>
        <w:rPr>
          <w:rFonts w:ascii="Arial" w:cs="Arial" w:eastAsia="Arial" w:hAnsi="Arial"/>
          <w:sz w:val="18"/>
          <w:szCs w:val="18"/>
          <w:color w:val="auto"/>
        </w:rPr>
      </w:pPr>
    </w:p>
    <w:p>
      <w:pPr>
        <w:ind w:left="-40" w:firstLine="436"/>
        <w:spacing w:after="0" w:line="287" w:lineRule="auto"/>
        <w:tabs>
          <w:tab w:leader="none" w:pos="655" w:val="left"/>
        </w:tabs>
        <w:numPr>
          <w:ilvl w:val="0"/>
          <w:numId w:val="241"/>
        </w:numPr>
        <w:rPr>
          <w:rFonts w:ascii="Arial" w:cs="Arial" w:eastAsia="Arial" w:hAnsi="Arial"/>
          <w:sz w:val="16"/>
          <w:szCs w:val="16"/>
          <w:color w:val="auto"/>
        </w:rPr>
      </w:pPr>
      <w:r>
        <w:rPr>
          <w:rFonts w:ascii="Arial" w:cs="Arial" w:eastAsia="Arial" w:hAnsi="Arial"/>
          <w:sz w:val="16"/>
          <w:szCs w:val="16"/>
          <w:b w:val="1"/>
          <w:bCs w:val="1"/>
          <w:color w:val="auto"/>
        </w:rPr>
        <w:t>Settlement</w:t>
      </w:r>
      <w:r>
        <w:rPr>
          <w:rFonts w:ascii="Arial" w:cs="Arial" w:eastAsia="Arial" w:hAnsi="Arial"/>
          <w:sz w:val="16"/>
          <w:szCs w:val="16"/>
          <w:color w:val="auto"/>
        </w:rPr>
        <w:t>. With respect to any Losses relating solely to the payment of money damages in connection with a Third Party Claim and that will</w:t>
      </w:r>
      <w:r>
        <w:rPr>
          <w:rFonts w:ascii="Arial" w:cs="Arial" w:eastAsia="Arial" w:hAnsi="Arial"/>
          <w:sz w:val="16"/>
          <w:szCs w:val="16"/>
          <w:b w:val="1"/>
          <w:bCs w:val="1"/>
          <w:color w:val="auto"/>
        </w:rPr>
        <w:t xml:space="preserve"> </w:t>
      </w:r>
      <w:r>
        <w:rPr>
          <w:rFonts w:ascii="Arial" w:cs="Arial" w:eastAsia="Arial" w:hAnsi="Arial"/>
          <w:sz w:val="16"/>
          <w:szCs w:val="16"/>
          <w:color w:val="auto"/>
        </w:rPr>
        <w:t>not result in the Indemnitee’s becoming subject to injunctive or other relief or otherwise adversely affect the business of the Indemnitee in any manner, and as to which the Indemnifying Party has acknowledged in writing the obligation to indemnify the Indemnitee hereunder, the Indemnifying Party will have the sole right to consent to the entry of any judgment, enter into any settlement or otherwise dispose of such Loss, on such terms as the Indemnifying Party, in its sole discretion, will deem appropriate. The Indemnifying Party will pay all amounts on behalf of the Indemnified Party at or prior to the time of the entry of judgment. With respect to all other Losses in connection with Third Party Claims, where the Indemnifying Party has assumed the defense of the Third Party Claim in accordance with Section 14.3(b), the Indemnifying Party will have authority to consent to the entry of any judgment, enter into any settlement or otherwise dispose of such Loss provided it obtains the prior written consent of the Indemnified Party (which consent will be at the Indemnified Party’s sole and absolute discretion). The Indemnifying Party that has assumed the defense of the Third Party Claim in accordance with Section 14.3(b) will not be liable for any settlement or other disposition of a Loss by an Indemnitee that is reached without the written consent of such Indemnifying Party. Regardless of whether the Indemnifying Party chooses to defend any Third Party Claim, no Indemnitee will admit any liability with respect to, or settle, compromise or discharge, any Third Party Claim without first offering to the Indemnifying Party the opportunity to assume the defense of the Third Party Claim in accordance with Section 14.3(b).</w:t>
      </w:r>
    </w:p>
    <w:p>
      <w:pPr>
        <w:spacing w:after="0" w:line="163" w:lineRule="exact"/>
        <w:rPr>
          <w:rFonts w:ascii="Arial" w:cs="Arial" w:eastAsia="Arial" w:hAnsi="Arial"/>
          <w:sz w:val="16"/>
          <w:szCs w:val="16"/>
          <w:color w:val="auto"/>
        </w:rPr>
      </w:pPr>
    </w:p>
    <w:p>
      <w:pPr>
        <w:ind w:left="-40" w:firstLine="436"/>
        <w:spacing w:after="0" w:line="292" w:lineRule="auto"/>
        <w:tabs>
          <w:tab w:leader="none" w:pos="645" w:val="left"/>
        </w:tabs>
        <w:numPr>
          <w:ilvl w:val="0"/>
          <w:numId w:val="241"/>
        </w:numPr>
        <w:rPr>
          <w:rFonts w:ascii="Arial" w:cs="Arial" w:eastAsia="Arial" w:hAnsi="Arial"/>
          <w:sz w:val="16"/>
          <w:szCs w:val="16"/>
          <w:color w:val="auto"/>
        </w:rPr>
      </w:pPr>
      <w:r>
        <w:rPr>
          <w:rFonts w:ascii="Arial" w:cs="Arial" w:eastAsia="Arial" w:hAnsi="Arial"/>
          <w:sz w:val="16"/>
          <w:szCs w:val="16"/>
          <w:b w:val="1"/>
          <w:bCs w:val="1"/>
          <w:color w:val="auto"/>
        </w:rPr>
        <w:t>Cooperation</w:t>
      </w:r>
      <w:r>
        <w:rPr>
          <w:rFonts w:ascii="Arial" w:cs="Arial" w:eastAsia="Arial" w:hAnsi="Arial"/>
          <w:sz w:val="16"/>
          <w:szCs w:val="16"/>
          <w:color w:val="auto"/>
        </w:rPr>
        <w:t>. If the Indemnifying Party chooses to defend any Third Party Claim, the Indemnified Party will, and will cause each other</w:t>
      </w:r>
      <w:r>
        <w:rPr>
          <w:rFonts w:ascii="Arial" w:cs="Arial" w:eastAsia="Arial" w:hAnsi="Arial"/>
          <w:sz w:val="16"/>
          <w:szCs w:val="16"/>
          <w:b w:val="1"/>
          <w:bCs w:val="1"/>
          <w:color w:val="auto"/>
        </w:rPr>
        <w:t xml:space="preserve"> </w:t>
      </w:r>
      <w:r>
        <w:rPr>
          <w:rFonts w:ascii="Arial" w:cs="Arial" w:eastAsia="Arial" w:hAnsi="Arial"/>
          <w:sz w:val="16"/>
          <w:szCs w:val="16"/>
          <w:color w:val="auto"/>
        </w:rPr>
        <w:t>Indemnitee to, cooperate in the defense thereof and will furnish such records, information and testimony, provide such witnesses and attend such conferences, discovery proceedings, hearings, trials and appeals as may be reasonably requested in connection with the defense of such Third Party Claim. Such cooperation will include access during normal business hours afforded to the Indemnifying Party to, and reasonable retention by the Indemnified Party of, records and information that are reasonably relevant to such Third Party Claim, and making Indemnitees and other employees and agents available on a mutually convenient basis to provide additional information and explanation of any material provided hereunder. The Indemnifying Party will reimburse the Indemnified Party for all its reasonable out-of-pocket costs in connection with such cooperation.</w:t>
      </w:r>
    </w:p>
    <w:p>
      <w:pPr>
        <w:spacing w:after="0" w:line="161" w:lineRule="exact"/>
        <w:rPr>
          <w:rFonts w:ascii="Arial" w:cs="Arial" w:eastAsia="Arial" w:hAnsi="Arial"/>
          <w:sz w:val="16"/>
          <w:szCs w:val="16"/>
          <w:color w:val="auto"/>
        </w:rPr>
      </w:pPr>
    </w:p>
    <w:p>
      <w:pPr>
        <w:jc w:val="both"/>
        <w:ind w:left="-40" w:right="100" w:firstLine="436"/>
        <w:spacing w:after="0" w:line="261" w:lineRule="auto"/>
        <w:tabs>
          <w:tab w:leader="none" w:pos="625" w:val="left"/>
        </w:tabs>
        <w:numPr>
          <w:ilvl w:val="0"/>
          <w:numId w:val="241"/>
        </w:numPr>
        <w:rPr>
          <w:rFonts w:ascii="Arial" w:cs="Arial" w:eastAsia="Arial" w:hAnsi="Arial"/>
          <w:sz w:val="18"/>
          <w:szCs w:val="18"/>
          <w:color w:val="auto"/>
        </w:rPr>
      </w:pPr>
      <w:r>
        <w:rPr>
          <w:rFonts w:ascii="Arial" w:cs="Arial" w:eastAsia="Arial" w:hAnsi="Arial"/>
          <w:sz w:val="18"/>
          <w:szCs w:val="18"/>
          <w:b w:val="1"/>
          <w:bCs w:val="1"/>
          <w:color w:val="auto"/>
        </w:rPr>
        <w:t>Expenses</w:t>
      </w:r>
      <w:r>
        <w:rPr>
          <w:rFonts w:ascii="Arial" w:cs="Arial" w:eastAsia="Arial" w:hAnsi="Arial"/>
          <w:sz w:val="18"/>
          <w:szCs w:val="18"/>
          <w:color w:val="auto"/>
        </w:rPr>
        <w:t>. Except as provided above, the reasonable and verifiable costs and expenses, including fees and disbursements of counsel, incurred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Indemnified Party in connection with any claim will be reimbursed on a [***] by the Indemnifying Party, without prejudice to the Indemnifying Party’s right to contest the Indemnified Party’s right to indemnification and subject to refund in the event the Indemnifying Party is ultimately held not to be obligated to indemnify the Indemnified Party.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920"/>
          </w:cols>
          <w:pgMar w:left="480" w:top="270" w:right="499" w:bottom="1440" w:gutter="0" w:footer="0" w:header="0"/>
        </w:sectPr>
      </w:pPr>
    </w:p>
    <w:bookmarkStart w:id="363" w:name="page364"/>
    <w:bookmarkEnd w:id="363"/>
    <w:p>
      <w:pPr>
        <w:ind w:left="4" w:right="80" w:firstLine="44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14.4 Mitigation of Loss</w:t>
      </w:r>
      <w:r>
        <w:rPr>
          <w:rFonts w:ascii="Arial" w:cs="Arial" w:eastAsia="Arial" w:hAnsi="Arial"/>
          <w:sz w:val="18"/>
          <w:szCs w:val="18"/>
          <w:color w:val="auto"/>
        </w:rPr>
        <w:t>. Each Indemnified Party shall take and shall procure that its Affiliates take all such reasonable steps and action as are</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necessary or as the Indemnifying Party may reasonably require in order to mitigate any Third Party Claims (or potential losses or damages) under this Article XIV. Nothing in this Agreement shall or shall be deemed to relieve any Party of any common law or other duty to mitigate any losses incurred by it.</w:t>
      </w:r>
    </w:p>
    <w:p>
      <w:pPr>
        <w:spacing w:after="0" w:line="180" w:lineRule="exact"/>
        <w:rPr>
          <w:sz w:val="20"/>
          <w:szCs w:val="20"/>
          <w:color w:val="auto"/>
        </w:rPr>
      </w:pPr>
    </w:p>
    <w:p>
      <w:pPr>
        <w:ind w:left="4" w:right="180" w:firstLine="440"/>
        <w:spacing w:after="0" w:line="274" w:lineRule="auto"/>
        <w:rPr>
          <w:sz w:val="20"/>
          <w:szCs w:val="20"/>
          <w:color w:val="auto"/>
        </w:rPr>
      </w:pPr>
      <w:r>
        <w:rPr>
          <w:rFonts w:ascii="Arial" w:cs="Arial" w:eastAsia="Arial" w:hAnsi="Arial"/>
          <w:sz w:val="17"/>
          <w:szCs w:val="17"/>
          <w:b w:val="1"/>
          <w:bCs w:val="1"/>
          <w:color w:val="auto"/>
        </w:rPr>
        <w:t>14.5 Limitation of Liability</w:t>
      </w:r>
      <w:r>
        <w:rPr>
          <w:rFonts w:ascii="Arial" w:cs="Arial" w:eastAsia="Arial" w:hAnsi="Arial"/>
          <w:sz w:val="17"/>
          <w:szCs w:val="17"/>
          <w:color w:val="auto"/>
        </w:rPr>
        <w:t>. NEITHER PARTY SHALL BE LIABLE TO THE OTHER FOR ANY SPECIAL, CONSEQUENTIAL,</w:t>
      </w:r>
      <w:r>
        <w:rPr>
          <w:rFonts w:ascii="Arial" w:cs="Arial" w:eastAsia="Arial" w:hAnsi="Arial"/>
          <w:sz w:val="17"/>
          <w:szCs w:val="17"/>
          <w:b w:val="1"/>
          <w:bCs w:val="1"/>
          <w:color w:val="auto"/>
        </w:rPr>
        <w:t xml:space="preserve"> </w:t>
      </w:r>
      <w:r>
        <w:rPr>
          <w:rFonts w:ascii="Arial" w:cs="Arial" w:eastAsia="Arial" w:hAnsi="Arial"/>
          <w:sz w:val="17"/>
          <w:szCs w:val="17"/>
          <w:color w:val="auto"/>
        </w:rPr>
        <w:t>INCIDENTAL, PUNITIVE, OR INDIRECT DAMAGES OR LOST PROFITS ARISING FROM OR RELATING TO ANY BREACH OF THIS AGREEMENT, REGARDLESS OF ANY NOTICE OF THE POSSIBILITY OF SUCH DAMAGES. NOTWITHSTANDING THE FOREGOING, NOTHING IN THIS SECTION 14.5 IS INTENDED TO OR SHALL LIMIT OR RESTRICT THE INDEMNIFICATION RIGHTS OR OBLIGATIONS OF ANY PARTY UNDER SECTION 14.1 OR SECTION 14.2, OR DAMAGES AVAILABLE FOR A PARTY’S BREACH OF ITS OBLIGATIONS RELATING TO CONFIDENTIALITY UNDER ARTICLE XI OR INTELLECTUAL PROPERTY UNDER ARTICLE X.</w:t>
      </w:r>
    </w:p>
    <w:p>
      <w:pPr>
        <w:spacing w:after="0" w:line="173" w:lineRule="exact"/>
        <w:rPr>
          <w:sz w:val="20"/>
          <w:szCs w:val="20"/>
          <w:color w:val="auto"/>
        </w:rPr>
      </w:pPr>
    </w:p>
    <w:p>
      <w:pPr>
        <w:ind w:left="4" w:right="20" w:firstLine="440"/>
        <w:spacing w:after="0" w:line="294" w:lineRule="auto"/>
        <w:rPr>
          <w:sz w:val="20"/>
          <w:szCs w:val="20"/>
          <w:color w:val="auto"/>
        </w:rPr>
      </w:pPr>
      <w:r>
        <w:rPr>
          <w:rFonts w:ascii="Arial" w:cs="Arial" w:eastAsia="Arial" w:hAnsi="Arial"/>
          <w:sz w:val="16"/>
          <w:szCs w:val="16"/>
          <w:b w:val="1"/>
          <w:bCs w:val="1"/>
          <w:color w:val="auto"/>
        </w:rPr>
        <w:t>14.6 Insurance</w:t>
      </w:r>
      <w:r>
        <w:rPr>
          <w:rFonts w:ascii="Arial" w:cs="Arial" w:eastAsia="Arial" w:hAnsi="Arial"/>
          <w:sz w:val="16"/>
          <w:szCs w:val="16"/>
          <w:color w:val="auto"/>
        </w:rPr>
        <w:t>. Each Party shall procure and maintain insurance, including product liability insurance, with respect to its activities hereunder and</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Ancillary Agreements and which is consistent with normal business practices of companies similarly situated at all times during which any SHP2 Inhibitors or Product is being clinically tested in human subjects or commercially distributed or sold. Sanofi may fulfill such obligation through self-insurance. Each Party shall provide the other Party with evidence of such insurance upon request and, in the case of RevMed, shall provide Sanofi with written notice at least [***] prior to the cancellation, non-renewal or material changes in such insurance. It is understood that such insurance shall not be construed to create a limit of either Party’s liability with respect to its indemnification obligations under this Article XIV.</w:t>
      </w:r>
    </w:p>
    <w:p>
      <w:pPr>
        <w:spacing w:after="0" w:line="38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Article XV.</w:t>
      </w:r>
    </w:p>
    <w:p>
      <w:pPr>
        <w:spacing w:after="0" w:line="113"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GENERAL PROVISIONS</w:t>
      </w:r>
    </w:p>
    <w:p>
      <w:pPr>
        <w:spacing w:after="0" w:line="225" w:lineRule="exact"/>
        <w:rPr>
          <w:sz w:val="20"/>
          <w:szCs w:val="20"/>
          <w:color w:val="auto"/>
        </w:rPr>
      </w:pPr>
    </w:p>
    <w:p>
      <w:pPr>
        <w:ind w:left="4" w:right="140" w:firstLine="440"/>
        <w:spacing w:after="0" w:line="284" w:lineRule="auto"/>
        <w:rPr>
          <w:sz w:val="20"/>
          <w:szCs w:val="20"/>
          <w:color w:val="auto"/>
        </w:rPr>
      </w:pPr>
      <w:r>
        <w:rPr>
          <w:rFonts w:ascii="Arial" w:cs="Arial" w:eastAsia="Arial" w:hAnsi="Arial"/>
          <w:sz w:val="16"/>
          <w:szCs w:val="16"/>
          <w:b w:val="1"/>
          <w:bCs w:val="1"/>
          <w:color w:val="auto"/>
        </w:rPr>
        <w:t>15.1 Force Majeure</w:t>
      </w:r>
      <w:r>
        <w:rPr>
          <w:rFonts w:ascii="Arial" w:cs="Arial" w:eastAsia="Arial" w:hAnsi="Arial"/>
          <w:sz w:val="16"/>
          <w:szCs w:val="16"/>
          <w:color w:val="auto"/>
        </w:rPr>
        <w:t>. Neither Party shall be held liable to the other Party nor be deemed to have defaulted under or breached this Agreement for</w:t>
      </w:r>
      <w:r>
        <w:rPr>
          <w:rFonts w:ascii="Arial" w:cs="Arial" w:eastAsia="Arial" w:hAnsi="Arial"/>
          <w:sz w:val="16"/>
          <w:szCs w:val="16"/>
          <w:b w:val="1"/>
          <w:bCs w:val="1"/>
          <w:color w:val="auto"/>
        </w:rPr>
        <w:t xml:space="preserve"> </w:t>
      </w:r>
      <w:r>
        <w:rPr>
          <w:rFonts w:ascii="Arial" w:cs="Arial" w:eastAsia="Arial" w:hAnsi="Arial"/>
          <w:sz w:val="16"/>
          <w:szCs w:val="16"/>
          <w:color w:val="auto"/>
        </w:rPr>
        <w:t>failure or delay in performing any obligation under this Agreement to the extent such failure or delay is caused by or results from causes beyond the reasonable control of the affected Party, including embargoes, war, acts of war (whether war be declared or not), acts of terrorism, insurrections, riots, civil commotions, strikes, lockouts or other labor disturbances (whether involving the workforce of the nonperforming Party or of any other Person), fire, floods, earthquakes or other acts of God, or acts, generally applicable action or inaction by any governmental authority (but excluding any government action or inaction that is specific to such Party, its Affiliates or Sublicensees, such as revocation or non-renewal of such Party’s license to conduct business), or omissions or delays in acting by the other Party, or unavailability of materials related to the Manufacture of the Products (each cause, an event of “</w:t>
      </w:r>
      <w:r>
        <w:rPr>
          <w:rFonts w:ascii="Arial" w:cs="Arial" w:eastAsia="Arial" w:hAnsi="Arial"/>
          <w:sz w:val="16"/>
          <w:szCs w:val="16"/>
          <w:b w:val="1"/>
          <w:bCs w:val="1"/>
          <w:color w:val="auto"/>
        </w:rPr>
        <w:t>Force Majeure</w:t>
      </w:r>
      <w:r>
        <w:rPr>
          <w:rFonts w:ascii="Arial" w:cs="Arial" w:eastAsia="Arial" w:hAnsi="Arial"/>
          <w:sz w:val="16"/>
          <w:szCs w:val="16"/>
          <w:color w:val="auto"/>
        </w:rPr>
        <w:t>”). The affected Party shall give notice to the other Party in writing as soon as reasonably practical but no later than</w:t>
      </w:r>
    </w:p>
    <w:p>
      <w:pPr>
        <w:spacing w:after="0" w:line="5" w:lineRule="exact"/>
        <w:rPr>
          <w:sz w:val="20"/>
          <w:szCs w:val="20"/>
          <w:color w:val="auto"/>
        </w:rPr>
      </w:pPr>
    </w:p>
    <w:p>
      <w:pPr>
        <w:jc w:val="center"/>
        <w:ind w:left="5424" w:hanging="5424"/>
        <w:spacing w:after="0" w:line="433" w:lineRule="auto"/>
        <w:tabs>
          <w:tab w:leader="none" w:pos="441"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after the occurrence of the event of Force Majeure, specifying the nature and extent of the event of Force Majeure, its anticipated duration and any 74</w:t>
      </w:r>
    </w:p>
    <w:p>
      <w:pPr>
        <w:sectPr>
          <w:pgSz w:w="11900" w:h="16838" w:orient="portrait"/>
          <w:cols w:equalWidth="0" w:num="1">
            <w:col w:w="10984"/>
          </w:cols>
          <w:pgMar w:left="436" w:top="270" w:right="479" w:bottom="1440" w:gutter="0" w:footer="0" w:header="0"/>
        </w:sectPr>
      </w:pPr>
    </w:p>
    <w:bookmarkStart w:id="364" w:name="page365"/>
    <w:bookmarkEnd w:id="364"/>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action being taken to avoid or minimize its effect. The suspension of performance allowed hereunder shall be of no greater scope and no longer duration than is reasonably required, and the affected Party shall promptly undertake and continue diligently all reasonable efforts necessary to cure such force majeure circumstances or to perform its obligations in spite of the ongoing circumstances. In the event that RevMed is the non-performing Party and the Force Majeure continues for more than [***] (which period, in its entirety or a portion thereof, is prior to the commencement of the Registration Program for a Product, which Development thereof is impacted by such Force Majeure), Sanofi’s payment obligations under Article IX shall be suspended until notification by RevMed to Sanofi of the termination of such Force Majeure Event (and any related triggers and deadlines shall be similarly suspended).</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15.2 Assignment; Change of Control</w:t>
      </w:r>
      <w:r>
        <w:rPr>
          <w:rFonts w:ascii="Arial" w:cs="Arial" w:eastAsia="Arial" w:hAnsi="Arial"/>
          <w:sz w:val="18"/>
          <w:szCs w:val="18"/>
          <w:color w:val="auto"/>
        </w:rPr>
        <w:t>.</w:t>
      </w:r>
    </w:p>
    <w:p>
      <w:pPr>
        <w:spacing w:after="0" w:line="229" w:lineRule="exact"/>
        <w:rPr>
          <w:sz w:val="20"/>
          <w:szCs w:val="20"/>
          <w:color w:val="auto"/>
        </w:rPr>
      </w:pPr>
    </w:p>
    <w:p>
      <w:pPr>
        <w:ind w:right="40" w:firstLine="436"/>
        <w:spacing w:after="0" w:line="263" w:lineRule="auto"/>
        <w:tabs>
          <w:tab w:leader="none" w:pos="685" w:val="left"/>
        </w:tabs>
        <w:numPr>
          <w:ilvl w:val="0"/>
          <w:numId w:val="243"/>
        </w:numPr>
        <w:rPr>
          <w:rFonts w:ascii="Arial" w:cs="Arial" w:eastAsia="Arial" w:hAnsi="Arial"/>
          <w:sz w:val="18"/>
          <w:szCs w:val="18"/>
          <w:color w:val="auto"/>
        </w:rPr>
      </w:pPr>
      <w:r>
        <w:rPr>
          <w:rFonts w:ascii="Arial" w:cs="Arial" w:eastAsia="Arial" w:hAnsi="Arial"/>
          <w:sz w:val="18"/>
          <w:szCs w:val="18"/>
          <w:color w:val="auto"/>
        </w:rPr>
        <w:t>Neither Party may assign this Agreement or any of its rights or obligations hereunder, except as expressly permitted hereunder, or delegate any of its obligations under this Agreement, whether by operation of law or otherwise, in whole or in part, without the consent of the other Party, except as follows:</w:t>
      </w:r>
    </w:p>
    <w:p>
      <w:pPr>
        <w:spacing w:after="0" w:line="75" w:lineRule="exact"/>
        <w:rPr>
          <w:rFonts w:ascii="Arial" w:cs="Arial" w:eastAsia="Arial" w:hAnsi="Arial"/>
          <w:sz w:val="18"/>
          <w:szCs w:val="18"/>
          <w:color w:val="auto"/>
        </w:rPr>
      </w:pPr>
    </w:p>
    <w:p>
      <w:pPr>
        <w:ind w:left="440" w:right="40" w:firstLine="419"/>
        <w:spacing w:after="0" w:line="263" w:lineRule="auto"/>
        <w:tabs>
          <w:tab w:leader="none" w:pos="1078" w:val="left"/>
        </w:tabs>
        <w:numPr>
          <w:ilvl w:val="1"/>
          <w:numId w:val="243"/>
        </w:numPr>
        <w:rPr>
          <w:rFonts w:ascii="Arial" w:cs="Arial" w:eastAsia="Arial" w:hAnsi="Arial"/>
          <w:sz w:val="18"/>
          <w:szCs w:val="18"/>
          <w:color w:val="auto"/>
        </w:rPr>
      </w:pPr>
      <w:r>
        <w:rPr>
          <w:rFonts w:ascii="Arial" w:cs="Arial" w:eastAsia="Arial" w:hAnsi="Arial"/>
          <w:sz w:val="18"/>
          <w:szCs w:val="18"/>
          <w:color w:val="auto"/>
        </w:rPr>
        <w:t>Sanofi may, without consent of RevMed, assign this Agreement or its rights and obligations hereunder in whole or in part to any Affiliate of Sanofi, and RevMed may, with the consent of Sanofi (not to be unreasonably withheld, delayed or conditioned), assign this Agreement or its rights and obligations hereunder in whole or in part to any Affiliate of RevMed; and</w:t>
      </w:r>
    </w:p>
    <w:p>
      <w:pPr>
        <w:spacing w:after="0" w:line="75" w:lineRule="exact"/>
        <w:rPr>
          <w:rFonts w:ascii="Arial" w:cs="Arial" w:eastAsia="Arial" w:hAnsi="Arial"/>
          <w:sz w:val="18"/>
          <w:szCs w:val="18"/>
          <w:color w:val="auto"/>
        </w:rPr>
      </w:pPr>
    </w:p>
    <w:p>
      <w:pPr>
        <w:ind w:left="440" w:firstLine="419"/>
        <w:spacing w:after="0" w:line="268" w:lineRule="auto"/>
        <w:tabs>
          <w:tab w:leader="none" w:pos="1128" w:val="left"/>
        </w:tabs>
        <w:numPr>
          <w:ilvl w:val="1"/>
          <w:numId w:val="243"/>
        </w:numPr>
        <w:rPr>
          <w:rFonts w:ascii="Arial" w:cs="Arial" w:eastAsia="Arial" w:hAnsi="Arial"/>
          <w:sz w:val="17"/>
          <w:szCs w:val="17"/>
          <w:color w:val="auto"/>
        </w:rPr>
      </w:pPr>
      <w:r>
        <w:rPr>
          <w:rFonts w:ascii="Arial" w:cs="Arial" w:eastAsia="Arial" w:hAnsi="Arial"/>
          <w:sz w:val="17"/>
          <w:szCs w:val="17"/>
          <w:color w:val="auto"/>
        </w:rPr>
        <w:t>Either Party may, without consent of the other Party, assign this Agreement in whole to (i) in the case of RevMed, its successor in interest or assignee or purchaser, as applicable, in the case of a Change of Control or (ii) in the case of Sanofi, its successor in interest or assignee or purchaser, as applicable, in connection with the sale of all or substantially all of its assets to which this Agreement relates, or in connection with a merger, acquisition or similar transaction. In the case of Sanofi the intellectual property owned or controlled by any such successor in interest or assignee or purchaser (such successor in interest or assignee or purchaser, as applicable, an “</w:t>
      </w:r>
      <w:r>
        <w:rPr>
          <w:rFonts w:ascii="Arial" w:cs="Arial" w:eastAsia="Arial" w:hAnsi="Arial"/>
          <w:sz w:val="17"/>
          <w:szCs w:val="17"/>
          <w:b w:val="1"/>
          <w:bCs w:val="1"/>
          <w:color w:val="auto"/>
        </w:rPr>
        <w:t>Acquiror</w:t>
      </w:r>
      <w:r>
        <w:rPr>
          <w:rFonts w:ascii="Arial" w:cs="Arial" w:eastAsia="Arial" w:hAnsi="Arial"/>
          <w:sz w:val="17"/>
          <w:szCs w:val="17"/>
          <w:color w:val="auto"/>
        </w:rPr>
        <w:t>”) or its Acquiror Family prior to the applicable Change of Control or other similar transaction immediately prior to such acquisition (other than as a result of a license from the acquired Party) or thereafter developed outside the scope of this Agreement in accordance with this Agreement shall be excluded from [***] and the Acquiror Family shall be excluded from “Affiliate” solely for purposes of the applicable components of the intellectual property definitions set forth herein. In the case of RevMed, the intellectual property owned or controlled by any such Acquiror or its Acquiror Family prior to the applicable Change of Control or other similar transaction immediately prior to such acquisition (other than as a result of a license from the acquired Party) or is thereafter developed outside the scope of this Agreement in accordance with this Agreement shall be excluded from the RevMed Licensed Technology, in each case only for so long as the remainder of the conditions of this Section 15.2 are met, and the Acquiror Family shall be excluded from “Affiliate” solely for purposes of the applicable components of the intellectual property definitions set forth herein, in all such cases if and only if: (A) the acquired Party remains a wholly-owned subsidiary of the Acquiror; (B) all intellectual property of the Acquired Party Family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00"/>
          </w:cols>
          <w:pgMar w:left="440" w:top="274" w:right="459" w:bottom="1440" w:gutter="0" w:footer="0" w:header="0"/>
        </w:sectPr>
      </w:pPr>
    </w:p>
    <w:bookmarkStart w:id="365" w:name="page366"/>
    <w:bookmarkEnd w:id="365"/>
    <w:p>
      <w:pPr>
        <w:ind w:left="444"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research and development assets and operations of the Acquired Party Family, in each case relating to SHP2 Inhibitors and Products, remain with the Acquired Party Family and are not licensed or otherwise transferred to the Acquiror Party Family for any purpose; (C) the scientific and Development activities with respect to SHP2 Inhibitors and Products of the Acquired Party Family and Competing Products of the Acquiror Family (if any) are maintained separate and distinct, and (D) there is no exchange of Know-How relating to SHP2 Inhibitors and Products between the Acquired Party Family and the Acquiror Family. Any attempted assignment not in accordance with this Section 15.2 shall be null and void and of no legal effect. Any permitted assignee shall assume all assigned obligations of its assignor under this Agreement. The terms and conditions of this Agreement shall be binding upon, and shall inure to the benefit of, the Parties and their respected successors and permitted assigns. For clarity, any assignment by Sanofi shall be subject to Section 9.7(a).</w:t>
      </w:r>
    </w:p>
    <w:p>
      <w:pPr>
        <w:spacing w:after="0" w:line="178" w:lineRule="exact"/>
        <w:rPr>
          <w:sz w:val="20"/>
          <w:szCs w:val="20"/>
          <w:color w:val="auto"/>
        </w:rPr>
      </w:pPr>
    </w:p>
    <w:p>
      <w:pPr>
        <w:ind w:left="4" w:right="160" w:firstLine="436"/>
        <w:spacing w:after="0" w:line="342" w:lineRule="auto"/>
        <w:tabs>
          <w:tab w:leader="none" w:pos="699" w:val="left"/>
        </w:tabs>
        <w:numPr>
          <w:ilvl w:val="0"/>
          <w:numId w:val="244"/>
        </w:numPr>
        <w:rPr>
          <w:rFonts w:ascii="Arial" w:cs="Arial" w:eastAsia="Arial" w:hAnsi="Arial"/>
          <w:sz w:val="16"/>
          <w:szCs w:val="16"/>
          <w:color w:val="auto"/>
        </w:rPr>
      </w:pPr>
      <w:r>
        <w:rPr>
          <w:rFonts w:ascii="Arial" w:cs="Arial" w:eastAsia="Arial" w:hAnsi="Arial"/>
          <w:sz w:val="16"/>
          <w:szCs w:val="16"/>
          <w:color w:val="auto"/>
        </w:rPr>
        <w:t>Except as part of a transaction permitted under this Section 15.2, in no event shall RevMed assign or transfer, or agree to assign or transfer to any Third Party, any or all of the RevMed Licensed Patents without the consent of Sanofi, not be unreasonably withheld or conditioned.</w:t>
      </w:r>
    </w:p>
    <w:p>
      <w:pPr>
        <w:spacing w:after="0" w:line="120" w:lineRule="exact"/>
        <w:rPr>
          <w:sz w:val="20"/>
          <w:szCs w:val="20"/>
          <w:color w:val="auto"/>
        </w:rPr>
      </w:pPr>
    </w:p>
    <w:p>
      <w:pPr>
        <w:ind w:left="4" w:right="200" w:firstLine="440"/>
        <w:spacing w:after="0" w:line="289" w:lineRule="auto"/>
        <w:rPr>
          <w:sz w:val="20"/>
          <w:szCs w:val="20"/>
          <w:color w:val="auto"/>
        </w:rPr>
      </w:pPr>
      <w:r>
        <w:rPr>
          <w:rFonts w:ascii="Arial" w:cs="Arial" w:eastAsia="Arial" w:hAnsi="Arial"/>
          <w:sz w:val="16"/>
          <w:szCs w:val="16"/>
          <w:b w:val="1"/>
          <w:bCs w:val="1"/>
          <w:color w:val="auto"/>
        </w:rPr>
        <w:t>15.3 Severability</w:t>
      </w:r>
      <w:r>
        <w:rPr>
          <w:rFonts w:ascii="Arial" w:cs="Arial" w:eastAsia="Arial" w:hAnsi="Arial"/>
          <w:sz w:val="16"/>
          <w:szCs w:val="16"/>
          <w:color w:val="auto"/>
        </w:rPr>
        <w:t>. If any provision of this Agreement is held to be illegal, invalid or unenforceable under any present or future law and if the</w:t>
      </w:r>
      <w:r>
        <w:rPr>
          <w:rFonts w:ascii="Arial" w:cs="Arial" w:eastAsia="Arial" w:hAnsi="Arial"/>
          <w:sz w:val="16"/>
          <w:szCs w:val="16"/>
          <w:b w:val="1"/>
          <w:bCs w:val="1"/>
          <w:color w:val="auto"/>
        </w:rPr>
        <w:t xml:space="preserve"> </w:t>
      </w:r>
      <w:r>
        <w:rPr>
          <w:rFonts w:ascii="Arial" w:cs="Arial" w:eastAsia="Arial" w:hAnsi="Arial"/>
          <w:sz w:val="16"/>
          <w:szCs w:val="16"/>
          <w:color w:val="auto"/>
        </w:rPr>
        <w:t>rights or obligations of either Party under this Agreement will not be materially and adversely affected thereby, (i) such provision shall be fully severable, (ii) this Agreement shall be construed and enforced as if such illegal, invalid or unenforceable provision had never comprised a part hereof,</w:t>
      </w:r>
    </w:p>
    <w:p>
      <w:pPr>
        <w:spacing w:after="0" w:line="2" w:lineRule="exact"/>
        <w:rPr>
          <w:sz w:val="20"/>
          <w:szCs w:val="20"/>
          <w:color w:val="auto"/>
        </w:rPr>
      </w:pPr>
    </w:p>
    <w:p>
      <w:pPr>
        <w:ind w:left="4" w:hanging="4"/>
        <w:spacing w:after="0" w:line="253" w:lineRule="auto"/>
        <w:tabs>
          <w:tab w:leader="none" w:pos="319"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remaining provisions of this Agreement shall remain in full force and effect and shall not be affected by the illegal, invalid or unenforceable provision or by its severance here from and (iv) in lieu of such illegal, invalid or unenforceable provision, there shall be added automatically as a part of this Agreement a legal, valid and enforceable provision as similar in terms to such illegal, invalid or unenforceable provision as may be possible and reasonably acceptable to the Parties. To the fullest extent permitted by Applicable Law, each Party hereby waives any provision of law that would render any provision hereof illegal, invalid or unenforceable in any respect.</w:t>
      </w:r>
    </w:p>
    <w:p>
      <w:pPr>
        <w:spacing w:after="0" w:line="187" w:lineRule="exact"/>
        <w:rPr>
          <w:sz w:val="20"/>
          <w:szCs w:val="20"/>
          <w:color w:val="auto"/>
        </w:rPr>
      </w:pPr>
    </w:p>
    <w:p>
      <w:pPr>
        <w:jc w:val="both"/>
        <w:ind w:left="4" w:right="180" w:firstLine="440"/>
        <w:spacing w:after="0" w:line="266" w:lineRule="auto"/>
        <w:rPr>
          <w:sz w:val="20"/>
          <w:szCs w:val="20"/>
          <w:color w:val="auto"/>
        </w:rPr>
      </w:pPr>
      <w:r>
        <w:rPr>
          <w:rFonts w:ascii="Arial" w:cs="Arial" w:eastAsia="Arial" w:hAnsi="Arial"/>
          <w:sz w:val="18"/>
          <w:szCs w:val="18"/>
          <w:b w:val="1"/>
          <w:bCs w:val="1"/>
          <w:color w:val="auto"/>
        </w:rPr>
        <w:t>15.4 Notices</w:t>
      </w:r>
      <w:r>
        <w:rPr>
          <w:rFonts w:ascii="Arial" w:cs="Arial" w:eastAsia="Arial" w:hAnsi="Arial"/>
          <w:sz w:val="18"/>
          <w:szCs w:val="18"/>
          <w:color w:val="auto"/>
        </w:rPr>
        <w:t>. All notices which are required or permitted hereunder shall be in writing and sufficient if delivered personally, sent by e-mail (and</w:t>
      </w:r>
      <w:r>
        <w:rPr>
          <w:rFonts w:ascii="Arial" w:cs="Arial" w:eastAsia="Arial" w:hAnsi="Arial"/>
          <w:sz w:val="18"/>
          <w:szCs w:val="18"/>
          <w:b w:val="1"/>
          <w:bCs w:val="1"/>
          <w:color w:val="auto"/>
        </w:rPr>
        <w:t xml:space="preserve"> </w:t>
      </w:r>
      <w:r>
        <w:rPr>
          <w:rFonts w:ascii="Arial" w:cs="Arial" w:eastAsia="Arial" w:hAnsi="Arial"/>
          <w:sz w:val="18"/>
          <w:szCs w:val="18"/>
          <w:color w:val="auto"/>
        </w:rPr>
        <w:t>promptly confirmed by personal delivery, registered or certified mail or overnight courier), sent by an internationally-recognized overnight courier or sent by registered or certified mail, postage prepaid, return receipt requested, addressed as follows:</w:t>
      </w:r>
    </w:p>
    <w:p>
      <w:pPr>
        <w:spacing w:after="0" w:line="7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If to RevMed:</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Revolution Medicines, Inc.</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700 Saginaw Dr.</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Redwood City, CA 94063</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Email: [***]</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04"/>
          </w:cols>
          <w:pgMar w:left="436" w:top="274" w:right="459" w:bottom="1440" w:gutter="0" w:footer="0" w:header="0"/>
        </w:sectPr>
      </w:pPr>
    </w:p>
    <w:bookmarkStart w:id="366" w:name="page367"/>
    <w:bookmarkEnd w:id="36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a copy 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Latham &amp; Watkins LLP</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140 Scott Drive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Menlo Park, CA 94025</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Fax: [***]</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Sanofi:</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Sanofi</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50 Binney Street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Cambridge, MA 02142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Attn: [***]</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Sanofi</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50 Binney Street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Cambridge, MA 02142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Attn: [***]</w:t>
      </w:r>
    </w:p>
    <w:p>
      <w:pPr>
        <w:spacing w:after="0" w:line="211"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color w:val="auto"/>
        </w:rPr>
        <w:t>or to such other address(es) as the Party to whom notice is to be given may have furnished to the other Party in writing in accordance herewith. Any such notice shall be deemed to have been given: (a) when delivered if personally delivered or sent by facsimile on a Business Day (or if delivered or sent on a non-Business Day, then on the next Business Day); (b) on the second (2nd) Business Day after dispatch if sent by an internationally-recognized overnight courier; or (c) on the tenth (10th) Business Day following the date of mailing, if sent by mail.</w:t>
      </w:r>
    </w:p>
    <w:p>
      <w:pPr>
        <w:spacing w:after="0" w:line="167" w:lineRule="exact"/>
        <w:rPr>
          <w:sz w:val="20"/>
          <w:szCs w:val="20"/>
          <w:color w:val="auto"/>
        </w:rPr>
      </w:pPr>
    </w:p>
    <w:p>
      <w:pPr>
        <w:ind w:right="640" w:firstLine="440"/>
        <w:spacing w:after="0" w:line="282" w:lineRule="auto"/>
        <w:rPr>
          <w:sz w:val="20"/>
          <w:szCs w:val="20"/>
          <w:color w:val="auto"/>
        </w:rPr>
      </w:pPr>
      <w:r>
        <w:rPr>
          <w:rFonts w:ascii="Arial" w:cs="Arial" w:eastAsia="Arial" w:hAnsi="Arial"/>
          <w:sz w:val="18"/>
          <w:szCs w:val="18"/>
          <w:b w:val="1"/>
          <w:bCs w:val="1"/>
          <w:color w:val="auto"/>
        </w:rPr>
        <w:t>15.5 Governing Law</w:t>
      </w:r>
      <w:r>
        <w:rPr>
          <w:rFonts w:ascii="Arial" w:cs="Arial" w:eastAsia="Arial" w:hAnsi="Arial"/>
          <w:sz w:val="18"/>
          <w:szCs w:val="18"/>
          <w:color w:val="auto"/>
        </w:rPr>
        <w:t>. This Agreement shall be governed by and construed in accordance with the laws of the State of New York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 to any rules of conflict of laws.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15.6 Dispute Resolution</w:t>
      </w:r>
      <w:r>
        <w:rPr>
          <w:rFonts w:ascii="Arial" w:cs="Arial" w:eastAsia="Arial" w:hAnsi="Arial"/>
          <w:sz w:val="18"/>
          <w:szCs w:val="18"/>
          <w:color w:val="auto"/>
        </w:rPr>
        <w:t>.</w:t>
      </w:r>
    </w:p>
    <w:p>
      <w:pPr>
        <w:spacing w:after="0" w:line="229" w:lineRule="exact"/>
        <w:rPr>
          <w:sz w:val="20"/>
          <w:szCs w:val="20"/>
          <w:color w:val="auto"/>
        </w:rPr>
      </w:pPr>
    </w:p>
    <w:p>
      <w:pPr>
        <w:ind w:firstLine="436"/>
        <w:spacing w:after="0" w:line="271" w:lineRule="auto"/>
        <w:tabs>
          <w:tab w:leader="none" w:pos="685" w:val="left"/>
        </w:tabs>
        <w:numPr>
          <w:ilvl w:val="0"/>
          <w:numId w:val="246"/>
        </w:numPr>
        <w:rPr>
          <w:rFonts w:ascii="Arial" w:cs="Arial" w:eastAsia="Arial" w:hAnsi="Arial"/>
          <w:sz w:val="17"/>
          <w:szCs w:val="17"/>
          <w:color w:val="auto"/>
        </w:rPr>
      </w:pPr>
      <w:r>
        <w:rPr>
          <w:rFonts w:ascii="Arial" w:cs="Arial" w:eastAsia="Arial" w:hAnsi="Arial"/>
          <w:sz w:val="17"/>
          <w:szCs w:val="17"/>
          <w:color w:val="auto"/>
        </w:rPr>
        <w:t>Except for matters within the JSC’s authority that are resolved under Section 2.10, including through a Party’s exercise of its final decision making authority in accordance therewith, and matters resolved pursuant to Section 5.6, any dispute, claim or controversy arising out of or relating to this Agreement, or the breach, termination, enforcement, interpretation or validity thereof, including the determination of the scope or applicability of this Agreement to arbitrate (a “</w:t>
      </w:r>
      <w:r>
        <w:rPr>
          <w:rFonts w:ascii="Arial" w:cs="Arial" w:eastAsia="Arial" w:hAnsi="Arial"/>
          <w:sz w:val="17"/>
          <w:szCs w:val="17"/>
          <w:b w:val="1"/>
          <w:bCs w:val="1"/>
          <w:color w:val="auto"/>
        </w:rPr>
        <w:t>Dispute</w:t>
      </w:r>
      <w:r>
        <w:rPr>
          <w:rFonts w:ascii="Arial" w:cs="Arial" w:eastAsia="Arial" w:hAnsi="Arial"/>
          <w:sz w:val="17"/>
          <w:szCs w:val="17"/>
          <w:color w:val="auto"/>
        </w:rPr>
        <w:t>”) that is not resolved within [***] after written notice of the Dispute by one Party to the other shall be determined by arbitration in [***] before [***] arbitrators, unless the Parties mutually agree in writing otherwise. The arbitration shall be administered by JAMS pursuant to its Comprehensive Arbitration Rules and Procedures then in effect and the Expedited Procedures contained therein, as modified in this paragraph, except (i) to the extent such rules are inconsistent with this Section 15.6(a), in which case, this Section 15.6(a) shall control (including with regard to any limitations of liability or forms of relief), and (ii) [***] discovery depositions may be</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960"/>
          </w:cols>
          <w:pgMar w:left="440" w:top="274" w:right="499" w:bottom="1440" w:gutter="0" w:footer="0" w:header="0"/>
        </w:sectPr>
      </w:pPr>
    </w:p>
    <w:bookmarkStart w:id="367" w:name="page368"/>
    <w:bookmarkEnd w:id="367"/>
    <w:p>
      <w:pPr>
        <w:ind w:left="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conducted per side. The JAMS Expedited Procedures shall be modified to [***] of such procedures as in effect on the Effective Date, and the [***] shall be modified to provide that [***]. The language of the arbitration shall be English. The proceedings and decisions of the arbitrator shall be final and binding on the Parties, and judgment on the award may be entered in any court having jurisdiction.</w:t>
      </w:r>
    </w:p>
    <w:p>
      <w:pPr>
        <w:spacing w:after="0" w:line="184" w:lineRule="exact"/>
        <w:rPr>
          <w:sz w:val="20"/>
          <w:szCs w:val="20"/>
          <w:color w:val="auto"/>
        </w:rPr>
      </w:pPr>
    </w:p>
    <w:p>
      <w:pPr>
        <w:ind w:left="4" w:right="440" w:firstLine="436"/>
        <w:spacing w:after="0" w:line="301" w:lineRule="auto"/>
        <w:tabs>
          <w:tab w:leader="none" w:pos="699" w:val="left"/>
        </w:tabs>
        <w:numPr>
          <w:ilvl w:val="1"/>
          <w:numId w:val="247"/>
        </w:numPr>
        <w:rPr>
          <w:rFonts w:ascii="Arial" w:cs="Arial" w:eastAsia="Arial" w:hAnsi="Arial"/>
          <w:sz w:val="16"/>
          <w:szCs w:val="16"/>
          <w:color w:val="auto"/>
        </w:rPr>
      </w:pPr>
      <w:r>
        <w:rPr>
          <w:rFonts w:ascii="Arial" w:cs="Arial" w:eastAsia="Arial" w:hAnsi="Arial"/>
          <w:sz w:val="16"/>
          <w:szCs w:val="16"/>
          <w:color w:val="auto"/>
        </w:rPr>
        <w:t>The Parties shall maintain the confidential nature of the arbitration proceeding and the award, including the hearing, except as may be necessary to prepare for or conduct the arbitration hearing on the merits, or except as may be necessary in connection with a court application for a preliminary remedy, a judicial challenge to an award or its enforcement, or unless otherwise required by law or judicial decision. All arbitration proceedings and decisions of the arbitrators under this Section 15.6(b) shall be deemed Confidential Information of both Parties under Article XI.</w:t>
      </w:r>
    </w:p>
    <w:p>
      <w:pPr>
        <w:spacing w:after="0" w:line="157" w:lineRule="exact"/>
        <w:rPr>
          <w:rFonts w:ascii="Arial" w:cs="Arial" w:eastAsia="Arial" w:hAnsi="Arial"/>
          <w:sz w:val="16"/>
          <w:szCs w:val="16"/>
          <w:color w:val="auto"/>
        </w:rPr>
      </w:pPr>
    </w:p>
    <w:p>
      <w:pPr>
        <w:ind w:left="4" w:right="60" w:firstLine="436"/>
        <w:spacing w:after="0" w:line="259" w:lineRule="auto"/>
        <w:tabs>
          <w:tab w:leader="none" w:pos="689" w:val="left"/>
        </w:tabs>
        <w:numPr>
          <w:ilvl w:val="1"/>
          <w:numId w:val="247"/>
        </w:numPr>
        <w:rPr>
          <w:rFonts w:ascii="Arial" w:cs="Arial" w:eastAsia="Arial" w:hAnsi="Arial"/>
          <w:sz w:val="18"/>
          <w:szCs w:val="18"/>
          <w:color w:val="auto"/>
        </w:rPr>
      </w:pPr>
      <w:r>
        <w:rPr>
          <w:rFonts w:ascii="Arial" w:cs="Arial" w:eastAsia="Arial" w:hAnsi="Arial"/>
          <w:sz w:val="18"/>
          <w:szCs w:val="18"/>
          <w:color w:val="auto"/>
        </w:rPr>
        <w:t>Within [***] after the commencement of arbitration, each Party shall select [***] within [***] of the commencement of the arbitration. If the arbitrator selected by the Parties are unable or fail to agree upon [***] within the allotted time, [***] shall be appointed by JAMS in accordance with its rules. All arbitrators shall serve as a neutral, independent and impartial arbitrators. Each arbitrator shall have not less than [***] years of experience in biotechnology or pharmaceutical industry disputes.</w:t>
      </w:r>
    </w:p>
    <w:p>
      <w:pPr>
        <w:spacing w:after="0" w:line="186" w:lineRule="exact"/>
        <w:rPr>
          <w:rFonts w:ascii="Arial" w:cs="Arial" w:eastAsia="Arial" w:hAnsi="Arial"/>
          <w:sz w:val="18"/>
          <w:szCs w:val="18"/>
          <w:color w:val="auto"/>
        </w:rPr>
      </w:pPr>
    </w:p>
    <w:p>
      <w:pPr>
        <w:ind w:left="4" w:right="140" w:firstLine="436"/>
        <w:spacing w:after="0" w:line="277" w:lineRule="auto"/>
        <w:tabs>
          <w:tab w:leader="none" w:pos="699" w:val="left"/>
        </w:tabs>
        <w:numPr>
          <w:ilvl w:val="1"/>
          <w:numId w:val="247"/>
        </w:numPr>
        <w:rPr>
          <w:rFonts w:ascii="Arial" w:cs="Arial" w:eastAsia="Arial" w:hAnsi="Arial"/>
          <w:sz w:val="18"/>
          <w:szCs w:val="18"/>
          <w:color w:val="auto"/>
        </w:rPr>
      </w:pPr>
      <w:r>
        <w:rPr>
          <w:rFonts w:ascii="Arial" w:cs="Arial" w:eastAsia="Arial" w:hAnsi="Arial"/>
          <w:sz w:val="18"/>
          <w:szCs w:val="18"/>
          <w:color w:val="auto"/>
        </w:rPr>
        <w:t>The award shall be rendered within [***] of the constitution of the arbitral tribunal, unless the arbitrators determine that the interest of justice requires that such limit be extended.</w:t>
      </w:r>
    </w:p>
    <w:p>
      <w:pPr>
        <w:spacing w:after="0" w:line="170" w:lineRule="exact"/>
        <w:rPr>
          <w:rFonts w:ascii="Arial" w:cs="Arial" w:eastAsia="Arial" w:hAnsi="Arial"/>
          <w:sz w:val="18"/>
          <w:szCs w:val="18"/>
          <w:color w:val="auto"/>
        </w:rPr>
      </w:pPr>
    </w:p>
    <w:p>
      <w:pPr>
        <w:ind w:left="4" w:right="100" w:firstLine="436"/>
        <w:spacing w:after="0" w:line="279" w:lineRule="auto"/>
        <w:tabs>
          <w:tab w:leader="none" w:pos="689" w:val="left"/>
        </w:tabs>
        <w:numPr>
          <w:ilvl w:val="1"/>
          <w:numId w:val="247"/>
        </w:numPr>
        <w:rPr>
          <w:rFonts w:ascii="Arial" w:cs="Arial" w:eastAsia="Arial" w:hAnsi="Arial"/>
          <w:sz w:val="17"/>
          <w:szCs w:val="17"/>
          <w:color w:val="auto"/>
        </w:rPr>
      </w:pPr>
      <w:r>
        <w:rPr>
          <w:rFonts w:ascii="Arial" w:cs="Arial" w:eastAsia="Arial" w:hAnsi="Arial"/>
          <w:sz w:val="17"/>
          <w:szCs w:val="17"/>
          <w:color w:val="auto"/>
        </w:rPr>
        <w:t>The arbitrators may award to the prevailing Party, if any, as determined by the arbitrators, the costs and attorneys’ fees reasonably incurred by the prevailing Party in connection with the arbitration. If the arbitrators determine a Party to be the prevailing Party under circumstances where the prevailing Party won some but not all of the claims and counterclaims, the arbitrators may award the prevailing Party an appropriate percentage of the costs and attorneys’ fees reasonably incurred by the prevailing Party in connection with the arbitration.</w:t>
      </w:r>
    </w:p>
    <w:p>
      <w:pPr>
        <w:spacing w:after="0" w:line="171" w:lineRule="exact"/>
        <w:rPr>
          <w:rFonts w:ascii="Arial" w:cs="Arial" w:eastAsia="Arial" w:hAnsi="Arial"/>
          <w:sz w:val="17"/>
          <w:szCs w:val="17"/>
          <w:color w:val="auto"/>
        </w:rPr>
      </w:pPr>
    </w:p>
    <w:p>
      <w:pPr>
        <w:ind w:left="664" w:hanging="224"/>
        <w:spacing w:after="0"/>
        <w:tabs>
          <w:tab w:leader="none" w:pos="664" w:val="left"/>
        </w:tabs>
        <w:numPr>
          <w:ilvl w:val="1"/>
          <w:numId w:val="247"/>
        </w:numPr>
        <w:rPr>
          <w:rFonts w:ascii="Arial" w:cs="Arial" w:eastAsia="Arial" w:hAnsi="Arial"/>
          <w:sz w:val="16"/>
          <w:szCs w:val="16"/>
          <w:color w:val="auto"/>
        </w:rPr>
      </w:pPr>
      <w:r>
        <w:rPr>
          <w:rFonts w:ascii="Arial" w:cs="Arial" w:eastAsia="Arial" w:hAnsi="Arial"/>
          <w:sz w:val="16"/>
          <w:szCs w:val="16"/>
          <w:color w:val="auto"/>
        </w:rPr>
        <w:t>The arbitrators are not empowered to award punitive or exemplary damages, and the Parties waive any right to recover any such damages.</w:t>
      </w:r>
    </w:p>
    <w:p>
      <w:pPr>
        <w:spacing w:after="0" w:line="248" w:lineRule="exact"/>
        <w:rPr>
          <w:rFonts w:ascii="Arial" w:cs="Arial" w:eastAsia="Arial" w:hAnsi="Arial"/>
          <w:sz w:val="16"/>
          <w:szCs w:val="16"/>
          <w:color w:val="auto"/>
        </w:rPr>
      </w:pPr>
    </w:p>
    <w:p>
      <w:pPr>
        <w:jc w:val="both"/>
        <w:ind w:left="4" w:right="40" w:firstLine="436"/>
        <w:spacing w:after="0" w:line="291" w:lineRule="auto"/>
        <w:tabs>
          <w:tab w:leader="none" w:pos="699" w:val="left"/>
        </w:tabs>
        <w:numPr>
          <w:ilvl w:val="1"/>
          <w:numId w:val="247"/>
        </w:numPr>
        <w:rPr>
          <w:rFonts w:ascii="Arial" w:cs="Arial" w:eastAsia="Arial" w:hAnsi="Arial"/>
          <w:sz w:val="16"/>
          <w:szCs w:val="16"/>
          <w:color w:val="auto"/>
        </w:rPr>
      </w:pPr>
      <w:r>
        <w:rPr>
          <w:rFonts w:ascii="Arial" w:cs="Arial" w:eastAsia="Arial" w:hAnsi="Arial"/>
          <w:sz w:val="16"/>
          <w:szCs w:val="16"/>
          <w:color w:val="auto"/>
        </w:rPr>
        <w:t>Unless the Parties otherwise agree in writing, during the period of time that any arbitration proceeding is pending under this Agreement, (i) the Parties shall continue to comply with all those terms and provisions of this Agreement that are not the subject of the pending arbitration proceeding; and</w:t>
      </w:r>
    </w:p>
    <w:p>
      <w:pPr>
        <w:ind w:left="4" w:right="500" w:hanging="4"/>
        <w:spacing w:after="0" w:line="323" w:lineRule="auto"/>
        <w:tabs>
          <w:tab w:leader="none" w:pos="269" w:val="left"/>
        </w:tabs>
        <w:numPr>
          <w:ilvl w:val="0"/>
          <w:numId w:val="248"/>
        </w:numPr>
        <w:rPr>
          <w:rFonts w:ascii="Arial" w:cs="Arial" w:eastAsia="Arial" w:hAnsi="Arial"/>
          <w:sz w:val="16"/>
          <w:szCs w:val="16"/>
          <w:color w:val="auto"/>
        </w:rPr>
      </w:pPr>
      <w:r>
        <w:rPr>
          <w:rFonts w:ascii="Arial" w:cs="Arial" w:eastAsia="Arial" w:hAnsi="Arial"/>
          <w:sz w:val="16"/>
          <w:szCs w:val="16"/>
          <w:color w:val="auto"/>
        </w:rPr>
        <w:t>in the event that the subject of the dispute relates to the exercise by a Party of a termination right hereunder, including in the case of a material breach of this Agreement, the effectiveness of such termination shall be stayed until the conclusion of the proceedings under this Section 15.6.</w:t>
      </w:r>
    </w:p>
    <w:p>
      <w:pPr>
        <w:spacing w:after="0" w:line="138" w:lineRule="exact"/>
        <w:rPr>
          <w:rFonts w:ascii="Arial" w:cs="Arial" w:eastAsia="Arial" w:hAnsi="Arial"/>
          <w:sz w:val="16"/>
          <w:szCs w:val="16"/>
          <w:color w:val="auto"/>
        </w:rPr>
      </w:pPr>
    </w:p>
    <w:p>
      <w:pPr>
        <w:ind w:left="4" w:right="40" w:firstLine="436"/>
        <w:spacing w:after="0" w:line="263" w:lineRule="auto"/>
        <w:tabs>
          <w:tab w:leader="none" w:pos="699" w:val="left"/>
        </w:tabs>
        <w:numPr>
          <w:ilvl w:val="1"/>
          <w:numId w:val="248"/>
        </w:numPr>
        <w:rPr>
          <w:rFonts w:ascii="Arial" w:cs="Arial" w:eastAsia="Arial" w:hAnsi="Arial"/>
          <w:sz w:val="18"/>
          <w:szCs w:val="18"/>
          <w:color w:val="auto"/>
        </w:rPr>
      </w:pPr>
      <w:r>
        <w:rPr>
          <w:rFonts w:ascii="Arial" w:cs="Arial" w:eastAsia="Arial" w:hAnsi="Arial"/>
          <w:sz w:val="18"/>
          <w:szCs w:val="18"/>
          <w:color w:val="auto"/>
        </w:rPr>
        <w:t>Notwithstanding the foregoing, any dispute, controversy or claim relating to the scope, validity, enforceability or infringement of any Patent Rights or Trademark covering the manufacture, use, importation, offer for sale or sale of Products shall be submitted to a court of competent jurisdiction in the country in which such Patent Rights or Trademark were granted or arose.</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04"/>
          </w:cols>
          <w:pgMar w:left="436" w:top="274" w:right="459" w:bottom="1440" w:gutter="0" w:footer="0" w:header="0"/>
        </w:sectPr>
      </w:pPr>
    </w:p>
    <w:bookmarkStart w:id="368" w:name="page369"/>
    <w:bookmarkEnd w:id="368"/>
    <w:p>
      <w:pPr>
        <w:ind w:right="280" w:firstLine="436"/>
        <w:spacing w:after="0" w:line="259" w:lineRule="auto"/>
        <w:tabs>
          <w:tab w:leader="none" w:pos="655" w:val="left"/>
        </w:tabs>
        <w:numPr>
          <w:ilvl w:val="0"/>
          <w:numId w:val="2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to the contrary in Section 15.6(c), any dispute relating to the ownership of any Program Invention shall be finally adjudicated, according to U.S. patent law, by an independent U.S. patent counsel with appropriate expertise that is jointly appointed by Sanofi and RevMed. Some adjudication shall be completed within [***] after such counsel is appointed, and such counsel must be appointed within [***] after submission of the issue for resolution.</w:t>
      </w:r>
    </w:p>
    <w:p>
      <w:pPr>
        <w:spacing w:after="0" w:line="186" w:lineRule="exact"/>
        <w:rPr>
          <w:rFonts w:ascii="Arial" w:cs="Arial" w:eastAsia="Arial" w:hAnsi="Arial"/>
          <w:sz w:val="18"/>
          <w:szCs w:val="18"/>
          <w:color w:val="auto"/>
        </w:rPr>
      </w:pPr>
    </w:p>
    <w:p>
      <w:pPr>
        <w:ind w:right="180" w:firstLine="436"/>
        <w:spacing w:after="0" w:line="342" w:lineRule="auto"/>
        <w:tabs>
          <w:tab w:leader="none" w:pos="655" w:val="left"/>
        </w:tabs>
        <w:numPr>
          <w:ilvl w:val="0"/>
          <w:numId w:val="249"/>
        </w:numPr>
        <w:rPr>
          <w:rFonts w:ascii="Arial" w:cs="Arial" w:eastAsia="Arial" w:hAnsi="Arial"/>
          <w:sz w:val="16"/>
          <w:szCs w:val="16"/>
          <w:color w:val="auto"/>
        </w:rPr>
      </w:pPr>
      <w:r>
        <w:rPr>
          <w:rFonts w:ascii="Arial" w:cs="Arial" w:eastAsia="Arial" w:hAnsi="Arial"/>
          <w:sz w:val="16"/>
          <w:szCs w:val="16"/>
          <w:color w:val="auto"/>
        </w:rPr>
        <w:t>Nothing in this Section 15.6 will preclude either Party from seeking equitable relief or interim or provisional relief from a court of competent jurisdiction, including a temporary restraining order, preliminary injunction or other interim equitable relief, either prior to or during any arbitration.</w:t>
      </w:r>
    </w:p>
    <w:p>
      <w:pPr>
        <w:spacing w:after="0" w:line="120"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b w:val="1"/>
          <w:bCs w:val="1"/>
          <w:color w:val="auto"/>
        </w:rPr>
        <w:t>15.7 Rights in Bankruptcy</w:t>
      </w:r>
      <w:r>
        <w:rPr>
          <w:rFonts w:ascii="Arial" w:cs="Arial" w:eastAsia="Arial" w:hAnsi="Arial"/>
          <w:sz w:val="16"/>
          <w:szCs w:val="16"/>
          <w:color w:val="auto"/>
        </w:rPr>
        <w:t>. All rights and licenses granted under or pursuant to this Agreement by Sanofi or RevMed are and shall otherwise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to be, for purposes of Section 365(n) of the U.S. Bankruptcy Code or any analogous provisions in any other country or jurisdiction, licenses of right to “intellectual property” as defined under Section 101 of the U.S. Bankruptcy Code. The Parties agree that the Parties, as licensees of such rights under this Agreement, shall retain and may fully exercise all of their rights and elections under the U.S. Bankruptcy Code or any analogous provisions in any other country or jurisdiction. The Parties further agree that, in the event of the commencement of a bankruptcy proceeding by or against either Party under the U.S. Bankruptcy Code or any analogous provisions in any other country or jurisdiction, the Party hereto that is not a Party to such proceeding shall be entitled to a complete duplicate of (or complete access to, as appropriate) any such intellectual property and all embodiments of such intellectual property, which, if not already in the non-subject Party’s possession, shall be promptly delivered to it (i) upon any such commencement of a bankruptcy proceeding upon the non-subject Party’s written request therefor, unless the Party subject to such proceeding elects to continue to perform all of its obligations under this Agreement or (ii) if not delivered under clause (i) above, following the rejection of this Agreement by or on behalf of the Party subject to such proceeding upon written request therefor by the non-subject Party. The Parties acknowledge and agree that payments made under Section 9.1 and Section 9.2 or pursuant to the Co-Promotion Agreement shall not (x) constitute royalties within the meaning of Section 365(n) of the U.S. Bankruptcy Code or any analogous provisions in any other country or jurisdiction or (y) relate to licenses of intellectual property hereunder.</w:t>
      </w:r>
    </w:p>
    <w:p>
      <w:pPr>
        <w:spacing w:after="0" w:line="164" w:lineRule="exact"/>
        <w:rPr>
          <w:sz w:val="20"/>
          <w:szCs w:val="20"/>
          <w:color w:val="auto"/>
        </w:rPr>
      </w:pPr>
    </w:p>
    <w:p>
      <w:pPr>
        <w:ind w:right="460" w:firstLine="440"/>
        <w:spacing w:after="0" w:line="282" w:lineRule="auto"/>
        <w:rPr>
          <w:sz w:val="20"/>
          <w:szCs w:val="20"/>
          <w:color w:val="auto"/>
        </w:rPr>
      </w:pPr>
      <w:r>
        <w:rPr>
          <w:rFonts w:ascii="Arial" w:cs="Arial" w:eastAsia="Arial" w:hAnsi="Arial"/>
          <w:sz w:val="18"/>
          <w:szCs w:val="18"/>
          <w:b w:val="1"/>
          <w:bCs w:val="1"/>
          <w:color w:val="auto"/>
        </w:rPr>
        <w:t>15.8 No Action</w:t>
      </w:r>
      <w:r>
        <w:rPr>
          <w:rFonts w:ascii="Arial" w:cs="Arial" w:eastAsia="Arial" w:hAnsi="Arial"/>
          <w:sz w:val="18"/>
          <w:szCs w:val="18"/>
          <w:color w:val="auto"/>
        </w:rPr>
        <w:t>. In no event shall either Party be obligated under the Agreement to take any action or omit to take any action that such Party</w:t>
      </w:r>
      <w:r>
        <w:rPr>
          <w:rFonts w:ascii="Arial" w:cs="Arial" w:eastAsia="Arial" w:hAnsi="Arial"/>
          <w:sz w:val="18"/>
          <w:szCs w:val="18"/>
          <w:b w:val="1"/>
          <w:bCs w:val="1"/>
          <w:color w:val="auto"/>
        </w:rPr>
        <w:t xml:space="preserve"> </w:t>
      </w:r>
      <w:r>
        <w:rPr>
          <w:rFonts w:ascii="Arial" w:cs="Arial" w:eastAsia="Arial" w:hAnsi="Arial"/>
          <w:sz w:val="18"/>
          <w:szCs w:val="18"/>
          <w:color w:val="auto"/>
        </w:rPr>
        <w:t>believes, in good faith, would cause it to be in violation of any Applicable Law.</w:t>
      </w:r>
    </w:p>
    <w:p>
      <w:pPr>
        <w:spacing w:after="0" w:line="162" w:lineRule="exact"/>
        <w:rPr>
          <w:sz w:val="20"/>
          <w:szCs w:val="20"/>
          <w:color w:val="auto"/>
        </w:rPr>
      </w:pPr>
    </w:p>
    <w:p>
      <w:pPr>
        <w:ind w:right="240" w:firstLine="440"/>
        <w:spacing w:after="0" w:line="294" w:lineRule="auto"/>
        <w:rPr>
          <w:sz w:val="20"/>
          <w:szCs w:val="20"/>
          <w:color w:val="auto"/>
        </w:rPr>
      </w:pPr>
      <w:r>
        <w:rPr>
          <w:rFonts w:ascii="Arial" w:cs="Arial" w:eastAsia="Arial" w:hAnsi="Arial"/>
          <w:sz w:val="16"/>
          <w:szCs w:val="16"/>
          <w:b w:val="1"/>
          <w:bCs w:val="1"/>
          <w:color w:val="auto"/>
        </w:rPr>
        <w:t>15.9 Entire Agreement; Amendments</w:t>
      </w:r>
      <w:r>
        <w:rPr>
          <w:rFonts w:ascii="Arial" w:cs="Arial" w:eastAsia="Arial" w:hAnsi="Arial"/>
          <w:sz w:val="16"/>
          <w:szCs w:val="16"/>
          <w:color w:val="auto"/>
        </w:rPr>
        <w:t>. This Agreement, together with the Correspondence and the Exhibits hereto and thereto, contains the</w:t>
      </w:r>
      <w:r>
        <w:rPr>
          <w:rFonts w:ascii="Arial" w:cs="Arial" w:eastAsia="Arial" w:hAnsi="Arial"/>
          <w:sz w:val="16"/>
          <w:szCs w:val="16"/>
          <w:b w:val="1"/>
          <w:bCs w:val="1"/>
          <w:color w:val="auto"/>
        </w:rPr>
        <w:t xml:space="preserve"> </w:t>
      </w:r>
      <w:r>
        <w:rPr>
          <w:rFonts w:ascii="Arial" w:cs="Arial" w:eastAsia="Arial" w:hAnsi="Arial"/>
          <w:sz w:val="16"/>
          <w:szCs w:val="16"/>
          <w:color w:val="auto"/>
        </w:rPr>
        <w:t>entire understanding of the Parties with respect to the collaboration and the licenses granted hereunder. Any other express or implied agreements and understandings, negotiations, writings and commitments, either oral or written, in respect to the collaboration and the licenses granted hereunder are superseded by the terms of this Agreement. The Exhibits to this Agreement and the Correspondence are incorporated herein by reference and shall be deemed a part of this Agreement. This Agreement may be amended, or any term hereof modified, only by a written instrument duly executed by authorized representatives of both Parties hereto. The Parties agree that, effective as of the Effective Date,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00"/>
          </w:cols>
          <w:pgMar w:left="440" w:top="274" w:right="459" w:bottom="1440" w:gutter="0" w:footer="0" w:header="0"/>
        </w:sectPr>
      </w:pPr>
    </w:p>
    <w:bookmarkStart w:id="369" w:name="page370"/>
    <w:bookmarkEnd w:id="369"/>
    <w:p>
      <w:pPr>
        <w:ind w:right="2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certain Confidentiality Agreement between an Affiliate of Sanofi and RevMed dated as of June 21, 2017, as amended (“</w:t>
      </w:r>
      <w:r>
        <w:rPr>
          <w:rFonts w:ascii="Arial" w:cs="Arial" w:eastAsia="Arial" w:hAnsi="Arial"/>
          <w:sz w:val="18"/>
          <w:szCs w:val="18"/>
          <w:b w:val="1"/>
          <w:bCs w:val="1"/>
          <w:color w:val="auto"/>
        </w:rPr>
        <w:t>Confidentiality</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shall be superseded by this Agreement, and that disclosures made prior to the Effective Date pursuant to the Confidentiality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subject to Article XI.</w:t>
      </w:r>
    </w:p>
    <w:p>
      <w:pPr>
        <w:spacing w:after="0" w:line="176" w:lineRule="exact"/>
        <w:rPr>
          <w:sz w:val="20"/>
          <w:szCs w:val="20"/>
          <w:color w:val="auto"/>
        </w:rPr>
      </w:pPr>
    </w:p>
    <w:p>
      <w:pPr>
        <w:ind w:right="120" w:firstLine="440"/>
        <w:spacing w:after="0" w:line="281" w:lineRule="auto"/>
        <w:rPr>
          <w:sz w:val="20"/>
          <w:szCs w:val="20"/>
          <w:color w:val="auto"/>
        </w:rPr>
      </w:pPr>
      <w:r>
        <w:rPr>
          <w:rFonts w:ascii="Arial" w:cs="Arial" w:eastAsia="Arial" w:hAnsi="Arial"/>
          <w:sz w:val="17"/>
          <w:szCs w:val="17"/>
          <w:b w:val="1"/>
          <w:bCs w:val="1"/>
          <w:color w:val="auto"/>
        </w:rPr>
        <w:t>15.10 Exhibits/Ancillary Agreements</w:t>
      </w:r>
      <w:r>
        <w:rPr>
          <w:rFonts w:ascii="Arial" w:cs="Arial" w:eastAsia="Arial" w:hAnsi="Arial"/>
          <w:sz w:val="17"/>
          <w:szCs w:val="17"/>
          <w:color w:val="auto"/>
        </w:rPr>
        <w:t>. In the event there is a conflict or inconsistency between or among the terms of this Agreement, the terms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Correspondence, the terms of any Exhibit hereto or thereto, or the terms of any Ancillary Agreement, the order of precedence for resolution of such conflict or inconsistency in descending order shall be as follows: (i) this Agreement, (ii) the Correspondence, (iii) any Exhibit or Schedule of this Agreement or the Correspondence; (iii) any Ancillary Agreement; and (iv) any exhibit or schedule of any Ancillary Agreement.</w:t>
      </w:r>
    </w:p>
    <w:p>
      <w:pPr>
        <w:spacing w:after="0" w:line="165"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15.11 Headings</w:t>
      </w:r>
      <w:r>
        <w:rPr>
          <w:rFonts w:ascii="Arial" w:cs="Arial" w:eastAsia="Arial" w:hAnsi="Arial"/>
          <w:sz w:val="18"/>
          <w:szCs w:val="18"/>
          <w:color w:val="auto"/>
        </w:rPr>
        <w:t>. The captions to the several Articles, Sections, subsections and Exhibits hereof are not a part of this Agreement, but are merely for</w:t>
      </w:r>
      <w:r>
        <w:rPr>
          <w:rFonts w:ascii="Arial" w:cs="Arial" w:eastAsia="Arial" w:hAnsi="Arial"/>
          <w:sz w:val="18"/>
          <w:szCs w:val="18"/>
          <w:b w:val="1"/>
          <w:bCs w:val="1"/>
          <w:color w:val="auto"/>
        </w:rPr>
        <w:t xml:space="preserve"> </w:t>
      </w:r>
      <w:r>
        <w:rPr>
          <w:rFonts w:ascii="Arial" w:cs="Arial" w:eastAsia="Arial" w:hAnsi="Arial"/>
          <w:sz w:val="18"/>
          <w:szCs w:val="18"/>
          <w:color w:val="auto"/>
        </w:rPr>
        <w:t>convenience to assist in locating and reading the several Articles, Sections, subsections and Exhibits hereof.</w:t>
      </w:r>
    </w:p>
    <w:p>
      <w:pPr>
        <w:spacing w:after="0" w:line="162" w:lineRule="exact"/>
        <w:rPr>
          <w:sz w:val="20"/>
          <w:szCs w:val="20"/>
          <w:color w:val="auto"/>
        </w:rPr>
      </w:pPr>
    </w:p>
    <w:p>
      <w:pPr>
        <w:ind w:right="420" w:firstLine="440"/>
        <w:spacing w:after="0" w:line="261" w:lineRule="auto"/>
        <w:rPr>
          <w:sz w:val="20"/>
          <w:szCs w:val="20"/>
          <w:color w:val="auto"/>
        </w:rPr>
      </w:pPr>
      <w:r>
        <w:rPr>
          <w:rFonts w:ascii="Arial" w:cs="Arial" w:eastAsia="Arial" w:hAnsi="Arial"/>
          <w:sz w:val="18"/>
          <w:szCs w:val="18"/>
          <w:b w:val="1"/>
          <w:bCs w:val="1"/>
          <w:color w:val="auto"/>
        </w:rPr>
        <w:t>15.12 Independent Contractors</w:t>
      </w:r>
      <w:r>
        <w:rPr>
          <w:rFonts w:ascii="Arial" w:cs="Arial" w:eastAsia="Arial" w:hAnsi="Arial"/>
          <w:sz w:val="18"/>
          <w:szCs w:val="18"/>
          <w:color w:val="auto"/>
        </w:rPr>
        <w:t>. It is expressly agreed that RevMed and Sanofi shall be independent contractors and that the relationship</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the two Parties shall not constitute a partnership, joint venture or agency. Neither RevMed nor Sanofi shall have the authority to make any statements, representations or commitments of any kind, or to take any action, which shall be binding on the other Party, without the prior written consent of the other Party.</w:t>
      </w:r>
    </w:p>
    <w:p>
      <w:pPr>
        <w:spacing w:after="0" w:line="180"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b w:val="1"/>
          <w:bCs w:val="1"/>
          <w:color w:val="auto"/>
        </w:rPr>
        <w:t>15.13 Waiver</w:t>
      </w:r>
      <w:r>
        <w:rPr>
          <w:rFonts w:ascii="Arial" w:cs="Arial" w:eastAsia="Arial" w:hAnsi="Arial"/>
          <w:sz w:val="18"/>
          <w:szCs w:val="18"/>
          <w:color w:val="auto"/>
        </w:rPr>
        <w:t>. The waiver by either Party hereto of any right hereunder, or of any failure of the other Party to perform, or of any breach by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Party, shall not be deemed a waiver of any other right hereunder or of any other breach by or failure of such other Party whether of a similar nature or otherwise.</w:t>
      </w:r>
    </w:p>
    <w:p>
      <w:pPr>
        <w:spacing w:after="0" w:line="176"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15.14 Cumulative Remedies</w:t>
      </w:r>
      <w:r>
        <w:rPr>
          <w:rFonts w:ascii="Arial" w:cs="Arial" w:eastAsia="Arial" w:hAnsi="Arial"/>
          <w:sz w:val="18"/>
          <w:szCs w:val="18"/>
          <w:color w:val="auto"/>
        </w:rPr>
        <w:t>. No remedy referred to in this Agreement is intended to be exclusive, but each shall be cumulative and in addition to</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remedy referred to in this Agreement or otherwise available under law.</w:t>
      </w:r>
    </w:p>
    <w:p>
      <w:pPr>
        <w:spacing w:after="0" w:line="162" w:lineRule="exact"/>
        <w:rPr>
          <w:sz w:val="20"/>
          <w:szCs w:val="20"/>
          <w:color w:val="auto"/>
        </w:rPr>
      </w:pPr>
    </w:p>
    <w:p>
      <w:pPr>
        <w:jc w:val="both"/>
        <w:ind w:right="180" w:firstLine="440"/>
        <w:spacing w:after="0" w:line="266" w:lineRule="auto"/>
        <w:rPr>
          <w:sz w:val="20"/>
          <w:szCs w:val="20"/>
          <w:color w:val="auto"/>
        </w:rPr>
      </w:pPr>
      <w:r>
        <w:rPr>
          <w:rFonts w:ascii="Arial" w:cs="Arial" w:eastAsia="Arial" w:hAnsi="Arial"/>
          <w:sz w:val="18"/>
          <w:szCs w:val="18"/>
          <w:b w:val="1"/>
          <w:bCs w:val="1"/>
          <w:color w:val="auto"/>
        </w:rPr>
        <w:t>15.15 Waiver of Rule of Construction</w:t>
      </w:r>
      <w:r>
        <w:rPr>
          <w:rFonts w:ascii="Arial" w:cs="Arial" w:eastAsia="Arial" w:hAnsi="Arial"/>
          <w:sz w:val="18"/>
          <w:szCs w:val="18"/>
          <w:color w:val="auto"/>
        </w:rPr>
        <w:t>. Each Party has had the opportunity to consult with counsel in connection with the review, drafting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negotiation of this Agreement. Accordingly, the rule of construction that any ambiguity in this Agreement shall be construed against the drafting Party shall not apply.</w:t>
      </w:r>
    </w:p>
    <w:p>
      <w:pPr>
        <w:spacing w:after="0" w:line="176" w:lineRule="exact"/>
        <w:rPr>
          <w:sz w:val="20"/>
          <w:szCs w:val="20"/>
          <w:color w:val="auto"/>
        </w:rPr>
      </w:pPr>
    </w:p>
    <w:p>
      <w:pPr>
        <w:ind w:right="520" w:firstLine="440"/>
        <w:spacing w:after="0" w:line="266" w:lineRule="auto"/>
        <w:rPr>
          <w:sz w:val="20"/>
          <w:szCs w:val="20"/>
          <w:color w:val="auto"/>
        </w:rPr>
      </w:pPr>
      <w:r>
        <w:rPr>
          <w:rFonts w:ascii="Arial" w:cs="Arial" w:eastAsia="Arial" w:hAnsi="Arial"/>
          <w:sz w:val="18"/>
          <w:szCs w:val="18"/>
          <w:b w:val="1"/>
          <w:bCs w:val="1"/>
          <w:color w:val="auto"/>
        </w:rPr>
        <w:t>15.16 Business Day Requirements</w:t>
      </w:r>
      <w:r>
        <w:rPr>
          <w:rFonts w:ascii="Arial" w:cs="Arial" w:eastAsia="Arial" w:hAnsi="Arial"/>
          <w:sz w:val="18"/>
          <w:szCs w:val="18"/>
          <w:color w:val="auto"/>
        </w:rPr>
        <w:t>. In the event that any notice or other action or omission is required to be taken by a Party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on a day that is not a Business Day then such notice or other action or omission shall be deemed to be required to be taken on the next occurring Business Day.</w:t>
      </w:r>
    </w:p>
    <w:p>
      <w:pPr>
        <w:spacing w:after="0" w:line="176" w:lineRule="exact"/>
        <w:rPr>
          <w:sz w:val="20"/>
          <w:szCs w:val="20"/>
          <w:color w:val="auto"/>
        </w:rPr>
      </w:pPr>
    </w:p>
    <w:p>
      <w:pPr>
        <w:ind w:right="40" w:firstLine="440"/>
        <w:spacing w:after="0" w:line="261" w:lineRule="auto"/>
        <w:rPr>
          <w:sz w:val="20"/>
          <w:szCs w:val="20"/>
          <w:color w:val="auto"/>
        </w:rPr>
      </w:pPr>
      <w:r>
        <w:rPr>
          <w:rFonts w:ascii="Arial" w:cs="Arial" w:eastAsia="Arial" w:hAnsi="Arial"/>
          <w:sz w:val="18"/>
          <w:szCs w:val="18"/>
          <w:b w:val="1"/>
          <w:bCs w:val="1"/>
          <w:color w:val="auto"/>
        </w:rPr>
        <w:t>15.17 Translations</w:t>
      </w:r>
      <w:r>
        <w:rPr>
          <w:rFonts w:ascii="Arial" w:cs="Arial" w:eastAsia="Arial" w:hAnsi="Arial"/>
          <w:sz w:val="18"/>
          <w:szCs w:val="18"/>
          <w:color w:val="auto"/>
        </w:rPr>
        <w:t>. This Agreement is in the English language only, which language shall be controlling in all respects, and all versions hereof in</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language shall be for accommodation only and shall not be binding upon the Parties. All communications and notices to be made or given pursuant to this Agreement, and any dispute proceeding related to or arising hereunder, shall be in the English language. If there is a discrepancy between any translation of this Agreement and this Agreement, this Agreement shall prevail.</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00"/>
          </w:cols>
          <w:pgMar w:left="440" w:top="270" w:right="459" w:bottom="1440" w:gutter="0" w:footer="0" w:header="0"/>
        </w:sectPr>
      </w:pPr>
    </w:p>
    <w:bookmarkStart w:id="370" w:name="page371"/>
    <w:bookmarkEnd w:id="370"/>
    <w:p>
      <w:pPr>
        <w:ind w:right="48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15.18 Further Actions</w:t>
      </w:r>
      <w:r>
        <w:rPr>
          <w:rFonts w:ascii="Arial" w:cs="Arial" w:eastAsia="Arial" w:hAnsi="Arial"/>
          <w:sz w:val="18"/>
          <w:szCs w:val="18"/>
          <w:color w:val="auto"/>
        </w:rPr>
        <w:t>. Each Party agrees to execute, acknowledge and deliver such further instruments, and to do all such other acts, as</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or appropriate in order to carry out the purposes and intent of this Agreement.</w:t>
      </w:r>
    </w:p>
    <w:p>
      <w:pPr>
        <w:spacing w:after="0" w:line="162"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15.19 Counterparts</w:t>
      </w:r>
      <w:r>
        <w:rPr>
          <w:rFonts w:ascii="Arial" w:cs="Arial" w:eastAsia="Arial" w:hAnsi="Arial"/>
          <w:sz w:val="18"/>
          <w:szCs w:val="18"/>
          <w:color w:val="auto"/>
        </w:rPr>
        <w:t>. This Agreement may be executed in two or more counterparts by original signature, facsimile or PDF files, each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deemed an original, but all of which together shall constitute one and the same instrument.</w:t>
      </w:r>
    </w:p>
    <w:p>
      <w:pPr>
        <w:spacing w:after="0" w:line="16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780"/>
          </w:cols>
          <w:pgMar w:left="440" w:top="270" w:right="679" w:bottom="1440" w:gutter="0" w:footer="0" w:header="0"/>
        </w:sectPr>
      </w:pPr>
    </w:p>
    <w:bookmarkStart w:id="371" w:name="page372"/>
    <w:bookmarkEnd w:id="371"/>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intending to be bound have caused this Collaborative Research, Development and Commercialization Agreement to be executed by their duly authorized representatives as of the Effective Date.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Revolution Medicines, Inc.</w:t>
            </w:r>
          </w:p>
        </w:tc>
        <w:tc>
          <w:tcPr>
            <w:tcW w:w="3700" w:type="dxa"/>
            <w:vAlign w:val="bottom"/>
            <w:gridSpan w:val="2"/>
          </w:tcPr>
          <w:p>
            <w:pPr>
              <w:ind w:left="1240"/>
              <w:spacing w:after="0"/>
              <w:rPr>
                <w:sz w:val="20"/>
                <w:szCs w:val="20"/>
                <w:color w:val="auto"/>
              </w:rPr>
            </w:pPr>
            <w:r>
              <w:rPr>
                <w:rFonts w:ascii="Arial" w:cs="Arial" w:eastAsia="Arial" w:hAnsi="Arial"/>
                <w:sz w:val="18"/>
                <w:szCs w:val="18"/>
                <w:b w:val="1"/>
                <w:bCs w:val="1"/>
                <w:color w:val="auto"/>
              </w:rPr>
              <w:t>Aventis, Inc.</w:t>
            </w:r>
          </w:p>
        </w:tc>
      </w:tr>
      <w:tr>
        <w:trPr>
          <w:trHeight w:val="418"/>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Pr>
          <w:p>
            <w:pPr>
              <w:ind w:left="80"/>
              <w:spacing w:after="0"/>
              <w:rPr>
                <w:sz w:val="20"/>
                <w:szCs w:val="20"/>
                <w:color w:val="auto"/>
              </w:rPr>
            </w:pPr>
            <w:r>
              <w:rPr>
                <w:rFonts w:ascii="Arial" w:cs="Arial" w:eastAsia="Arial" w:hAnsi="Arial"/>
                <w:sz w:val="18"/>
                <w:szCs w:val="18"/>
                <w:color w:val="auto"/>
              </w:rPr>
              <w:t>/s/ Mark A. Goldsmith, M.D., Ph.D.</w:t>
            </w:r>
          </w:p>
        </w:tc>
        <w:tc>
          <w:tcPr>
            <w:tcW w:w="1700" w:type="dxa"/>
            <w:vAlign w:val="bottom"/>
          </w:tcPr>
          <w:p>
            <w:pPr>
              <w:ind w:left="1240"/>
              <w:spacing w:after="0"/>
              <w:rPr>
                <w:sz w:val="20"/>
                <w:szCs w:val="20"/>
                <w:color w:val="auto"/>
              </w:rPr>
            </w:pPr>
            <w:r>
              <w:rPr>
                <w:rFonts w:ascii="Arial" w:cs="Arial" w:eastAsia="Arial" w:hAnsi="Arial"/>
                <w:sz w:val="18"/>
                <w:szCs w:val="18"/>
                <w:color w:val="auto"/>
              </w:rPr>
              <w:t>By:</w:t>
            </w:r>
          </w:p>
        </w:tc>
        <w:tc>
          <w:tcPr>
            <w:tcW w:w="2000" w:type="dxa"/>
            <w:vAlign w:val="bottom"/>
          </w:tcPr>
          <w:p>
            <w:pPr>
              <w:ind w:left="80"/>
              <w:spacing w:after="0"/>
              <w:rPr>
                <w:sz w:val="20"/>
                <w:szCs w:val="20"/>
                <w:color w:val="auto"/>
              </w:rPr>
            </w:pPr>
            <w:r>
              <w:rPr>
                <w:rFonts w:ascii="Arial" w:cs="Arial" w:eastAsia="Arial" w:hAnsi="Arial"/>
                <w:sz w:val="18"/>
                <w:szCs w:val="18"/>
                <w:color w:val="auto"/>
                <w:w w:val="90"/>
              </w:rPr>
              <w:t>/s/ Douglas J. McCormack</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Name: Mark A. Goldsmith, M.D., Ph.D.</w:t>
            </w:r>
          </w:p>
        </w:tc>
        <w:tc>
          <w:tcPr>
            <w:tcW w:w="3700" w:type="dxa"/>
            <w:vAlign w:val="bottom"/>
            <w:gridSpan w:val="2"/>
          </w:tcPr>
          <w:p>
            <w:pPr>
              <w:ind w:left="1240"/>
              <w:spacing w:after="0"/>
              <w:rPr>
                <w:sz w:val="20"/>
                <w:szCs w:val="20"/>
                <w:color w:val="auto"/>
              </w:rPr>
            </w:pPr>
            <w:r>
              <w:rPr>
                <w:rFonts w:ascii="Arial" w:cs="Arial" w:eastAsia="Arial" w:hAnsi="Arial"/>
                <w:sz w:val="18"/>
                <w:szCs w:val="18"/>
                <w:color w:val="auto"/>
                <w:w w:val="99"/>
              </w:rPr>
              <w:t>Name: Douglas J. McCormack</w:t>
            </w: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ind w:left="80"/>
              <w:spacing w:after="0"/>
              <w:rPr>
                <w:sz w:val="20"/>
                <w:szCs w:val="20"/>
                <w:color w:val="auto"/>
              </w:rPr>
            </w:pPr>
            <w:r>
              <w:rPr>
                <w:rFonts w:ascii="Arial" w:cs="Arial" w:eastAsia="Arial" w:hAnsi="Arial"/>
                <w:sz w:val="18"/>
                <w:szCs w:val="18"/>
                <w:color w:val="auto"/>
              </w:rPr>
              <w:t>President &amp; Chief Executive Officer</w:t>
            </w:r>
          </w:p>
        </w:tc>
        <w:tc>
          <w:tcPr>
            <w:tcW w:w="1700" w:type="dxa"/>
            <w:vAlign w:val="bottom"/>
          </w:tcPr>
          <w:p>
            <w:pPr>
              <w:ind w:left="1240"/>
              <w:spacing w:after="0"/>
              <w:rPr>
                <w:sz w:val="20"/>
                <w:szCs w:val="20"/>
                <w:color w:val="auto"/>
              </w:rPr>
            </w:pPr>
            <w:r>
              <w:rPr>
                <w:rFonts w:ascii="Arial" w:cs="Arial" w:eastAsia="Arial" w:hAnsi="Arial"/>
                <w:sz w:val="18"/>
                <w:szCs w:val="18"/>
                <w:color w:val="auto"/>
              </w:rPr>
              <w:t>Title:</w:t>
            </w:r>
          </w:p>
        </w:tc>
        <w:tc>
          <w:tcPr>
            <w:tcW w:w="2000" w:type="dxa"/>
            <w:vAlign w:val="bottom"/>
          </w:tcPr>
          <w:p>
            <w:pPr>
              <w:ind w:left="60"/>
              <w:spacing w:after="0"/>
              <w:rPr>
                <w:sz w:val="20"/>
                <w:szCs w:val="20"/>
                <w:color w:val="auto"/>
              </w:rPr>
            </w:pPr>
            <w:r>
              <w:rPr>
                <w:rFonts w:ascii="Arial" w:cs="Arial" w:eastAsia="Arial" w:hAnsi="Arial"/>
                <w:sz w:val="18"/>
                <w:szCs w:val="18"/>
                <w:color w:val="auto"/>
              </w:rPr>
              <w:t>Vice President</w:t>
            </w:r>
          </w:p>
        </w:tc>
      </w:tr>
    </w:tbl>
    <w:p>
      <w:pPr>
        <w:spacing w:after="0" w:line="1" w:lineRule="exact"/>
        <w:rPr>
          <w:sz w:val="20"/>
          <w:szCs w:val="20"/>
          <w:color w:val="auto"/>
        </w:rPr>
      </w:pPr>
    </w:p>
    <w:sectPr>
      <w:pgSz w:w="11900" w:h="16838" w:orient="portrait"/>
      <w:cols w:equalWidth="0" w:num="1">
        <w:col w:w="10560"/>
      </w:cols>
      <w:pgMar w:left="440" w:top="274"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915FF32"/>
    <w:multiLevelType w:val="hybridMultilevel"/>
    <w:lvl w:ilvl="0">
      <w:lvlJc w:val="left"/>
      <w:lvlText w:val="(%1)"/>
      <w:numFmt w:val="decimal"/>
      <w:start w:val="1"/>
    </w:lvl>
  </w:abstractNum>
  <w:abstractNum w:abstractNumId="1">
    <w:nsid w:val="56438D15"/>
    <w:multiLevelType w:val="hybridMultilevel"/>
    <w:lvl w:ilvl="0">
      <w:lvlJc w:val="left"/>
      <w:lvlText w:val="(%1)"/>
      <w:numFmt w:val="decimal"/>
      <w:start w:val="1"/>
    </w:lvl>
  </w:abstractNum>
  <w:abstractNum w:abstractNumId="2">
    <w:nsid w:val="519E3149"/>
    <w:multiLevelType w:val="hybridMultilevel"/>
    <w:lvl w:ilvl="0">
      <w:lvlJc w:val="left"/>
      <w:lvlText w:val="•"/>
      <w:numFmt w:val="bullet"/>
      <w:start w:val="1"/>
    </w:lvl>
  </w:abstractNum>
  <w:abstractNum w:abstractNumId="3">
    <w:nsid w:val="2C6E4AFD"/>
    <w:multiLevelType w:val="hybridMultilevel"/>
    <w:lvl w:ilvl="0">
      <w:lvlJc w:val="left"/>
      <w:lvlText w:val="•"/>
      <w:numFmt w:val="bullet"/>
      <w:start w:val="1"/>
    </w:lvl>
  </w:abstractNum>
  <w:abstractNum w:abstractNumId="4">
    <w:nsid w:val="17A1B582"/>
    <w:multiLevelType w:val="hybridMultilevel"/>
    <w:lvl w:ilvl="0">
      <w:lvlJc w:val="left"/>
      <w:lvlText w:val="•"/>
      <w:numFmt w:val="bullet"/>
      <w:start w:val="1"/>
    </w:lvl>
  </w:abstractNum>
  <w:abstractNum w:abstractNumId="5">
    <w:nsid w:val="4DF72E4E"/>
    <w:multiLevelType w:val="hybridMultilevel"/>
    <w:lvl w:ilvl="0">
      <w:lvlJc w:val="left"/>
      <w:lvlText w:val="•"/>
      <w:numFmt w:val="bullet"/>
      <w:start w:val="1"/>
    </w:lvl>
  </w:abstractNum>
  <w:abstractNum w:abstractNumId="6">
    <w:nsid w:val="5046B5A9"/>
    <w:multiLevelType w:val="hybridMultilevel"/>
    <w:lvl w:ilvl="0">
      <w:lvlJc w:val="left"/>
      <w:lvlText w:val="•"/>
      <w:numFmt w:val="bullet"/>
      <w:start w:val="1"/>
    </w:lvl>
  </w:abstractNum>
  <w:abstractNum w:abstractNumId="7">
    <w:nsid w:val="5D888A08"/>
    <w:multiLevelType w:val="hybridMultilevel"/>
    <w:lvl w:ilvl="0">
      <w:lvlJc w:val="left"/>
      <w:lvlText w:val="•"/>
      <w:numFmt w:val="bullet"/>
      <w:start w:val="1"/>
    </w:lvl>
  </w:abstractNum>
  <w:abstractNum w:abstractNumId="8">
    <w:nsid w:val="2A082C70"/>
    <w:multiLevelType w:val="hybridMultilevel"/>
    <w:lvl w:ilvl="0">
      <w:lvlJc w:val="left"/>
      <w:lvlText w:val="•"/>
      <w:numFmt w:val="bullet"/>
      <w:start w:val="1"/>
    </w:lvl>
  </w:abstractNum>
  <w:abstractNum w:abstractNumId="9">
    <w:nsid w:val="5EC6AFD4"/>
    <w:multiLevelType w:val="hybridMultilevel"/>
    <w:lvl w:ilvl="0">
      <w:lvlJc w:val="left"/>
      <w:lvlText w:val="•"/>
      <w:numFmt w:val="bullet"/>
      <w:start w:val="1"/>
    </w:lvl>
  </w:abstractNum>
  <w:abstractNum w:abstractNumId="10">
    <w:nsid w:val="19E21BB2"/>
    <w:multiLevelType w:val="hybridMultilevel"/>
    <w:lvl w:ilvl="0">
      <w:lvlJc w:val="left"/>
      <w:lvlText w:val="(%1)"/>
      <w:numFmt w:val="decimal"/>
      <w:start w:val="1"/>
    </w:lvl>
  </w:abstractNum>
  <w:abstractNum w:abstractNumId="11">
    <w:nsid w:val="75E0858A"/>
    <w:multiLevelType w:val="hybridMultilevel"/>
    <w:lvl w:ilvl="0">
      <w:lvlJc w:val="left"/>
      <w:lvlText w:val="•"/>
      <w:numFmt w:val="bullet"/>
      <w:start w:val="1"/>
    </w:lvl>
  </w:abstractNum>
  <w:abstractNum w:abstractNumId="12">
    <w:nsid w:val="57A61A29"/>
    <w:multiLevelType w:val="hybridMultilevel"/>
    <w:lvl w:ilvl="0">
      <w:lvlJc w:val="left"/>
      <w:lvlText w:val="•"/>
      <w:numFmt w:val="bullet"/>
      <w:start w:val="1"/>
    </w:lvl>
  </w:abstractNum>
  <w:abstractNum w:abstractNumId="13">
    <w:nsid w:val="5399C654"/>
    <w:multiLevelType w:val="hybridMultilevel"/>
    <w:lvl w:ilvl="0">
      <w:lvlJc w:val="left"/>
      <w:lvlText w:val="•"/>
      <w:numFmt w:val="bullet"/>
      <w:start w:val="1"/>
    </w:lvl>
  </w:abstractNum>
  <w:abstractNum w:abstractNumId="14">
    <w:nsid w:val="20EE1348"/>
    <w:multiLevelType w:val="hybridMultilevel"/>
    <w:lvl w:ilvl="0">
      <w:lvlJc w:val="left"/>
      <w:lvlText w:val="•"/>
      <w:numFmt w:val="bullet"/>
      <w:start w:val="1"/>
    </w:lvl>
  </w:abstractNum>
  <w:abstractNum w:abstractNumId="15">
    <w:nsid w:val="4427069A"/>
    <w:multiLevelType w:val="hybridMultilevel"/>
    <w:lvl w:ilvl="0">
      <w:lvlJc w:val="left"/>
      <w:lvlText w:val="•"/>
      <w:numFmt w:val="bullet"/>
      <w:start w:val="1"/>
    </w:lvl>
  </w:abstractNum>
  <w:abstractNum w:abstractNumId="16">
    <w:nsid w:val="B37E80A"/>
    <w:multiLevelType w:val="hybridMultilevel"/>
    <w:lvl w:ilvl="0">
      <w:lvlJc w:val="left"/>
      <w:lvlText w:val="•"/>
      <w:numFmt w:val="bullet"/>
      <w:start w:val="1"/>
    </w:lvl>
  </w:abstractNum>
  <w:abstractNum w:abstractNumId="17">
    <w:nsid w:val="2157F6BC"/>
    <w:multiLevelType w:val="hybridMultilevel"/>
    <w:lvl w:ilvl="0">
      <w:lvlJc w:val="left"/>
      <w:lvlText w:val="•"/>
      <w:numFmt w:val="bullet"/>
      <w:start w:val="1"/>
    </w:lvl>
  </w:abstractNum>
  <w:abstractNum w:abstractNumId="18">
    <w:nsid w:val="704E1DD5"/>
    <w:multiLevelType w:val="hybridMultilevel"/>
    <w:lvl w:ilvl="0">
      <w:lvlJc w:val="left"/>
      <w:lvlText w:val="•"/>
      <w:numFmt w:val="bullet"/>
      <w:start w:val="1"/>
    </w:lvl>
  </w:abstractNum>
  <w:abstractNum w:abstractNumId="19">
    <w:nsid w:val="57D2F10E"/>
    <w:multiLevelType w:val="hybridMultilevel"/>
    <w:lvl w:ilvl="0">
      <w:lvlJc w:val="left"/>
      <w:lvlText w:val="•"/>
      <w:numFmt w:val="bullet"/>
      <w:start w:val="1"/>
    </w:lvl>
  </w:abstractNum>
  <w:abstractNum w:abstractNumId="20">
    <w:nsid w:val="BFFAE18"/>
    <w:multiLevelType w:val="hybridMultilevel"/>
    <w:lvl w:ilvl="0">
      <w:lvlJc w:val="left"/>
      <w:lvlText w:val="•"/>
      <w:numFmt w:val="bullet"/>
      <w:start w:val="1"/>
    </w:lvl>
  </w:abstractNum>
  <w:abstractNum w:abstractNumId="21">
    <w:nsid w:val="E3E47A8"/>
    <w:multiLevelType w:val="hybridMultilevel"/>
    <w:lvl w:ilvl="0">
      <w:lvlJc w:val="left"/>
      <w:lvlText w:val="•"/>
      <w:numFmt w:val="bullet"/>
      <w:start w:val="1"/>
    </w:lvl>
  </w:abstractNum>
  <w:abstractNum w:abstractNumId="22">
    <w:nsid w:val="2E48F044"/>
    <w:multiLevelType w:val="hybridMultilevel"/>
    <w:lvl w:ilvl="0">
      <w:lvlJc w:val="left"/>
      <w:lvlText w:val="•"/>
      <w:numFmt w:val="bullet"/>
      <w:start w:val="1"/>
    </w:lvl>
  </w:abstractNum>
  <w:abstractNum w:abstractNumId="23">
    <w:nsid w:val="49D0FEAC"/>
    <w:multiLevelType w:val="hybridMultilevel"/>
    <w:lvl w:ilvl="0">
      <w:lvlJc w:val="left"/>
      <w:lvlText w:val="•"/>
      <w:numFmt w:val="bullet"/>
      <w:start w:val="1"/>
    </w:lvl>
  </w:abstractNum>
  <w:abstractNum w:abstractNumId="24">
    <w:nsid w:val="4BEE5A5B"/>
    <w:multiLevelType w:val="hybridMultilevel"/>
    <w:lvl w:ilvl="0">
      <w:lvlJc w:val="left"/>
      <w:lvlText w:val="•"/>
      <w:numFmt w:val="bullet"/>
      <w:start w:val="1"/>
    </w:lvl>
  </w:abstractNum>
  <w:abstractNum w:abstractNumId="25">
    <w:nsid w:val="5551B9F3"/>
    <w:multiLevelType w:val="hybridMultilevel"/>
    <w:lvl w:ilvl="0">
      <w:lvlJc w:val="left"/>
      <w:lvlText w:val="•"/>
      <w:numFmt w:val="bullet"/>
      <w:start w:val="1"/>
    </w:lvl>
  </w:abstractNum>
  <w:abstractNum w:abstractNumId="26">
    <w:nsid w:val="24F6AB8E"/>
    <w:multiLevelType w:val="hybridMultilevel"/>
    <w:lvl w:ilvl="0">
      <w:lvlJc w:val="left"/>
      <w:lvlText w:val="•"/>
      <w:numFmt w:val="bullet"/>
      <w:start w:val="1"/>
    </w:lvl>
  </w:abstractNum>
  <w:abstractNum w:abstractNumId="27">
    <w:nsid w:val="634C574C"/>
    <w:multiLevelType w:val="hybridMultilevel"/>
    <w:lvl w:ilvl="0">
      <w:lvlJc w:val="left"/>
      <w:lvlText w:val="•"/>
      <w:numFmt w:val="bullet"/>
      <w:start w:val="1"/>
    </w:lvl>
  </w:abstractNum>
  <w:abstractNum w:abstractNumId="28">
    <w:nsid w:val="24E99DD7"/>
    <w:multiLevelType w:val="hybridMultilevel"/>
    <w:lvl w:ilvl="0">
      <w:lvlJc w:val="left"/>
      <w:lvlText w:val="•"/>
      <w:numFmt w:val="bullet"/>
      <w:start w:val="1"/>
    </w:lvl>
  </w:abstractNum>
  <w:abstractNum w:abstractNumId="29">
    <w:nsid w:val="2A31B62D"/>
    <w:multiLevelType w:val="hybridMultilevel"/>
    <w:lvl w:ilvl="0">
      <w:lvlJc w:val="left"/>
      <w:lvlText w:val="•"/>
      <w:numFmt w:val="bullet"/>
      <w:start w:val="1"/>
    </w:lvl>
  </w:abstractNum>
  <w:abstractNum w:abstractNumId="30">
    <w:nsid w:val="1849C29B"/>
    <w:multiLevelType w:val="hybridMultilevel"/>
    <w:lvl w:ilvl="0">
      <w:lvlJc w:val="left"/>
      <w:lvlText w:val="•"/>
      <w:numFmt w:val="bullet"/>
      <w:start w:val="1"/>
    </w:lvl>
  </w:abstractNum>
  <w:abstractNum w:abstractNumId="31">
    <w:nsid w:val="7DFF9D09"/>
    <w:multiLevelType w:val="hybridMultilevel"/>
    <w:lvl w:ilvl="0">
      <w:lvlJc w:val="left"/>
      <w:lvlText w:val="•"/>
      <w:numFmt w:val="bullet"/>
      <w:start w:val="1"/>
    </w:lvl>
  </w:abstractNum>
  <w:abstractNum w:abstractNumId="32">
    <w:nsid w:val="754342"/>
    <w:multiLevelType w:val="hybridMultilevel"/>
    <w:lvl w:ilvl="0">
      <w:lvlJc w:val="left"/>
      <w:lvlText w:val="•"/>
      <w:numFmt w:val="bullet"/>
      <w:start w:val="1"/>
    </w:lvl>
  </w:abstractNum>
  <w:abstractNum w:abstractNumId="33">
    <w:nsid w:val="69E7F3E5"/>
    <w:multiLevelType w:val="hybridMultilevel"/>
    <w:lvl w:ilvl="0">
      <w:lvlJc w:val="left"/>
      <w:lvlText w:val="•"/>
      <w:numFmt w:val="bullet"/>
      <w:start w:val="1"/>
    </w:lvl>
  </w:abstractNum>
  <w:abstractNum w:abstractNumId="34">
    <w:nsid w:val="2A6DE806"/>
    <w:multiLevelType w:val="hybridMultilevel"/>
    <w:lvl w:ilvl="0">
      <w:lvlJc w:val="left"/>
      <w:lvlText w:val="•"/>
      <w:numFmt w:val="bullet"/>
      <w:start w:val="1"/>
    </w:lvl>
  </w:abstractNum>
  <w:abstractNum w:abstractNumId="35">
    <w:nsid w:val="1816F8C4"/>
    <w:multiLevelType w:val="hybridMultilevel"/>
    <w:lvl w:ilvl="0">
      <w:lvlJc w:val="left"/>
      <w:lvlText w:val="•"/>
      <w:numFmt w:val="bullet"/>
      <w:start w:val="1"/>
    </w:lvl>
  </w:abstractNum>
  <w:abstractNum w:abstractNumId="36">
    <w:nsid w:val="37DF2233"/>
    <w:multiLevelType w:val="hybridMultilevel"/>
    <w:lvl w:ilvl="0">
      <w:lvlJc w:val="left"/>
      <w:lvlText w:val="•"/>
      <w:numFmt w:val="bullet"/>
      <w:start w:val="1"/>
    </w:lvl>
  </w:abstractNum>
  <w:abstractNum w:abstractNumId="37">
    <w:nsid w:val="7AB49DAF"/>
    <w:multiLevelType w:val="hybridMultilevel"/>
    <w:lvl w:ilvl="0">
      <w:lvlJc w:val="left"/>
      <w:lvlText w:val="•"/>
      <w:numFmt w:val="bullet"/>
      <w:start w:val="1"/>
    </w:lvl>
  </w:abstractNum>
  <w:abstractNum w:abstractNumId="38">
    <w:nsid w:val="759F82CD"/>
    <w:multiLevelType w:val="hybridMultilevel"/>
    <w:lvl w:ilvl="0">
      <w:lvlJc w:val="left"/>
      <w:lvlText w:val="•"/>
      <w:numFmt w:val="bullet"/>
      <w:start w:val="1"/>
    </w:lvl>
  </w:abstractNum>
  <w:abstractNum w:abstractNumId="39">
    <w:nsid w:val="61E74EA3"/>
    <w:multiLevelType w:val="hybridMultilevel"/>
    <w:lvl w:ilvl="0">
      <w:lvlJc w:val="left"/>
      <w:lvlText w:val="•"/>
      <w:numFmt w:val="bullet"/>
      <w:start w:val="1"/>
    </w:lvl>
  </w:abstractNum>
  <w:abstractNum w:abstractNumId="40">
    <w:nsid w:val="597B4D84"/>
    <w:multiLevelType w:val="hybridMultilevel"/>
    <w:lvl w:ilvl="0">
      <w:lvlJc w:val="left"/>
      <w:lvlText w:val="•"/>
      <w:numFmt w:val="bullet"/>
      <w:start w:val="1"/>
    </w:lvl>
  </w:abstractNum>
  <w:abstractNum w:abstractNumId="41">
    <w:nsid w:val="F819E7F"/>
    <w:multiLevelType w:val="hybridMultilevel"/>
    <w:lvl w:ilvl="0">
      <w:lvlJc w:val="left"/>
      <w:lvlText w:val="•"/>
      <w:numFmt w:val="bullet"/>
      <w:start w:val="1"/>
    </w:lvl>
  </w:abstractNum>
  <w:abstractNum w:abstractNumId="42">
    <w:nsid w:val="57C7D42D"/>
    <w:multiLevelType w:val="hybridMultilevel"/>
    <w:lvl w:ilvl="0">
      <w:lvlJc w:val="left"/>
      <w:lvlText w:val="•"/>
      <w:numFmt w:val="bullet"/>
      <w:start w:val="1"/>
    </w:lvl>
  </w:abstractNum>
  <w:abstractNum w:abstractNumId="43">
    <w:nsid w:val="312167AD"/>
    <w:multiLevelType w:val="hybridMultilevel"/>
    <w:lvl w:ilvl="0">
      <w:lvlJc w:val="left"/>
      <w:lvlText w:val="$"/>
      <w:numFmt w:val="bullet"/>
      <w:start w:val="1"/>
    </w:lvl>
  </w:abstractNum>
  <w:abstractNum w:abstractNumId="44">
    <w:nsid w:val="631B64D4"/>
    <w:multiLevelType w:val="hybridMultilevel"/>
    <w:lvl w:ilvl="0">
      <w:lvlJc w:val="left"/>
      <w:lvlText w:val="•"/>
      <w:numFmt w:val="bullet"/>
      <w:start w:val="1"/>
    </w:lvl>
  </w:abstractNum>
  <w:abstractNum w:abstractNumId="45">
    <w:nsid w:val="78B5E776"/>
    <w:multiLevelType w:val="hybridMultilevel"/>
    <w:lvl w:ilvl="0">
      <w:lvlJc w:val="left"/>
      <w:lvlText w:val="(%1)"/>
      <w:numFmt w:val="decimal"/>
      <w:start w:val="1"/>
    </w:lvl>
  </w:abstractNum>
  <w:abstractNum w:abstractNumId="46">
    <w:nsid w:val="75486E47"/>
    <w:multiLevelType w:val="hybridMultilevel"/>
    <w:lvl w:ilvl="0">
      <w:lvlJc w:val="left"/>
      <w:lvlText w:val="•"/>
      <w:numFmt w:val="bullet"/>
      <w:start w:val="1"/>
    </w:lvl>
  </w:abstractNum>
  <w:abstractNum w:abstractNumId="47">
    <w:nsid w:val="6E534CDE"/>
    <w:multiLevelType w:val="hybridMultilevel"/>
    <w:lvl w:ilvl="0">
      <w:lvlJc w:val="left"/>
      <w:lvlText w:val="•"/>
      <w:numFmt w:val="bullet"/>
      <w:start w:val="1"/>
    </w:lvl>
  </w:abstractNum>
  <w:abstractNum w:abstractNumId="48">
    <w:nsid w:val="1A0DDE32"/>
    <w:multiLevelType w:val="hybridMultilevel"/>
    <w:lvl w:ilvl="0">
      <w:lvlJc w:val="left"/>
      <w:lvlText w:val="•"/>
      <w:numFmt w:val="bullet"/>
      <w:start w:val="1"/>
    </w:lvl>
  </w:abstractNum>
  <w:abstractNum w:abstractNumId="49">
    <w:nsid w:val="65968C1C"/>
    <w:multiLevelType w:val="hybridMultilevel"/>
    <w:lvl w:ilvl="0">
      <w:lvlJc w:val="left"/>
      <w:lvlText w:val="•"/>
      <w:numFmt w:val="bullet"/>
      <w:start w:val="1"/>
    </w:lvl>
  </w:abstractNum>
  <w:abstractNum w:abstractNumId="50">
    <w:nsid w:val="46263DEC"/>
    <w:multiLevelType w:val="hybridMultilevel"/>
    <w:lvl w:ilvl="0">
      <w:lvlJc w:val="left"/>
      <w:lvlText w:val="$"/>
      <w:numFmt w:val="bullet"/>
      <w:start w:val="1"/>
    </w:lvl>
  </w:abstractNum>
  <w:abstractNum w:abstractNumId="51">
    <w:nsid w:val="260D8C4A"/>
    <w:multiLevelType w:val="hybridMultilevel"/>
    <w:lvl w:ilvl="0">
      <w:lvlJc w:val="left"/>
      <w:lvlText w:val="$"/>
      <w:numFmt w:val="bullet"/>
      <w:start w:val="1"/>
    </w:lvl>
  </w:abstractNum>
  <w:abstractNum w:abstractNumId="52">
    <w:nsid w:val="73D4D3C4"/>
    <w:multiLevelType w:val="hybridMultilevel"/>
    <w:lvl w:ilvl="0">
      <w:lvlJc w:val="left"/>
      <w:lvlText w:val="•"/>
      <w:numFmt w:val="bullet"/>
      <w:start w:val="1"/>
    </w:lvl>
  </w:abstractNum>
  <w:abstractNum w:abstractNumId="53">
    <w:nsid w:val="746F2E30"/>
    <w:multiLevelType w:val="hybridMultilevel"/>
    <w:lvl w:ilvl="0">
      <w:lvlJc w:val="left"/>
      <w:lvlText w:val="•"/>
      <w:numFmt w:val="bullet"/>
      <w:start w:val="1"/>
    </w:lvl>
  </w:abstractNum>
  <w:abstractNum w:abstractNumId="54">
    <w:nsid w:val="6FDE8AF6"/>
    <w:multiLevelType w:val="hybridMultilevel"/>
    <w:lvl w:ilvl="0">
      <w:lvlJc w:val="left"/>
      <w:lvlText w:val="•"/>
      <w:numFmt w:val="bullet"/>
      <w:start w:val="1"/>
    </w:lvl>
  </w:abstractNum>
  <w:abstractNum w:abstractNumId="55">
    <w:nsid w:val="3FC32E20"/>
    <w:multiLevelType w:val="hybridMultilevel"/>
    <w:lvl w:ilvl="0">
      <w:lvlJc w:val="left"/>
      <w:lvlText w:val="(%1)"/>
      <w:numFmt w:val="decimal"/>
      <w:start w:val="1"/>
    </w:lvl>
  </w:abstractNum>
  <w:abstractNum w:abstractNumId="56">
    <w:nsid w:val="49C0E823"/>
    <w:multiLevelType w:val="hybridMultilevel"/>
    <w:lvl w:ilvl="0">
      <w:lvlJc w:val="left"/>
      <w:lvlText w:val="(%1)"/>
      <w:numFmt w:val="decimal"/>
      <w:start w:val="1"/>
    </w:lvl>
  </w:abstractNum>
  <w:abstractNum w:abstractNumId="57">
    <w:nsid w:val="14D53685"/>
    <w:multiLevelType w:val="hybridMultilevel"/>
    <w:lvl w:ilvl="0">
      <w:lvlJc w:val="left"/>
      <w:lvlText w:val="(%1)"/>
      <w:numFmt w:val="decimal"/>
      <w:start w:val="2"/>
    </w:lvl>
  </w:abstractNum>
  <w:abstractNum w:abstractNumId="58">
    <w:nsid w:val="230F856C"/>
    <w:multiLevelType w:val="hybridMultilevel"/>
    <w:lvl w:ilvl="0">
      <w:lvlJc w:val="left"/>
      <w:lvlText w:val="•"/>
      <w:numFmt w:val="bullet"/>
      <w:start w:val="1"/>
    </w:lvl>
  </w:abstractNum>
  <w:abstractNum w:abstractNumId="59">
    <w:nsid w:val="6EAA85FB"/>
    <w:multiLevelType w:val="hybridMultilevel"/>
    <w:lvl w:ilvl="0">
      <w:lvlJc w:val="left"/>
      <w:lvlText w:val="(%1)"/>
      <w:numFmt w:val="lowerLetter"/>
      <w:start w:val="1"/>
    </w:lvl>
  </w:abstractNum>
  <w:abstractNum w:abstractNumId="60">
    <w:nsid w:val="3F06ECB2"/>
    <w:multiLevelType w:val="hybridMultilevel"/>
    <w:lvl w:ilvl="0">
      <w:lvlJc w:val="left"/>
      <w:lvlText w:val="(%1)"/>
      <w:numFmt w:val="lowerLetter"/>
      <w:start w:val="4"/>
    </w:lvl>
  </w:abstractNum>
  <w:abstractNum w:abstractNumId="61">
    <w:nsid w:val="3B594807"/>
    <w:multiLevelType w:val="hybridMultilevel"/>
    <w:lvl w:ilvl="0">
      <w:lvlJc w:val="left"/>
      <w:lvlText w:val="(%1)"/>
      <w:numFmt w:val="lowerLetter"/>
      <w:start w:val="5"/>
    </w:lvl>
  </w:abstractNum>
  <w:abstractNum w:abstractNumId="62">
    <w:nsid w:val="6CAA2304"/>
    <w:multiLevelType w:val="hybridMultilevel"/>
    <w:lvl w:ilvl="0">
      <w:lvlJc w:val="left"/>
      <w:lvlText w:val="(%1)"/>
      <w:numFmt w:val="lowerLetter"/>
      <w:start w:val="6"/>
    </w:lvl>
  </w:abstractNum>
  <w:abstractNum w:abstractNumId="63">
    <w:nsid w:val="3F7C2FF4"/>
    <w:multiLevelType w:val="hybridMultilevel"/>
    <w:lvl w:ilvl="0">
      <w:lvlJc w:val="left"/>
      <w:lvlText w:val="(%1)"/>
      <w:numFmt w:val="lowerLetter"/>
      <w:start w:val="8"/>
    </w:lvl>
  </w:abstractNum>
  <w:abstractNum w:abstractNumId="64">
    <w:nsid w:val="25413BEC"/>
    <w:multiLevelType w:val="hybridMultilevel"/>
    <w:lvl w:ilvl="0">
      <w:lvlJc w:val="left"/>
      <w:lvlText w:val="•"/>
      <w:numFmt w:val="bullet"/>
      <w:start w:val="1"/>
    </w:lvl>
  </w:abstractNum>
  <w:abstractNum w:abstractNumId="65">
    <w:nsid w:val="17180B0B"/>
    <w:multiLevelType w:val="hybridMultilevel"/>
    <w:lvl w:ilvl="0">
      <w:lvlJc w:val="left"/>
      <w:lvlText w:val="•"/>
      <w:numFmt w:val="bullet"/>
      <w:start w:val="1"/>
    </w:lvl>
  </w:abstractNum>
  <w:abstractNum w:abstractNumId="66">
    <w:nsid w:val="579328B9"/>
    <w:multiLevelType w:val="hybridMultilevel"/>
    <w:lvl w:ilvl="0">
      <w:lvlJc w:val="left"/>
      <w:lvlText w:val="•"/>
      <w:numFmt w:val="bullet"/>
      <w:start w:val="1"/>
    </w:lvl>
  </w:abstractNum>
  <w:abstractNum w:abstractNumId="67">
    <w:nsid w:val="5D205E20"/>
    <w:multiLevelType w:val="hybridMultilevel"/>
    <w:lvl w:ilvl="0">
      <w:lvlJc w:val="left"/>
      <w:lvlText w:val="•"/>
      <w:numFmt w:val="bullet"/>
      <w:start w:val="1"/>
    </w:lvl>
  </w:abstractNum>
  <w:abstractNum w:abstractNumId="68">
    <w:nsid w:val="11CCA8BA"/>
    <w:multiLevelType w:val="hybridMultilevel"/>
    <w:lvl w:ilvl="0">
      <w:lvlJc w:val="left"/>
      <w:lvlText w:val="•"/>
      <w:numFmt w:val="bullet"/>
      <w:start w:val="1"/>
    </w:lvl>
  </w:abstractNum>
  <w:abstractNum w:abstractNumId="69">
    <w:nsid w:val="4D32AB86"/>
    <w:multiLevelType w:val="hybridMultilevel"/>
    <w:lvl w:ilvl="0">
      <w:lvlJc w:val="left"/>
      <w:lvlText w:val="•"/>
      <w:numFmt w:val="bullet"/>
      <w:start w:val="1"/>
    </w:lvl>
  </w:abstractNum>
  <w:abstractNum w:abstractNumId="70">
    <w:nsid w:val="3F07ACC3"/>
    <w:multiLevelType w:val="hybridMultilevel"/>
    <w:lvl w:ilvl="0">
      <w:lvlJc w:val="left"/>
      <w:lvlText w:val="•"/>
      <w:numFmt w:val="bullet"/>
      <w:start w:val="1"/>
    </w:lvl>
  </w:abstractNum>
  <w:abstractNum w:abstractNumId="71">
    <w:nsid w:val="6B47F63E"/>
    <w:multiLevelType w:val="hybridMultilevel"/>
    <w:lvl w:ilvl="0">
      <w:lvlJc w:val="left"/>
      <w:lvlText w:val="•"/>
      <w:numFmt w:val="bullet"/>
      <w:start w:val="1"/>
    </w:lvl>
  </w:abstractNum>
  <w:abstractNum w:abstractNumId="72">
    <w:nsid w:val="5CB44A05"/>
    <w:multiLevelType w:val="hybridMultilevel"/>
    <w:lvl w:ilvl="0">
      <w:lvlJc w:val="left"/>
      <w:lvlText w:val="•"/>
      <w:numFmt w:val="bullet"/>
      <w:start w:val="1"/>
    </w:lvl>
  </w:abstractNum>
  <w:abstractNum w:abstractNumId="73">
    <w:nsid w:val="16CF80F1"/>
    <w:multiLevelType w:val="hybridMultilevel"/>
    <w:lvl w:ilvl="0">
      <w:lvlJc w:val="left"/>
      <w:lvlText w:val="(*)"/>
      <w:numFmt w:val="bullet"/>
      <w:start w:val="1"/>
    </w:lvl>
  </w:abstractNum>
  <w:abstractNum w:abstractNumId="74">
    <w:nsid w:val="1C695DEC"/>
    <w:multiLevelType w:val="hybridMultilevel"/>
    <w:lvl w:ilvl="0">
      <w:lvlJc w:val="left"/>
      <w:lvlText w:val="(†)"/>
      <w:numFmt w:val="bullet"/>
      <w:start w:val="1"/>
    </w:lvl>
  </w:abstractNum>
  <w:abstractNum w:abstractNumId="75">
    <w:nsid w:val="3FCFAED9"/>
    <w:multiLevelType w:val="hybridMultilevel"/>
    <w:lvl w:ilvl="0">
      <w:lvlJc w:val="left"/>
      <w:lvlText w:val="(‡)"/>
      <w:numFmt w:val="bullet"/>
      <w:start w:val="1"/>
    </w:lvl>
  </w:abstractNum>
  <w:abstractNum w:abstractNumId="76">
    <w:nsid w:val="F856867"/>
    <w:multiLevelType w:val="hybridMultilevel"/>
    <w:lvl w:ilvl="0">
      <w:lvlJc w:val="left"/>
      <w:lvlText w:val="•"/>
      <w:numFmt w:val="bullet"/>
      <w:start w:val="1"/>
    </w:lvl>
  </w:abstractNum>
  <w:abstractNum w:abstractNumId="77">
    <w:nsid w:val="11B1CC33"/>
    <w:multiLevelType w:val="hybridMultilevel"/>
    <w:lvl w:ilvl="0">
      <w:lvlJc w:val="left"/>
      <w:lvlText w:val="%1)"/>
      <w:numFmt w:val="lowerRoman"/>
      <w:start w:val="1"/>
    </w:lvl>
  </w:abstractNum>
  <w:abstractNum w:abstractNumId="78">
    <w:nsid w:val="2E22FBB7"/>
    <w:multiLevelType w:val="hybridMultilevel"/>
    <w:lvl w:ilvl="0">
      <w:lvlJc w:val="left"/>
      <w:lvlText w:val="(%1)"/>
      <w:numFmt w:val="lowerLetter"/>
      <w:start w:val="4"/>
    </w:lvl>
  </w:abstractNum>
  <w:abstractNum w:abstractNumId="79">
    <w:nsid w:val="29934699"/>
    <w:multiLevelType w:val="hybridMultilevel"/>
    <w:lvl w:ilvl="0">
      <w:lvlJc w:val="left"/>
      <w:lvlText w:val="(%1)"/>
      <w:numFmt w:val="lowerLetter"/>
      <w:start w:val="1"/>
    </w:lvl>
  </w:abstractNum>
  <w:abstractNum w:abstractNumId="80">
    <w:nsid w:val="77485850"/>
    <w:multiLevelType w:val="hybridMultilevel"/>
    <w:lvl w:ilvl="0">
      <w:lvlJc w:val="left"/>
      <w:lvlText w:val="•"/>
      <w:numFmt w:val="bullet"/>
      <w:start w:val="1"/>
    </w:lvl>
  </w:abstractNum>
  <w:abstractNum w:abstractNumId="81">
    <w:nsid w:val="744939A3"/>
    <w:multiLevelType w:val="hybridMultilevel"/>
    <w:lvl w:ilvl="0">
      <w:lvlJc w:val="left"/>
      <w:lvlText w:val="•"/>
      <w:numFmt w:val="bullet"/>
      <w:start w:val="1"/>
    </w:lvl>
  </w:abstractNum>
  <w:abstractNum w:abstractNumId="82">
    <w:nsid w:val="4FA0D2E3"/>
    <w:multiLevelType w:val="hybridMultilevel"/>
    <w:lvl w:ilvl="0">
      <w:lvlJc w:val="left"/>
      <w:lvlText w:val="•"/>
      <w:numFmt w:val="bullet"/>
      <w:start w:val="1"/>
    </w:lvl>
  </w:abstractNum>
  <w:abstractNum w:abstractNumId="83">
    <w:nsid w:val="6B1D2C14"/>
    <w:multiLevelType w:val="hybridMultilevel"/>
    <w:lvl w:ilvl="0">
      <w:lvlJc w:val="left"/>
      <w:lvlText w:val="•"/>
      <w:numFmt w:val="bullet"/>
      <w:start w:val="1"/>
    </w:lvl>
  </w:abstractNum>
  <w:abstractNum w:abstractNumId="84">
    <w:nsid w:val="68B867D3"/>
    <w:multiLevelType w:val="hybridMultilevel"/>
    <w:lvl w:ilvl="0">
      <w:lvlJc w:val="left"/>
      <w:lvlText w:val="•"/>
      <w:numFmt w:val="bullet"/>
      <w:start w:val="1"/>
    </w:lvl>
  </w:abstractNum>
  <w:abstractNum w:abstractNumId="85">
    <w:nsid w:val="3F7F5DD9"/>
    <w:multiLevelType w:val="hybridMultilevel"/>
    <w:lvl w:ilvl="0">
      <w:lvlJc w:val="left"/>
      <w:lvlText w:val="•"/>
      <w:numFmt w:val="bullet"/>
      <w:start w:val="1"/>
    </w:lvl>
  </w:abstractNum>
  <w:abstractNum w:abstractNumId="86">
    <w:nsid w:val="2AE05A34"/>
    <w:multiLevelType w:val="hybridMultilevel"/>
    <w:lvl w:ilvl="0">
      <w:lvlJc w:val="left"/>
      <w:lvlText w:val="•"/>
      <w:numFmt w:val="bullet"/>
      <w:start w:val="1"/>
    </w:lvl>
  </w:abstractNum>
  <w:abstractNum w:abstractNumId="87">
    <w:nsid w:val="32794FF7"/>
    <w:multiLevelType w:val="hybridMultilevel"/>
    <w:lvl w:ilvl="0">
      <w:lvlJc w:val="left"/>
      <w:lvlText w:val="•"/>
      <w:numFmt w:val="bullet"/>
      <w:start w:val="1"/>
    </w:lvl>
  </w:abstractNum>
  <w:abstractNum w:abstractNumId="88">
    <w:nsid w:val="5454945E"/>
    <w:multiLevelType w:val="hybridMultilevel"/>
    <w:lvl w:ilvl="0">
      <w:lvlJc w:val="left"/>
      <w:lvlText w:val="•"/>
      <w:numFmt w:val="bullet"/>
      <w:start w:val="1"/>
    </w:lvl>
  </w:abstractNum>
  <w:abstractNum w:abstractNumId="89">
    <w:nsid w:val="4DEFDFA0"/>
    <w:multiLevelType w:val="hybridMultilevel"/>
    <w:lvl w:ilvl="0">
      <w:lvlJc w:val="left"/>
      <w:lvlText w:val="•"/>
      <w:numFmt w:val="bullet"/>
      <w:start w:val="1"/>
    </w:lvl>
  </w:abstractNum>
  <w:abstractNum w:abstractNumId="90">
    <w:nsid w:val="2123D5F2"/>
    <w:multiLevelType w:val="hybridMultilevel"/>
    <w:lvl w:ilvl="0">
      <w:lvlJc w:val="left"/>
      <w:lvlText w:val="(%1)"/>
      <w:numFmt w:val="decimal"/>
      <w:start w:val="1"/>
    </w:lvl>
  </w:abstractNum>
  <w:abstractNum w:abstractNumId="91">
    <w:nsid w:val="135B8110"/>
    <w:multiLevelType w:val="hybridMultilevel"/>
    <w:lvl w:ilvl="0">
      <w:lvlJc w:val="left"/>
      <w:lvlText w:val="(%1)"/>
      <w:numFmt w:val="decimal"/>
      <w:start w:val="1"/>
    </w:lvl>
  </w:abstractNum>
  <w:abstractNum w:abstractNumId="92">
    <w:nsid w:val="94927A8"/>
    <w:multiLevelType w:val="hybridMultilevel"/>
    <w:lvl w:ilvl="0">
      <w:lvlJc w:val="left"/>
      <w:lvlText w:val="(%1)"/>
      <w:numFmt w:val="decimal"/>
      <w:start w:val="3"/>
    </w:lvl>
  </w:abstractNum>
  <w:abstractNum w:abstractNumId="93">
    <w:nsid w:val="DCDF8F6"/>
    <w:multiLevelType w:val="hybridMultilevel"/>
    <w:lvl w:ilvl="0">
      <w:lvlJc w:val="left"/>
      <w:lvlText w:val="•"/>
      <w:numFmt w:val="bullet"/>
      <w:start w:val="1"/>
    </w:lvl>
  </w:abstractNum>
  <w:abstractNum w:abstractNumId="94">
    <w:nsid w:val="52D7B105"/>
    <w:multiLevelType w:val="hybridMultilevel"/>
    <w:lvl w:ilvl="0">
      <w:lvlJc w:val="left"/>
      <w:lvlText w:val="•"/>
      <w:numFmt w:val="bullet"/>
      <w:start w:val="1"/>
    </w:lvl>
  </w:abstractNum>
  <w:abstractNum w:abstractNumId="95">
    <w:nsid w:val="2E8A6394"/>
    <w:multiLevelType w:val="hybridMultilevel"/>
    <w:lvl w:ilvl="0">
      <w:lvlJc w:val="left"/>
      <w:lvlText w:val="•"/>
      <w:numFmt w:val="bullet"/>
      <w:start w:val="1"/>
    </w:lvl>
  </w:abstractNum>
  <w:abstractNum w:abstractNumId="96">
    <w:nsid w:val="24E60401"/>
    <w:multiLevelType w:val="hybridMultilevel"/>
    <w:lvl w:ilvl="0">
      <w:lvlJc w:val="left"/>
      <w:lvlText w:val="•"/>
      <w:numFmt w:val="bullet"/>
      <w:start w:val="1"/>
    </w:lvl>
  </w:abstractNum>
  <w:abstractNum w:abstractNumId="97">
    <w:nsid w:val="2A6AD9BE"/>
    <w:multiLevelType w:val="hybridMultilevel"/>
    <w:lvl w:ilvl="0">
      <w:lvlJc w:val="left"/>
      <w:lvlText w:val="•"/>
      <w:numFmt w:val="bullet"/>
      <w:start w:val="1"/>
    </w:lvl>
  </w:abstractNum>
  <w:abstractNum w:abstractNumId="98">
    <w:nsid w:val="BAAC1B4"/>
    <w:multiLevelType w:val="hybridMultilevel"/>
    <w:lvl w:ilvl="0">
      <w:lvlJc w:val="left"/>
      <w:lvlText w:val="•"/>
      <w:numFmt w:val="bullet"/>
      <w:start w:val="1"/>
    </w:lvl>
  </w:abstractNum>
  <w:abstractNum w:abstractNumId="99">
    <w:nsid w:val="36B2ACBC"/>
    <w:multiLevelType w:val="hybridMultilevel"/>
    <w:lvl w:ilvl="0">
      <w:lvlJc w:val="left"/>
      <w:lvlText w:val="•"/>
      <w:numFmt w:val="bullet"/>
      <w:start w:val="1"/>
    </w:lvl>
  </w:abstractNum>
  <w:abstractNum w:abstractNumId="100">
    <w:nsid w:val="779D8544"/>
    <w:multiLevelType w:val="hybridMultilevel"/>
    <w:lvl w:ilvl="0">
      <w:lvlJc w:val="left"/>
      <w:lvlText w:val="(%1)"/>
      <w:numFmt w:val="decimal"/>
      <w:start w:val="1"/>
    </w:lvl>
  </w:abstractNum>
  <w:abstractNum w:abstractNumId="101">
    <w:nsid w:val="4AB26E78"/>
    <w:multiLevelType w:val="hybridMultilevel"/>
    <w:lvl w:ilvl="0">
      <w:lvlJc w:val="left"/>
      <w:lvlText w:val="•"/>
      <w:numFmt w:val="bullet"/>
      <w:start w:val="1"/>
    </w:lvl>
  </w:abstractNum>
  <w:abstractNum w:abstractNumId="102">
    <w:nsid w:val="21FAA2FA"/>
    <w:multiLevelType w:val="hybridMultilevel"/>
    <w:lvl w:ilvl="0">
      <w:lvlJc w:val="left"/>
      <w:lvlText w:val="(%1)"/>
      <w:numFmt w:val="decimal"/>
      <w:start w:val="1"/>
    </w:lvl>
  </w:abstractNum>
  <w:abstractNum w:abstractNumId="103">
    <w:nsid w:val="5451CF49"/>
    <w:multiLevelType w:val="hybridMultilevel"/>
    <w:lvl w:ilvl="0">
      <w:lvlJc w:val="left"/>
      <w:lvlText w:val="(%1)"/>
      <w:numFmt w:val="decimal"/>
      <w:start w:val="1"/>
    </w:lvl>
  </w:abstractNum>
  <w:abstractNum w:abstractNumId="104">
    <w:nsid w:val="6181EF69"/>
    <w:multiLevelType w:val="hybridMultilevel"/>
    <w:lvl w:ilvl="0">
      <w:lvlJc w:val="left"/>
      <w:lvlText w:val="(%1)"/>
      <w:numFmt w:val="decimal"/>
      <w:start w:val="1"/>
    </w:lvl>
  </w:abstractNum>
  <w:abstractNum w:abstractNumId="105">
    <w:nsid w:val="3E6400E6"/>
    <w:multiLevelType w:val="hybridMultilevel"/>
    <w:lvl w:ilvl="0">
      <w:lvlJc w:val="left"/>
      <w:lvlText w:val="(%1)"/>
      <w:numFmt w:val="decimal"/>
      <w:start w:val="5"/>
    </w:lvl>
  </w:abstractNum>
  <w:abstractNum w:abstractNumId="106">
    <w:nsid w:val="14217E23"/>
    <w:multiLevelType w:val="hybridMultilevel"/>
    <w:lvl w:ilvl="0">
      <w:lvlJc w:val="left"/>
      <w:lvlText w:val="•"/>
      <w:numFmt w:val="bullet"/>
      <w:start w:val="1"/>
    </w:lvl>
  </w:abstractNum>
  <w:abstractNum w:abstractNumId="107">
    <w:nsid w:val="710757D0"/>
    <w:multiLevelType w:val="hybridMultilevel"/>
    <w:lvl w:ilvl="0">
      <w:lvlJc w:val="left"/>
      <w:lvlText w:val="*"/>
      <w:numFmt w:val="bullet"/>
      <w:start w:val="1"/>
    </w:lvl>
  </w:abstractNum>
  <w:abstractNum w:abstractNumId="108">
    <w:nsid w:val="5015CD1A"/>
    <w:multiLevelType w:val="hybridMultilevel"/>
    <w:lvl w:ilvl="0">
      <w:lvlJc w:val="left"/>
      <w:lvlText w:val="(%1)"/>
      <w:numFmt w:val="decimal"/>
      <w:start w:val="1"/>
    </w:lvl>
  </w:abstractNum>
  <w:abstractNum w:abstractNumId="109">
    <w:nsid w:val="424479DA"/>
    <w:multiLevelType w:val="hybridMultilevel"/>
    <w:lvl w:ilvl="0">
      <w:lvlJc w:val="left"/>
      <w:lvlText w:val="(%1)"/>
      <w:numFmt w:val="decimal"/>
      <w:start w:val="4"/>
    </w:lvl>
  </w:abstractNum>
  <w:abstractNum w:abstractNumId="110">
    <w:nsid w:val="1A9A9E69"/>
    <w:multiLevelType w:val="hybridMultilevel"/>
    <w:lvl w:ilvl="0">
      <w:lvlJc w:val="left"/>
      <w:lvlText w:val="•"/>
      <w:numFmt w:val="bullet"/>
      <w:start w:val="1"/>
    </w:lvl>
  </w:abstractNum>
  <w:abstractNum w:abstractNumId="111">
    <w:nsid w:val="475E256A"/>
    <w:multiLevelType w:val="hybridMultilevel"/>
    <w:lvl w:ilvl="0">
      <w:lvlJc w:val="left"/>
      <w:lvlText w:val="$"/>
      <w:numFmt w:val="bullet"/>
      <w:start w:val="1"/>
    </w:lvl>
  </w:abstractNum>
  <w:abstractNum w:abstractNumId="112">
    <w:nsid w:val="368DB37E"/>
    <w:multiLevelType w:val="hybridMultilevel"/>
    <w:lvl w:ilvl="0">
      <w:lvlJc w:val="left"/>
      <w:lvlText w:val="%1."/>
      <w:numFmt w:val="decimal"/>
      <w:start w:val="144"/>
    </w:lvl>
  </w:abstractNum>
  <w:abstractNum w:abstractNumId="113">
    <w:nsid w:val="6A3B714C"/>
    <w:multiLevelType w:val="hybridMultilevel"/>
    <w:lvl w:ilvl="0">
      <w:lvlJc w:val="left"/>
      <w:lvlText w:val="%1."/>
      <w:numFmt w:val="decimal"/>
      <w:start w:val="144"/>
    </w:lvl>
  </w:abstractNum>
  <w:abstractNum w:abstractNumId="114">
    <w:nsid w:val="327B517E"/>
    <w:multiLevelType w:val="hybridMultilevel"/>
    <w:lvl w:ilvl="0">
      <w:lvlJc w:val="left"/>
      <w:lvlText w:val="•"/>
      <w:numFmt w:val="bullet"/>
      <w:start w:val="1"/>
    </w:lvl>
  </w:abstractNum>
  <w:abstractNum w:abstractNumId="115">
    <w:nsid w:val="1F461B51"/>
    <w:multiLevelType w:val="hybridMultilevel"/>
    <w:lvl w:ilvl="0">
      <w:lvlJc w:val="left"/>
      <w:lvlText w:val="•"/>
      <w:numFmt w:val="bullet"/>
      <w:start w:val="1"/>
    </w:lvl>
  </w:abstractNum>
  <w:abstractNum w:abstractNumId="116">
    <w:nsid w:val="29BACF25"/>
    <w:multiLevelType w:val="hybridMultilevel"/>
    <w:lvl w:ilvl="0">
      <w:lvlJc w:val="left"/>
      <w:lvlText w:val="•"/>
      <w:numFmt w:val="bullet"/>
      <w:start w:val="1"/>
    </w:lvl>
  </w:abstractNum>
  <w:abstractNum w:abstractNumId="117">
    <w:nsid w:val="5D5BABB3"/>
    <w:multiLevelType w:val="hybridMultilevel"/>
    <w:lvl w:ilvl="0">
      <w:lvlJc w:val="left"/>
      <w:lvlText w:val="•"/>
      <w:numFmt w:val="bullet"/>
      <w:start w:val="1"/>
    </w:lvl>
  </w:abstractNum>
  <w:abstractNum w:abstractNumId="118">
    <w:nsid w:val="51BF6B48"/>
    <w:multiLevelType w:val="hybridMultilevel"/>
    <w:lvl w:ilvl="0">
      <w:lvlJc w:val="left"/>
      <w:lvlText w:val="•"/>
      <w:numFmt w:val="bullet"/>
      <w:start w:val="1"/>
    </w:lvl>
  </w:abstractNum>
  <w:abstractNum w:abstractNumId="119">
    <w:nsid w:val="7E0F6384"/>
    <w:multiLevelType w:val="hybridMultilevel"/>
    <w:lvl w:ilvl="0">
      <w:lvlJc w:val="left"/>
      <w:lvlText w:val="•"/>
      <w:numFmt w:val="bullet"/>
      <w:start w:val="1"/>
    </w:lvl>
  </w:abstractNum>
  <w:abstractNum w:abstractNumId="120">
    <w:nsid w:val="2B4B8B53"/>
    <w:multiLevelType w:val="hybridMultilevel"/>
    <w:lvl w:ilvl="0">
      <w:lvlJc w:val="left"/>
      <w:lvlText w:val="•"/>
      <w:numFmt w:val="bullet"/>
      <w:start w:val="1"/>
    </w:lvl>
  </w:abstractNum>
  <w:abstractNum w:abstractNumId="121">
    <w:nsid w:val="72E3413A"/>
    <w:multiLevelType w:val="hybridMultilevel"/>
    <w:lvl w:ilvl="0">
      <w:lvlJc w:val="left"/>
      <w:lvlText w:val="%1."/>
      <w:numFmt w:val="lowerRoman"/>
      <w:start w:val="1"/>
    </w:lvl>
  </w:abstractNum>
  <w:abstractNum w:abstractNumId="122">
    <w:nsid w:val="116AE494"/>
    <w:multiLevelType w:val="hybridMultilevel"/>
    <w:lvl w:ilvl="0">
      <w:lvlJc w:val="left"/>
      <w:lvlText w:val="(%1)"/>
      <w:numFmt w:val="lowerLetter"/>
      <w:start w:val="4"/>
    </w:lvl>
  </w:abstractNum>
  <w:abstractNum w:abstractNumId="123">
    <w:nsid w:val="3494B2FB"/>
    <w:multiLevelType w:val="hybridMultilevel"/>
    <w:lvl w:ilvl="0">
      <w:lvlJc w:val="left"/>
      <w:lvlText w:val="•"/>
      <w:numFmt w:val="bullet"/>
      <w:start w:val="1"/>
    </w:lvl>
  </w:abstractNum>
  <w:abstractNum w:abstractNumId="124">
    <w:nsid w:val="B13A31"/>
    <w:multiLevelType w:val="hybridMultilevel"/>
    <w:lvl w:ilvl="0">
      <w:lvlJc w:val="left"/>
      <w:lvlText w:val="(%1)"/>
      <w:numFmt w:val="lowerLetter"/>
      <w:start w:val="1"/>
    </w:lvl>
  </w:abstractNum>
  <w:abstractNum w:abstractNumId="125">
    <w:nsid w:val="64429599"/>
    <w:multiLevelType w:val="hybridMultilevel"/>
    <w:lvl w:ilvl="0">
      <w:lvlJc w:val="left"/>
      <w:lvlText w:val="(%1)"/>
      <w:numFmt w:val="lowerRoman"/>
      <w:start w:val="1"/>
    </w:lvl>
  </w:abstractNum>
  <w:abstractNum w:abstractNumId="126">
    <w:nsid w:val="631F1690"/>
    <w:multiLevelType w:val="hybridMultilevel"/>
    <w:lvl w:ilvl="0">
      <w:lvlJc w:val="left"/>
      <w:lvlText w:val="(%1)"/>
      <w:numFmt w:val="lowerRoman"/>
      <w:start w:val="2"/>
    </w:lvl>
  </w:abstractNum>
  <w:abstractNum w:abstractNumId="127">
    <w:nsid w:val="25973E32"/>
    <w:multiLevelType w:val="hybridMultilevel"/>
    <w:lvl w:ilvl="0">
      <w:lvlJc w:val="left"/>
      <w:lvlText w:val="(%1)"/>
      <w:numFmt w:val="lowerRoman"/>
      <w:start w:val="1"/>
    </w:lvl>
  </w:abstractNum>
  <w:abstractNum w:abstractNumId="128">
    <w:nsid w:val="EAD6F57"/>
    <w:multiLevelType w:val="hybridMultilevel"/>
    <w:lvl w:ilvl="0">
      <w:lvlJc w:val="left"/>
      <w:lvlText w:val="(%1)"/>
      <w:numFmt w:val="lowerRoman"/>
      <w:start w:val="2"/>
    </w:lvl>
  </w:abstractNum>
  <w:abstractNum w:abstractNumId="129">
    <w:nsid w:val="6EC9D844"/>
    <w:multiLevelType w:val="hybridMultilevel"/>
    <w:lvl w:ilvl="0">
      <w:lvlJc w:val="left"/>
      <w:lvlText w:val="(%1)"/>
      <w:numFmt w:val="decimal"/>
      <w:start w:val="1"/>
    </w:lvl>
  </w:abstractNum>
  <w:abstractNum w:abstractNumId="130">
    <w:nsid w:val="5C49EAEE"/>
    <w:multiLevelType w:val="hybridMultilevel"/>
    <w:lvl w:ilvl="0">
      <w:lvlJc w:val="left"/>
      <w:lvlText w:val="(%1)"/>
      <w:numFmt w:val="decimal"/>
      <w:start w:val="1"/>
    </w:lvl>
  </w:abstractNum>
  <w:abstractNum w:abstractNumId="131">
    <w:nsid w:val="64AF49B"/>
    <w:multiLevelType w:val="hybridMultilevel"/>
    <w:lvl w:ilvl="0">
      <w:lvlJc w:val="left"/>
      <w:lvlText w:val="(%1)"/>
      <w:numFmt w:val="lowerRoman"/>
      <w:start w:val="3"/>
    </w:lvl>
  </w:abstractNum>
  <w:abstractNum w:abstractNumId="132">
    <w:nsid w:val="397C46BC"/>
    <w:multiLevelType w:val="hybridMultilevel"/>
    <w:lvl w:ilvl="0">
      <w:lvlJc w:val="left"/>
      <w:lvlText w:val="(%1)"/>
      <w:numFmt w:val="lowerRoman"/>
      <w:start w:val="6"/>
    </w:lvl>
  </w:abstractNum>
  <w:abstractNum w:abstractNumId="133">
    <w:nsid w:val="7E448DE9"/>
    <w:multiLevelType w:val="hybridMultilevel"/>
    <w:lvl w:ilvl="0">
      <w:lvlJc w:val="left"/>
      <w:lvlText w:val="\emdash "/>
      <w:numFmt w:val="bullet"/>
      <w:start w:val="1"/>
    </w:lvl>
  </w:abstractNum>
  <w:abstractNum w:abstractNumId="134">
    <w:nsid w:val="5A9CC3E5"/>
    <w:multiLevelType w:val="hybridMultilevel"/>
    <w:lvl w:ilvl="0">
      <w:lvlJc w:val="left"/>
      <w:lvlText w:val="\emdash "/>
      <w:numFmt w:val="bullet"/>
      <w:start w:val="1"/>
    </w:lvl>
  </w:abstractNum>
  <w:abstractNum w:abstractNumId="135">
    <w:nsid w:val="1AFE3625"/>
    <w:multiLevelType w:val="hybridMultilevel"/>
    <w:lvl w:ilvl="0">
      <w:lvlJc w:val="left"/>
      <w:lvlText w:val="•"/>
      <w:numFmt w:val="bullet"/>
      <w:start w:val="1"/>
    </w:lvl>
  </w:abstractNum>
  <w:abstractNum w:abstractNumId="136">
    <w:nsid w:val="3CA88ECF"/>
    <w:multiLevelType w:val="hybridMultilevel"/>
    <w:lvl w:ilvl="0">
      <w:lvlJc w:val="left"/>
      <w:lvlText w:val="•"/>
      <w:numFmt w:val="bullet"/>
      <w:start w:val="1"/>
    </w:lvl>
  </w:abstractNum>
  <w:abstractNum w:abstractNumId="137">
    <w:nsid w:val="6EBE4208"/>
    <w:multiLevelType w:val="hybridMultilevel"/>
    <w:lvl w:ilvl="0">
      <w:lvlJc w:val="left"/>
      <w:lvlText w:val="•"/>
      <w:numFmt w:val="bullet"/>
      <w:start w:val="1"/>
    </w:lvl>
  </w:abstractNum>
  <w:abstractNum w:abstractNumId="138">
    <w:nsid w:val="C058DF5"/>
    <w:multiLevelType w:val="hybridMultilevel"/>
    <w:lvl w:ilvl="0">
      <w:lvlJc w:val="left"/>
      <w:lvlText w:val="•"/>
      <w:numFmt w:val="bullet"/>
      <w:start w:val="1"/>
    </w:lvl>
  </w:abstractNum>
  <w:abstractNum w:abstractNumId="139">
    <w:nsid w:val="CBE5BE9"/>
    <w:multiLevelType w:val="hybridMultilevel"/>
    <w:lvl w:ilvl="0">
      <w:lvlJc w:val="left"/>
      <w:lvlText w:val="(%1)"/>
      <w:numFmt w:val="lowerRoman"/>
      <w:start w:val="2"/>
    </w:lvl>
  </w:abstractNum>
  <w:abstractNum w:abstractNumId="140">
    <w:nsid w:val="3102BBE2"/>
    <w:multiLevelType w:val="hybridMultilevel"/>
    <w:lvl w:ilvl="0">
      <w:lvlJc w:val="left"/>
      <w:lvlText w:val="\emdash "/>
      <w:numFmt w:val="bullet"/>
      <w:start w:val="1"/>
    </w:lvl>
  </w:abstractNum>
  <w:abstractNum w:abstractNumId="141">
    <w:nsid w:val="26A02C5E"/>
    <w:multiLevelType w:val="hybridMultilevel"/>
    <w:lvl w:ilvl="0">
      <w:lvlJc w:val="left"/>
      <w:lvlText w:val="*"/>
      <w:numFmt w:val="bullet"/>
      <w:start w:val="1"/>
    </w:lvl>
  </w:abstractNum>
  <w:abstractNum w:abstractNumId="142">
    <w:nsid w:val="541C8153"/>
    <w:multiLevelType w:val="hybridMultilevel"/>
    <w:lvl w:ilvl="0">
      <w:lvlJc w:val="left"/>
      <w:lvlText w:val="•"/>
      <w:numFmt w:val="bullet"/>
      <w:start w:val="1"/>
    </w:lvl>
  </w:abstractNum>
  <w:abstractNum w:abstractNumId="143">
    <w:nsid w:val="67906F60"/>
    <w:multiLevelType w:val="hybridMultilevel"/>
    <w:lvl w:ilvl="0">
      <w:lvlJc w:val="left"/>
      <w:lvlText w:val="•"/>
      <w:numFmt w:val="bullet"/>
      <w:start w:val="1"/>
    </w:lvl>
  </w:abstractNum>
  <w:abstractNum w:abstractNumId="144">
    <w:nsid w:val="10DB9DAA"/>
    <w:multiLevelType w:val="hybridMultilevel"/>
    <w:lvl w:ilvl="0">
      <w:lvlJc w:val="left"/>
      <w:lvlText w:val="•"/>
      <w:numFmt w:val="bullet"/>
      <w:start w:val="1"/>
    </w:lvl>
  </w:abstractNum>
  <w:abstractNum w:abstractNumId="145">
    <w:nsid w:val="697D2D2"/>
    <w:multiLevelType w:val="hybridMultilevel"/>
    <w:lvl w:ilvl="0">
      <w:lvlJc w:val="left"/>
      <w:lvlText w:val="%1."/>
      <w:numFmt w:val="decimal"/>
      <w:start w:val="1"/>
    </w:lvl>
  </w:abstractNum>
  <w:abstractNum w:abstractNumId="146">
    <w:nsid w:val="6D68AB2"/>
    <w:multiLevelType w:val="hybridMultilevel"/>
    <w:lvl w:ilvl="0">
      <w:lvlJc w:val="left"/>
      <w:lvlText w:val="%1."/>
      <w:numFmt w:val="decimal"/>
      <w:start w:val="8"/>
    </w:lvl>
  </w:abstractNum>
  <w:abstractNum w:abstractNumId="147">
    <w:nsid w:val="3A966CD0"/>
    <w:multiLevelType w:val="hybridMultilevel"/>
    <w:lvl w:ilvl="0">
      <w:lvlJc w:val="left"/>
      <w:lvlText w:val="*"/>
      <w:numFmt w:val="bullet"/>
      <w:start w:val="1"/>
    </w:lvl>
  </w:abstractNum>
  <w:abstractNum w:abstractNumId="148">
    <w:nsid w:val="63F37E85"/>
    <w:multiLevelType w:val="hybridMultilevel"/>
    <w:lvl w:ilvl="0">
      <w:lvlJc w:val="left"/>
      <w:lvlText w:val="†"/>
      <w:numFmt w:val="bullet"/>
      <w:start w:val="1"/>
    </w:lvl>
  </w:abstractNum>
  <w:abstractNum w:abstractNumId="149">
    <w:nsid w:val="5895F5FA"/>
    <w:multiLevelType w:val="hybridMultilevel"/>
    <w:lvl w:ilvl="0">
      <w:lvlJc w:val="left"/>
      <w:lvlText w:val="(%1)"/>
      <w:numFmt w:val="lowerLetter"/>
      <w:start w:val="2"/>
    </w:lvl>
  </w:abstractNum>
  <w:abstractNum w:abstractNumId="150">
    <w:nsid w:val="38A5D054"/>
    <w:multiLevelType w:val="hybridMultilevel"/>
    <w:lvl w:ilvl="0">
      <w:lvlJc w:val="left"/>
      <w:lvlText w:val="%1."/>
      <w:numFmt w:val="decimal"/>
      <w:start w:val="1"/>
    </w:lvl>
  </w:abstractNum>
  <w:abstractNum w:abstractNumId="151">
    <w:nsid w:val="F3F09D8"/>
    <w:multiLevelType w:val="hybridMultilevel"/>
    <w:lvl w:ilvl="0">
      <w:lvlJc w:val="left"/>
      <w:lvlText w:val="[***]"/>
      <w:numFmt w:val="bullet"/>
      <w:start w:val="1"/>
    </w:lvl>
  </w:abstractNum>
  <w:abstractNum w:abstractNumId="152">
    <w:nsid w:val="4B793735"/>
    <w:multiLevelType w:val="hybridMultilevel"/>
    <w:lvl w:ilvl="0">
      <w:lvlJc w:val="left"/>
      <w:lvlText w:val="(%1)"/>
      <w:numFmt w:val="lowerLetter"/>
      <w:start w:val="2"/>
    </w:lvl>
  </w:abstractNum>
  <w:abstractNum w:abstractNumId="153">
    <w:nsid w:val="4A10B4E8"/>
    <w:multiLevelType w:val="hybridMultilevel"/>
    <w:lvl w:ilvl="0">
      <w:lvlJc w:val="left"/>
      <w:lvlText w:val="(%1)"/>
      <w:numFmt w:val="lowerLetter"/>
      <w:start w:val="4"/>
    </w:lvl>
  </w:abstractNum>
  <w:abstractNum w:abstractNumId="154">
    <w:nsid w:val="43D3BCD4"/>
    <w:multiLevelType w:val="hybridMultilevel"/>
    <w:lvl w:ilvl="0">
      <w:lvlJc w:val="left"/>
      <w:lvlText w:val="(%1)"/>
      <w:numFmt w:val="lowerLetter"/>
      <w:start w:val="1"/>
    </w:lvl>
  </w:abstractNum>
  <w:abstractNum w:abstractNumId="155">
    <w:nsid w:val="4C2A7166"/>
    <w:multiLevelType w:val="hybridMultilevel"/>
    <w:lvl w:ilvl="0">
      <w:lvlJc w:val="left"/>
      <w:lvlText w:val="(%1)"/>
      <w:numFmt w:val="lowerLetter"/>
      <w:start w:val="1"/>
    </w:lvl>
  </w:abstractNum>
  <w:abstractNum w:abstractNumId="156">
    <w:nsid w:val="2E534A82"/>
    <w:multiLevelType w:val="hybridMultilevel"/>
    <w:lvl w:ilvl="0">
      <w:lvlJc w:val="left"/>
      <w:lvlText w:val="(%1)"/>
      <w:numFmt w:val="lowerLetter"/>
      <w:start w:val="3"/>
    </w:lvl>
  </w:abstractNum>
  <w:abstractNum w:abstractNumId="157">
    <w:nsid w:val="26F2D364"/>
    <w:multiLevelType w:val="hybridMultilevel"/>
    <w:lvl w:ilvl="0">
      <w:lvlJc w:val="left"/>
      <w:lvlText w:val="(%1)"/>
      <w:numFmt w:val="lowerLetter"/>
      <w:start w:val="3"/>
    </w:lvl>
  </w:abstractNum>
  <w:abstractNum w:abstractNumId="158">
    <w:nsid w:val="71C1AF98"/>
    <w:multiLevelType w:val="hybridMultilevel"/>
    <w:lvl w:ilvl="0">
      <w:lvlJc w:val="left"/>
      <w:lvlText w:val="(%1)"/>
      <w:numFmt w:val="lowerLetter"/>
      <w:start w:val="1"/>
    </w:lvl>
    <w:lvl w:ilvl="1">
      <w:lvlJc w:val="left"/>
      <w:lvlText w:val="(%2)"/>
      <w:numFmt w:val="lowerLetter"/>
      <w:start w:val="9"/>
    </w:lvl>
  </w:abstractNum>
  <w:abstractNum w:abstractNumId="159">
    <w:nsid w:val="3D00B9D9"/>
    <w:multiLevelType w:val="hybridMultilevel"/>
    <w:lvl w:ilvl="0">
      <w:lvlJc w:val="left"/>
      <w:lvlText w:val="(%1)"/>
      <w:numFmt w:val="lowerRoman"/>
      <w:start w:val="2"/>
    </w:lvl>
  </w:abstractNum>
  <w:abstractNum w:abstractNumId="160">
    <w:nsid w:val="15BCABA8"/>
    <w:multiLevelType w:val="hybridMultilevel"/>
    <w:lvl w:ilvl="0">
      <w:lvlJc w:val="left"/>
      <w:lvlText w:val="(%1)"/>
      <w:numFmt w:val="lowerLetter"/>
      <w:start w:val="1"/>
    </w:lvl>
    <w:lvl w:ilvl="1">
      <w:lvlJc w:val="left"/>
      <w:lvlText w:val="(%2)"/>
      <w:numFmt w:val="lowerRoman"/>
      <w:start w:val="1"/>
    </w:lvl>
  </w:abstractNum>
  <w:abstractNum w:abstractNumId="161">
    <w:nsid w:val="4E0B9A87"/>
    <w:multiLevelType w:val="hybridMultilevel"/>
    <w:lvl w:ilvl="0">
      <w:lvlJc w:val="left"/>
      <w:lvlText w:val="%1"/>
      <w:numFmt w:val="lowerLetter"/>
      <w:start w:val="1"/>
    </w:lvl>
    <w:lvl w:ilvl="1">
      <w:lvlJc w:val="left"/>
      <w:lvlText w:val="(%2)"/>
      <w:numFmt w:val="lowerRoman"/>
      <w:start w:val="7"/>
    </w:lvl>
  </w:abstractNum>
  <w:abstractNum w:abstractNumId="162">
    <w:nsid w:val="434BAE75"/>
    <w:multiLevelType w:val="hybridMultilevel"/>
    <w:lvl w:ilvl="0">
      <w:lvlJc w:val="left"/>
      <w:lvlText w:val="(%1)"/>
      <w:numFmt w:val="lowerLetter"/>
      <w:start w:val="3"/>
    </w:lvl>
    <w:lvl w:ilvl="1">
      <w:lvlJc w:val="left"/>
      <w:lvlText w:val="%2"/>
      <w:numFmt w:val="lowerRoman"/>
      <w:start w:val="1"/>
    </w:lvl>
  </w:abstractNum>
  <w:abstractNum w:abstractNumId="163">
    <w:nsid w:val="4F38F265"/>
    <w:multiLevelType w:val="hybridMultilevel"/>
    <w:lvl w:ilvl="0">
      <w:lvlJc w:val="left"/>
      <w:lvlText w:val="(%1)"/>
      <w:numFmt w:val="lowerLetter"/>
      <w:start w:val="1"/>
    </w:lvl>
    <w:lvl w:ilvl="1">
      <w:lvlJc w:val="left"/>
      <w:lvlText w:val="(%2)"/>
      <w:numFmt w:val="lowerRoman"/>
      <w:start w:val="1"/>
    </w:lvl>
  </w:abstractNum>
  <w:abstractNum w:abstractNumId="164">
    <w:nsid w:val="4C502870"/>
    <w:multiLevelType w:val="hybridMultilevel"/>
    <w:lvl w:ilvl="0">
      <w:lvlJc w:val="left"/>
      <w:lvlText w:val="(%1)"/>
      <w:numFmt w:val="lowerRoman"/>
      <w:start w:val="5"/>
    </w:lvl>
  </w:abstractNum>
  <w:abstractNum w:abstractNumId="165">
    <w:nsid w:val="1DE8725A"/>
    <w:multiLevelType w:val="hybridMultilevel"/>
    <w:lvl w:ilvl="0">
      <w:lvlJc w:val="left"/>
      <w:lvlText w:val="(%1)"/>
      <w:numFmt w:val="lowerLetter"/>
      <w:start w:val="1"/>
    </w:lvl>
    <w:lvl w:ilvl="1">
      <w:lvlJc w:val="left"/>
      <w:lvlText w:val="(%2)"/>
      <w:numFmt w:val="lowerRoman"/>
      <w:start w:val="1"/>
    </w:lvl>
  </w:abstractNum>
  <w:abstractNum w:abstractNumId="166">
    <w:nsid w:val="6A37288A"/>
    <w:multiLevelType w:val="hybridMultilevel"/>
    <w:lvl w:ilvl="0">
      <w:lvlJc w:val="left"/>
      <w:lvlText w:val="(%1)"/>
      <w:numFmt w:val="lowerLetter"/>
      <w:start w:val="1"/>
    </w:lvl>
    <w:lvl w:ilvl="1">
      <w:lvlJc w:val="left"/>
      <w:lvlText w:val="(%2)"/>
      <w:numFmt w:val="lowerRoman"/>
      <w:start w:val="1"/>
    </w:lvl>
  </w:abstractNum>
  <w:abstractNum w:abstractNumId="167">
    <w:nsid w:val="8F8B73F"/>
    <w:multiLevelType w:val="hybridMultilevel"/>
    <w:lvl w:ilvl="0">
      <w:lvlJc w:val="left"/>
      <w:lvlText w:val="(%1)"/>
      <w:numFmt w:val="lowerLetter"/>
      <w:start w:val="1"/>
    </w:lvl>
  </w:abstractNum>
  <w:abstractNum w:abstractNumId="168">
    <w:nsid w:val="CA6B462"/>
    <w:multiLevelType w:val="hybridMultilevel"/>
    <w:lvl w:ilvl="0">
      <w:lvlJc w:val="left"/>
      <w:lvlText w:val="(%1)"/>
      <w:numFmt w:val="lowerLetter"/>
      <w:start w:val="2"/>
    </w:lvl>
    <w:lvl w:ilvl="1">
      <w:lvlJc w:val="left"/>
      <w:lvlText w:val="(%2)"/>
      <w:numFmt w:val="lowerRoman"/>
      <w:start w:val="1"/>
    </w:lvl>
  </w:abstractNum>
  <w:abstractNum w:abstractNumId="169">
    <w:nsid w:val="763CB680"/>
    <w:multiLevelType w:val="hybridMultilevel"/>
    <w:lvl w:ilvl="0">
      <w:lvlJc w:val="left"/>
      <w:lvlText w:val="(%1)"/>
      <w:numFmt w:val="lowerLetter"/>
      <w:start w:val="1"/>
    </w:lvl>
  </w:abstractNum>
  <w:abstractNum w:abstractNumId="170">
    <w:nsid w:val="15B71329"/>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171">
    <w:nsid w:val="3DA97044"/>
    <w:multiLevelType w:val="hybridMultilevel"/>
    <w:lvl w:ilvl="0">
      <w:lvlJc w:val="left"/>
      <w:lvlText w:val="(%1)"/>
      <w:numFmt w:val="lowerLetter"/>
      <w:start w:val="1"/>
    </w:lvl>
  </w:abstractNum>
  <w:abstractNum w:abstractNumId="172">
    <w:nsid w:val="1CDCE2DE"/>
    <w:multiLevelType w:val="hybridMultilevel"/>
    <w:lvl w:ilvl="0">
      <w:lvlJc w:val="left"/>
      <w:lvlText w:val="(%1)"/>
      <w:numFmt w:val="lowerLetter"/>
      <w:start w:val="1"/>
    </w:lvl>
    <w:lvl w:ilvl="1">
      <w:lvlJc w:val="left"/>
      <w:lvlText w:val="(%2)"/>
      <w:numFmt w:val="lowerRoman"/>
      <w:start w:val="1"/>
    </w:lvl>
  </w:abstractNum>
  <w:abstractNum w:abstractNumId="173">
    <w:nsid w:val="69D3947C"/>
    <w:multiLevelType w:val="hybridMultilevel"/>
    <w:lvl w:ilvl="0">
      <w:lvlJc w:val="left"/>
      <w:lvlText w:val="(%1)"/>
      <w:numFmt w:val="lowerLetter"/>
      <w:start w:val="1"/>
    </w:lvl>
  </w:abstractNum>
  <w:abstractNum w:abstractNumId="174">
    <w:nsid w:val="2539DFA5"/>
    <w:multiLevelType w:val="hybridMultilevel"/>
    <w:lvl w:ilvl="0">
      <w:lvlJc w:val="left"/>
      <w:lvlText w:val="[***]"/>
      <w:numFmt w:val="bullet"/>
      <w:start w:val="1"/>
    </w:lvl>
    <w:lvl w:ilvl="1">
      <w:lvlJc w:val="left"/>
      <w:lvlText w:val="(%2)"/>
      <w:numFmt w:val="lowerLetter"/>
      <w:start w:val="1"/>
    </w:lvl>
  </w:abstractNum>
  <w:abstractNum w:abstractNumId="175">
    <w:nsid w:val="2DB88089"/>
    <w:multiLevelType w:val="hybridMultilevel"/>
    <w:lvl w:ilvl="0">
      <w:lvlJc w:val="left"/>
      <w:lvlText w:val="(%1)"/>
      <w:numFmt w:val="lowerLetter"/>
      <w:start w:val="1"/>
    </w:lvl>
  </w:abstractNum>
  <w:abstractNum w:abstractNumId="176">
    <w:nsid w:val="706B674E"/>
    <w:multiLevelType w:val="hybridMultilevel"/>
    <w:lvl w:ilvl="0">
      <w:lvlJc w:val="left"/>
      <w:lvlText w:val="(%1)"/>
      <w:numFmt w:val="lowerLetter"/>
      <w:start w:val="1"/>
    </w:lvl>
    <w:lvl w:ilvl="1">
      <w:lvlJc w:val="left"/>
      <w:lvlText w:val="(%2)"/>
      <w:numFmt w:val="lowerLetter"/>
      <w:start w:val="2"/>
    </w:lvl>
  </w:abstractNum>
  <w:abstractNum w:abstractNumId="177">
    <w:nsid w:val="2C106A57"/>
    <w:multiLevelType w:val="hybridMultilevel"/>
    <w:lvl w:ilvl="0">
      <w:lvlJc w:val="left"/>
      <w:lvlText w:val="(%1)"/>
      <w:numFmt w:val="lowerLetter"/>
      <w:start w:val="9"/>
    </w:lvl>
    <w:lvl w:ilvl="1">
      <w:lvlJc w:val="left"/>
      <w:lvlText w:val="(%2)"/>
      <w:numFmt w:val="lowerLetter"/>
      <w:start w:val="3"/>
    </w:lvl>
  </w:abstractNum>
  <w:abstractNum w:abstractNumId="178">
    <w:nsid w:val="684EED5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79">
    <w:nsid w:val="545EE5D3"/>
    <w:multiLevelType w:val="hybridMultilevel"/>
    <w:lvl w:ilvl="0">
      <w:lvlJc w:val="left"/>
      <w:lvlText w:val="%1"/>
      <w:numFmt w:val="lowerLetter"/>
      <w:start w:val="1"/>
    </w:lvl>
    <w:lvl w:ilvl="1">
      <w:lvlJc w:val="left"/>
      <w:lvlText w:val="(%2)"/>
      <w:numFmt w:val="lowerLetter"/>
      <w:start w:val="35"/>
    </w:lvl>
  </w:abstractNum>
  <w:abstractNum w:abstractNumId="180">
    <w:nsid w:val="4A66051"/>
    <w:multiLevelType w:val="hybridMultilevel"/>
    <w:lvl w:ilvl="0">
      <w:lvlJc w:val="left"/>
      <w:lvlText w:val="(%1)"/>
      <w:numFmt w:val="lowerLetter"/>
      <w:start w:val="2"/>
    </w:lvl>
    <w:lvl w:ilvl="1">
      <w:lvlJc w:val="left"/>
      <w:lvlText w:val="%2"/>
      <w:numFmt w:val="lowerLetter"/>
      <w:start w:val="1"/>
    </w:lvl>
  </w:abstractNum>
  <w:abstractNum w:abstractNumId="181">
    <w:nsid w:val="20F4BDAD"/>
    <w:multiLevelType w:val="hybridMultilevel"/>
    <w:lvl w:ilvl="0">
      <w:lvlJc w:val="left"/>
      <w:lvlText w:val="(%1)"/>
      <w:numFmt w:val="lowerLetter"/>
      <w:start w:val="1"/>
    </w:lvl>
  </w:abstractNum>
  <w:abstractNum w:abstractNumId="182">
    <w:nsid w:val="639DEFAC"/>
    <w:multiLevelType w:val="hybridMultilevel"/>
    <w:lvl w:ilvl="0">
      <w:lvlJc w:val="left"/>
      <w:lvlText w:val="(%1)"/>
      <w:numFmt w:val="lowerLetter"/>
      <w:start w:val="2"/>
    </w:lvl>
  </w:abstractNum>
  <w:abstractNum w:abstractNumId="183">
    <w:nsid w:val="501F9786"/>
    <w:multiLevelType w:val="hybridMultilevel"/>
    <w:lvl w:ilvl="0">
      <w:lvlJc w:val="left"/>
      <w:lvlText w:val="(%1)"/>
      <w:numFmt w:val="lowerLetter"/>
      <w:start w:val="1"/>
    </w:lvl>
  </w:abstractNum>
  <w:abstractNum w:abstractNumId="184">
    <w:nsid w:val="6B057295"/>
    <w:multiLevelType w:val="hybridMultilevel"/>
    <w:lvl w:ilvl="0">
      <w:lvlJc w:val="left"/>
      <w:lvlText w:val="(%1)"/>
      <w:numFmt w:val="lowerLetter"/>
      <w:start w:val="2"/>
    </w:lvl>
  </w:abstractNum>
  <w:abstractNum w:abstractNumId="185">
    <w:nsid w:val="2771AC80"/>
    <w:multiLevelType w:val="hybridMultilevel"/>
    <w:lvl w:ilvl="0">
      <w:lvlJc w:val="left"/>
      <w:lvlText w:val="(%1)"/>
      <w:numFmt w:val="lowerLetter"/>
      <w:start w:val="1"/>
    </w:lvl>
  </w:abstractNum>
  <w:abstractNum w:abstractNumId="186">
    <w:nsid w:val="1C4A08EC"/>
    <w:multiLevelType w:val="hybridMultilevel"/>
    <w:lvl w:ilvl="0">
      <w:lvlJc w:val="left"/>
      <w:lvlText w:val="(%1)"/>
      <w:numFmt w:val="lowerLetter"/>
      <w:start w:val="2"/>
    </w:lvl>
  </w:abstractNum>
  <w:abstractNum w:abstractNumId="187">
    <w:nsid w:val="1958BD17"/>
    <w:multiLevelType w:val="hybridMultilevel"/>
    <w:lvl w:ilvl="0">
      <w:lvlJc w:val="left"/>
      <w:lvlText w:val="(%1)"/>
      <w:numFmt w:val="lowerLetter"/>
      <w:start w:val="1"/>
    </w:lvl>
  </w:abstractNum>
  <w:abstractNum w:abstractNumId="188">
    <w:nsid w:val="4E647FE4"/>
    <w:multiLevelType w:val="hybridMultilevel"/>
    <w:lvl w:ilvl="0">
      <w:lvlJc w:val="left"/>
      <w:lvlText w:val="%1"/>
      <w:numFmt w:val="lowerLetter"/>
      <w:start w:val="1"/>
    </w:lvl>
    <w:lvl w:ilvl="1">
      <w:lvlJc w:val="left"/>
      <w:lvlText w:val="(%2)"/>
      <w:numFmt w:val="lowerLetter"/>
      <w:start w:val="1"/>
    </w:lvl>
  </w:abstractNum>
  <w:abstractNum w:abstractNumId="189">
    <w:nsid w:val="E0BB885"/>
    <w:multiLevelType w:val="hybridMultilevel"/>
    <w:lvl w:ilvl="0">
      <w:lvlJc w:val="left"/>
      <w:lvlText w:val="(%1)"/>
      <w:numFmt w:val="lowerLetter"/>
      <w:start w:val="9"/>
    </w:lvl>
    <w:lvl w:ilvl="1">
      <w:lvlJc w:val="left"/>
      <w:lvlText w:val="%2"/>
      <w:numFmt w:val="lowerLetter"/>
      <w:start w:val="1"/>
    </w:lvl>
  </w:abstractNum>
  <w:abstractNum w:abstractNumId="190">
    <w:nsid w:val="565976F1"/>
    <w:multiLevelType w:val="hybridMultilevel"/>
    <w:lvl w:ilvl="0">
      <w:lvlJc w:val="left"/>
      <w:lvlText w:val="(%1)"/>
      <w:numFmt w:val="lowerLetter"/>
      <w:start w:val="26"/>
    </w:lvl>
    <w:lvl w:ilvl="1">
      <w:lvlJc w:val="left"/>
      <w:lvlText w:val="%2"/>
      <w:numFmt w:val="lowerLetter"/>
      <w:start w:val="1"/>
    </w:lvl>
  </w:abstractNum>
  <w:abstractNum w:abstractNumId="191">
    <w:nsid w:val="64212B8C"/>
    <w:multiLevelType w:val="hybridMultilevel"/>
    <w:lvl w:ilvl="0">
      <w:lvlJc w:val="left"/>
      <w:lvlText w:val="(%1)"/>
      <w:numFmt w:val="lowerLetter"/>
      <w:start w:val="1"/>
    </w:lvl>
  </w:abstractNum>
  <w:abstractNum w:abstractNumId="192">
    <w:nsid w:val="5C17530C"/>
    <w:multiLevelType w:val="hybridMultilevel"/>
    <w:lvl w:ilvl="0">
      <w:lvlJc w:val="left"/>
      <w:lvlText w:val="(%1)"/>
      <w:numFmt w:val="lowerLetter"/>
      <w:start w:val="4"/>
    </w:lvl>
  </w:abstractNum>
  <w:abstractNum w:abstractNumId="193">
    <w:nsid w:val="19A52566"/>
    <w:multiLevelType w:val="hybridMultilevel"/>
    <w:lvl w:ilvl="0">
      <w:lvlJc w:val="left"/>
      <w:lvlText w:val="(%1)"/>
      <w:numFmt w:val="lowerLetter"/>
      <w:start w:val="5"/>
    </w:lvl>
  </w:abstractNum>
  <w:abstractNum w:abstractNumId="194">
    <w:nsid w:val="335A1DF1"/>
    <w:multiLevelType w:val="hybridMultilevel"/>
    <w:lvl w:ilvl="0">
      <w:lvlJc w:val="left"/>
      <w:lvlText w:val="(%1)"/>
      <w:numFmt w:val="lowerLetter"/>
      <w:start w:val="1"/>
    </w:lvl>
  </w:abstractNum>
  <w:abstractNum w:abstractNumId="195">
    <w:nsid w:val="28677B7C"/>
    <w:multiLevelType w:val="hybridMultilevel"/>
    <w:lvl w:ilvl="0">
      <w:lvlJc w:val="left"/>
      <w:lvlText w:val="(%1)"/>
      <w:numFmt w:val="lowerLetter"/>
      <w:start w:val="1"/>
    </w:lvl>
  </w:abstractNum>
  <w:abstractNum w:abstractNumId="196">
    <w:nsid w:val="378D97C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97">
    <w:nsid w:val="1D91467C"/>
    <w:multiLevelType w:val="hybridMultilevel"/>
    <w:lvl w:ilvl="0">
      <w:lvlJc w:val="left"/>
      <w:lvlText w:val="(%1)"/>
      <w:numFmt w:val="lowerLetter"/>
      <w:start w:val="4"/>
    </w:lvl>
    <w:lvl w:ilvl="1">
      <w:lvlJc w:val="left"/>
      <w:lvlText w:val="(%2)"/>
      <w:numFmt w:val="lowerRoman"/>
      <w:start w:val="1"/>
    </w:lvl>
  </w:abstractNum>
  <w:abstractNum w:abstractNumId="198">
    <w:nsid w:val="316032BB"/>
    <w:multiLevelType w:val="hybridMultilevel"/>
    <w:lvl w:ilvl="0">
      <w:lvlJc w:val="left"/>
      <w:lvlText w:val="(%1)"/>
      <w:numFmt w:val="lowerLetter"/>
      <w:start w:val="1"/>
    </w:lvl>
  </w:abstractNum>
  <w:abstractNum w:abstractNumId="199">
    <w:nsid w:val="44344C22"/>
    <w:multiLevelType w:val="hybridMultilevel"/>
    <w:lvl w:ilvl="0">
      <w:lvlJc w:val="left"/>
      <w:lvlText w:val="(%1)"/>
      <w:numFmt w:val="lowerLetter"/>
      <w:start w:val="1"/>
    </w:lvl>
  </w:abstractNum>
  <w:abstractNum w:abstractNumId="200">
    <w:nsid w:val="13CDFCFC"/>
    <w:multiLevelType w:val="hybridMultilevel"/>
    <w:lvl w:ilvl="0">
      <w:lvlJc w:val="left"/>
      <w:lvlText w:val="(%1)"/>
      <w:numFmt w:val="lowerLetter"/>
      <w:start w:val="1"/>
    </w:lvl>
  </w:abstractNum>
  <w:abstractNum w:abstractNumId="201">
    <w:nsid w:val="471745E4"/>
    <w:multiLevelType w:val="hybridMultilevel"/>
    <w:lvl w:ilvl="0">
      <w:lvlJc w:val="left"/>
      <w:lvlText w:val="(%1)"/>
      <w:numFmt w:val="lowerLetter"/>
      <w:start w:val="1"/>
    </w:lvl>
  </w:abstractNum>
  <w:abstractNum w:abstractNumId="202">
    <w:nsid w:val="1DDBC66"/>
    <w:multiLevelType w:val="hybridMultilevel"/>
    <w:lvl w:ilvl="0">
      <w:lvlJc w:val="left"/>
      <w:lvlText w:val="(%1)"/>
      <w:numFmt w:val="lowerLetter"/>
      <w:start w:val="2"/>
    </w:lvl>
  </w:abstractNum>
  <w:abstractNum w:abstractNumId="203">
    <w:nsid w:val="30AADFDA"/>
    <w:multiLevelType w:val="hybridMultilevel"/>
    <w:lvl w:ilvl="0">
      <w:lvlJc w:val="left"/>
      <w:lvlText w:val="%1"/>
      <w:numFmt w:val="lowerLetter"/>
      <w:start w:val="1"/>
    </w:lvl>
    <w:lvl w:ilvl="1">
      <w:lvlJc w:val="left"/>
      <w:lvlText w:val="(%2)"/>
      <w:numFmt w:val="lowerLetter"/>
      <w:start w:val="1"/>
    </w:lvl>
  </w:abstractNum>
  <w:abstractNum w:abstractNumId="204">
    <w:nsid w:val="30EADA61"/>
    <w:multiLevelType w:val="hybridMultilevel"/>
    <w:lvl w:ilvl="0">
      <w:lvlJc w:val="left"/>
      <w:lvlText w:val="(%1)"/>
      <w:numFmt w:val="lowerLetter"/>
      <w:start w:val="35"/>
    </w:lvl>
    <w:lvl w:ilvl="1">
      <w:lvlJc w:val="left"/>
      <w:lvlText w:val="(%2)"/>
      <w:numFmt w:val="lowerLetter"/>
      <w:start w:val="2"/>
    </w:lvl>
  </w:abstractNum>
  <w:abstractNum w:abstractNumId="205">
    <w:nsid w:val="27179C0B"/>
    <w:multiLevelType w:val="hybridMultilevel"/>
    <w:lvl w:ilvl="0">
      <w:lvlJc w:val="left"/>
      <w:lvlText w:val="(%1)"/>
      <w:numFmt w:val="lowerLetter"/>
      <w:start w:val="4"/>
    </w:lvl>
  </w:abstractNum>
  <w:abstractNum w:abstractNumId="206">
    <w:nsid w:val="5E636063"/>
    <w:multiLevelType w:val="hybridMultilevel"/>
    <w:lvl w:ilvl="0">
      <w:lvlJc w:val="left"/>
      <w:lvlText w:val="(%1)"/>
      <w:numFmt w:val="lowerLetter"/>
      <w:start w:val="1"/>
    </w:lvl>
  </w:abstractNum>
  <w:abstractNum w:abstractNumId="207">
    <w:nsid w:val="215641AF"/>
    <w:multiLevelType w:val="hybridMultilevel"/>
    <w:lvl w:ilvl="0">
      <w:lvlJc w:val="left"/>
      <w:lvlText w:val="(%1)"/>
      <w:numFmt w:val="lowerLetter"/>
      <w:start w:val="1"/>
    </w:lvl>
  </w:abstractNum>
  <w:abstractNum w:abstractNumId="208">
    <w:nsid w:val="53280662"/>
    <w:multiLevelType w:val="hybridMultilevel"/>
    <w:lvl w:ilvl="0">
      <w:lvlJc w:val="left"/>
      <w:lvlText w:val="(%1)"/>
      <w:numFmt w:val="lowerLetter"/>
      <w:start w:val="1"/>
    </w:lvl>
  </w:abstractNum>
  <w:abstractNum w:abstractNumId="209">
    <w:nsid w:val="46B24DBC"/>
    <w:multiLevelType w:val="hybridMultilevel"/>
    <w:lvl w:ilvl="0">
      <w:lvlJc w:val="left"/>
      <w:lvlText w:val="(%1)"/>
      <w:numFmt w:val="lowerLetter"/>
      <w:start w:val="1"/>
    </w:lvl>
  </w:abstractNum>
  <w:abstractNum w:abstractNumId="210">
    <w:nsid w:val="75B52783"/>
    <w:multiLevelType w:val="hybridMultilevel"/>
    <w:lvl w:ilvl="0">
      <w:lvlJc w:val="left"/>
      <w:lvlText w:val="(%1)"/>
      <w:numFmt w:val="lowerLetter"/>
      <w:start w:val="1"/>
    </w:lvl>
  </w:abstractNum>
  <w:abstractNum w:abstractNumId="211">
    <w:nsid w:val="57CE66B4"/>
    <w:multiLevelType w:val="hybridMultilevel"/>
    <w:lvl w:ilvl="0">
      <w:lvlJc w:val="left"/>
      <w:lvlText w:val="(%1)"/>
      <w:numFmt w:val="lowerLetter"/>
      <w:start w:val="1"/>
    </w:lvl>
  </w:abstractNum>
  <w:abstractNum w:abstractNumId="212">
    <w:nsid w:val="67A70B69"/>
    <w:multiLevelType w:val="hybridMultilevel"/>
    <w:lvl w:ilvl="0">
      <w:lvlJc w:val="left"/>
      <w:lvlText w:val="(%1)"/>
      <w:numFmt w:val="lowerLetter"/>
      <w:start w:val="3"/>
    </w:lvl>
  </w:abstractNum>
  <w:abstractNum w:abstractNumId="213">
    <w:nsid w:val="5953172F"/>
    <w:multiLevelType w:val="hybridMultilevel"/>
    <w:lvl w:ilvl="0">
      <w:lvlJc w:val="left"/>
      <w:lvlText w:val="[***]"/>
      <w:numFmt w:val="bullet"/>
      <w:start w:val="1"/>
    </w:lvl>
    <w:lvl w:ilvl="1">
      <w:lvlJc w:val="left"/>
      <w:lvlText w:val="(%2)"/>
      <w:numFmt w:val="lowerLetter"/>
      <w:start w:val="1"/>
    </w:lvl>
  </w:abstractNum>
  <w:abstractNum w:abstractNumId="214">
    <w:nsid w:val="27EDFE3A"/>
    <w:multiLevelType w:val="hybridMultilevel"/>
    <w:lvl w:ilvl="0">
      <w:lvlJc w:val="left"/>
      <w:lvlText w:val="[***]"/>
      <w:numFmt w:val="bullet"/>
      <w:start w:val="1"/>
    </w:lvl>
    <w:lvl w:ilvl="1">
      <w:lvlJc w:val="left"/>
      <w:lvlText w:val="(%2)"/>
      <w:numFmt w:val="lowerLetter"/>
      <w:start w:val="3"/>
    </w:lvl>
  </w:abstractNum>
  <w:abstractNum w:abstractNumId="215">
    <w:nsid w:val="52AC7DFF"/>
    <w:multiLevelType w:val="hybridMultilevel"/>
    <w:lvl w:ilvl="0">
      <w:lvlJc w:val="left"/>
      <w:lvlText w:val="(%1)"/>
      <w:numFmt w:val="lowerLetter"/>
      <w:start w:val="1"/>
    </w:lvl>
    <w:lvl w:ilvl="1">
      <w:lvlJc w:val="left"/>
      <w:lvlText w:val="(%2)"/>
      <w:numFmt w:val="lowerRoman"/>
      <w:start w:val="1"/>
    </w:lvl>
  </w:abstractNum>
  <w:abstractNum w:abstractNumId="216">
    <w:nsid w:val="C4C3AF"/>
    <w:multiLevelType w:val="hybridMultilevel"/>
    <w:lvl w:ilvl="0">
      <w:lvlJc w:val="left"/>
      <w:lvlText w:val="[***]"/>
      <w:numFmt w:val="bullet"/>
      <w:start w:val="1"/>
    </w:lvl>
    <w:lvl w:ilvl="1">
      <w:lvlJc w:val="left"/>
      <w:lvlText w:val="(%2)"/>
      <w:numFmt w:val="lowerLetter"/>
      <w:start w:val="2"/>
    </w:lvl>
    <w:lvl w:ilvl="2">
      <w:lvlJc w:val="left"/>
      <w:lvlText w:val="%3"/>
      <w:numFmt w:val="lowerLetter"/>
      <w:start w:val="1"/>
    </w:lvl>
  </w:abstractNum>
  <w:abstractNum w:abstractNumId="217">
    <w:nsid w:val="44380727"/>
    <w:multiLevelType w:val="hybridMultilevel"/>
    <w:lvl w:ilvl="0">
      <w:lvlJc w:val="left"/>
      <w:lvlText w:val="[***]"/>
      <w:numFmt w:val="bullet"/>
      <w:start w:val="1"/>
    </w:lvl>
    <w:lvl w:ilvl="1">
      <w:lvlJc w:val="left"/>
      <w:lvlText w:val="(%2)"/>
      <w:numFmt w:val="lowerLetter"/>
      <w:start w:val="4"/>
    </w:lvl>
    <w:lvl w:ilvl="2">
      <w:lvlJc w:val="left"/>
      <w:lvlText w:val="(%3)"/>
      <w:numFmt w:val="lowerLetter"/>
      <w:start w:val="9"/>
    </w:lvl>
  </w:abstractNum>
  <w:abstractNum w:abstractNumId="218">
    <w:nsid w:val="6C053B16"/>
    <w:multiLevelType w:val="hybridMultilevel"/>
    <w:lvl w:ilvl="0">
      <w:lvlJc w:val="left"/>
      <w:lvlText w:val="(%1)"/>
      <w:numFmt w:val="lowerRoman"/>
      <w:start w:val="2"/>
    </w:lvl>
  </w:abstractNum>
  <w:abstractNum w:abstractNumId="219">
    <w:nsid w:val="4F29439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220">
    <w:nsid w:val="5243BFAC"/>
    <w:multiLevelType w:val="hybridMultilevel"/>
    <w:lvl w:ilvl="0">
      <w:lvlJc w:val="left"/>
      <w:lvlText w:val="%1"/>
      <w:numFmt w:val="upperLetter"/>
      <w:start w:val="1"/>
    </w:lvl>
    <w:lvl w:ilvl="1">
      <w:lvlJc w:val="left"/>
      <w:lvlText w:val="%2."/>
      <w:numFmt w:val="decimal"/>
      <w:start w:val="3"/>
    </w:lvl>
  </w:abstractNum>
  <w:abstractNum w:abstractNumId="221">
    <w:nsid w:val="425EB207"/>
    <w:multiLevelType w:val="hybridMultilevel"/>
    <w:lvl w:ilvl="0">
      <w:lvlJc w:val="left"/>
      <w:lvlText w:val="%1."/>
      <w:numFmt w:val="upperLetter"/>
      <w:start w:val="2"/>
    </w:lvl>
    <w:lvl w:ilvl="1">
      <w:lvlJc w:val="left"/>
      <w:lvlText w:val="%2"/>
      <w:numFmt w:val="decimal"/>
      <w:start w:val="1"/>
    </w:lvl>
  </w:abstractNum>
  <w:abstractNum w:abstractNumId="222">
    <w:nsid w:val="334A6F1F"/>
    <w:multiLevelType w:val="hybridMultilevel"/>
    <w:lvl w:ilvl="0">
      <w:lvlJc w:val="left"/>
      <w:lvlText w:val="(%1)"/>
      <w:numFmt w:val="lowerRoman"/>
      <w:start w:val="3"/>
    </w:lvl>
  </w:abstractNum>
  <w:abstractNum w:abstractNumId="223">
    <w:nsid w:val="2E5B12B8"/>
    <w:multiLevelType w:val="hybridMultilevel"/>
    <w:lvl w:ilvl="0">
      <w:lvlJc w:val="left"/>
      <w:lvlText w:val="(%1)"/>
      <w:numFmt w:val="lowerRoman"/>
      <w:start w:val="6"/>
    </w:lvl>
    <w:lvl w:ilvl="1">
      <w:lvlJc w:val="left"/>
      <w:lvlText w:val="%2."/>
      <w:numFmt w:val="upperLetter"/>
      <w:start w:val="1"/>
    </w:lvl>
  </w:abstractNum>
  <w:abstractNum w:abstractNumId="224">
    <w:nsid w:val="5C03D76D"/>
    <w:multiLevelType w:val="hybridMultilevel"/>
    <w:lvl w:ilvl="0">
      <w:lvlJc w:val="left"/>
      <w:lvlText w:val="(%1)"/>
      <w:numFmt w:val="lowerLetter"/>
      <w:start w:val="4"/>
    </w:lvl>
    <w:lvl w:ilvl="1">
      <w:lvlJc w:val="left"/>
      <w:lvlText w:val="(%2)"/>
      <w:numFmt w:val="lowerLetter"/>
      <w:start w:val="9"/>
    </w:lvl>
  </w:abstractNum>
  <w:abstractNum w:abstractNumId="225">
    <w:nsid w:val="66A48D11"/>
    <w:multiLevelType w:val="hybridMultilevel"/>
    <w:lvl w:ilvl="0">
      <w:lvlJc w:val="left"/>
      <w:lvlText w:val="(%1)"/>
      <w:numFmt w:val="lowerRoman"/>
      <w:start w:val="2"/>
    </w:lvl>
  </w:abstractNum>
  <w:abstractNum w:abstractNumId="226">
    <w:nsid w:val="56C28E34"/>
    <w:multiLevelType w:val="hybridMultilevel"/>
    <w:lvl w:ilvl="0">
      <w:lvlJc w:val="left"/>
      <w:lvlText w:val="(%1)"/>
      <w:numFmt w:val="lowerLetter"/>
      <w:start w:val="5"/>
    </w:lvl>
  </w:abstractNum>
  <w:abstractNum w:abstractNumId="227">
    <w:nsid w:val="13916F2D"/>
    <w:multiLevelType w:val="hybridMultilevel"/>
    <w:lvl w:ilvl="0">
      <w:lvlJc w:val="left"/>
      <w:lvlText w:val="(%1)"/>
      <w:numFmt w:val="lowerLetter"/>
      <w:start w:val="1"/>
    </w:lvl>
  </w:abstractNum>
  <w:abstractNum w:abstractNumId="228">
    <w:nsid w:val="435D38D"/>
    <w:multiLevelType w:val="hybridMultilevel"/>
    <w:lvl w:ilvl="0">
      <w:lvlJc w:val="left"/>
      <w:lvlText w:val="(%1)"/>
      <w:numFmt w:val="lowerLetter"/>
      <w:start w:val="1"/>
    </w:lvl>
  </w:abstractNum>
  <w:abstractNum w:abstractNumId="229">
    <w:nsid w:val="822C0EF"/>
    <w:multiLevelType w:val="hybridMultilevel"/>
    <w:lvl w:ilvl="0">
      <w:lvlJc w:val="left"/>
      <w:lvlText w:val="(%1)"/>
      <w:numFmt w:val="lowerLetter"/>
      <w:start w:val="10"/>
    </w:lvl>
  </w:abstractNum>
  <w:abstractNum w:abstractNumId="230">
    <w:nsid w:val="57C5BB4F"/>
    <w:multiLevelType w:val="hybridMultilevel"/>
    <w:lvl w:ilvl="0">
      <w:lvlJc w:val="left"/>
      <w:lvlText w:val="(%1)"/>
      <w:numFmt w:val="lowerLetter"/>
      <w:start w:val="15"/>
    </w:lvl>
  </w:abstractNum>
  <w:abstractNum w:abstractNumId="231">
    <w:nsid w:val="1803D089"/>
    <w:multiLevelType w:val="hybridMultilevel"/>
    <w:lvl w:ilvl="0">
      <w:lvlJc w:val="left"/>
      <w:lvlText w:val="(%1)"/>
      <w:numFmt w:val="lowerLetter"/>
      <w:start w:val="18"/>
    </w:lvl>
  </w:abstractNum>
  <w:abstractNum w:abstractNumId="232">
    <w:nsid w:val="4F3A06D4"/>
    <w:multiLevelType w:val="hybridMultilevel"/>
    <w:lvl w:ilvl="0">
      <w:lvlJc w:val="left"/>
      <w:lvlText w:val="(%1)"/>
      <w:numFmt w:val="lowerLetter"/>
      <w:start w:val="1"/>
    </w:lvl>
  </w:abstractNum>
  <w:abstractNum w:abstractNumId="233">
    <w:nsid w:val="59A377B6"/>
    <w:multiLevelType w:val="hybridMultilevel"/>
    <w:lvl w:ilvl="0">
      <w:lvlJc w:val="left"/>
      <w:lvlText w:val="(%1)"/>
      <w:numFmt w:val="lowerLetter"/>
      <w:start w:val="4"/>
    </w:lvl>
  </w:abstractNum>
  <w:abstractNum w:abstractNumId="234">
    <w:nsid w:val="48AEB063"/>
    <w:multiLevelType w:val="hybridMultilevel"/>
    <w:lvl w:ilvl="0">
      <w:lvlJc w:val="left"/>
      <w:lvlText w:val="(%1)"/>
      <w:numFmt w:val="lowerLetter"/>
      <w:start w:val="1"/>
    </w:lvl>
  </w:abstractNum>
  <w:abstractNum w:abstractNumId="235">
    <w:nsid w:val="24E135"/>
    <w:multiLevelType w:val="hybridMultilevel"/>
    <w:lvl w:ilvl="0">
      <w:lvlJc w:val="left"/>
      <w:lvlText w:val="(%1)"/>
      <w:numFmt w:val="lowerLetter"/>
      <w:start w:val="1"/>
    </w:lvl>
  </w:abstractNum>
  <w:abstractNum w:abstractNumId="236">
    <w:nsid w:val="BB13C1"/>
    <w:multiLevelType w:val="hybridMultilevel"/>
    <w:lvl w:ilvl="0">
      <w:lvlJc w:val="left"/>
      <w:lvlText w:val="(%1)"/>
      <w:numFmt w:val="lowerLetter"/>
      <w:start w:val="1"/>
    </w:lvl>
  </w:abstractNum>
  <w:abstractNum w:abstractNumId="237">
    <w:nsid w:val="271210C7"/>
    <w:multiLevelType w:val="hybridMultilevel"/>
    <w:lvl w:ilvl="0">
      <w:lvlJc w:val="left"/>
      <w:lvlText w:val="(%1)"/>
      <w:numFmt w:val="lowerLetter"/>
      <w:start w:val="1"/>
    </w:lvl>
  </w:abstractNum>
  <w:abstractNum w:abstractNumId="238">
    <w:nsid w:val="217B22E4"/>
    <w:multiLevelType w:val="hybridMultilevel"/>
    <w:lvl w:ilvl="0">
      <w:lvlJc w:val="left"/>
      <w:lvlText w:val="(%1)"/>
      <w:numFmt w:val="lowerLetter"/>
      <w:start w:val="2"/>
    </w:lvl>
  </w:abstractNum>
  <w:abstractNum w:abstractNumId="239">
    <w:nsid w:val="53E31A24"/>
    <w:multiLevelType w:val="hybridMultilevel"/>
    <w:lvl w:ilvl="0">
      <w:lvlJc w:val="left"/>
      <w:lvlText w:val="(%1)"/>
      <w:numFmt w:val="lowerLetter"/>
      <w:start w:val="1"/>
    </w:lvl>
  </w:abstractNum>
  <w:abstractNum w:abstractNumId="240">
    <w:nsid w:val="6DC45E83"/>
    <w:multiLevelType w:val="hybridMultilevel"/>
    <w:lvl w:ilvl="0">
      <w:lvlJc w:val="left"/>
      <w:lvlText w:val="(%1)"/>
      <w:numFmt w:val="lowerLetter"/>
      <w:start w:val="3"/>
    </w:lvl>
  </w:abstractNum>
  <w:abstractNum w:abstractNumId="241">
    <w:nsid w:val="17304A67"/>
    <w:multiLevelType w:val="hybridMultilevel"/>
    <w:lvl w:ilvl="0">
      <w:lvlJc w:val="left"/>
      <w:lvlText w:val="[***]"/>
      <w:numFmt w:val="bullet"/>
      <w:start w:val="1"/>
    </w:lvl>
  </w:abstractNum>
  <w:abstractNum w:abstractNumId="242">
    <w:nsid w:val="2BB180D8"/>
    <w:multiLevelType w:val="hybridMultilevel"/>
    <w:lvl w:ilvl="0">
      <w:lvlJc w:val="left"/>
      <w:lvlText w:val="(%1)"/>
      <w:numFmt w:val="lowerLetter"/>
      <w:start w:val="1"/>
    </w:lvl>
    <w:lvl w:ilvl="1">
      <w:lvlJc w:val="left"/>
      <w:lvlText w:val="(%2)"/>
      <w:numFmt w:val="lowerRoman"/>
      <w:start w:val="1"/>
    </w:lvl>
  </w:abstractNum>
  <w:abstractNum w:abstractNumId="243">
    <w:nsid w:val="556B69ED"/>
    <w:multiLevelType w:val="hybridMultilevel"/>
    <w:lvl w:ilvl="0">
      <w:lvlJc w:val="left"/>
      <w:lvlText w:val="(%1)"/>
      <w:numFmt w:val="lowerLetter"/>
      <w:start w:val="2"/>
    </w:lvl>
  </w:abstractNum>
  <w:abstractNum w:abstractNumId="244">
    <w:nsid w:val="70836196"/>
    <w:multiLevelType w:val="hybridMultilevel"/>
    <w:lvl w:ilvl="0">
      <w:lvlJc w:val="left"/>
      <w:lvlText w:val="(%1)"/>
      <w:numFmt w:val="lowerRoman"/>
      <w:start w:val="3"/>
    </w:lvl>
  </w:abstractNum>
  <w:abstractNum w:abstractNumId="245">
    <w:nsid w:val="539F7F12"/>
    <w:multiLevelType w:val="hybridMultilevel"/>
    <w:lvl w:ilvl="0">
      <w:lvlJc w:val="left"/>
      <w:lvlText w:val="(%1)"/>
      <w:numFmt w:val="lowerLetter"/>
      <w:start w:val="1"/>
    </w:lvl>
  </w:abstractNum>
  <w:abstractNum w:abstractNumId="246">
    <w:nsid w:val="2817E7EC"/>
    <w:multiLevelType w:val="hybridMultilevel"/>
    <w:lvl w:ilvl="0">
      <w:lvlJc w:val="left"/>
      <w:lvlText w:val="%1"/>
      <w:numFmt w:val="lowerLetter"/>
      <w:start w:val="1"/>
    </w:lvl>
    <w:lvl w:ilvl="1">
      <w:lvlJc w:val="left"/>
      <w:lvlText w:val="(%2)"/>
      <w:numFmt w:val="lowerLetter"/>
      <w:start w:val="2"/>
    </w:lvl>
  </w:abstractNum>
  <w:abstractNum w:abstractNumId="247">
    <w:nsid w:val="71482545"/>
    <w:multiLevelType w:val="hybridMultilevel"/>
    <w:lvl w:ilvl="0">
      <w:lvlJc w:val="left"/>
      <w:lvlText w:val="(%1)"/>
      <w:numFmt w:val="lowerLetter"/>
      <w:start w:val="35"/>
    </w:lvl>
    <w:lvl w:ilvl="1">
      <w:lvlJc w:val="left"/>
      <w:lvlText w:val="(%2)"/>
      <w:numFmt w:val="lowerLetter"/>
      <w:start w:val="8"/>
    </w:lvl>
  </w:abstractNum>
  <w:abstractNum w:abstractNumId="248">
    <w:nsid w:val="17D78639"/>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jpe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2020-03-14T20:49:51Z</dcterms:created>
  <dcterms:modified xsi:type="dcterms:W3CDTF">2020-03-14T20:49:51Z</dcterms:modified>
</cp:coreProperties>
</file>