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vmd-20251105.htm"/>
      <w:bookmarkStart w:id="1" w:name="ksrvmd20251105"/>
      <w:bookmarkEnd w:id="0"/>
      <w:bookmarkEnd w:id="1"/>
      <w:r>
        <w:rPr/>
        <w:t> </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115" w:after="28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05,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Revolution 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47-2029180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700 Saginaw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481-6801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319"/>
        <w:gridCol w:w="146"/>
        <w:gridCol w:w="941"/>
        <w:gridCol w:w="146"/>
        <w:gridCol w:w="3653"/>
      </w:tblGrid>
      <w:tr>
        <w:trPr/>
        <w:tc>
          <w:tcPr>
            <w:tcW w:w="5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531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5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53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0.1112 shares of common stock expiring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5, 2025, Revolution Medicines, Inc. (the “Company”) announced its financial results for the quarter ended September 30, 2025. The full text of the press release issued in connection with the announcement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and the attached Exhibit 99.1 is being furnished and shall not be deemed to be “filed” for the purposes of Section 18 of the Securities Exchange Act of 1934, as amended (the “Exchange Act”), or otherwise subject to the liabilities of that section, nor shall it be deemed to be incorporated by reference in any filing made by the Company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12" w:type="dxa"/>
        <w:jc w:val="left"/>
        <w:tblInd w:w="0" w:type="dxa"/>
        <w:tblLayout w:type="fixed"/>
        <w:tblCellMar>
          <w:top w:w="28" w:type="dxa"/>
          <w:left w:w="28" w:type="dxa"/>
          <w:bottom w:w="28" w:type="dxa"/>
          <w:right w:w="28" w:type="dxa"/>
        </w:tblCellMar>
      </w:tblPr>
      <w:tblGrid>
        <w:gridCol w:w="106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both"/>
              <w:rPr/>
            </w:pPr>
            <w:hyperlink w:anchor="rvmd-ex99_1.htm">
              <w:r>
                <w:rPr>
                  <w:rStyle w:val="InternetLink"/>
                  <w:rFonts w:ascii="Times New Roman" w:hAnsi="Times New Roman"/>
                  <w:color w:val="0000FF"/>
                  <w:sz w:val="20"/>
                  <w:u w:val="single"/>
                </w:rPr>
                <w:t>Press Release, dated November 5, 2025</w:t>
              </w:r>
            </w:hyperlink>
            <w:r>
              <w:rPr>
                <w:rFonts w:ascii="Times New Roman" w:hAnsi="Times New Roman"/>
                <w:color w:val="000000"/>
                <w:sz w:val="20"/>
              </w:rPr>
              <w:t>.</w:t>
            </w:r>
          </w:p>
        </w:tc>
      </w:tr>
      <w:tr>
        <w:trPr/>
        <w:tc>
          <w:tcPr>
            <w:tcW w:w="10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104 </w:t>
            </w:r>
          </w:p>
        </w:tc>
        <w:tc>
          <w:tcPr>
            <w:tcW w:w="6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24" w:type="dxa"/>
        <w:jc w:val="left"/>
        <w:tblInd w:w="0" w:type="dxa"/>
        <w:tblLayout w:type="fixed"/>
        <w:tblCellMar>
          <w:top w:w="28" w:type="dxa"/>
          <w:left w:w="28" w:type="dxa"/>
          <w:bottom w:w="28" w:type="dxa"/>
          <w:right w:w="28" w:type="dxa"/>
        </w:tblCellMar>
      </w:tblPr>
      <w:tblGrid>
        <w:gridCol w:w="556"/>
        <w:gridCol w:w="160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REVOLUTION MEDICINES,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5,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A. Goldsmith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Mark A. Goldsmith, M.D., Ph.D.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vmd-ex99_1.htm"/>
      <w:bookmarkStart w:id="3" w:name="ksrvmdex99_1"/>
      <w:bookmarkEnd w:id="2"/>
      <w:bookmarkEnd w:id="3"/>
      <w:r>
        <w:rPr/>
        <w:drawing>
          <wp:inline distT="0" distB="0" distL="0" distR="0">
            <wp:extent cx="20764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666750"/>
                    </a:xfrm>
                    <a:prstGeom prst="rect">
                      <a:avLst/>
                    </a:prstGeom>
                  </pic:spPr>
                </pic:pic>
              </a:graphicData>
            </a:graphic>
          </wp:inline>
        </w:drawing>
      </w:r>
      <w:r>
        <w:br w:type="page"/>
      </w:r>
    </w:p>
    <w:p>
      <w:pPr>
        <w:pStyle w:val="TextBody"/>
        <w:bidi w:val="0"/>
        <w:jc w:val="right"/>
        <w:rPr>
          <w:rFonts w:ascii="Times New Roman" w:hAnsi="Times New Roman"/>
          <w:sz w:val="20"/>
        </w:rPr>
      </w:pPr>
      <w:r>
        <w:rPr>
          <w:rFonts w:ascii="Aptos;sans-serif" w:hAnsi="Aptos;sans-serif"/>
          <w:b/>
          <w:color w:val="000000"/>
          <w:sz w:val="16"/>
        </w:rPr>
        <w:t>Exhibit 99.1</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b/>
          <w:color w:val="000000"/>
          <w:sz w:val="32"/>
        </w:rPr>
      </w:pPr>
      <w:r>
        <w:rPr>
          <w:rFonts w:ascii="Aptos;sans-serif" w:hAnsi="Aptos;sans-serif"/>
          <w:b/>
          <w:color w:val="000000"/>
          <w:sz w:val="32"/>
        </w:rPr>
        <w:t>Revolution Medicines Reports Third Quarter 2025 Financial Results and Update on Corporate Progress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Company is winding down global enrollment for the RASolute 302 clinical trial studying daraxonrasib in patients with previously treated PDAC and remains on track for data readout in 2026</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Company has initiated RASolute 304, a Phase 3 clinical trial of daraxonrasib as adjuvant treatment for patients with resectable PDAC, and remains on track to initiate RASolute 303 for patients with first line metastatic PDAC this year</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Daraxonrasib has received FDA Breakthrough Therapy Designation, Orphan Drug Designation and a Commissioner’s National Priority Voucher</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4"/>
        </w:rPr>
      </w:pPr>
      <w:r>
        <w:rPr>
          <w:rFonts w:ascii="Aptos;sans-serif" w:hAnsi="Aptos;sans-serif"/>
          <w:color w:val="000000"/>
          <w:sz w:val="24"/>
        </w:rPr>
        <w:t>New leadership appointments strengthened global development and commercialization capabilities</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4"/>
        </w:rPr>
      </w:pPr>
      <w:r>
        <w:rPr>
          <w:rFonts w:ascii="Aptos;sans-serif" w:hAnsi="Aptos;sans-serif"/>
          <w:color w:val="000000"/>
          <w:sz w:val="24"/>
        </w:rPr>
        <w:t>Revolution Medicines to hold webcast today at 4:30 p.m. Eastern Time</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REDWOOD CITY, Calif., Nov 5, 2025 (GLOBE NEWSWIRE)</w:t>
      </w:r>
      <w:r>
        <w:rPr>
          <w:rFonts w:ascii="Times New Roman" w:hAnsi="Times New Roman"/>
          <w:color w:val="000000"/>
          <w:sz w:val="20"/>
        </w:rPr>
        <w:t xml:space="preserve"> </w:t>
      </w:r>
      <w:r>
        <w:rPr>
          <w:rFonts w:ascii="Aptos;sans-serif" w:hAnsi="Aptos;sans-serif"/>
          <w:color w:val="000000"/>
          <w:sz w:val="24"/>
        </w:rPr>
        <w:t>-- Revolution Medicines, Inc. (Nasdaq: RVMD), a late-stage clinical oncology company developing targeted therapies for patients with RAS-addicted cancers, today announced its financial results for the quarter ended September 30, 2025, and provided an update on corporate progress.</w:t>
      </w:r>
    </w:p>
    <w:p>
      <w:pPr>
        <w:pStyle w:val="TextBody"/>
        <w:bidi w:val="0"/>
        <w:jc w:val="both"/>
        <w:rPr/>
      </w:pPr>
      <w:r>
        <w:rPr/>
        <w:t> </w:t>
      </w:r>
    </w:p>
    <w:p>
      <w:pPr>
        <w:pStyle w:val="TextBody"/>
        <w:bidi w:val="0"/>
        <w:jc w:val="both"/>
        <w:rPr/>
      </w:pPr>
      <w:r>
        <w:rPr>
          <w:color w:val="000000"/>
        </w:rPr>
        <w:t>“</w:t>
      </w:r>
      <w:r>
        <w:rPr>
          <w:rFonts w:ascii="Aptos;sans-serif" w:hAnsi="Aptos;sans-serif"/>
          <w:color w:val="000000"/>
          <w:sz w:val="24"/>
        </w:rPr>
        <w:t>Our diverse clinical and preclinical RAS(ON) inhibitor programs continue to make encouraging progress and deliver on important milestones,” said Mark A. Goldsmith, M.D., Ph.D., chief executive officer and chairman of Revolution Medicines. “Backed by robust operational capabilities and a strong financial position, we feel growing momentum in support of our goal to establish new global standards of care for people living with RAS-addicted cancers, including pancreatic, lung and colorectal cancers.”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The company reported significant progress on its near-term strategic priorities:</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Execute pivotal trials with daraxonrasib monotherapy in patients with previously treated metastatic pancreatic ductal adenocarcinoma (PDAC) and non-small cell lung cancer (NSCLC)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 xml:space="preserve">RASolute 302, a global Phase 3 clinical trial of daraxonrasib in patients with previously treated PDAC, </w:t>
      </w:r>
      <w:r>
        <w:rPr>
          <w:rFonts w:ascii="Aptos;sans-serif" w:hAnsi="Aptos;sans-serif"/>
          <w:color w:val="212121"/>
          <w:sz w:val="24"/>
        </w:rPr>
        <w:t>is winding down enrollment globally as the company nears completion of</w:t>
      </w:r>
      <w:r>
        <w:rPr>
          <w:rFonts w:ascii="Times New Roman" w:hAnsi="Times New Roman"/>
          <w:color w:val="212121"/>
          <w:sz w:val="20"/>
        </w:rPr>
        <w:t xml:space="preserve"> </w:t>
      </w:r>
    </w:p>
    <w:p>
      <w:pPr>
        <w:pStyle w:val="TextBody"/>
        <w:bidi w:val="0"/>
        <w:jc w:val="left"/>
        <w:rPr>
          <w:rFonts w:ascii="sans-serif" w:hAnsi="sans-serif"/>
          <w:color w:val="000000"/>
          <w:sz w:val="24"/>
        </w:rPr>
      </w:pPr>
      <w:r>
        <w:rPr>
          <w:rFonts w:ascii="sans-serif" w:hAnsi="sans-serif"/>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color w:val="212121"/>
          <w:sz w:val="24"/>
        </w:rPr>
      </w:pPr>
      <w:r>
        <w:rPr>
          <w:rFonts w:ascii="Aptos;sans-serif" w:hAnsi="Aptos;sans-serif"/>
          <w:color w:val="212121"/>
          <w:sz w:val="24"/>
        </w:rPr>
        <w:t>enrollment at all U.S. and international sites. The trial remains on track for an expected data readout in 2026.</w:t>
      </w:r>
    </w:p>
    <w:p>
      <w:pPr>
        <w:pStyle w:val="TextBody"/>
        <w:bidi w:val="0"/>
        <w:jc w:val="both"/>
        <w:rPr/>
      </w:pPr>
      <w:r>
        <w:rPr/>
        <w:t> </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For daraxonrasib in pancreatic cancer, the FDA recently granted an Orphan Drug Designation as well as a Commissioner’s National Priority Voucher supporting accelerated review, in addition to the previously awarded Breakthrough Therapy Designation.</w:t>
      </w:r>
    </w:p>
    <w:p>
      <w:pPr>
        <w:pStyle w:val="TextBody"/>
        <w:bidi w:val="0"/>
        <w:jc w:val="both"/>
        <w:rPr/>
      </w:pPr>
      <w:r>
        <w:rPr/>
        <w:t>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RASolve 301, a global Phase 3 trial of daraxonrasib in patients with previously treated NSCLC, is now enrolling patients in Europe and Japan in addition to the U.S.</w:t>
      </w:r>
    </w:p>
    <w:p>
      <w:pPr>
        <w:pStyle w:val="TextBody"/>
        <w:bidi w:val="0"/>
        <w:spacing w:before="0" w:after="160"/>
        <w:jc w:val="both"/>
        <w:rPr>
          <w:rFonts w:ascii="Times New Roman" w:hAnsi="Times New Roman"/>
          <w:sz w:val="20"/>
        </w:rPr>
      </w:pPr>
      <w:r>
        <w:rPr>
          <w:rFonts w:ascii="Aptos;sans-serif" w:hAnsi="Aptos;sans-serif"/>
          <w:b/>
          <w:color w:val="000000"/>
          <w:sz w:val="24"/>
        </w:rPr>
        <w:t>Advance daraxonrasib into earlier line randomized pivotal trials in patients with PDAC and NSCLC</w:t>
      </w:r>
      <w:r>
        <w:rPr>
          <w:rFonts w:ascii="Times New Roman" w:hAnsi="Times New Roman"/>
          <w:color w:val="000000"/>
          <w:sz w:val="20"/>
        </w:rPr>
        <w:t xml:space="preserve"> </w:t>
      </w:r>
    </w:p>
    <w:p>
      <w:pPr>
        <w:pStyle w:val="TextBody"/>
        <w:bidi w:val="0"/>
        <w:jc w:val="both"/>
        <w:rPr>
          <w:rFonts w:ascii="Aptos;sans-serif" w:hAnsi="Aptos;sans-serif"/>
          <w:color w:val="000000"/>
          <w:sz w:val="24"/>
        </w:rPr>
      </w:pPr>
      <w:r>
        <w:rPr>
          <w:rFonts w:ascii="Aptos;sans-serif" w:hAnsi="Aptos;sans-serif"/>
          <w:color w:val="000000"/>
          <w:sz w:val="24"/>
        </w:rPr>
        <w:t>The company recently disclosed new clinical results supporting initiation of RASolute 303, a global Phase 3 registrational trial of daraxonrasib in first line metastatic PDAC. The company remains on track to initiate the trial this year. The trial will evaluate daraxonrasib as monotherapy and in combination with gemcitabine nab-paclitaxel (GnP), each compared with GnP alone. The company expects to share updated daraxonrasib monotherapy and daraxonrasib plus GnP combination data, each in patients with first line PDAC, including preliminary durability, in the first half of 2026.</w:t>
      </w:r>
    </w:p>
    <w:p>
      <w:pPr>
        <w:pStyle w:val="TextBody"/>
        <w:bidi w:val="0"/>
        <w:jc w:val="both"/>
        <w:rPr/>
      </w:pPr>
      <w:r>
        <w:rPr/>
        <w:t> </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company has initiated RASolute 304, a Phase 3 trial of daraxonrasib as adjuvant treatment for patients with resectable PDAC, and is currently activating trial sites. The trial will evaluate patients after surgical resection and perioperative therapy with standard of care chemotherapy, who will be randomized to either observation or daraxonrasib monotherapy for two years. The primary endpoint is disease-free survival, with secondary endpoints of overall survival and safety.</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The company remains on track to initiate a registrational trial in 2026 evaluating daraxonrasib in patients with first line metastatic RAS mutant NSCLC in combination with pembrolizumab and chemotherapy.</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2</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b/>
          <w:color w:val="000000"/>
          <w:sz w:val="24"/>
        </w:rPr>
      </w:pPr>
      <w:r>
        <w:rPr>
          <w:rFonts w:ascii="Aptos;sans-serif" w:hAnsi="Aptos;sans-serif"/>
          <w:b/>
          <w:color w:val="000000"/>
          <w:sz w:val="24"/>
        </w:rPr>
        <w:t>Generate sufficient data to inform development priorities for the mutant-selective inhibitors elironrasib and zoldonrasib and prepare to initiate one or more pivotal trials either as monotherapy or in a drug combination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 xml:space="preserve">New elironrasib monotherapy data </w:t>
      </w:r>
      <w:r>
        <w:rPr>
          <w:rFonts w:ascii="Aptos;sans-serif" w:hAnsi="Aptos;sans-serif"/>
          <w:sz w:val="24"/>
        </w:rPr>
        <w:t>presented</w:t>
      </w:r>
      <w:r>
        <w:rPr>
          <w:rFonts w:ascii="Times New Roman" w:hAnsi="Times New Roman"/>
          <w:color w:val="000000"/>
          <w:sz w:val="20"/>
        </w:rPr>
        <w:t xml:space="preserve"> </w:t>
      </w:r>
      <w:r>
        <w:rPr>
          <w:rFonts w:ascii="Aptos;sans-serif" w:hAnsi="Aptos;sans-serif"/>
          <w:color w:val="000000"/>
          <w:sz w:val="24"/>
        </w:rPr>
        <w:t>recently at the AACR-NCI-EORTC Symposium on Molecular Targets and Cancer Therapeutics (“Triple Meeting”) showed encouraging response rate and progression-free survival in patients with RAS G12C NSCLC who had previously been treated with a KRAS G12C(OFF) inhibitor. The company continues to expand enrollment in this and other elironrasib monotherapy and combination trials as it explores options for continued development of this differentiated and promising RAS(ON) G12C-selective inhibitor.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 xml:space="preserve">In addition, at the Triple Meeting the company </w:t>
      </w:r>
      <w:r>
        <w:rPr>
          <w:rFonts w:ascii="Aptos;sans-serif" w:hAnsi="Aptos;sans-serif"/>
          <w:sz w:val="24"/>
        </w:rPr>
        <w:t>presented</w:t>
      </w:r>
      <w:r>
        <w:rPr>
          <w:rFonts w:ascii="Times New Roman" w:hAnsi="Times New Roman"/>
          <w:color w:val="000000"/>
          <w:sz w:val="20"/>
        </w:rPr>
        <w:t xml:space="preserve"> </w:t>
      </w:r>
      <w:r>
        <w:rPr>
          <w:rFonts w:ascii="Aptos;sans-serif" w:hAnsi="Aptos;sans-serif"/>
          <w:color w:val="000000"/>
          <w:sz w:val="24"/>
        </w:rPr>
        <w:t>encouraging preclinical data supporting the RAS(ON) inhibitor doublet of zoldonrasib, the company’s G12D-selective inhibitor, and daraxonrasib in models of KRAS G12D PDAC, furthering the rationale for this RAS(ON) inhibitor doublet as a therapeutic strategy.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With zoldonrasib’s differentiated profile, the company believes this G12D-selective inhibitor has the potential to contribute as a key component of combination regimens in first line PDAC with current standard of care chemotherapy and/or with daraxonrasib as a RAS(ON) inhibitor doublet. The company expects to initiate a registrational trial for a zoldonrasib combination in patients with first line metastatic PDAC in the first half of 2026 and one or more additional pivotal combination trials in 2026 that incorporate either zoldonrasib or elironrasib.</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Zoldonrasib is also being evaluated in a Phase 1 monotherapy expansion cohort in patients with previously treated NSCLC as well as in combination regimens, including zoldonrasib with pembrolizumab or daraxonrasib, in NSCLC.</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Progress earlier stage pipeline, including advancing next-generation innovations from the company’s highly productive discovery organization</w:t>
      </w:r>
    </w:p>
    <w:p>
      <w:pPr>
        <w:pStyle w:val="TextBody"/>
        <w:bidi w:val="0"/>
        <w:jc w:val="both"/>
        <w:rPr/>
      </w:pPr>
      <w:r>
        <w:rPr/>
        <w:t> </w:t>
      </w:r>
    </w:p>
    <w:p>
      <w:pPr>
        <w:pStyle w:val="TextBody"/>
        <w:bidi w:val="0"/>
        <w:jc w:val="both"/>
        <w:rPr>
          <w:rFonts w:ascii="Aptos;sans-serif" w:hAnsi="Aptos;sans-serif"/>
          <w:color w:val="000000"/>
          <w:sz w:val="24"/>
        </w:rPr>
      </w:pPr>
      <w:r>
        <w:rPr>
          <w:rFonts w:ascii="Aptos;sans-serif" w:hAnsi="Aptos;sans-serif"/>
          <w:color w:val="000000"/>
          <w:sz w:val="24"/>
        </w:rPr>
        <w:t>RMC-5127, a RAS(ON) G12V-selective inhibitor, is on track toward planned initiation of a Phase 1 trial in Q1 2026.</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3</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ptos;sans-serif" w:hAnsi="Aptos;sans-serif"/>
          <w:b/>
          <w:color w:val="000000"/>
          <w:sz w:val="24"/>
        </w:rPr>
      </w:pPr>
      <w:r>
        <w:rPr>
          <w:rFonts w:ascii="Aptos;sans-serif" w:hAnsi="Aptos;sans-serif"/>
          <w:b/>
          <w:color w:val="000000"/>
          <w:sz w:val="24"/>
        </w:rPr>
        <w:t>Clinical Collaboration Updates</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company has several discovery and clinical collaborations exploring a range of combinations of a RAS(ON) inhibitor with inhibitors of novel targets, including vopimetostat (TNG462), a PRMT5 inhibitor, under an agreement with Tango Therapeutics, and ivonescimab, a bi-specific PD-1/VEGF inhibitor, under an agreement with Summit Therapeutics.</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Other Corporate Updates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 xml:space="preserve">In support of the company’s growing late-stage development activities and commercialization plans, the company recently </w:t>
      </w:r>
      <w:r>
        <w:rPr>
          <w:rFonts w:ascii="Aptos;sans-serif" w:hAnsi="Aptos;sans-serif"/>
          <w:sz w:val="24"/>
        </w:rPr>
        <w:t>announced</w:t>
      </w:r>
      <w:r>
        <w:rPr>
          <w:rFonts w:ascii="Times New Roman" w:hAnsi="Times New Roman"/>
          <w:color w:val="000000"/>
          <w:sz w:val="20"/>
        </w:rPr>
        <w:t xml:space="preserve"> </w:t>
      </w:r>
      <w:r>
        <w:rPr>
          <w:rFonts w:ascii="Aptos;sans-serif" w:hAnsi="Aptos;sans-serif"/>
          <w:color w:val="000000"/>
          <w:sz w:val="24"/>
        </w:rPr>
        <w:t>the appointment of Alan Sandler, M.D. as chief development officer, Alicia Gardner as senior vice president and general manager for the U.S. region, and Gerwin Winter as senior vice president and general manager of the European region.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Financial Highlights</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Third Quarter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Cash Position</w:t>
      </w:r>
      <w:r>
        <w:rPr>
          <w:rFonts w:ascii="Aptos;sans-serif" w:hAnsi="Aptos;sans-serif"/>
          <w:color w:val="000000"/>
          <w:sz w:val="24"/>
        </w:rPr>
        <w:t>: Cash, cash equivalents and marketable securities were $1.93 billion as of September 30, 2025. This balance includes the receipt of the first royalty monetization tranche of $250 million in June 2025 from the company's partnership with Royalty Pharma, and there remains an additional $1.75 billion in future committed capital under this arrangement.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R&amp;D Expenses</w:t>
      </w:r>
      <w:r>
        <w:rPr>
          <w:rFonts w:ascii="Aptos;sans-serif" w:hAnsi="Aptos;sans-serif"/>
          <w:color w:val="000000"/>
          <w:sz w:val="24"/>
        </w:rPr>
        <w:t>: Research and development expenses were $262.5 million for the quarter ended September 30, 2025, compared to $151.8 million for the quarter ended September 30, 2024. The increase in expenses was primarily due to increases in clinical trial expenses and manufacturing expenses for daraxonrasib, zoldonrasib and elironrasib, and personnel-related expenses and stock-based compensation expense related to additional headcount.</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G&amp;A Expenses</w:t>
      </w:r>
      <w:r>
        <w:rPr>
          <w:rFonts w:ascii="Aptos;sans-serif" w:hAnsi="Aptos;sans-serif"/>
          <w:color w:val="000000"/>
          <w:sz w:val="24"/>
        </w:rPr>
        <w:t>: General and administrative expenses were $52.8 million for the quarter ended September 30, 2025, compared to $24.0 million for the quarter ended September 30, 2024. The increase was primarily due to increases in personnel-related expenses and stock-based compensation expense associated with additional headcount, an increase in commercial preparation activities, and increased legal expenses.</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4</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Net Loss:</w:t>
      </w:r>
      <w:r>
        <w:rPr>
          <w:rFonts w:ascii="Times New Roman" w:hAnsi="Times New Roman"/>
          <w:color w:val="000000"/>
          <w:sz w:val="20"/>
        </w:rPr>
        <w:t xml:space="preserve"> </w:t>
      </w:r>
      <w:r>
        <w:rPr>
          <w:rFonts w:ascii="Aptos;sans-serif" w:hAnsi="Aptos;sans-serif"/>
          <w:color w:val="000000"/>
          <w:sz w:val="24"/>
        </w:rPr>
        <w:t>Net loss was $305.2 million for the quarter ended September 30, 2025, compared to net loss of $156.3 million for the quarter ended September 30, 2024.</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Financial Guidance</w:t>
      </w:r>
    </w:p>
    <w:p>
      <w:pPr>
        <w:pStyle w:val="TextBody"/>
        <w:bidi w:val="0"/>
        <w:jc w:val="both"/>
        <w:rPr>
          <w:rFonts w:ascii="Aptos;sans-serif" w:hAnsi="Aptos;sans-serif"/>
          <w:color w:val="000000"/>
          <w:sz w:val="24"/>
        </w:rPr>
      </w:pPr>
      <w:r>
        <w:rPr>
          <w:rFonts w:ascii="Aptos;sans-serif" w:hAnsi="Aptos;sans-serif"/>
          <w:color w:val="000000"/>
          <w:sz w:val="24"/>
        </w:rPr>
        <w:t>The company reiterates its full year 2025 GAAP net loss guidance of between $1.03 billion and $1.09 billion, which includes estimated non-cash stock-based compensation expense of between $115 million and $130 million.</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Webcast</w:t>
      </w:r>
    </w:p>
    <w:p>
      <w:pPr>
        <w:pStyle w:val="TextBody"/>
        <w:bidi w:val="0"/>
        <w:jc w:val="both"/>
        <w:rPr>
          <w:rFonts w:ascii="Times New Roman" w:hAnsi="Times New Roman"/>
          <w:sz w:val="20"/>
        </w:rPr>
      </w:pPr>
      <w:r>
        <w:rPr>
          <w:rFonts w:ascii="Aptos;sans-serif" w:hAnsi="Aptos;sans-serif"/>
          <w:color w:val="000000"/>
          <w:sz w:val="24"/>
        </w:rPr>
        <w:t xml:space="preserve">Revolution Medicines will host a webcast this afternoon, November 5, 2025, at 4:30 p.m. Eastern Time (1:30 p.m. Pacific Time). To listen to the live webcast, or access the archived webcast, please visit: </w:t>
      </w:r>
      <w:r>
        <w:rPr>
          <w:rFonts w:ascii="Aptos;sans-serif" w:hAnsi="Aptos;sans-serif"/>
          <w:sz w:val="24"/>
        </w:rPr>
        <w:t>https://ir.revmed.com/events-and-presentations</w:t>
      </w:r>
      <w:r>
        <w:rPr>
          <w:rFonts w:ascii="Aptos;sans-serif" w:hAnsi="Aptos;sans-serif"/>
          <w:color w:val="000000"/>
          <w:sz w:val="24"/>
        </w:rPr>
        <w:t>. Following the live webcast, a replay will be available on the company’s website for at least 14 days.</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About Revolution Medicines,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color w:val="000000"/>
          <w:sz w:val="24"/>
        </w:rPr>
        <w:t xml:space="preserve">Revolution Medicines is a late-stage clinical oncology company developing novel targeted therapies for patients with RAS-addicted cancers. The company’s R&amp;D pipeline comprises RAS(ON) inhibitors designed to suppress diverse oncogenic variants of RAS proteins. The company’s RAS(ON) inhibitors daraxonrasib (RMC-6236), a RAS(ON) multi-selective inhibitor; elironrasib (RMC-6291), a RAS(ON) G12C-selective inhibitor; and zoldonrasib (RMC-9805), a RAS(ON) G12D-selective inhibitor, are currently in clinical development. The company anticipates that RMC-5127, a RAS(ON) G12V-selective inhibitor, will be its next RAS(ON) inhibitor to enter clinical development. Additional development opportunities in the company’s pipeline focus on RAS(ON) mutant-selective inhibitors, including RMC-0708 (Q61H) and RMC-8839 (G13C). For more information, please visit </w:t>
      </w:r>
      <w:r>
        <w:rPr>
          <w:rFonts w:ascii="Aptos;sans-serif" w:hAnsi="Aptos;sans-serif"/>
          <w:sz w:val="24"/>
        </w:rPr>
        <w:t>www.revmed.com</w:t>
      </w:r>
      <w:r>
        <w:rPr>
          <w:rFonts w:ascii="Times New Roman" w:hAnsi="Times New Roman"/>
          <w:color w:val="000000"/>
          <w:sz w:val="20"/>
        </w:rPr>
        <w:t xml:space="preserve"> </w:t>
      </w:r>
      <w:r>
        <w:rPr>
          <w:rFonts w:ascii="Aptos;sans-serif" w:hAnsi="Aptos;sans-serif"/>
          <w:color w:val="000000"/>
          <w:sz w:val="24"/>
        </w:rPr>
        <w:t xml:space="preserve">and follow us on </w:t>
      </w:r>
      <w:r>
        <w:rPr>
          <w:rFonts w:ascii="Aptos;sans-serif" w:hAnsi="Aptos;sans-serif"/>
          <w:sz w:val="24"/>
        </w:rPr>
        <w:t>LinkedIn</w:t>
      </w:r>
      <w:r>
        <w:rPr>
          <w:rFonts w:ascii="Aptos;sans-serif" w:hAnsi="Aptos;sans-serif"/>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i/>
          <w:color w:val="000000"/>
          <w:sz w:val="24"/>
        </w:rPr>
        <w:t>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regarding the company’s financial projections and guidance; the company’s development opportunities, plans and timelines and its ability to build or advance its portfolio and R&amp;D pipeline; progression of clinical studies and findings from these studies, including the tolerability, safety, and potential efficacy of the company’s candidates being studied; the company’s expectations regarding timing of clinical trial</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ptos;sans-serif" w:hAnsi="Aptos;sans-serif"/>
          <w:i/>
          <w:color w:val="000000"/>
          <w:sz w:val="24"/>
        </w:rPr>
        <w:t>initiation, enrollment and data readouts or disclosures and clinical trial designs; collaborations, including the aims and expected benefits of the company’s collaboration with Iambic; plans for developing any of the company's product candidates as part of a combination treatment; sources of capital, including the availability of capital under the Royalty Pharma arrangement and whether the company achieves the milestones associated with certain payments thereunder.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i/>
          <w:color w:val="000000"/>
          <w:sz w:val="24"/>
        </w:rPr>
      </w:pPr>
      <w:r>
        <w:rPr>
          <w:rFonts w:ascii="Aptos;sans-serif" w:hAnsi="Aptos;sans-serif"/>
          <w:i/>
          <w:color w:val="000000"/>
          <w:sz w:val="24"/>
        </w:rPr>
        <w:t>Forward-looking statements are typically, but not always, identified by the use of words such as “aims,” “anticipate,” "believe," "estimate," "expect," "plan," “potential,” “project,” “up to,” "will" and other similar terminology indicating future results. Such forward-looking statements are subject to substantial risks and uncertainties that could cause the company’s development programs, future results, performance, or achievements to differ materially from those anticipated in the forward-looking statements. Such risks and uncertainties include without limitation risks and uncertainties inherent in the drug development process, including the company’s programs’ development stages, the process of designing and conducting preclinical and clinical trials, the regulatory approval processes, the timing of regulatory filings, the challenges associated with manufacturing drug products, the company’s ability to successfully establish, protect and defend its intellectual property, other matters that could affect the sufficiency of the company’s capital resources to fund operations, reliance on third parties for manufacturing and development efforts, changes in the competitive landscape, and the effects on the company’s business of the global events, such as international conflicts or global pandemics. For a further description of the risks and uncertainties that could cause actual results to differ from those anticipated in these forward-looking statements, as well as risks relating to the business of Revolution Medicines in general, see Revolution Medicines’ Quarterly Report on Form 10-Q filed with the Securities and Exchange Commission (the “SEC”) on November 5, 2025, and its future periodic reports to be filed with the SEC. Except as required by law, Revolution Medicines undertakes no obligation to update any forward-looking statements to reflect new information, events, or circumstances, or to reflect the occurrence of unanticipated events.</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Revolution Medicines Media &amp; Investor Contact:</w:t>
      </w:r>
      <w:r>
        <w:rPr>
          <w:rFonts w:ascii="Times New Roman" w:hAnsi="Times New Roman"/>
          <w:color w:val="000000"/>
          <w:sz w:val="24"/>
        </w:rPr>
        <w:br/>
      </w:r>
      <w:r>
        <w:rPr>
          <w:rFonts w:ascii="Aptos;sans-serif" w:hAnsi="Aptos;sans-serif"/>
          <w:color w:val="000000"/>
          <w:sz w:val="24"/>
        </w:rPr>
        <w:t>media@revmed.com</w:t>
      </w:r>
      <w:r>
        <w:rPr>
          <w:rFonts w:ascii="Times New Roman" w:hAnsi="Times New Roman"/>
          <w:color w:val="000000"/>
          <w:sz w:val="24"/>
        </w:rPr>
        <w:br/>
      </w:r>
      <w:r>
        <w:rPr>
          <w:rFonts w:ascii="Aptos;sans-serif" w:hAnsi="Aptos;sans-serif"/>
          <w:sz w:val="24"/>
        </w:rPr>
        <w:t>investors@revmed.com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REVOLUTION MEDICINES, INC.</w:t>
      </w:r>
    </w:p>
    <w:p>
      <w:pPr>
        <w:pStyle w:val="TextBody"/>
        <w:bidi w:val="0"/>
        <w:jc w:val="center"/>
        <w:rPr>
          <w:rFonts w:ascii="Aptos;sans-serif" w:hAnsi="Aptos;sans-serif"/>
          <w:b/>
          <w:color w:val="000000"/>
          <w:sz w:val="22"/>
        </w:rPr>
      </w:pPr>
      <w:r>
        <w:rPr>
          <w:rFonts w:ascii="Aptos;sans-serif" w:hAnsi="Aptos;sans-serif"/>
          <w:b/>
          <w:color w:val="000000"/>
          <w:sz w:val="22"/>
        </w:rPr>
        <w:t>CONDENSED CONSOLIDATED STATEMENTS OF OPERATIONS</w:t>
      </w:r>
    </w:p>
    <w:p>
      <w:pPr>
        <w:pStyle w:val="TextBody"/>
        <w:bidi w:val="0"/>
        <w:jc w:val="center"/>
        <w:rPr>
          <w:rFonts w:ascii="Aptos;sans-serif" w:hAnsi="Aptos;sans-serif"/>
          <w:b/>
          <w:color w:val="000000"/>
          <w:sz w:val="22"/>
        </w:rPr>
      </w:pPr>
      <w:r>
        <w:rPr>
          <w:rFonts w:ascii="Aptos;sans-serif" w:hAnsi="Aptos;sans-serif"/>
          <w:b/>
          <w:color w:val="000000"/>
          <w:sz w:val="22"/>
        </w:rPr>
        <w:t>(in thousands, except share and per share data)</w:t>
      </w:r>
    </w:p>
    <w:p>
      <w:pPr>
        <w:pStyle w:val="TextBody"/>
        <w:bidi w:val="0"/>
        <w:jc w:val="center"/>
        <w:rPr>
          <w:rFonts w:ascii="Aptos;sans-serif" w:hAnsi="Aptos;sans-serif"/>
          <w:b/>
          <w:color w:val="000000"/>
          <w:sz w:val="22"/>
        </w:rPr>
      </w:pPr>
      <w:r>
        <w:rPr>
          <w:rFonts w:ascii="Aptos;sans-serif" w:hAnsi="Aptos;sans-serif"/>
          <w:b/>
          <w:color w:val="000000"/>
          <w:sz w:val="22"/>
        </w:rPr>
        <w:t>(unaudited)</w:t>
      </w:r>
    </w:p>
    <w:p>
      <w:pPr>
        <w:pStyle w:val="TextBody"/>
        <w:bidi w:val="0"/>
        <w:jc w:val="center"/>
        <w:rPr/>
      </w:pPr>
      <w:r>
        <w:rPr/>
        <w:t> </w:t>
      </w:r>
    </w:p>
    <w:tbl>
      <w:tblPr>
        <w:tblW w:w="11661" w:type="dxa"/>
        <w:jc w:val="left"/>
        <w:tblInd w:w="0" w:type="dxa"/>
        <w:tblLayout w:type="fixed"/>
        <w:tblCellMar>
          <w:top w:w="28" w:type="dxa"/>
          <w:left w:w="28" w:type="dxa"/>
          <w:bottom w:w="28" w:type="dxa"/>
          <w:right w:w="28" w:type="dxa"/>
        </w:tblCellMar>
      </w:tblPr>
      <w:tblGrid>
        <w:gridCol w:w="2206"/>
        <w:gridCol w:w="146"/>
        <w:gridCol w:w="256"/>
        <w:gridCol w:w="1606"/>
        <w:gridCol w:w="196"/>
        <w:gridCol w:w="146"/>
        <w:gridCol w:w="256"/>
        <w:gridCol w:w="1606"/>
        <w:gridCol w:w="146"/>
        <w:gridCol w:w="109"/>
        <w:gridCol w:w="109"/>
        <w:gridCol w:w="148"/>
        <w:gridCol w:w="348"/>
        <w:gridCol w:w="929"/>
        <w:gridCol w:w="677"/>
        <w:gridCol w:w="109"/>
        <w:gridCol w:w="109"/>
        <w:gridCol w:w="256"/>
        <w:gridCol w:w="256"/>
        <w:gridCol w:w="1606"/>
        <w:gridCol w:w="44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Nine Months Ended September 30,</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2025</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2024</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262,506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151,752</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692,389</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404,129</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52,763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23,960</w:t>
            </w:r>
          </w:p>
        </w:tc>
        <w:tc>
          <w:tcPr>
            <w:tcW w:w="25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128,354</w:t>
            </w:r>
          </w:p>
        </w:tc>
        <w:tc>
          <w:tcPr>
            <w:tcW w:w="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69,085</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315,269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175,712</w:t>
            </w:r>
          </w:p>
        </w:tc>
        <w:tc>
          <w:tcPr>
            <w:tcW w:w="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820,743</w:t>
            </w:r>
          </w:p>
        </w:tc>
        <w:tc>
          <w:tcPr>
            <w:tcW w:w="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473,214</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(315,269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(175,712</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(820,743</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(473,214</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Non-operating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22,083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20,411</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69,402</w:t>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65,658</w:t>
            </w:r>
          </w:p>
        </w:tc>
        <w:tc>
          <w:tcPr>
            <w:tcW w:w="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(11,428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2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(12,295</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Change in fair value of warrant liabilities and contingent earn-out shares</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2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(592</w:t>
            </w:r>
          </w:p>
        </w:tc>
        <w:tc>
          <w:tcPr>
            <w:tcW w:w="196" w:type="dxa"/>
            <w:tcBorders/>
            <w:shd w:fill="CFF2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2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(1,269</w:t>
            </w:r>
          </w:p>
        </w:tc>
        <w:tc>
          <w:tcPr>
            <w:tcW w:w="255" w:type="dxa"/>
            <w:gridSpan w:val="2"/>
            <w:tcBorders/>
            <w:shd w:fill="CFF2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7" w:type="dxa"/>
            <w:gridSpan w:val="2"/>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shd w:fill="CFF2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(2,731</w:t>
            </w:r>
          </w:p>
        </w:tc>
        <w:tc>
          <w:tcPr>
            <w:tcW w:w="218" w:type="dxa"/>
            <w:gridSpan w:val="2"/>
            <w:tcBorders/>
            <w:shd w:fill="CFF2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2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4,543</w:t>
            </w:r>
          </w:p>
        </w:tc>
        <w:tc>
          <w:tcPr>
            <w:tcW w:w="441"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Other income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xml:space="preserve">—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282</w:t>
            </w:r>
          </w:p>
        </w:tc>
        <w:tc>
          <w:tcPr>
            <w:tcW w:w="25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(42</w:t>
            </w:r>
          </w:p>
        </w:tc>
        <w:tc>
          <w:tcPr>
            <w:tcW w:w="21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(2,511</w:t>
            </w:r>
          </w:p>
        </w:tc>
        <w:tc>
          <w:tcPr>
            <w:tcW w:w="4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w:t>
            </w:r>
          </w:p>
        </w:tc>
      </w:tr>
      <w:tr>
        <w:trPr/>
        <w:tc>
          <w:tcPr>
            <w:tcW w:w="2206" w:type="dxa"/>
            <w:tcBorders/>
            <w:shd w:fill="CFF2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2"/>
              </w:rPr>
            </w:pPr>
            <w:r>
              <w:rPr>
                <w:rFonts w:ascii="Aptos;sans-serif" w:hAnsi="Aptos;sans-serif"/>
                <w:color w:val="000000"/>
                <w:sz w:val="22"/>
              </w:rPr>
              <w:t>Total non-operating income, net</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10,063</w:t>
            </w:r>
          </w:p>
        </w:tc>
        <w:tc>
          <w:tcPr>
            <w:tcW w:w="19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19,424</w:t>
            </w:r>
          </w:p>
        </w:tc>
        <w:tc>
          <w:tcPr>
            <w:tcW w:w="255" w:type="dxa"/>
            <w:gridSpan w:val="2"/>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257" w:type="dxa"/>
            <w:gridSpan w:val="2"/>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54,334</w:t>
            </w:r>
          </w:p>
        </w:tc>
        <w:tc>
          <w:tcPr>
            <w:tcW w:w="218" w:type="dxa"/>
            <w:gridSpan w:val="2"/>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67,690</w:t>
            </w:r>
          </w:p>
        </w:tc>
        <w:tc>
          <w:tcPr>
            <w:tcW w:w="441" w:type="dxa"/>
            <w:tcBorders>
              <w:bottom w:val="single" w:sz="4" w:space="0" w:color="000000"/>
            </w:tcBorders>
            <w:shd w:fill="CFF2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Loss before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(305,206</w:t>
            </w:r>
          </w:p>
        </w:tc>
        <w:tc>
          <w:tcPr>
            <w:tcW w:w="19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(156,288</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2"/>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(766,409</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(405,524</w:t>
            </w:r>
          </w:p>
        </w:tc>
        <w:tc>
          <w:tcPr>
            <w:tcW w:w="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2206" w:type="dxa"/>
            <w:tcBorders/>
            <w:shd w:fill="CFF2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Net loss</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(305,206</w:t>
            </w:r>
          </w:p>
        </w:tc>
        <w:tc>
          <w:tcPr>
            <w:tcW w:w="196" w:type="dxa"/>
            <w:tcBorders>
              <w:top w:val="single" w:sz="4" w:space="0" w:color="000000"/>
            </w:tcBorders>
            <w:shd w:fill="CFF2FF" w:val="clear"/>
            <w:tcMar>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(156,288</w:t>
            </w:r>
          </w:p>
        </w:tc>
        <w:tc>
          <w:tcPr>
            <w:tcW w:w="255" w:type="dxa"/>
            <w:gridSpan w:val="2"/>
            <w:tcBorders>
              <w:top w:val="single" w:sz="4" w:space="0" w:color="000000"/>
            </w:tcBorders>
            <w:shd w:fill="CFF2FF" w:val="clear"/>
            <w:tcMar>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7" w:type="dxa"/>
            <w:gridSpan w:val="2"/>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gridSpan w:val="2"/>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(766,409</w:t>
            </w:r>
          </w:p>
        </w:tc>
        <w:tc>
          <w:tcPr>
            <w:tcW w:w="218" w:type="dxa"/>
            <w:gridSpan w:val="2"/>
            <w:tcBorders>
              <w:top w:val="single" w:sz="4" w:space="0" w:color="000000"/>
            </w:tcBorders>
            <w:shd w:fill="CFF2FF" w:val="clear"/>
            <w:tcMar>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top w:val="single" w:sz="4" w:space="0" w:color="000000"/>
              <w:bottom w:val="double" w:sz="6" w:space="0" w:color="000000"/>
            </w:tcBorders>
            <w:shd w:fill="CFF2FF" w:val="clear"/>
            <w:tcMar>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(405,524</w:t>
            </w:r>
          </w:p>
        </w:tc>
        <w:tc>
          <w:tcPr>
            <w:tcW w:w="441" w:type="dxa"/>
            <w:tcBorders>
              <w:top w:val="single" w:sz="4" w:space="0" w:color="000000"/>
            </w:tcBorders>
            <w:shd w:fill="CFF2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Net loss per share attributable to common stockholders,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(1.61</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(0.94</w:t>
            </w:r>
          </w:p>
        </w:tc>
        <w:tc>
          <w:tcPr>
            <w:tcW w:w="255" w:type="dxa"/>
            <w:gridSpan w:val="2"/>
            <w:tcBorders>
              <w:bottom w:val="doub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gridSpan w:val="2"/>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(4.06</w:t>
            </w:r>
          </w:p>
        </w:tc>
        <w:tc>
          <w:tcPr>
            <w:tcW w:w="218" w:type="dxa"/>
            <w:gridSpan w:val="2"/>
            <w:tcBorders>
              <w:bottom w:val="doub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t>
            </w:r>
          </w:p>
        </w:tc>
        <w:tc>
          <w:tcPr>
            <w:tcW w:w="160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(2.45</w:t>
            </w:r>
          </w:p>
        </w:tc>
        <w:tc>
          <w:tcPr>
            <w:tcW w:w="44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2206" w:type="dxa"/>
            <w:tcBorders/>
            <w:shd w:fill="CFF2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Weighted-average common shares used to compute net loss per share, basic and diluted</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189,231,562</w:t>
            </w:r>
          </w:p>
        </w:tc>
        <w:tc>
          <w:tcPr>
            <w:tcW w:w="19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166,843,984</w:t>
            </w:r>
          </w:p>
        </w:tc>
        <w:tc>
          <w:tcPr>
            <w:tcW w:w="255" w:type="dxa"/>
            <w:gridSpan w:val="2"/>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257" w:type="dxa"/>
            <w:gridSpan w:val="2"/>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188,657,560</w:t>
            </w:r>
          </w:p>
        </w:tc>
        <w:tc>
          <w:tcPr>
            <w:tcW w:w="218" w:type="dxa"/>
            <w:gridSpan w:val="2"/>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2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165,576,333</w:t>
            </w:r>
          </w:p>
        </w:tc>
        <w:tc>
          <w:tcPr>
            <w:tcW w:w="441" w:type="dxa"/>
            <w:tcBorders>
              <w:bottom w:val="double" w:sz="6" w:space="0" w:color="000000"/>
            </w:tcBorders>
            <w:shd w:fill="CFF2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7</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REVOLUTION MEDICINES, INC.</w:t>
      </w:r>
    </w:p>
    <w:p>
      <w:pPr>
        <w:pStyle w:val="TextBody"/>
        <w:bidi w:val="0"/>
        <w:jc w:val="center"/>
        <w:rPr>
          <w:rFonts w:ascii="Aptos;sans-serif" w:hAnsi="Aptos;sans-serif"/>
          <w:b/>
          <w:color w:val="000000"/>
          <w:sz w:val="22"/>
        </w:rPr>
      </w:pPr>
      <w:bookmarkStart w:id="4" w:name="consolidated_balance_sheets"/>
      <w:bookmarkEnd w:id="4"/>
      <w:r>
        <w:rPr>
          <w:rFonts w:ascii="Aptos;sans-serif" w:hAnsi="Aptos;sans-serif"/>
          <w:b/>
          <w:color w:val="000000"/>
          <w:sz w:val="22"/>
        </w:rPr>
        <w:t>SELECTED CONDENSED CONSOLIDATED BALANCE SHEETS</w:t>
      </w:r>
    </w:p>
    <w:p>
      <w:pPr>
        <w:pStyle w:val="TextBody"/>
        <w:bidi w:val="0"/>
        <w:jc w:val="center"/>
        <w:rPr>
          <w:rFonts w:ascii="Aptos;sans-serif" w:hAnsi="Aptos;sans-serif"/>
          <w:b/>
          <w:color w:val="000000"/>
          <w:sz w:val="22"/>
        </w:rPr>
      </w:pPr>
      <w:r>
        <w:rPr>
          <w:rFonts w:ascii="Aptos;sans-serif" w:hAnsi="Aptos;sans-serif"/>
          <w:b/>
          <w:color w:val="000000"/>
          <w:sz w:val="22"/>
        </w:rPr>
        <w:t>(in thousands, unaudited)</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560"/>
        <w:gridCol w:w="109"/>
        <w:gridCol w:w="298"/>
        <w:gridCol w:w="1524"/>
        <w:gridCol w:w="127"/>
        <w:gridCol w:w="109"/>
        <w:gridCol w:w="109"/>
        <w:gridCol w:w="109"/>
        <w:gridCol w:w="128"/>
        <w:gridCol w:w="128"/>
        <w:gridCol w:w="1531"/>
        <w:gridCol w:w="170"/>
        <w:gridCol w:w="109"/>
        <w:gridCol w:w="194"/>
      </w:tblGrid>
      <w:tr>
        <w:trPr/>
        <w:tc>
          <w:tcPr>
            <w:tcW w:w="5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4" w:type="dxa"/>
            <w:tcBorders/>
          </w:tcPr>
          <w:p>
            <w:pPr>
              <w:pStyle w:val="TableContents"/>
              <w:bidi w:val="0"/>
              <w:spacing w:before="0" w:after="283"/>
              <w:jc w:val="left"/>
              <w:rPr>
                <w:sz w:val="4"/>
                <w:szCs w:val="4"/>
              </w:rPr>
            </w:pPr>
            <w:r>
              <w:rPr>
                <w:sz w:val="4"/>
                <w:szCs w:val="4"/>
              </w:rPr>
            </w:r>
          </w:p>
        </w:tc>
      </w:tr>
      <w:tr>
        <w:trPr/>
        <w:tc>
          <w:tcPr>
            <w:tcW w:w="556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vMerge w:val="restart"/>
            <w:tcBorders/>
            <w:shd w:fill="FFFFFF" w:val="clear"/>
            <w:tcMar>
              <w:top w:w="0" w:type="dxa"/>
              <w:left w:w="0" w:type="dxa"/>
              <w:bottom w:w="0" w:type="dxa"/>
              <w:right w:w="0" w:type="dxa"/>
            </w:tcMar>
            <w:vAlign w:val="center"/>
          </w:tcPr>
          <w:p>
            <w:pPr>
              <w:pStyle w:val="TableContents"/>
              <w:bidi w:val="0"/>
              <w:jc w:val="center"/>
              <w:rPr>
                <w:rFonts w:ascii="Aptos;sans-serif" w:hAnsi="Aptos;sans-serif"/>
                <w:b/>
                <w:color w:val="000000"/>
                <w:sz w:val="22"/>
              </w:rPr>
            </w:pPr>
            <w:r>
              <w:rPr>
                <w:rFonts w:ascii="Aptos;sans-serif" w:hAnsi="Aptos;sans-serif"/>
                <w:b/>
                <w:color w:val="000000"/>
                <w:sz w:val="22"/>
              </w:rPr>
              <w:t>September 30,</w:t>
            </w:r>
          </w:p>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2025</w:t>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9" w:type="dxa"/>
            <w:gridSpan w:val="3"/>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ptos;sans-serif" w:hAnsi="Aptos;sans-serif"/>
                <w:b/>
                <w:color w:val="000000"/>
                <w:sz w:val="22"/>
              </w:rPr>
            </w:pPr>
            <w:r>
              <w:rPr>
                <w:rFonts w:ascii="Aptos;sans-serif" w:hAnsi="Aptos;sans-serif"/>
                <w:b/>
                <w:color w:val="000000"/>
                <w:sz w:val="22"/>
              </w:rPr>
              <w:t>December 31,</w:t>
            </w:r>
          </w:p>
          <w:p>
            <w:pPr>
              <w:pStyle w:val="TableContents"/>
              <w:bidi w:val="0"/>
              <w:spacing w:before="0" w:after="283"/>
              <w:jc w:val="center"/>
              <w:rPr>
                <w:rFonts w:ascii="Aptos;sans-serif" w:hAnsi="Aptos;sans-serif"/>
                <w:b/>
                <w:color w:val="000000"/>
                <w:sz w:val="22"/>
              </w:rPr>
            </w:pPr>
            <w:r>
              <w:rPr>
                <w:rFonts w:ascii="Aptos;sans-serif" w:hAnsi="Aptos;sans-serif"/>
                <w:b/>
                <w:color w:val="000000"/>
                <w:sz w:val="22"/>
              </w:rPr>
              <w:t>2024</w:t>
            </w:r>
          </w:p>
        </w:tc>
        <w:tc>
          <w:tcPr>
            <w:tcW w:w="109" w:type="dxa"/>
            <w:tcBorders/>
            <w:shd w:fill="FFFFFF" w:val="clear"/>
          </w:tcPr>
          <w:p>
            <w:pPr>
              <w:pStyle w:val="TableContents"/>
              <w:bidi w:val="0"/>
              <w:spacing w:before="0" w:after="283"/>
              <w:jc w:val="left"/>
              <w:rPr>
                <w:sz w:val="4"/>
                <w:szCs w:val="4"/>
              </w:rPr>
            </w:pPr>
            <w:r>
              <w:rPr>
                <w:sz w:val="4"/>
                <w:szCs w:val="4"/>
              </w:rPr>
            </w:r>
          </w:p>
        </w:tc>
        <w:tc>
          <w:tcPr>
            <w:tcW w:w="194" w:type="dxa"/>
            <w:tcBorders/>
            <w:shd w:fill="FFFFFF" w:val="clear"/>
          </w:tcPr>
          <w:p>
            <w:pPr>
              <w:pStyle w:val="TableContents"/>
              <w:bidi w:val="0"/>
              <w:spacing w:before="0" w:after="283"/>
              <w:jc w:val="left"/>
              <w:rPr>
                <w:sz w:val="4"/>
                <w:szCs w:val="4"/>
              </w:rPr>
            </w:pPr>
            <w:r>
              <w:rPr>
                <w:sz w:val="4"/>
                <w:szCs w:val="4"/>
              </w:rPr>
            </w:r>
          </w:p>
        </w:tc>
      </w:tr>
      <w:tr>
        <w:trPr/>
        <w:tc>
          <w:tcPr>
            <w:tcW w:w="5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gridSpan w:val="2"/>
            <w:tcBorders/>
            <w:tcMar>
              <w:top w:w="0" w:type="dxa"/>
              <w:left w:w="0" w:type="dxa"/>
              <w:bottom w:w="0" w:type="dxa"/>
              <w:right w:w="0" w:type="dxa"/>
            </w:tcMar>
          </w:tcPr>
          <w:p>
            <w:pPr>
              <w:pStyle w:val="Normal"/>
              <w:bidi w:val="0"/>
              <w:jc w:val="left"/>
              <w:rPr/>
            </w:pPr>
            <w:r>
              <w:rPr/>
            </w:r>
          </w:p>
        </w:tc>
      </w:tr>
      <w:tr>
        <w:trPr/>
        <w:tc>
          <w:tcPr>
            <w:tcW w:w="5560"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gridSpan w:val="2"/>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2"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gridSpan w:val="2"/>
            <w:tcBorders/>
            <w:shd w:fill="CFF0FC" w:val="clear"/>
          </w:tcPr>
          <w:p>
            <w:pPr>
              <w:pStyle w:val="TableContents"/>
              <w:bidi w:val="0"/>
              <w:spacing w:before="0" w:after="283"/>
              <w:jc w:val="left"/>
              <w:rPr>
                <w:sz w:val="4"/>
                <w:szCs w:val="4"/>
              </w:rPr>
            </w:pPr>
            <w:r>
              <w:rPr>
                <w:sz w:val="4"/>
                <w:szCs w:val="4"/>
              </w:rPr>
            </w:r>
          </w:p>
        </w:tc>
      </w:tr>
      <w:tr>
        <w:trPr/>
        <w:tc>
          <w:tcPr>
            <w:tcW w:w="556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Cash, cash equivalents and marketable securities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2"/>
              </w:rPr>
            </w:pPr>
            <w:r>
              <w:rPr>
                <w:rFonts w:ascii="Aptos;sans-serif" w:hAnsi="Aptos;sans-serif"/>
                <w:color w:val="000000"/>
                <w:sz w:val="22"/>
              </w:rPr>
              <w:t>$</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1,931,508</w:t>
            </w:r>
          </w:p>
        </w:tc>
        <w:tc>
          <w:tcPr>
            <w:tcW w:w="2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2"/>
              </w:rPr>
            </w:pPr>
            <w:r>
              <w:rPr>
                <w:rFonts w:ascii="Aptos;sans-serif" w:hAnsi="Aptos;sans-serif"/>
                <w:color w:val="000000"/>
                <w:sz w:val="22"/>
              </w:rPr>
              <w:t>$</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2,289,299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3" w:type="dxa"/>
            <w:gridSpan w:val="2"/>
            <w:tcBorders/>
            <w:shd w:fill="FFFFFF" w:val="clear"/>
          </w:tcPr>
          <w:p>
            <w:pPr>
              <w:pStyle w:val="TableContents"/>
              <w:bidi w:val="0"/>
              <w:spacing w:before="0" w:after="283"/>
              <w:jc w:val="left"/>
              <w:rPr>
                <w:sz w:val="4"/>
                <w:szCs w:val="4"/>
              </w:rPr>
            </w:pPr>
            <w:r>
              <w:rPr>
                <w:sz w:val="4"/>
                <w:szCs w:val="4"/>
              </w:rPr>
            </w:r>
          </w:p>
        </w:tc>
      </w:tr>
      <w:tr>
        <w:trPr/>
        <w:tc>
          <w:tcPr>
            <w:tcW w:w="5560" w:type="dxa"/>
            <w:tcBorders/>
            <w:shd w:fill="D1EFFB"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2"/>
              </w:rPr>
            </w:pPr>
            <w:r>
              <w:rPr>
                <w:rFonts w:ascii="Aptos;sans-serif" w:hAnsi="Aptos;sans-serif"/>
                <w:color w:val="000000"/>
                <w:sz w:val="22"/>
              </w:rPr>
              <w:t>Working capital (1)</w:t>
            </w:r>
          </w:p>
        </w:tc>
        <w:tc>
          <w:tcPr>
            <w:tcW w:w="109"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1,731,867</w:t>
            </w:r>
          </w:p>
        </w:tc>
        <w:tc>
          <w:tcPr>
            <w:tcW w:w="236" w:type="dxa"/>
            <w:gridSpan w:val="2"/>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D1EF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shd w:fill="D1EFFB"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2,163,718</w:t>
            </w:r>
          </w:p>
        </w:tc>
        <w:tc>
          <w:tcPr>
            <w:tcW w:w="170" w:type="dxa"/>
            <w:tcBorders/>
            <w:shd w:fill="D1EFFB" w:val="clear"/>
            <w:tcMar>
              <w:top w:w="0" w:type="dxa"/>
              <w:left w:w="0" w:type="dxa"/>
              <w:bottom w:w="0" w:type="dxa"/>
              <w:right w:w="0" w:type="dxa"/>
            </w:tcMar>
            <w:vAlign w:val="center"/>
          </w:tcPr>
          <w:p>
            <w:pPr>
              <w:pStyle w:val="TableContents"/>
              <w:bidi w:val="0"/>
              <w:spacing w:before="0" w:after="283"/>
              <w:jc w:val="both"/>
              <w:rPr/>
            </w:pPr>
            <w:r>
              <w:rPr/>
              <w:t> </w:t>
            </w:r>
          </w:p>
        </w:tc>
        <w:tc>
          <w:tcPr>
            <w:tcW w:w="303" w:type="dxa"/>
            <w:gridSpan w:val="2"/>
            <w:tcBorders/>
            <w:shd w:fill="D1EFFB" w:val="clear"/>
          </w:tcPr>
          <w:p>
            <w:pPr>
              <w:pStyle w:val="TableContents"/>
              <w:bidi w:val="0"/>
              <w:spacing w:before="0" w:after="283"/>
              <w:jc w:val="left"/>
              <w:rPr>
                <w:sz w:val="4"/>
                <w:szCs w:val="4"/>
              </w:rPr>
            </w:pPr>
            <w:r>
              <w:rPr>
                <w:sz w:val="4"/>
                <w:szCs w:val="4"/>
              </w:rPr>
            </w:r>
          </w:p>
        </w:tc>
      </w:tr>
      <w:tr>
        <w:trPr/>
        <w:tc>
          <w:tcPr>
            <w:tcW w:w="5560" w:type="dxa"/>
            <w:tcBorders/>
            <w:shd w:fill="FFFFFF"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2"/>
              </w:rPr>
            </w:pPr>
            <w:r>
              <w:rPr>
                <w:rFonts w:ascii="Aptos;sans-serif" w:hAnsi="Aptos;sans-serif"/>
                <w:color w:val="000000"/>
                <w:sz w:val="22"/>
              </w:rPr>
              <w:t>Total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2,251,920</w:t>
            </w:r>
          </w:p>
        </w:tc>
        <w:tc>
          <w:tcPr>
            <w:tcW w:w="2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2,558,301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3" w:type="dxa"/>
            <w:gridSpan w:val="2"/>
            <w:tcBorders/>
            <w:shd w:fill="FFFFFF" w:val="clear"/>
          </w:tcPr>
          <w:p>
            <w:pPr>
              <w:pStyle w:val="TableContents"/>
              <w:bidi w:val="0"/>
              <w:spacing w:before="0" w:after="283"/>
              <w:jc w:val="left"/>
              <w:rPr>
                <w:sz w:val="4"/>
                <w:szCs w:val="4"/>
              </w:rPr>
            </w:pPr>
            <w:r>
              <w:rPr>
                <w:sz w:val="4"/>
                <w:szCs w:val="4"/>
              </w:rPr>
            </w:r>
          </w:p>
        </w:tc>
      </w:tr>
      <w:tr>
        <w:trPr/>
        <w:tc>
          <w:tcPr>
            <w:tcW w:w="5560" w:type="dxa"/>
            <w:tcBorders/>
            <w:shd w:fill="CFF2FF" w:val="clear"/>
            <w:tcMar>
              <w:top w:w="0" w:type="dxa"/>
              <w:left w:w="0" w:type="dxa"/>
              <w:bottom w:w="0" w:type="dxa"/>
              <w:right w:w="0" w:type="dxa"/>
            </w:tcMar>
            <w:vAlign w:val="center"/>
          </w:tcPr>
          <w:p>
            <w:pPr>
              <w:pStyle w:val="TableContents"/>
              <w:bidi w:val="0"/>
              <w:spacing w:before="0" w:after="283"/>
              <w:jc w:val="both"/>
              <w:rPr>
                <w:rFonts w:ascii="Aptos;sans-serif" w:hAnsi="Aptos;sans-serif"/>
                <w:color w:val="000000"/>
                <w:sz w:val="22"/>
              </w:rPr>
            </w:pPr>
            <w:r>
              <w:rPr>
                <w:rFonts w:ascii="Aptos;sans-serif" w:hAnsi="Aptos;sans-serif"/>
                <w:color w:val="000000"/>
                <w:sz w:val="22"/>
              </w:rPr>
              <w:t>Total liabilities</w:t>
            </w:r>
          </w:p>
        </w:tc>
        <w:tc>
          <w:tcPr>
            <w:tcW w:w="109" w:type="dxa"/>
            <w:tcBorders/>
            <w:shd w:fill="CF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F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shd w:fill="CFF2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655,016</w:t>
            </w:r>
          </w:p>
        </w:tc>
        <w:tc>
          <w:tcPr>
            <w:tcW w:w="236" w:type="dxa"/>
            <w:gridSpan w:val="2"/>
            <w:tcBorders/>
            <w:shd w:fill="CF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F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FF2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shd w:fill="CFF2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293,097</w:t>
            </w:r>
          </w:p>
        </w:tc>
        <w:tc>
          <w:tcPr>
            <w:tcW w:w="170" w:type="dxa"/>
            <w:tcBorders/>
            <w:shd w:fill="CFF2FF" w:val="clear"/>
            <w:tcMar>
              <w:top w:w="0" w:type="dxa"/>
              <w:left w:w="0" w:type="dxa"/>
              <w:bottom w:w="0" w:type="dxa"/>
              <w:right w:w="0" w:type="dxa"/>
            </w:tcMar>
            <w:vAlign w:val="center"/>
          </w:tcPr>
          <w:p>
            <w:pPr>
              <w:pStyle w:val="TableContents"/>
              <w:bidi w:val="0"/>
              <w:spacing w:before="0" w:after="283"/>
              <w:jc w:val="both"/>
              <w:rPr/>
            </w:pPr>
            <w:r>
              <w:rPr/>
              <w:t> </w:t>
            </w:r>
          </w:p>
        </w:tc>
        <w:tc>
          <w:tcPr>
            <w:tcW w:w="303" w:type="dxa"/>
            <w:gridSpan w:val="2"/>
            <w:tcBorders/>
            <w:shd w:fill="CFF2FF" w:val="clear"/>
          </w:tcPr>
          <w:p>
            <w:pPr>
              <w:pStyle w:val="TableContents"/>
              <w:bidi w:val="0"/>
              <w:spacing w:before="0" w:after="283"/>
              <w:jc w:val="left"/>
              <w:rPr>
                <w:sz w:val="4"/>
                <w:szCs w:val="4"/>
              </w:rPr>
            </w:pPr>
            <w:r>
              <w:rPr>
                <w:sz w:val="4"/>
                <w:szCs w:val="4"/>
              </w:rPr>
            </w:r>
          </w:p>
        </w:tc>
      </w:tr>
      <w:tr>
        <w:trPr/>
        <w:tc>
          <w:tcPr>
            <w:tcW w:w="556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Aptos;sans-serif" w:hAnsi="Aptos;sans-serif"/>
                <w:color w:val="000000"/>
                <w:sz w:val="22"/>
              </w:rPr>
              <w:t>Total stockholders' equity</w:t>
            </w:r>
            <w:r>
              <w:rPr>
                <w:rFonts w:ascii="Times New Roman" w:hAnsi="Times New Roman"/>
                <w:color w:val="000000"/>
                <w:sz w:val="22"/>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1,596,904</w:t>
            </w:r>
          </w:p>
        </w:tc>
        <w:tc>
          <w:tcPr>
            <w:tcW w:w="23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2,265,204</w:t>
            </w:r>
          </w:p>
        </w:tc>
        <w:tc>
          <w:tcPr>
            <w:tcW w:w="170" w:type="dxa"/>
            <w:tcBorders/>
            <w:tcMar>
              <w:top w:w="0" w:type="dxa"/>
              <w:left w:w="0" w:type="dxa"/>
              <w:bottom w:w="0" w:type="dxa"/>
              <w:right w:w="0" w:type="dxa"/>
            </w:tcMar>
            <w:vAlign w:val="center"/>
          </w:tcPr>
          <w:p>
            <w:pPr>
              <w:pStyle w:val="TableContents"/>
              <w:bidi w:val="0"/>
              <w:spacing w:before="0" w:after="283"/>
              <w:jc w:val="both"/>
              <w:rPr/>
            </w:pPr>
            <w:r>
              <w:rPr/>
              <w:t> </w:t>
            </w:r>
          </w:p>
        </w:tc>
        <w:tc>
          <w:tcPr>
            <w:tcW w:w="303" w:type="dxa"/>
            <w:gridSpan w:val="2"/>
            <w:tcBorders/>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Aptos" w:hAnsi="Aptos"/>
          <w:color w:val="000000"/>
          <w:sz w:val="20"/>
        </w:rPr>
      </w:pPr>
      <w:r>
        <w:rPr>
          <w:rFonts w:ascii="Aptos" w:hAnsi="Aptos"/>
          <w:color w:val="000000"/>
          <w:sz w:val="20"/>
        </w:rPr>
        <w:t>(1)</w:t>
      </w:r>
    </w:p>
    <w:p>
      <w:pPr>
        <w:pStyle w:val="TextBody"/>
        <w:bidi w:val="0"/>
        <w:jc w:val="both"/>
        <w:rPr>
          <w:rFonts w:ascii="Aptos;sans-serif" w:hAnsi="Aptos;sans-serif"/>
          <w:color w:val="000000"/>
          <w:sz w:val="22"/>
        </w:rPr>
      </w:pPr>
      <w:r>
        <w:rPr>
          <w:rFonts w:ascii="Aptos;sans-serif" w:hAnsi="Aptos;sans-serif"/>
          <w:color w:val="000000"/>
          <w:sz w:val="22"/>
        </w:rPr>
        <w:t>Working capital is defined as current assets less current liabilities.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Calibri Light;sans-serif" w:hAnsi="Calibri Light;sans-serif"/>
          <w:color w:val="000000"/>
          <w:sz w:val="24"/>
        </w:rPr>
      </w:pPr>
      <w:r>
        <w:rPr>
          <w:rFonts w:ascii="Calibri Light;sans-serif" w:hAnsi="Calibri Light;sans-serif"/>
          <w:color w:val="000000"/>
          <w:sz w:val="24"/>
        </w:rPr>
        <w:t>8</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 w:name="Calibri Light">
    <w:altName w:val="sans-serif"/>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2594</Words>
  <Characters>15546</Characters>
  <CharactersWithSpaces>18204</CharactersWithSpaces>
  <Paragraphs>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