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Goldsmith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Saginaw Drive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Revolution Medicines,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 31,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0001628171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Goldsmith: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16,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on page 1 and throughout in response to comment 1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RMC-4630 is a potent and selective inhibitor of SHP2, "based on preclinical evidence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in this prospectus." Please provide a summary of the preclinical studies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including the range of results observed, a description of how the test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conducted and the number of tests conducted. Similarly, on page 103,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include a summary of the preclinical study conducted with RMC-4530, including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range of results observed, how the test was conducted and the number of tests conducted.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Goldsmith Revolution Medicines, Inc. November 5,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 Transactions with Sanofi, page 174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disclosure required by Item 404 of Regulation S-K for the Quality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Clinical Supply Agreement with Sanofi, including the approximate dollar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amount involved with these agreements.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Sonia Bednarowski at 202-551-3666 or Dietrich King at 202-551-8071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Bonnie Baynes at 202-551-4924 or Lisa Vanjoske at 202-551-3614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38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LastNameMark A. Goldsmith Comapany NameRevolution Medicines,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244" w:right="1440" w:bottom="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5, 2019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500" w:space="720"/>
        <w:col w:w="391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2021-08-12T23:05:54Z</dcterms:created>
  <dcterms:modified xsi:type="dcterms:W3CDTF">2021-08-12T23:05:54Z</dcterms:modified>
</cp:coreProperties>
</file>